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AE7" w:rsidRPr="001F29E3" w:rsidRDefault="00AD4AE7" w:rsidP="00BC23CB">
      <w:pPr>
        <w:jc w:val="left"/>
        <w:rPr>
          <w:rFonts w:cs="Arial"/>
        </w:rPr>
      </w:pPr>
      <w:bookmarkStart w:id="0" w:name="Start"/>
      <w:r w:rsidRPr="00512EAB">
        <w:rPr>
          <w:color w:val="76923C" w:themeColor="accent3" w:themeShade="BF"/>
          <w:sz w:val="46"/>
        </w:rPr>
        <w:t xml:space="preserve">Victorian Training Market Quarterly Report </w:t>
      </w:r>
      <w:bookmarkStart w:id="1" w:name="_GoBack"/>
      <w:bookmarkEnd w:id="0"/>
      <w:bookmarkEnd w:id="1"/>
      <w:r w:rsidR="00692C68" w:rsidRPr="00512EAB">
        <w:rPr>
          <w:color w:val="76923C" w:themeColor="accent3" w:themeShade="BF"/>
          <w:sz w:val="46"/>
        </w:rPr>
        <w:br/>
        <w:t>Q</w:t>
      </w:r>
      <w:r w:rsidR="00660565">
        <w:rPr>
          <w:color w:val="76923C" w:themeColor="accent3" w:themeShade="BF"/>
          <w:sz w:val="46"/>
        </w:rPr>
        <w:t>3</w:t>
      </w:r>
      <w:r w:rsidR="00692C68" w:rsidRPr="00512EAB">
        <w:rPr>
          <w:color w:val="76923C" w:themeColor="accent3" w:themeShade="BF"/>
          <w:sz w:val="46"/>
        </w:rPr>
        <w:t xml:space="preserve"> 2013</w:t>
      </w:r>
    </w:p>
    <w:p w:rsidR="00F87392" w:rsidRPr="001F29E3" w:rsidRDefault="00861BA9" w:rsidP="00F87392">
      <w:pPr>
        <w:pStyle w:val="Header"/>
        <w:rPr>
          <w:rFonts w:cs="Arial"/>
        </w:rPr>
      </w:pPr>
      <w:r w:rsidRPr="001F29E3">
        <w:rPr>
          <w:rFonts w:cs="Arial"/>
          <w:noProof/>
          <w:lang w:eastAsia="en-AU"/>
        </w:rPr>
        <mc:AlternateContent>
          <mc:Choice Requires="wpg">
            <w:drawing>
              <wp:anchor distT="0" distB="0" distL="114300" distR="114300" simplePos="0" relativeHeight="251975680" behindDoc="1" locked="1" layoutInCell="1" allowOverlap="1" wp14:anchorId="05F0A4B9" wp14:editId="7BEC1031">
                <wp:simplePos x="0" y="0"/>
                <wp:positionH relativeFrom="page">
                  <wp:posOffset>717550</wp:posOffset>
                </wp:positionH>
                <wp:positionV relativeFrom="page">
                  <wp:posOffset>360045</wp:posOffset>
                </wp:positionV>
                <wp:extent cx="2329180" cy="422275"/>
                <wp:effectExtent l="0" t="0" r="0" b="0"/>
                <wp:wrapNone/>
                <wp:docPr id="3098" name="Logo Vic" descr="Victorian State Government logo" title="Victorian State Government 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29180" cy="422275"/>
                          <a:chOff x="-17207" y="-1468"/>
                          <a:chExt cx="40176" cy="7261"/>
                        </a:xfrm>
                      </wpg:grpSpPr>
                      <wps:wsp>
                        <wps:cNvPr id="3099" name="Freeform 1961"/>
                        <wps:cNvSpPr>
                          <a:spLocks noChangeAspect="1" noEditPoints="1"/>
                        </wps:cNvSpPr>
                        <wps:spPr bwMode="auto">
                          <a:xfrm>
                            <a:off x="-17207" y="-1468"/>
                            <a:ext cx="12446" cy="7115"/>
                          </a:xfrm>
                          <a:custGeom>
                            <a:avLst/>
                            <a:gdLst>
                              <a:gd name="T0" fmla="*/ 3936 w 5269"/>
                              <a:gd name="T1" fmla="*/ 478 h 3012"/>
                              <a:gd name="T2" fmla="*/ 4132 w 5269"/>
                              <a:gd name="T3" fmla="*/ 1278 h 3012"/>
                              <a:gd name="T4" fmla="*/ 4332 w 5269"/>
                              <a:gd name="T5" fmla="*/ 1040 h 3012"/>
                              <a:gd name="T6" fmla="*/ 4132 w 5269"/>
                              <a:gd name="T7" fmla="*/ 1278 h 3012"/>
                              <a:gd name="T8" fmla="*/ 4351 w 5269"/>
                              <a:gd name="T9" fmla="*/ 122 h 3012"/>
                              <a:gd name="T10" fmla="*/ 4540 w 5269"/>
                              <a:gd name="T11" fmla="*/ 570 h 3012"/>
                              <a:gd name="T12" fmla="*/ 4638 w 5269"/>
                              <a:gd name="T13" fmla="*/ 400 h 3012"/>
                              <a:gd name="T14" fmla="*/ 4430 w 5269"/>
                              <a:gd name="T15" fmla="*/ 782 h 3012"/>
                              <a:gd name="T16" fmla="*/ 3141 w 5269"/>
                              <a:gd name="T17" fmla="*/ 2215 h 3012"/>
                              <a:gd name="T18" fmla="*/ 1673 w 5269"/>
                              <a:gd name="T19" fmla="*/ 1537 h 3012"/>
                              <a:gd name="T20" fmla="*/ 1057 w 5269"/>
                              <a:gd name="T21" fmla="*/ 1462 h 3012"/>
                              <a:gd name="T22" fmla="*/ 3279 w 5269"/>
                              <a:gd name="T23" fmla="*/ 1462 h 3012"/>
                              <a:gd name="T24" fmla="*/ 0 w 5269"/>
                              <a:gd name="T25" fmla="*/ 3012 h 3012"/>
                              <a:gd name="T26" fmla="*/ 3739 w 5269"/>
                              <a:gd name="T27" fmla="*/ 1425 h 3012"/>
                              <a:gd name="T28" fmla="*/ 3758 w 5269"/>
                              <a:gd name="T29" fmla="*/ 1609 h 3012"/>
                              <a:gd name="T30" fmla="*/ 3682 w 5269"/>
                              <a:gd name="T31" fmla="*/ 1468 h 3012"/>
                              <a:gd name="T32" fmla="*/ 3297 w 5269"/>
                              <a:gd name="T33" fmla="*/ 1610 h 3012"/>
                              <a:gd name="T34" fmla="*/ 2772 w 5269"/>
                              <a:gd name="T35" fmla="*/ 1437 h 3012"/>
                              <a:gd name="T36" fmla="*/ 3131 w 5269"/>
                              <a:gd name="T37" fmla="*/ 1534 h 3012"/>
                              <a:gd name="T38" fmla="*/ 2985 w 5269"/>
                              <a:gd name="T39" fmla="*/ 1509 h 3012"/>
                              <a:gd name="T40" fmla="*/ 2839 w 5269"/>
                              <a:gd name="T41" fmla="*/ 1509 h 3012"/>
                              <a:gd name="T42" fmla="*/ 2581 w 5269"/>
                              <a:gd name="T43" fmla="*/ 1417 h 3012"/>
                              <a:gd name="T44" fmla="*/ 2676 w 5269"/>
                              <a:gd name="T45" fmla="*/ 1611 h 3012"/>
                              <a:gd name="T46" fmla="*/ 2527 w 5269"/>
                              <a:gd name="T47" fmla="*/ 1611 h 3012"/>
                              <a:gd name="T48" fmla="*/ 2497 w 5269"/>
                              <a:gd name="T49" fmla="*/ 1479 h 3012"/>
                              <a:gd name="T50" fmla="*/ 2353 w 5269"/>
                              <a:gd name="T51" fmla="*/ 1437 h 3012"/>
                              <a:gd name="T52" fmla="*/ 2322 w 5269"/>
                              <a:gd name="T53" fmla="*/ 1577 h 3012"/>
                              <a:gd name="T54" fmla="*/ 1935 w 5269"/>
                              <a:gd name="T55" fmla="*/ 1457 h 3012"/>
                              <a:gd name="T56" fmla="*/ 1980 w 5269"/>
                              <a:gd name="T57" fmla="*/ 1653 h 3012"/>
                              <a:gd name="T58" fmla="*/ 1740 w 5269"/>
                              <a:gd name="T59" fmla="*/ 1653 h 3012"/>
                              <a:gd name="T60" fmla="*/ 1059 w 5269"/>
                              <a:gd name="T61" fmla="*/ 1419 h 3012"/>
                              <a:gd name="T62" fmla="*/ 1150 w 5269"/>
                              <a:gd name="T63" fmla="*/ 1644 h 3012"/>
                              <a:gd name="T64" fmla="*/ 861 w 5269"/>
                              <a:gd name="T65" fmla="*/ 1358 h 3012"/>
                              <a:gd name="T66" fmla="*/ 861 w 5269"/>
                              <a:gd name="T67" fmla="*/ 1580 h 3012"/>
                              <a:gd name="T68" fmla="*/ 806 w 5269"/>
                              <a:gd name="T69" fmla="*/ 1468 h 3012"/>
                              <a:gd name="T70" fmla="*/ 567 w 5269"/>
                              <a:gd name="T71" fmla="*/ 1425 h 3012"/>
                              <a:gd name="T72" fmla="*/ 756 w 5269"/>
                              <a:gd name="T73" fmla="*/ 1647 h 3012"/>
                              <a:gd name="T74" fmla="*/ 378 w 5269"/>
                              <a:gd name="T75" fmla="*/ 1425 h 3012"/>
                              <a:gd name="T76" fmla="*/ 511 w 5269"/>
                              <a:gd name="T77" fmla="*/ 1419 h 3012"/>
                              <a:gd name="T78" fmla="*/ 458 w 5269"/>
                              <a:gd name="T79" fmla="*/ 1653 h 3012"/>
                              <a:gd name="T80" fmla="*/ 253 w 5269"/>
                              <a:gd name="T81" fmla="*/ 1514 h 3012"/>
                              <a:gd name="T82" fmla="*/ 302 w 5269"/>
                              <a:gd name="T83" fmla="*/ 1386 h 3012"/>
                              <a:gd name="T84" fmla="*/ 135 w 5269"/>
                              <a:gd name="T85" fmla="*/ 1641 h 3012"/>
                              <a:gd name="T86" fmla="*/ 637 w 5269"/>
                              <a:gd name="T87" fmla="*/ 2892 h 3012"/>
                              <a:gd name="T88" fmla="*/ 652 w 5269"/>
                              <a:gd name="T89" fmla="*/ 2501 h 3012"/>
                              <a:gd name="T90" fmla="*/ 1206 w 5269"/>
                              <a:gd name="T91" fmla="*/ 2221 h 3012"/>
                              <a:gd name="T92" fmla="*/ 1471 w 5269"/>
                              <a:gd name="T93" fmla="*/ 1331 h 3012"/>
                              <a:gd name="T94" fmla="*/ 1530 w 5269"/>
                              <a:gd name="T95" fmla="*/ 1520 h 3012"/>
                              <a:gd name="T96" fmla="*/ 2115 w 5269"/>
                              <a:gd name="T97" fmla="*/ 2866 h 3012"/>
                              <a:gd name="T98" fmla="*/ 2118 w 5269"/>
                              <a:gd name="T99" fmla="*/ 2289 h 3012"/>
                              <a:gd name="T100" fmla="*/ 2617 w 5269"/>
                              <a:gd name="T101" fmla="*/ 2885 h 3012"/>
                              <a:gd name="T102" fmla="*/ 2309 w 5269"/>
                              <a:gd name="T103" fmla="*/ 2088 h 3012"/>
                              <a:gd name="T104" fmla="*/ 2595 w 5269"/>
                              <a:gd name="T105" fmla="*/ 2239 h 3012"/>
                              <a:gd name="T106" fmla="*/ 3145 w 5269"/>
                              <a:gd name="T107" fmla="*/ 2066 h 3012"/>
                              <a:gd name="T108" fmla="*/ 3413 w 5269"/>
                              <a:gd name="T109" fmla="*/ 1647 h 3012"/>
                              <a:gd name="T110" fmla="*/ 3633 w 5269"/>
                              <a:gd name="T111" fmla="*/ 1534 h 3012"/>
                              <a:gd name="T112" fmla="*/ 3946 w 5269"/>
                              <a:gd name="T113" fmla="*/ 2246 h 3012"/>
                              <a:gd name="T114" fmla="*/ 3800 w 5269"/>
                              <a:gd name="T115" fmla="*/ 2062 h 3012"/>
                              <a:gd name="T116" fmla="*/ 4121 w 5269"/>
                              <a:gd name="T117" fmla="*/ 2109 h 3012"/>
                              <a:gd name="T118" fmla="*/ 4435 w 5269"/>
                              <a:gd name="T119" fmla="*/ 2641 h 3012"/>
                              <a:gd name="T120" fmla="*/ 4592 w 5269"/>
                              <a:gd name="T121" fmla="*/ 2080 h 3012"/>
                              <a:gd name="T122" fmla="*/ 4962 w 5269"/>
                              <a:gd name="T123" fmla="*/ 2873 h 3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69" h="3012">
                                <a:moveTo>
                                  <a:pt x="3785" y="591"/>
                                </a:moveTo>
                                <a:cubicBezTo>
                                  <a:pt x="3774" y="669"/>
                                  <a:pt x="3774" y="669"/>
                                  <a:pt x="3774" y="669"/>
                                </a:cubicBezTo>
                                <a:cubicBezTo>
                                  <a:pt x="3832" y="617"/>
                                  <a:pt x="3832" y="617"/>
                                  <a:pt x="3832" y="617"/>
                                </a:cubicBezTo>
                                <a:cubicBezTo>
                                  <a:pt x="3890" y="669"/>
                                  <a:pt x="3890" y="669"/>
                                  <a:pt x="3890" y="669"/>
                                </a:cubicBezTo>
                                <a:cubicBezTo>
                                  <a:pt x="3879" y="591"/>
                                  <a:pt x="3879" y="591"/>
                                  <a:pt x="3879" y="591"/>
                                </a:cubicBezTo>
                                <a:cubicBezTo>
                                  <a:pt x="3949" y="591"/>
                                  <a:pt x="3949" y="591"/>
                                  <a:pt x="3949" y="591"/>
                                </a:cubicBezTo>
                                <a:cubicBezTo>
                                  <a:pt x="3888" y="541"/>
                                  <a:pt x="3888" y="541"/>
                                  <a:pt x="3888" y="541"/>
                                </a:cubicBezTo>
                                <a:cubicBezTo>
                                  <a:pt x="3936" y="478"/>
                                  <a:pt x="3936" y="478"/>
                                  <a:pt x="3936" y="478"/>
                                </a:cubicBezTo>
                                <a:cubicBezTo>
                                  <a:pt x="3859" y="495"/>
                                  <a:pt x="3859" y="495"/>
                                  <a:pt x="3859" y="495"/>
                                </a:cubicBezTo>
                                <a:cubicBezTo>
                                  <a:pt x="3832" y="421"/>
                                  <a:pt x="3832" y="421"/>
                                  <a:pt x="3832" y="421"/>
                                </a:cubicBezTo>
                                <a:cubicBezTo>
                                  <a:pt x="3805" y="495"/>
                                  <a:pt x="3805" y="495"/>
                                  <a:pt x="3805" y="495"/>
                                </a:cubicBezTo>
                                <a:cubicBezTo>
                                  <a:pt x="3728" y="478"/>
                                  <a:pt x="3728" y="478"/>
                                  <a:pt x="3728" y="478"/>
                                </a:cubicBezTo>
                                <a:cubicBezTo>
                                  <a:pt x="3775" y="541"/>
                                  <a:pt x="3775" y="541"/>
                                  <a:pt x="3775" y="541"/>
                                </a:cubicBezTo>
                                <a:cubicBezTo>
                                  <a:pt x="3715" y="591"/>
                                  <a:pt x="3715" y="591"/>
                                  <a:pt x="3715" y="591"/>
                                </a:cubicBezTo>
                                <a:lnTo>
                                  <a:pt x="3785" y="591"/>
                                </a:lnTo>
                                <a:close/>
                                <a:moveTo>
                                  <a:pt x="4132" y="1278"/>
                                </a:moveTo>
                                <a:cubicBezTo>
                                  <a:pt x="4207" y="1238"/>
                                  <a:pt x="4207" y="1238"/>
                                  <a:pt x="4207" y="1238"/>
                                </a:cubicBezTo>
                                <a:cubicBezTo>
                                  <a:pt x="4247" y="1314"/>
                                  <a:pt x="4247" y="1314"/>
                                  <a:pt x="4247" y="1314"/>
                                </a:cubicBezTo>
                                <a:cubicBezTo>
                                  <a:pt x="4266" y="1224"/>
                                  <a:pt x="4266" y="1224"/>
                                  <a:pt x="4266" y="1224"/>
                                </a:cubicBezTo>
                                <a:cubicBezTo>
                                  <a:pt x="4352" y="1259"/>
                                  <a:pt x="4352" y="1259"/>
                                  <a:pt x="4352" y="1259"/>
                                </a:cubicBezTo>
                                <a:cubicBezTo>
                                  <a:pt x="4312" y="1183"/>
                                  <a:pt x="4312" y="1183"/>
                                  <a:pt x="4312" y="1183"/>
                                </a:cubicBezTo>
                                <a:cubicBezTo>
                                  <a:pt x="4387" y="1144"/>
                                  <a:pt x="4387" y="1144"/>
                                  <a:pt x="4387" y="1144"/>
                                </a:cubicBezTo>
                                <a:cubicBezTo>
                                  <a:pt x="4296" y="1125"/>
                                  <a:pt x="4296" y="1125"/>
                                  <a:pt x="4296" y="1125"/>
                                </a:cubicBezTo>
                                <a:cubicBezTo>
                                  <a:pt x="4332" y="1040"/>
                                  <a:pt x="4332" y="1040"/>
                                  <a:pt x="4332" y="1040"/>
                                </a:cubicBezTo>
                                <a:cubicBezTo>
                                  <a:pt x="4256" y="1079"/>
                                  <a:pt x="4256" y="1079"/>
                                  <a:pt x="4256" y="1079"/>
                                </a:cubicBezTo>
                                <a:cubicBezTo>
                                  <a:pt x="4216" y="1004"/>
                                  <a:pt x="4216" y="1004"/>
                                  <a:pt x="4216" y="1004"/>
                                </a:cubicBezTo>
                                <a:cubicBezTo>
                                  <a:pt x="4198" y="1094"/>
                                  <a:pt x="4198" y="1094"/>
                                  <a:pt x="4198" y="1094"/>
                                </a:cubicBezTo>
                                <a:cubicBezTo>
                                  <a:pt x="4113" y="1059"/>
                                  <a:pt x="4113" y="1059"/>
                                  <a:pt x="4113" y="1059"/>
                                </a:cubicBezTo>
                                <a:cubicBezTo>
                                  <a:pt x="4153" y="1134"/>
                                  <a:pt x="4153" y="1134"/>
                                  <a:pt x="4153" y="1134"/>
                                </a:cubicBezTo>
                                <a:cubicBezTo>
                                  <a:pt x="4077" y="1174"/>
                                  <a:pt x="4077" y="1174"/>
                                  <a:pt x="4077" y="1174"/>
                                </a:cubicBezTo>
                                <a:cubicBezTo>
                                  <a:pt x="4168" y="1193"/>
                                  <a:pt x="4168" y="1193"/>
                                  <a:pt x="4168" y="1193"/>
                                </a:cubicBezTo>
                                <a:lnTo>
                                  <a:pt x="4132" y="1278"/>
                                </a:lnTo>
                                <a:close/>
                                <a:moveTo>
                                  <a:pt x="4169" y="255"/>
                                </a:moveTo>
                                <a:cubicBezTo>
                                  <a:pt x="4160" y="346"/>
                                  <a:pt x="4160" y="346"/>
                                  <a:pt x="4160" y="346"/>
                                </a:cubicBezTo>
                                <a:cubicBezTo>
                                  <a:pt x="4229" y="285"/>
                                  <a:pt x="4229" y="285"/>
                                  <a:pt x="4229" y="285"/>
                                </a:cubicBezTo>
                                <a:cubicBezTo>
                                  <a:pt x="4297" y="346"/>
                                  <a:pt x="4297" y="346"/>
                                  <a:pt x="4297" y="346"/>
                                </a:cubicBezTo>
                                <a:cubicBezTo>
                                  <a:pt x="4289" y="255"/>
                                  <a:pt x="4289" y="255"/>
                                  <a:pt x="4289" y="255"/>
                                </a:cubicBezTo>
                                <a:cubicBezTo>
                                  <a:pt x="4366" y="255"/>
                                  <a:pt x="4366" y="255"/>
                                  <a:pt x="4366" y="255"/>
                                </a:cubicBezTo>
                                <a:cubicBezTo>
                                  <a:pt x="4300" y="196"/>
                                  <a:pt x="4300" y="196"/>
                                  <a:pt x="4300" y="196"/>
                                </a:cubicBezTo>
                                <a:cubicBezTo>
                                  <a:pt x="4351" y="122"/>
                                  <a:pt x="4351" y="122"/>
                                  <a:pt x="4351" y="122"/>
                                </a:cubicBezTo>
                                <a:cubicBezTo>
                                  <a:pt x="4265" y="142"/>
                                  <a:pt x="4265" y="142"/>
                                  <a:pt x="4265" y="142"/>
                                </a:cubicBezTo>
                                <a:cubicBezTo>
                                  <a:pt x="4229" y="55"/>
                                  <a:pt x="4229" y="55"/>
                                  <a:pt x="4229" y="55"/>
                                </a:cubicBezTo>
                                <a:cubicBezTo>
                                  <a:pt x="4192" y="142"/>
                                  <a:pt x="4192" y="142"/>
                                  <a:pt x="4192" y="142"/>
                                </a:cubicBezTo>
                                <a:cubicBezTo>
                                  <a:pt x="4106" y="122"/>
                                  <a:pt x="4106" y="122"/>
                                  <a:pt x="4106" y="122"/>
                                </a:cubicBezTo>
                                <a:cubicBezTo>
                                  <a:pt x="4158" y="196"/>
                                  <a:pt x="4158" y="196"/>
                                  <a:pt x="4158" y="196"/>
                                </a:cubicBezTo>
                                <a:cubicBezTo>
                                  <a:pt x="4091" y="255"/>
                                  <a:pt x="4091" y="255"/>
                                  <a:pt x="4091" y="255"/>
                                </a:cubicBezTo>
                                <a:lnTo>
                                  <a:pt x="4169" y="255"/>
                                </a:lnTo>
                                <a:close/>
                                <a:moveTo>
                                  <a:pt x="4540" y="570"/>
                                </a:moveTo>
                                <a:cubicBezTo>
                                  <a:pt x="4609" y="560"/>
                                  <a:pt x="4609" y="560"/>
                                  <a:pt x="4609" y="560"/>
                                </a:cubicBezTo>
                                <a:cubicBezTo>
                                  <a:pt x="4638" y="617"/>
                                  <a:pt x="4638" y="617"/>
                                  <a:pt x="4638" y="617"/>
                                </a:cubicBezTo>
                                <a:cubicBezTo>
                                  <a:pt x="4665" y="560"/>
                                  <a:pt x="4665" y="560"/>
                                  <a:pt x="4665" y="560"/>
                                </a:cubicBezTo>
                                <a:cubicBezTo>
                                  <a:pt x="4736" y="570"/>
                                  <a:pt x="4736" y="570"/>
                                  <a:pt x="4736" y="570"/>
                                </a:cubicBezTo>
                                <a:cubicBezTo>
                                  <a:pt x="4698" y="508"/>
                                  <a:pt x="4698" y="508"/>
                                  <a:pt x="4698" y="508"/>
                                </a:cubicBezTo>
                                <a:cubicBezTo>
                                  <a:pt x="4735" y="448"/>
                                  <a:pt x="4735" y="448"/>
                                  <a:pt x="4735" y="448"/>
                                </a:cubicBezTo>
                                <a:cubicBezTo>
                                  <a:pt x="4666" y="458"/>
                                  <a:pt x="4666" y="458"/>
                                  <a:pt x="4666" y="458"/>
                                </a:cubicBezTo>
                                <a:cubicBezTo>
                                  <a:pt x="4638" y="400"/>
                                  <a:pt x="4638" y="400"/>
                                  <a:pt x="4638" y="400"/>
                                </a:cubicBezTo>
                                <a:cubicBezTo>
                                  <a:pt x="4609" y="458"/>
                                  <a:pt x="4609" y="458"/>
                                  <a:pt x="4609" y="458"/>
                                </a:cubicBezTo>
                                <a:cubicBezTo>
                                  <a:pt x="4539" y="448"/>
                                  <a:pt x="4539" y="448"/>
                                  <a:pt x="4539" y="448"/>
                                </a:cubicBezTo>
                                <a:cubicBezTo>
                                  <a:pt x="4577" y="509"/>
                                  <a:pt x="4577" y="509"/>
                                  <a:pt x="4577" y="509"/>
                                </a:cubicBezTo>
                                <a:lnTo>
                                  <a:pt x="4540" y="570"/>
                                </a:lnTo>
                                <a:close/>
                                <a:moveTo>
                                  <a:pt x="4355" y="734"/>
                                </a:moveTo>
                                <a:cubicBezTo>
                                  <a:pt x="4348" y="782"/>
                                  <a:pt x="4348" y="782"/>
                                  <a:pt x="4348" y="782"/>
                                </a:cubicBezTo>
                                <a:cubicBezTo>
                                  <a:pt x="4389" y="760"/>
                                  <a:pt x="4389" y="760"/>
                                  <a:pt x="4389" y="760"/>
                                </a:cubicBezTo>
                                <a:cubicBezTo>
                                  <a:pt x="4430" y="782"/>
                                  <a:pt x="4430" y="782"/>
                                  <a:pt x="4430" y="782"/>
                                </a:cubicBezTo>
                                <a:cubicBezTo>
                                  <a:pt x="4422" y="734"/>
                                  <a:pt x="4422" y="734"/>
                                  <a:pt x="4422" y="734"/>
                                </a:cubicBezTo>
                                <a:cubicBezTo>
                                  <a:pt x="4456" y="704"/>
                                  <a:pt x="4456" y="704"/>
                                  <a:pt x="4456" y="704"/>
                                </a:cubicBezTo>
                                <a:cubicBezTo>
                                  <a:pt x="4407" y="695"/>
                                  <a:pt x="4407" y="695"/>
                                  <a:pt x="4407" y="695"/>
                                </a:cubicBezTo>
                                <a:cubicBezTo>
                                  <a:pt x="4389" y="655"/>
                                  <a:pt x="4389" y="655"/>
                                  <a:pt x="4389" y="655"/>
                                </a:cubicBezTo>
                                <a:cubicBezTo>
                                  <a:pt x="4370" y="695"/>
                                  <a:pt x="4370" y="695"/>
                                  <a:pt x="4370" y="695"/>
                                </a:cubicBezTo>
                                <a:cubicBezTo>
                                  <a:pt x="4322" y="704"/>
                                  <a:pt x="4322" y="704"/>
                                  <a:pt x="4322" y="704"/>
                                </a:cubicBezTo>
                                <a:lnTo>
                                  <a:pt x="4355" y="734"/>
                                </a:lnTo>
                                <a:close/>
                                <a:moveTo>
                                  <a:pt x="3141" y="2215"/>
                                </a:moveTo>
                                <a:cubicBezTo>
                                  <a:pt x="3010" y="2215"/>
                                  <a:pt x="2927" y="2320"/>
                                  <a:pt x="2927" y="2483"/>
                                </a:cubicBezTo>
                                <a:cubicBezTo>
                                  <a:pt x="2927" y="2642"/>
                                  <a:pt x="3013" y="2749"/>
                                  <a:pt x="3141" y="2749"/>
                                </a:cubicBezTo>
                                <a:cubicBezTo>
                                  <a:pt x="3271" y="2749"/>
                                  <a:pt x="3356" y="2644"/>
                                  <a:pt x="3356" y="2479"/>
                                </a:cubicBezTo>
                                <a:cubicBezTo>
                                  <a:pt x="3356" y="2318"/>
                                  <a:pt x="3271" y="2215"/>
                                  <a:pt x="3141" y="2215"/>
                                </a:cubicBezTo>
                                <a:moveTo>
                                  <a:pt x="1740" y="1612"/>
                                </a:moveTo>
                                <a:cubicBezTo>
                                  <a:pt x="1782" y="1612"/>
                                  <a:pt x="1809" y="1582"/>
                                  <a:pt x="1809" y="1536"/>
                                </a:cubicBezTo>
                                <a:cubicBezTo>
                                  <a:pt x="1809" y="1490"/>
                                  <a:pt x="1782" y="1461"/>
                                  <a:pt x="1740" y="1461"/>
                                </a:cubicBezTo>
                                <a:cubicBezTo>
                                  <a:pt x="1699" y="1461"/>
                                  <a:pt x="1673" y="1491"/>
                                  <a:pt x="1673" y="1537"/>
                                </a:cubicBezTo>
                                <a:cubicBezTo>
                                  <a:pt x="1673" y="1581"/>
                                  <a:pt x="1700" y="1612"/>
                                  <a:pt x="1740" y="1612"/>
                                </a:cubicBezTo>
                                <a:moveTo>
                                  <a:pt x="590" y="1577"/>
                                </a:moveTo>
                                <a:cubicBezTo>
                                  <a:pt x="590" y="1599"/>
                                  <a:pt x="607" y="1613"/>
                                  <a:pt x="634" y="1613"/>
                                </a:cubicBezTo>
                                <a:cubicBezTo>
                                  <a:pt x="672" y="1613"/>
                                  <a:pt x="692" y="1591"/>
                                  <a:pt x="692" y="1552"/>
                                </a:cubicBezTo>
                                <a:cubicBezTo>
                                  <a:pt x="692" y="1547"/>
                                  <a:pt x="692" y="1543"/>
                                  <a:pt x="692" y="1538"/>
                                </a:cubicBezTo>
                                <a:cubicBezTo>
                                  <a:pt x="676" y="1537"/>
                                  <a:pt x="669" y="1536"/>
                                  <a:pt x="660" y="1536"/>
                                </a:cubicBezTo>
                                <a:cubicBezTo>
                                  <a:pt x="614" y="1536"/>
                                  <a:pt x="590" y="1551"/>
                                  <a:pt x="590" y="1577"/>
                                </a:cubicBezTo>
                                <a:moveTo>
                                  <a:pt x="1057" y="1462"/>
                                </a:moveTo>
                                <a:cubicBezTo>
                                  <a:pt x="1031" y="1462"/>
                                  <a:pt x="1011" y="1475"/>
                                  <a:pt x="1002" y="1500"/>
                                </a:cubicBezTo>
                                <a:cubicBezTo>
                                  <a:pt x="1109" y="1500"/>
                                  <a:pt x="1109" y="1500"/>
                                  <a:pt x="1109" y="1500"/>
                                </a:cubicBezTo>
                                <a:cubicBezTo>
                                  <a:pt x="1099" y="1474"/>
                                  <a:pt x="1083" y="1462"/>
                                  <a:pt x="1057" y="1462"/>
                                </a:cubicBezTo>
                                <a:moveTo>
                                  <a:pt x="2215" y="1462"/>
                                </a:moveTo>
                                <a:cubicBezTo>
                                  <a:pt x="2189" y="1462"/>
                                  <a:pt x="2170" y="1475"/>
                                  <a:pt x="2161" y="1500"/>
                                </a:cubicBezTo>
                                <a:cubicBezTo>
                                  <a:pt x="2267" y="1500"/>
                                  <a:pt x="2267" y="1500"/>
                                  <a:pt x="2267" y="1500"/>
                                </a:cubicBezTo>
                                <a:cubicBezTo>
                                  <a:pt x="2258" y="1474"/>
                                  <a:pt x="2241" y="1462"/>
                                  <a:pt x="2215" y="1462"/>
                                </a:cubicBezTo>
                                <a:moveTo>
                                  <a:pt x="3279" y="1462"/>
                                </a:moveTo>
                                <a:cubicBezTo>
                                  <a:pt x="3253" y="1462"/>
                                  <a:pt x="3234" y="1475"/>
                                  <a:pt x="3225" y="1500"/>
                                </a:cubicBezTo>
                                <a:cubicBezTo>
                                  <a:pt x="3332" y="1500"/>
                                  <a:pt x="3332" y="1500"/>
                                  <a:pt x="3332" y="1500"/>
                                </a:cubicBezTo>
                                <a:cubicBezTo>
                                  <a:pt x="3322" y="1474"/>
                                  <a:pt x="3306" y="1462"/>
                                  <a:pt x="3279" y="1462"/>
                                </a:cubicBezTo>
                                <a:moveTo>
                                  <a:pt x="5181" y="0"/>
                                </a:moveTo>
                                <a:cubicBezTo>
                                  <a:pt x="4222" y="1940"/>
                                  <a:pt x="4222" y="1940"/>
                                  <a:pt x="4222" y="1940"/>
                                </a:cubicBezTo>
                                <a:cubicBezTo>
                                  <a:pt x="3280" y="0"/>
                                  <a:pt x="3280" y="0"/>
                                  <a:pt x="3280" y="0"/>
                                </a:cubicBezTo>
                                <a:cubicBezTo>
                                  <a:pt x="0" y="0"/>
                                  <a:pt x="0" y="0"/>
                                  <a:pt x="0" y="0"/>
                                </a:cubicBezTo>
                                <a:cubicBezTo>
                                  <a:pt x="0" y="3012"/>
                                  <a:pt x="0" y="3012"/>
                                  <a:pt x="0" y="3012"/>
                                </a:cubicBezTo>
                                <a:cubicBezTo>
                                  <a:pt x="5269" y="3012"/>
                                  <a:pt x="5269" y="3012"/>
                                  <a:pt x="5269" y="3012"/>
                                </a:cubicBezTo>
                                <a:cubicBezTo>
                                  <a:pt x="5269" y="0"/>
                                  <a:pt x="5269" y="0"/>
                                  <a:pt x="5269" y="0"/>
                                </a:cubicBezTo>
                                <a:lnTo>
                                  <a:pt x="5181" y="0"/>
                                </a:lnTo>
                                <a:close/>
                                <a:moveTo>
                                  <a:pt x="3667" y="1425"/>
                                </a:moveTo>
                                <a:cubicBezTo>
                                  <a:pt x="3684" y="1425"/>
                                  <a:pt x="3684" y="1425"/>
                                  <a:pt x="3684" y="1425"/>
                                </a:cubicBezTo>
                                <a:cubicBezTo>
                                  <a:pt x="3684" y="1374"/>
                                  <a:pt x="3684" y="1374"/>
                                  <a:pt x="3684" y="1374"/>
                                </a:cubicBezTo>
                                <a:cubicBezTo>
                                  <a:pt x="3739" y="1358"/>
                                  <a:pt x="3739" y="1358"/>
                                  <a:pt x="3739" y="1358"/>
                                </a:cubicBezTo>
                                <a:cubicBezTo>
                                  <a:pt x="3739" y="1425"/>
                                  <a:pt x="3739" y="1425"/>
                                  <a:pt x="3739" y="1425"/>
                                </a:cubicBezTo>
                                <a:cubicBezTo>
                                  <a:pt x="3758" y="1425"/>
                                  <a:pt x="3758" y="1425"/>
                                  <a:pt x="3758" y="1425"/>
                                </a:cubicBezTo>
                                <a:cubicBezTo>
                                  <a:pt x="3761" y="1425"/>
                                  <a:pt x="3764" y="1425"/>
                                  <a:pt x="3768" y="1424"/>
                                </a:cubicBezTo>
                                <a:cubicBezTo>
                                  <a:pt x="3774" y="1424"/>
                                  <a:pt x="3778" y="1424"/>
                                  <a:pt x="3781" y="1423"/>
                                </a:cubicBezTo>
                                <a:cubicBezTo>
                                  <a:pt x="3788" y="1422"/>
                                  <a:pt x="3791" y="1421"/>
                                  <a:pt x="3800" y="1419"/>
                                </a:cubicBezTo>
                                <a:cubicBezTo>
                                  <a:pt x="3775" y="1468"/>
                                  <a:pt x="3775" y="1468"/>
                                  <a:pt x="3775" y="1468"/>
                                </a:cubicBezTo>
                                <a:cubicBezTo>
                                  <a:pt x="3739" y="1468"/>
                                  <a:pt x="3739" y="1468"/>
                                  <a:pt x="3739" y="1468"/>
                                </a:cubicBezTo>
                                <a:cubicBezTo>
                                  <a:pt x="3739" y="1580"/>
                                  <a:pt x="3739" y="1580"/>
                                  <a:pt x="3739" y="1580"/>
                                </a:cubicBezTo>
                                <a:cubicBezTo>
                                  <a:pt x="3739" y="1602"/>
                                  <a:pt x="3743" y="1609"/>
                                  <a:pt x="3758" y="1609"/>
                                </a:cubicBezTo>
                                <a:cubicBezTo>
                                  <a:pt x="3775" y="1609"/>
                                  <a:pt x="3787" y="1606"/>
                                  <a:pt x="3810" y="1598"/>
                                </a:cubicBezTo>
                                <a:cubicBezTo>
                                  <a:pt x="3795" y="1649"/>
                                  <a:pt x="3795" y="1649"/>
                                  <a:pt x="3795" y="1649"/>
                                </a:cubicBezTo>
                                <a:cubicBezTo>
                                  <a:pt x="3781" y="1650"/>
                                  <a:pt x="3781" y="1650"/>
                                  <a:pt x="3781" y="1650"/>
                                </a:cubicBezTo>
                                <a:cubicBezTo>
                                  <a:pt x="3762" y="1653"/>
                                  <a:pt x="3756" y="1653"/>
                                  <a:pt x="3747" y="1653"/>
                                </a:cubicBezTo>
                                <a:cubicBezTo>
                                  <a:pt x="3727" y="1653"/>
                                  <a:pt x="3712" y="1649"/>
                                  <a:pt x="3702" y="1640"/>
                                </a:cubicBezTo>
                                <a:cubicBezTo>
                                  <a:pt x="3689" y="1630"/>
                                  <a:pt x="3684" y="1613"/>
                                  <a:pt x="3684" y="1580"/>
                                </a:cubicBezTo>
                                <a:cubicBezTo>
                                  <a:pt x="3684" y="1468"/>
                                  <a:pt x="3684" y="1468"/>
                                  <a:pt x="3684" y="1468"/>
                                </a:cubicBezTo>
                                <a:cubicBezTo>
                                  <a:pt x="3682" y="1468"/>
                                  <a:pt x="3682" y="1468"/>
                                  <a:pt x="3682" y="1468"/>
                                </a:cubicBezTo>
                                <a:cubicBezTo>
                                  <a:pt x="3671" y="1468"/>
                                  <a:pt x="3657" y="1470"/>
                                  <a:pt x="3642" y="1473"/>
                                </a:cubicBezTo>
                                <a:lnTo>
                                  <a:pt x="3667" y="1425"/>
                                </a:lnTo>
                                <a:close/>
                                <a:moveTo>
                                  <a:pt x="3282" y="1419"/>
                                </a:moveTo>
                                <a:cubicBezTo>
                                  <a:pt x="3328" y="1419"/>
                                  <a:pt x="3363" y="1441"/>
                                  <a:pt x="3381" y="1481"/>
                                </a:cubicBezTo>
                                <a:cubicBezTo>
                                  <a:pt x="3389" y="1499"/>
                                  <a:pt x="3392" y="1514"/>
                                  <a:pt x="3394" y="1542"/>
                                </a:cubicBezTo>
                                <a:cubicBezTo>
                                  <a:pt x="3219" y="1542"/>
                                  <a:pt x="3219" y="1542"/>
                                  <a:pt x="3219" y="1542"/>
                                </a:cubicBezTo>
                                <a:cubicBezTo>
                                  <a:pt x="3220" y="1556"/>
                                  <a:pt x="3221" y="1559"/>
                                  <a:pt x="3224" y="1569"/>
                                </a:cubicBezTo>
                                <a:cubicBezTo>
                                  <a:pt x="3233" y="1594"/>
                                  <a:pt x="3261" y="1610"/>
                                  <a:pt x="3297" y="1610"/>
                                </a:cubicBezTo>
                                <a:cubicBezTo>
                                  <a:pt x="3314" y="1610"/>
                                  <a:pt x="3331" y="1606"/>
                                  <a:pt x="3350" y="1598"/>
                                </a:cubicBezTo>
                                <a:cubicBezTo>
                                  <a:pt x="3361" y="1593"/>
                                  <a:pt x="3369" y="1589"/>
                                  <a:pt x="3387" y="1577"/>
                                </a:cubicBezTo>
                                <a:cubicBezTo>
                                  <a:pt x="3373" y="1644"/>
                                  <a:pt x="3373" y="1644"/>
                                  <a:pt x="3373" y="1644"/>
                                </a:cubicBezTo>
                                <a:cubicBezTo>
                                  <a:pt x="3366" y="1645"/>
                                  <a:pt x="3361" y="1646"/>
                                  <a:pt x="3358" y="1647"/>
                                </a:cubicBezTo>
                                <a:cubicBezTo>
                                  <a:pt x="3338" y="1651"/>
                                  <a:pt x="3317" y="1653"/>
                                  <a:pt x="3299" y="1653"/>
                                </a:cubicBezTo>
                                <a:cubicBezTo>
                                  <a:pt x="3215" y="1653"/>
                                  <a:pt x="3162" y="1608"/>
                                  <a:pt x="3162" y="1539"/>
                                </a:cubicBezTo>
                                <a:cubicBezTo>
                                  <a:pt x="3162" y="1469"/>
                                  <a:pt x="3212" y="1419"/>
                                  <a:pt x="3282" y="1419"/>
                                </a:cubicBezTo>
                                <a:moveTo>
                                  <a:pt x="2772" y="1437"/>
                                </a:moveTo>
                                <a:cubicBezTo>
                                  <a:pt x="2839" y="1417"/>
                                  <a:pt x="2839" y="1417"/>
                                  <a:pt x="2839" y="1417"/>
                                </a:cubicBezTo>
                                <a:cubicBezTo>
                                  <a:pt x="2839" y="1437"/>
                                  <a:pt x="2839" y="1437"/>
                                  <a:pt x="2839" y="1437"/>
                                </a:cubicBezTo>
                                <a:cubicBezTo>
                                  <a:pt x="2857" y="1424"/>
                                  <a:pt x="2875" y="1419"/>
                                  <a:pt x="2897" y="1419"/>
                                </a:cubicBezTo>
                                <a:cubicBezTo>
                                  <a:pt x="2928" y="1419"/>
                                  <a:pt x="2949" y="1428"/>
                                  <a:pt x="2968" y="1450"/>
                                </a:cubicBezTo>
                                <a:cubicBezTo>
                                  <a:pt x="2979" y="1441"/>
                                  <a:pt x="2983" y="1437"/>
                                  <a:pt x="2990" y="1433"/>
                                </a:cubicBezTo>
                                <a:cubicBezTo>
                                  <a:pt x="3005" y="1424"/>
                                  <a:pt x="3025" y="1419"/>
                                  <a:pt x="3044" y="1419"/>
                                </a:cubicBezTo>
                                <a:cubicBezTo>
                                  <a:pt x="3072" y="1419"/>
                                  <a:pt x="3100" y="1430"/>
                                  <a:pt x="3115" y="1448"/>
                                </a:cubicBezTo>
                                <a:cubicBezTo>
                                  <a:pt x="3128" y="1464"/>
                                  <a:pt x="3131" y="1484"/>
                                  <a:pt x="3131" y="1534"/>
                                </a:cubicBezTo>
                                <a:cubicBezTo>
                                  <a:pt x="3131" y="1611"/>
                                  <a:pt x="3131" y="1611"/>
                                  <a:pt x="3131" y="1611"/>
                                </a:cubicBezTo>
                                <a:cubicBezTo>
                                  <a:pt x="3131" y="1630"/>
                                  <a:pt x="3136" y="1639"/>
                                  <a:pt x="3147" y="1647"/>
                                </a:cubicBezTo>
                                <a:cubicBezTo>
                                  <a:pt x="3061" y="1647"/>
                                  <a:pt x="3061" y="1647"/>
                                  <a:pt x="3061" y="1647"/>
                                </a:cubicBezTo>
                                <a:cubicBezTo>
                                  <a:pt x="3073" y="1639"/>
                                  <a:pt x="3077" y="1630"/>
                                  <a:pt x="3077" y="1611"/>
                                </a:cubicBezTo>
                                <a:cubicBezTo>
                                  <a:pt x="3077" y="1507"/>
                                  <a:pt x="3077" y="1507"/>
                                  <a:pt x="3077" y="1507"/>
                                </a:cubicBezTo>
                                <a:cubicBezTo>
                                  <a:pt x="3077" y="1489"/>
                                  <a:pt x="3074" y="1481"/>
                                  <a:pt x="3068" y="1474"/>
                                </a:cubicBezTo>
                                <a:cubicBezTo>
                                  <a:pt x="3061" y="1465"/>
                                  <a:pt x="3049" y="1460"/>
                                  <a:pt x="3037" y="1460"/>
                                </a:cubicBezTo>
                                <a:cubicBezTo>
                                  <a:pt x="3007" y="1460"/>
                                  <a:pt x="2985" y="1480"/>
                                  <a:pt x="2985" y="1509"/>
                                </a:cubicBezTo>
                                <a:cubicBezTo>
                                  <a:pt x="2985" y="1611"/>
                                  <a:pt x="2985" y="1611"/>
                                  <a:pt x="2985" y="1611"/>
                                </a:cubicBezTo>
                                <a:cubicBezTo>
                                  <a:pt x="2985" y="1630"/>
                                  <a:pt x="2989" y="1639"/>
                                  <a:pt x="3001" y="1647"/>
                                </a:cubicBezTo>
                                <a:cubicBezTo>
                                  <a:pt x="2914" y="1647"/>
                                  <a:pt x="2914" y="1647"/>
                                  <a:pt x="2914" y="1647"/>
                                </a:cubicBezTo>
                                <a:cubicBezTo>
                                  <a:pt x="2927" y="1639"/>
                                  <a:pt x="2930" y="1630"/>
                                  <a:pt x="2930" y="1611"/>
                                </a:cubicBezTo>
                                <a:cubicBezTo>
                                  <a:pt x="2930" y="1507"/>
                                  <a:pt x="2930" y="1507"/>
                                  <a:pt x="2930" y="1507"/>
                                </a:cubicBezTo>
                                <a:cubicBezTo>
                                  <a:pt x="2930" y="1489"/>
                                  <a:pt x="2928" y="1481"/>
                                  <a:pt x="2922" y="1474"/>
                                </a:cubicBezTo>
                                <a:cubicBezTo>
                                  <a:pt x="2914" y="1465"/>
                                  <a:pt x="2903" y="1460"/>
                                  <a:pt x="2889" y="1460"/>
                                </a:cubicBezTo>
                                <a:cubicBezTo>
                                  <a:pt x="2860" y="1460"/>
                                  <a:pt x="2839" y="1480"/>
                                  <a:pt x="2839" y="1509"/>
                                </a:cubicBezTo>
                                <a:cubicBezTo>
                                  <a:pt x="2839" y="1611"/>
                                  <a:pt x="2839" y="1611"/>
                                  <a:pt x="2839" y="1611"/>
                                </a:cubicBezTo>
                                <a:cubicBezTo>
                                  <a:pt x="2839" y="1630"/>
                                  <a:pt x="2843" y="1639"/>
                                  <a:pt x="2855" y="1647"/>
                                </a:cubicBezTo>
                                <a:cubicBezTo>
                                  <a:pt x="2768" y="1647"/>
                                  <a:pt x="2768" y="1647"/>
                                  <a:pt x="2768" y="1647"/>
                                </a:cubicBezTo>
                                <a:cubicBezTo>
                                  <a:pt x="2781" y="1639"/>
                                  <a:pt x="2784" y="1630"/>
                                  <a:pt x="2784" y="1611"/>
                                </a:cubicBezTo>
                                <a:cubicBezTo>
                                  <a:pt x="2784" y="1469"/>
                                  <a:pt x="2784" y="1469"/>
                                  <a:pt x="2784" y="1469"/>
                                </a:cubicBezTo>
                                <a:cubicBezTo>
                                  <a:pt x="2784" y="1451"/>
                                  <a:pt x="2782" y="1446"/>
                                  <a:pt x="2772" y="1437"/>
                                </a:cubicBezTo>
                                <a:moveTo>
                                  <a:pt x="2515" y="1437"/>
                                </a:moveTo>
                                <a:cubicBezTo>
                                  <a:pt x="2581" y="1417"/>
                                  <a:pt x="2581" y="1417"/>
                                  <a:pt x="2581" y="1417"/>
                                </a:cubicBezTo>
                                <a:cubicBezTo>
                                  <a:pt x="2581" y="1437"/>
                                  <a:pt x="2581" y="1437"/>
                                  <a:pt x="2581" y="1437"/>
                                </a:cubicBezTo>
                                <a:cubicBezTo>
                                  <a:pt x="2602" y="1424"/>
                                  <a:pt x="2618" y="1419"/>
                                  <a:pt x="2641" y="1419"/>
                                </a:cubicBezTo>
                                <a:cubicBezTo>
                                  <a:pt x="2672" y="1419"/>
                                  <a:pt x="2699" y="1430"/>
                                  <a:pt x="2715" y="1448"/>
                                </a:cubicBezTo>
                                <a:cubicBezTo>
                                  <a:pt x="2727" y="1464"/>
                                  <a:pt x="2731" y="1484"/>
                                  <a:pt x="2731" y="1534"/>
                                </a:cubicBezTo>
                                <a:cubicBezTo>
                                  <a:pt x="2731" y="1611"/>
                                  <a:pt x="2731" y="1611"/>
                                  <a:pt x="2731" y="1611"/>
                                </a:cubicBezTo>
                                <a:cubicBezTo>
                                  <a:pt x="2731" y="1630"/>
                                  <a:pt x="2734" y="1639"/>
                                  <a:pt x="2746" y="1647"/>
                                </a:cubicBezTo>
                                <a:cubicBezTo>
                                  <a:pt x="2660" y="1647"/>
                                  <a:pt x="2660" y="1647"/>
                                  <a:pt x="2660" y="1647"/>
                                </a:cubicBezTo>
                                <a:cubicBezTo>
                                  <a:pt x="2673" y="1639"/>
                                  <a:pt x="2676" y="1630"/>
                                  <a:pt x="2676" y="1611"/>
                                </a:cubicBezTo>
                                <a:cubicBezTo>
                                  <a:pt x="2676" y="1507"/>
                                  <a:pt x="2676" y="1507"/>
                                  <a:pt x="2676" y="1507"/>
                                </a:cubicBezTo>
                                <a:cubicBezTo>
                                  <a:pt x="2676" y="1489"/>
                                  <a:pt x="2674" y="1482"/>
                                  <a:pt x="2668" y="1474"/>
                                </a:cubicBezTo>
                                <a:cubicBezTo>
                                  <a:pt x="2660" y="1465"/>
                                  <a:pt x="2649" y="1460"/>
                                  <a:pt x="2633" y="1460"/>
                                </a:cubicBezTo>
                                <a:cubicBezTo>
                                  <a:pt x="2602" y="1460"/>
                                  <a:pt x="2581" y="1480"/>
                                  <a:pt x="2581" y="1509"/>
                                </a:cubicBezTo>
                                <a:cubicBezTo>
                                  <a:pt x="2581" y="1611"/>
                                  <a:pt x="2581" y="1611"/>
                                  <a:pt x="2581" y="1611"/>
                                </a:cubicBezTo>
                                <a:cubicBezTo>
                                  <a:pt x="2581" y="1630"/>
                                  <a:pt x="2585" y="1639"/>
                                  <a:pt x="2597" y="1647"/>
                                </a:cubicBezTo>
                                <a:cubicBezTo>
                                  <a:pt x="2511" y="1647"/>
                                  <a:pt x="2511" y="1647"/>
                                  <a:pt x="2511" y="1647"/>
                                </a:cubicBezTo>
                                <a:cubicBezTo>
                                  <a:pt x="2524" y="1639"/>
                                  <a:pt x="2527" y="1630"/>
                                  <a:pt x="2527" y="1611"/>
                                </a:cubicBezTo>
                                <a:cubicBezTo>
                                  <a:pt x="2527" y="1469"/>
                                  <a:pt x="2527" y="1469"/>
                                  <a:pt x="2527" y="1469"/>
                                </a:cubicBezTo>
                                <a:cubicBezTo>
                                  <a:pt x="2527" y="1451"/>
                                  <a:pt x="2525" y="1446"/>
                                  <a:pt x="2515" y="1437"/>
                                </a:cubicBezTo>
                                <a:moveTo>
                                  <a:pt x="2353" y="1437"/>
                                </a:moveTo>
                                <a:cubicBezTo>
                                  <a:pt x="2419" y="1417"/>
                                  <a:pt x="2419" y="1417"/>
                                  <a:pt x="2419" y="1417"/>
                                </a:cubicBezTo>
                                <a:cubicBezTo>
                                  <a:pt x="2419" y="1441"/>
                                  <a:pt x="2419" y="1441"/>
                                  <a:pt x="2419" y="1441"/>
                                </a:cubicBezTo>
                                <a:cubicBezTo>
                                  <a:pt x="2436" y="1427"/>
                                  <a:pt x="2452" y="1421"/>
                                  <a:pt x="2476" y="1421"/>
                                </a:cubicBezTo>
                                <a:cubicBezTo>
                                  <a:pt x="2485" y="1421"/>
                                  <a:pt x="2488" y="1422"/>
                                  <a:pt x="2497" y="1424"/>
                                </a:cubicBezTo>
                                <a:cubicBezTo>
                                  <a:pt x="2497" y="1479"/>
                                  <a:pt x="2497" y="1479"/>
                                  <a:pt x="2497" y="1479"/>
                                </a:cubicBezTo>
                                <a:cubicBezTo>
                                  <a:pt x="2483" y="1472"/>
                                  <a:pt x="2477" y="1470"/>
                                  <a:pt x="2466" y="1470"/>
                                </a:cubicBezTo>
                                <a:cubicBezTo>
                                  <a:pt x="2437" y="1470"/>
                                  <a:pt x="2419" y="1492"/>
                                  <a:pt x="2419" y="1527"/>
                                </a:cubicBezTo>
                                <a:cubicBezTo>
                                  <a:pt x="2419" y="1611"/>
                                  <a:pt x="2419" y="1611"/>
                                  <a:pt x="2419" y="1611"/>
                                </a:cubicBezTo>
                                <a:cubicBezTo>
                                  <a:pt x="2419" y="1630"/>
                                  <a:pt x="2423" y="1639"/>
                                  <a:pt x="2435" y="1647"/>
                                </a:cubicBezTo>
                                <a:cubicBezTo>
                                  <a:pt x="2349" y="1647"/>
                                  <a:pt x="2349" y="1647"/>
                                  <a:pt x="2349" y="1647"/>
                                </a:cubicBezTo>
                                <a:cubicBezTo>
                                  <a:pt x="2362" y="1639"/>
                                  <a:pt x="2365" y="1630"/>
                                  <a:pt x="2365" y="1611"/>
                                </a:cubicBezTo>
                                <a:cubicBezTo>
                                  <a:pt x="2365" y="1469"/>
                                  <a:pt x="2365" y="1469"/>
                                  <a:pt x="2365" y="1469"/>
                                </a:cubicBezTo>
                                <a:cubicBezTo>
                                  <a:pt x="2365" y="1451"/>
                                  <a:pt x="2363" y="1446"/>
                                  <a:pt x="2353" y="1437"/>
                                </a:cubicBezTo>
                                <a:moveTo>
                                  <a:pt x="2218" y="1419"/>
                                </a:moveTo>
                                <a:cubicBezTo>
                                  <a:pt x="2264" y="1419"/>
                                  <a:pt x="2299" y="1441"/>
                                  <a:pt x="2317" y="1481"/>
                                </a:cubicBezTo>
                                <a:cubicBezTo>
                                  <a:pt x="2324" y="1499"/>
                                  <a:pt x="2327" y="1514"/>
                                  <a:pt x="2329" y="1542"/>
                                </a:cubicBezTo>
                                <a:cubicBezTo>
                                  <a:pt x="2155" y="1542"/>
                                  <a:pt x="2155" y="1542"/>
                                  <a:pt x="2155" y="1542"/>
                                </a:cubicBezTo>
                                <a:cubicBezTo>
                                  <a:pt x="2156" y="1556"/>
                                  <a:pt x="2157" y="1559"/>
                                  <a:pt x="2160" y="1569"/>
                                </a:cubicBezTo>
                                <a:cubicBezTo>
                                  <a:pt x="2169" y="1594"/>
                                  <a:pt x="2197" y="1610"/>
                                  <a:pt x="2232" y="1610"/>
                                </a:cubicBezTo>
                                <a:cubicBezTo>
                                  <a:pt x="2250" y="1610"/>
                                  <a:pt x="2267" y="1606"/>
                                  <a:pt x="2285" y="1598"/>
                                </a:cubicBezTo>
                                <a:cubicBezTo>
                                  <a:pt x="2297" y="1593"/>
                                  <a:pt x="2305" y="1589"/>
                                  <a:pt x="2322" y="1577"/>
                                </a:cubicBezTo>
                                <a:cubicBezTo>
                                  <a:pt x="2308" y="1644"/>
                                  <a:pt x="2308" y="1644"/>
                                  <a:pt x="2308" y="1644"/>
                                </a:cubicBezTo>
                                <a:cubicBezTo>
                                  <a:pt x="2302" y="1645"/>
                                  <a:pt x="2297" y="1646"/>
                                  <a:pt x="2293" y="1647"/>
                                </a:cubicBezTo>
                                <a:cubicBezTo>
                                  <a:pt x="2273" y="1651"/>
                                  <a:pt x="2252" y="1653"/>
                                  <a:pt x="2234" y="1653"/>
                                </a:cubicBezTo>
                                <a:cubicBezTo>
                                  <a:pt x="2150" y="1653"/>
                                  <a:pt x="2097" y="1608"/>
                                  <a:pt x="2097" y="1539"/>
                                </a:cubicBezTo>
                                <a:cubicBezTo>
                                  <a:pt x="2097" y="1469"/>
                                  <a:pt x="2148" y="1419"/>
                                  <a:pt x="2218" y="1419"/>
                                </a:cubicBezTo>
                                <a:moveTo>
                                  <a:pt x="1938" y="1425"/>
                                </a:moveTo>
                                <a:cubicBezTo>
                                  <a:pt x="1933" y="1429"/>
                                  <a:pt x="1931" y="1433"/>
                                  <a:pt x="1931" y="1440"/>
                                </a:cubicBezTo>
                                <a:cubicBezTo>
                                  <a:pt x="1931" y="1445"/>
                                  <a:pt x="1933" y="1453"/>
                                  <a:pt x="1935" y="1457"/>
                                </a:cubicBezTo>
                                <a:cubicBezTo>
                                  <a:pt x="1985" y="1552"/>
                                  <a:pt x="1985" y="1552"/>
                                  <a:pt x="1985" y="1552"/>
                                </a:cubicBezTo>
                                <a:cubicBezTo>
                                  <a:pt x="2032" y="1461"/>
                                  <a:pt x="2032" y="1461"/>
                                  <a:pt x="2032" y="1461"/>
                                </a:cubicBezTo>
                                <a:cubicBezTo>
                                  <a:pt x="2035" y="1454"/>
                                  <a:pt x="2038" y="1444"/>
                                  <a:pt x="2038" y="1439"/>
                                </a:cubicBezTo>
                                <a:cubicBezTo>
                                  <a:pt x="2038" y="1434"/>
                                  <a:pt x="2036" y="1430"/>
                                  <a:pt x="2030" y="1425"/>
                                </a:cubicBezTo>
                                <a:cubicBezTo>
                                  <a:pt x="2109" y="1425"/>
                                  <a:pt x="2109" y="1425"/>
                                  <a:pt x="2109" y="1425"/>
                                </a:cubicBezTo>
                                <a:cubicBezTo>
                                  <a:pt x="2104" y="1431"/>
                                  <a:pt x="2102" y="1433"/>
                                  <a:pt x="2098" y="1439"/>
                                </a:cubicBezTo>
                                <a:cubicBezTo>
                                  <a:pt x="2092" y="1448"/>
                                  <a:pt x="2082" y="1463"/>
                                  <a:pt x="2077" y="1473"/>
                                </a:cubicBezTo>
                                <a:cubicBezTo>
                                  <a:pt x="1980" y="1653"/>
                                  <a:pt x="1980" y="1653"/>
                                  <a:pt x="1980" y="1653"/>
                                </a:cubicBezTo>
                                <a:cubicBezTo>
                                  <a:pt x="1875" y="1458"/>
                                  <a:pt x="1875" y="1458"/>
                                  <a:pt x="1875" y="1458"/>
                                </a:cubicBezTo>
                                <a:cubicBezTo>
                                  <a:pt x="1875" y="1457"/>
                                  <a:pt x="1874" y="1454"/>
                                  <a:pt x="1872" y="1452"/>
                                </a:cubicBezTo>
                                <a:cubicBezTo>
                                  <a:pt x="1869" y="1448"/>
                                  <a:pt x="1868" y="1445"/>
                                  <a:pt x="1866" y="1442"/>
                                </a:cubicBezTo>
                                <a:cubicBezTo>
                                  <a:pt x="1862" y="1435"/>
                                  <a:pt x="1858" y="1432"/>
                                  <a:pt x="1850" y="1425"/>
                                </a:cubicBezTo>
                                <a:lnTo>
                                  <a:pt x="1938" y="1425"/>
                                </a:lnTo>
                                <a:close/>
                                <a:moveTo>
                                  <a:pt x="1742" y="1419"/>
                                </a:moveTo>
                                <a:cubicBezTo>
                                  <a:pt x="1816" y="1419"/>
                                  <a:pt x="1866" y="1464"/>
                                  <a:pt x="1866" y="1532"/>
                                </a:cubicBezTo>
                                <a:cubicBezTo>
                                  <a:pt x="1866" y="1602"/>
                                  <a:pt x="1814" y="1653"/>
                                  <a:pt x="1740" y="1653"/>
                                </a:cubicBezTo>
                                <a:cubicBezTo>
                                  <a:pt x="1666" y="1653"/>
                                  <a:pt x="1615" y="1606"/>
                                  <a:pt x="1615" y="1538"/>
                                </a:cubicBezTo>
                                <a:cubicBezTo>
                                  <a:pt x="1615" y="1468"/>
                                  <a:pt x="1668" y="1419"/>
                                  <a:pt x="1742" y="1419"/>
                                </a:cubicBezTo>
                                <a:moveTo>
                                  <a:pt x="1191" y="1776"/>
                                </a:moveTo>
                                <a:cubicBezTo>
                                  <a:pt x="1377" y="1776"/>
                                  <a:pt x="1377" y="1776"/>
                                  <a:pt x="1377" y="1776"/>
                                </a:cubicBezTo>
                                <a:cubicBezTo>
                                  <a:pt x="1377" y="1971"/>
                                  <a:pt x="1377" y="1971"/>
                                  <a:pt x="1377" y="1971"/>
                                </a:cubicBezTo>
                                <a:cubicBezTo>
                                  <a:pt x="1191" y="1971"/>
                                  <a:pt x="1191" y="1971"/>
                                  <a:pt x="1191" y="1971"/>
                                </a:cubicBezTo>
                                <a:lnTo>
                                  <a:pt x="1191" y="1776"/>
                                </a:lnTo>
                                <a:close/>
                                <a:moveTo>
                                  <a:pt x="1059" y="1419"/>
                                </a:moveTo>
                                <a:cubicBezTo>
                                  <a:pt x="1105" y="1419"/>
                                  <a:pt x="1140" y="1441"/>
                                  <a:pt x="1158" y="1481"/>
                                </a:cubicBezTo>
                                <a:cubicBezTo>
                                  <a:pt x="1166" y="1499"/>
                                  <a:pt x="1169" y="1514"/>
                                  <a:pt x="1171" y="1542"/>
                                </a:cubicBezTo>
                                <a:cubicBezTo>
                                  <a:pt x="997" y="1542"/>
                                  <a:pt x="997" y="1542"/>
                                  <a:pt x="997" y="1542"/>
                                </a:cubicBezTo>
                                <a:cubicBezTo>
                                  <a:pt x="998" y="1556"/>
                                  <a:pt x="999" y="1559"/>
                                  <a:pt x="1002" y="1569"/>
                                </a:cubicBezTo>
                                <a:cubicBezTo>
                                  <a:pt x="1011" y="1594"/>
                                  <a:pt x="1038" y="1610"/>
                                  <a:pt x="1074" y="1610"/>
                                </a:cubicBezTo>
                                <a:cubicBezTo>
                                  <a:pt x="1091" y="1610"/>
                                  <a:pt x="1108" y="1606"/>
                                  <a:pt x="1127" y="1598"/>
                                </a:cubicBezTo>
                                <a:cubicBezTo>
                                  <a:pt x="1138" y="1593"/>
                                  <a:pt x="1146" y="1589"/>
                                  <a:pt x="1164" y="1577"/>
                                </a:cubicBezTo>
                                <a:cubicBezTo>
                                  <a:pt x="1150" y="1644"/>
                                  <a:pt x="1150" y="1644"/>
                                  <a:pt x="1150" y="1644"/>
                                </a:cubicBezTo>
                                <a:cubicBezTo>
                                  <a:pt x="1143" y="1645"/>
                                  <a:pt x="1138" y="1646"/>
                                  <a:pt x="1135" y="1647"/>
                                </a:cubicBezTo>
                                <a:cubicBezTo>
                                  <a:pt x="1115" y="1651"/>
                                  <a:pt x="1093" y="1653"/>
                                  <a:pt x="1076" y="1653"/>
                                </a:cubicBezTo>
                                <a:cubicBezTo>
                                  <a:pt x="992" y="1653"/>
                                  <a:pt x="939" y="1608"/>
                                  <a:pt x="939" y="1539"/>
                                </a:cubicBezTo>
                                <a:cubicBezTo>
                                  <a:pt x="939" y="1469"/>
                                  <a:pt x="990" y="1419"/>
                                  <a:pt x="1059" y="1419"/>
                                </a:cubicBezTo>
                                <a:moveTo>
                                  <a:pt x="789" y="1425"/>
                                </a:moveTo>
                                <a:cubicBezTo>
                                  <a:pt x="806" y="1425"/>
                                  <a:pt x="806" y="1425"/>
                                  <a:pt x="806" y="1425"/>
                                </a:cubicBezTo>
                                <a:cubicBezTo>
                                  <a:pt x="806" y="1374"/>
                                  <a:pt x="806" y="1374"/>
                                  <a:pt x="806" y="1374"/>
                                </a:cubicBezTo>
                                <a:cubicBezTo>
                                  <a:pt x="861" y="1358"/>
                                  <a:pt x="861" y="1358"/>
                                  <a:pt x="861" y="1358"/>
                                </a:cubicBezTo>
                                <a:cubicBezTo>
                                  <a:pt x="861" y="1425"/>
                                  <a:pt x="861" y="1425"/>
                                  <a:pt x="861" y="1425"/>
                                </a:cubicBezTo>
                                <a:cubicBezTo>
                                  <a:pt x="881" y="1425"/>
                                  <a:pt x="881" y="1425"/>
                                  <a:pt x="881" y="1425"/>
                                </a:cubicBezTo>
                                <a:cubicBezTo>
                                  <a:pt x="883" y="1425"/>
                                  <a:pt x="886" y="1425"/>
                                  <a:pt x="891" y="1424"/>
                                </a:cubicBezTo>
                                <a:cubicBezTo>
                                  <a:pt x="897" y="1424"/>
                                  <a:pt x="901" y="1424"/>
                                  <a:pt x="904" y="1423"/>
                                </a:cubicBezTo>
                                <a:cubicBezTo>
                                  <a:pt x="910" y="1422"/>
                                  <a:pt x="913" y="1421"/>
                                  <a:pt x="922" y="1419"/>
                                </a:cubicBezTo>
                                <a:cubicBezTo>
                                  <a:pt x="897" y="1468"/>
                                  <a:pt x="897" y="1468"/>
                                  <a:pt x="897" y="1468"/>
                                </a:cubicBezTo>
                                <a:cubicBezTo>
                                  <a:pt x="861" y="1468"/>
                                  <a:pt x="861" y="1468"/>
                                  <a:pt x="861" y="1468"/>
                                </a:cubicBezTo>
                                <a:cubicBezTo>
                                  <a:pt x="861" y="1580"/>
                                  <a:pt x="861" y="1580"/>
                                  <a:pt x="861" y="1580"/>
                                </a:cubicBezTo>
                                <a:cubicBezTo>
                                  <a:pt x="861" y="1602"/>
                                  <a:pt x="866" y="1609"/>
                                  <a:pt x="881" y="1609"/>
                                </a:cubicBezTo>
                                <a:cubicBezTo>
                                  <a:pt x="897" y="1609"/>
                                  <a:pt x="909" y="1606"/>
                                  <a:pt x="932" y="1598"/>
                                </a:cubicBezTo>
                                <a:cubicBezTo>
                                  <a:pt x="917" y="1649"/>
                                  <a:pt x="917" y="1649"/>
                                  <a:pt x="917" y="1649"/>
                                </a:cubicBezTo>
                                <a:cubicBezTo>
                                  <a:pt x="904" y="1650"/>
                                  <a:pt x="904" y="1650"/>
                                  <a:pt x="904" y="1650"/>
                                </a:cubicBezTo>
                                <a:cubicBezTo>
                                  <a:pt x="885" y="1653"/>
                                  <a:pt x="878" y="1653"/>
                                  <a:pt x="869" y="1653"/>
                                </a:cubicBezTo>
                                <a:cubicBezTo>
                                  <a:pt x="850" y="1653"/>
                                  <a:pt x="835" y="1649"/>
                                  <a:pt x="824" y="1640"/>
                                </a:cubicBezTo>
                                <a:cubicBezTo>
                                  <a:pt x="811" y="1630"/>
                                  <a:pt x="806" y="1613"/>
                                  <a:pt x="806" y="1580"/>
                                </a:cubicBezTo>
                                <a:cubicBezTo>
                                  <a:pt x="806" y="1468"/>
                                  <a:pt x="806" y="1468"/>
                                  <a:pt x="806" y="1468"/>
                                </a:cubicBezTo>
                                <a:cubicBezTo>
                                  <a:pt x="804" y="1468"/>
                                  <a:pt x="804" y="1468"/>
                                  <a:pt x="804" y="1468"/>
                                </a:cubicBezTo>
                                <a:cubicBezTo>
                                  <a:pt x="794" y="1468"/>
                                  <a:pt x="780" y="1470"/>
                                  <a:pt x="764" y="1473"/>
                                </a:cubicBezTo>
                                <a:lnTo>
                                  <a:pt x="789" y="1425"/>
                                </a:lnTo>
                                <a:close/>
                                <a:moveTo>
                                  <a:pt x="689" y="1479"/>
                                </a:moveTo>
                                <a:cubicBezTo>
                                  <a:pt x="683" y="1466"/>
                                  <a:pt x="668" y="1460"/>
                                  <a:pt x="642" y="1460"/>
                                </a:cubicBezTo>
                                <a:cubicBezTo>
                                  <a:pt x="626" y="1460"/>
                                  <a:pt x="611" y="1462"/>
                                  <a:pt x="597" y="1466"/>
                                </a:cubicBezTo>
                                <a:cubicBezTo>
                                  <a:pt x="582" y="1470"/>
                                  <a:pt x="573" y="1474"/>
                                  <a:pt x="550" y="1485"/>
                                </a:cubicBezTo>
                                <a:cubicBezTo>
                                  <a:pt x="567" y="1425"/>
                                  <a:pt x="567" y="1425"/>
                                  <a:pt x="567" y="1425"/>
                                </a:cubicBezTo>
                                <a:cubicBezTo>
                                  <a:pt x="575" y="1424"/>
                                  <a:pt x="581" y="1423"/>
                                  <a:pt x="584" y="1423"/>
                                </a:cubicBezTo>
                                <a:cubicBezTo>
                                  <a:pt x="606" y="1420"/>
                                  <a:pt x="619" y="1419"/>
                                  <a:pt x="637" y="1419"/>
                                </a:cubicBezTo>
                                <a:cubicBezTo>
                                  <a:pt x="666" y="1419"/>
                                  <a:pt x="687" y="1422"/>
                                  <a:pt x="706" y="1428"/>
                                </a:cubicBezTo>
                                <a:cubicBezTo>
                                  <a:pt x="718" y="1432"/>
                                  <a:pt x="728" y="1438"/>
                                  <a:pt x="734" y="1446"/>
                                </a:cubicBezTo>
                                <a:cubicBezTo>
                                  <a:pt x="743" y="1457"/>
                                  <a:pt x="745" y="1469"/>
                                  <a:pt x="745" y="1506"/>
                                </a:cubicBezTo>
                                <a:cubicBezTo>
                                  <a:pt x="745" y="1584"/>
                                  <a:pt x="745" y="1584"/>
                                  <a:pt x="745" y="1584"/>
                                </a:cubicBezTo>
                                <a:cubicBezTo>
                                  <a:pt x="745" y="1600"/>
                                  <a:pt x="746" y="1611"/>
                                  <a:pt x="748" y="1623"/>
                                </a:cubicBezTo>
                                <a:cubicBezTo>
                                  <a:pt x="750" y="1633"/>
                                  <a:pt x="751" y="1638"/>
                                  <a:pt x="756" y="1647"/>
                                </a:cubicBezTo>
                                <a:cubicBezTo>
                                  <a:pt x="702" y="1647"/>
                                  <a:pt x="702" y="1647"/>
                                  <a:pt x="702" y="1647"/>
                                </a:cubicBezTo>
                                <a:cubicBezTo>
                                  <a:pt x="701" y="1642"/>
                                  <a:pt x="701" y="1638"/>
                                  <a:pt x="700" y="1627"/>
                                </a:cubicBezTo>
                                <a:cubicBezTo>
                                  <a:pt x="683" y="1644"/>
                                  <a:pt x="658" y="1653"/>
                                  <a:pt x="626" y="1653"/>
                                </a:cubicBezTo>
                                <a:cubicBezTo>
                                  <a:pt x="569" y="1653"/>
                                  <a:pt x="535" y="1626"/>
                                  <a:pt x="535" y="1581"/>
                                </a:cubicBezTo>
                                <a:cubicBezTo>
                                  <a:pt x="535" y="1528"/>
                                  <a:pt x="580" y="1499"/>
                                  <a:pt x="661" y="1499"/>
                                </a:cubicBezTo>
                                <a:cubicBezTo>
                                  <a:pt x="671" y="1499"/>
                                  <a:pt x="677" y="1499"/>
                                  <a:pt x="692" y="1501"/>
                                </a:cubicBezTo>
                                <a:cubicBezTo>
                                  <a:pt x="692" y="1487"/>
                                  <a:pt x="691" y="1484"/>
                                  <a:pt x="689" y="1479"/>
                                </a:cubicBezTo>
                                <a:moveTo>
                                  <a:pt x="378" y="1425"/>
                                </a:moveTo>
                                <a:cubicBezTo>
                                  <a:pt x="395" y="1425"/>
                                  <a:pt x="395" y="1425"/>
                                  <a:pt x="395" y="1425"/>
                                </a:cubicBezTo>
                                <a:cubicBezTo>
                                  <a:pt x="395" y="1374"/>
                                  <a:pt x="395" y="1374"/>
                                  <a:pt x="395" y="1374"/>
                                </a:cubicBezTo>
                                <a:cubicBezTo>
                                  <a:pt x="450" y="1358"/>
                                  <a:pt x="450" y="1358"/>
                                  <a:pt x="450" y="1358"/>
                                </a:cubicBezTo>
                                <a:cubicBezTo>
                                  <a:pt x="450" y="1425"/>
                                  <a:pt x="450" y="1425"/>
                                  <a:pt x="450" y="1425"/>
                                </a:cubicBezTo>
                                <a:cubicBezTo>
                                  <a:pt x="470" y="1425"/>
                                  <a:pt x="470" y="1425"/>
                                  <a:pt x="470" y="1425"/>
                                </a:cubicBezTo>
                                <a:cubicBezTo>
                                  <a:pt x="472" y="1425"/>
                                  <a:pt x="475" y="1425"/>
                                  <a:pt x="480" y="1424"/>
                                </a:cubicBezTo>
                                <a:cubicBezTo>
                                  <a:pt x="485" y="1424"/>
                                  <a:pt x="490" y="1424"/>
                                  <a:pt x="493" y="1423"/>
                                </a:cubicBezTo>
                                <a:cubicBezTo>
                                  <a:pt x="499" y="1422"/>
                                  <a:pt x="502" y="1421"/>
                                  <a:pt x="511" y="1419"/>
                                </a:cubicBezTo>
                                <a:cubicBezTo>
                                  <a:pt x="486" y="1468"/>
                                  <a:pt x="486" y="1468"/>
                                  <a:pt x="486" y="1468"/>
                                </a:cubicBezTo>
                                <a:cubicBezTo>
                                  <a:pt x="450" y="1468"/>
                                  <a:pt x="450" y="1468"/>
                                  <a:pt x="450" y="1468"/>
                                </a:cubicBezTo>
                                <a:cubicBezTo>
                                  <a:pt x="450" y="1580"/>
                                  <a:pt x="450" y="1580"/>
                                  <a:pt x="450" y="1580"/>
                                </a:cubicBezTo>
                                <a:cubicBezTo>
                                  <a:pt x="450" y="1602"/>
                                  <a:pt x="454" y="1609"/>
                                  <a:pt x="470" y="1609"/>
                                </a:cubicBezTo>
                                <a:cubicBezTo>
                                  <a:pt x="486" y="1609"/>
                                  <a:pt x="498" y="1606"/>
                                  <a:pt x="521" y="1598"/>
                                </a:cubicBezTo>
                                <a:cubicBezTo>
                                  <a:pt x="506" y="1649"/>
                                  <a:pt x="506" y="1649"/>
                                  <a:pt x="506" y="1649"/>
                                </a:cubicBezTo>
                                <a:cubicBezTo>
                                  <a:pt x="493" y="1650"/>
                                  <a:pt x="493" y="1650"/>
                                  <a:pt x="493" y="1650"/>
                                </a:cubicBezTo>
                                <a:cubicBezTo>
                                  <a:pt x="474" y="1653"/>
                                  <a:pt x="467" y="1653"/>
                                  <a:pt x="458" y="1653"/>
                                </a:cubicBezTo>
                                <a:cubicBezTo>
                                  <a:pt x="439" y="1653"/>
                                  <a:pt x="423" y="1649"/>
                                  <a:pt x="413" y="1640"/>
                                </a:cubicBezTo>
                                <a:cubicBezTo>
                                  <a:pt x="400" y="1630"/>
                                  <a:pt x="395" y="1613"/>
                                  <a:pt x="395" y="1580"/>
                                </a:cubicBezTo>
                                <a:cubicBezTo>
                                  <a:pt x="395" y="1468"/>
                                  <a:pt x="395" y="1468"/>
                                  <a:pt x="395" y="1468"/>
                                </a:cubicBezTo>
                                <a:cubicBezTo>
                                  <a:pt x="393" y="1468"/>
                                  <a:pt x="393" y="1468"/>
                                  <a:pt x="393" y="1468"/>
                                </a:cubicBezTo>
                                <a:cubicBezTo>
                                  <a:pt x="383" y="1468"/>
                                  <a:pt x="369" y="1470"/>
                                  <a:pt x="353" y="1473"/>
                                </a:cubicBezTo>
                                <a:lnTo>
                                  <a:pt x="378" y="1425"/>
                                </a:lnTo>
                                <a:close/>
                                <a:moveTo>
                                  <a:pt x="294" y="1538"/>
                                </a:moveTo>
                                <a:cubicBezTo>
                                  <a:pt x="288" y="1528"/>
                                  <a:pt x="278" y="1522"/>
                                  <a:pt x="253" y="1514"/>
                                </a:cubicBezTo>
                                <a:cubicBezTo>
                                  <a:pt x="248" y="1512"/>
                                  <a:pt x="241" y="1509"/>
                                  <a:pt x="230" y="1505"/>
                                </a:cubicBezTo>
                                <a:cubicBezTo>
                                  <a:pt x="197" y="1493"/>
                                  <a:pt x="186" y="1488"/>
                                  <a:pt x="172" y="1480"/>
                                </a:cubicBezTo>
                                <a:cubicBezTo>
                                  <a:pt x="147" y="1465"/>
                                  <a:pt x="135" y="1446"/>
                                  <a:pt x="135" y="1419"/>
                                </a:cubicBezTo>
                                <a:cubicBezTo>
                                  <a:pt x="135" y="1363"/>
                                  <a:pt x="180" y="1331"/>
                                  <a:pt x="258" y="1331"/>
                                </a:cubicBezTo>
                                <a:cubicBezTo>
                                  <a:pt x="276" y="1331"/>
                                  <a:pt x="284" y="1332"/>
                                  <a:pt x="318" y="1337"/>
                                </a:cubicBezTo>
                                <a:cubicBezTo>
                                  <a:pt x="326" y="1338"/>
                                  <a:pt x="326" y="1338"/>
                                  <a:pt x="326" y="1338"/>
                                </a:cubicBezTo>
                                <a:cubicBezTo>
                                  <a:pt x="335" y="1405"/>
                                  <a:pt x="335" y="1405"/>
                                  <a:pt x="335" y="1405"/>
                                </a:cubicBezTo>
                                <a:cubicBezTo>
                                  <a:pt x="317" y="1393"/>
                                  <a:pt x="311" y="1390"/>
                                  <a:pt x="302" y="1386"/>
                                </a:cubicBezTo>
                                <a:cubicBezTo>
                                  <a:pt x="286" y="1379"/>
                                  <a:pt x="266" y="1375"/>
                                  <a:pt x="249" y="1375"/>
                                </a:cubicBezTo>
                                <a:cubicBezTo>
                                  <a:pt x="215" y="1375"/>
                                  <a:pt x="194" y="1389"/>
                                  <a:pt x="194" y="1410"/>
                                </a:cubicBezTo>
                                <a:cubicBezTo>
                                  <a:pt x="194" y="1419"/>
                                  <a:pt x="196" y="1426"/>
                                  <a:pt x="201" y="1431"/>
                                </a:cubicBezTo>
                                <a:cubicBezTo>
                                  <a:pt x="210" y="1441"/>
                                  <a:pt x="224" y="1447"/>
                                  <a:pt x="262" y="1460"/>
                                </a:cubicBezTo>
                                <a:cubicBezTo>
                                  <a:pt x="307" y="1475"/>
                                  <a:pt x="318" y="1480"/>
                                  <a:pt x="332" y="1493"/>
                                </a:cubicBezTo>
                                <a:cubicBezTo>
                                  <a:pt x="348" y="1508"/>
                                  <a:pt x="358" y="1529"/>
                                  <a:pt x="358" y="1554"/>
                                </a:cubicBezTo>
                                <a:cubicBezTo>
                                  <a:pt x="358" y="1613"/>
                                  <a:pt x="305" y="1652"/>
                                  <a:pt x="224" y="1652"/>
                                </a:cubicBezTo>
                                <a:cubicBezTo>
                                  <a:pt x="198" y="1652"/>
                                  <a:pt x="170" y="1649"/>
                                  <a:pt x="135" y="1641"/>
                                </a:cubicBezTo>
                                <a:cubicBezTo>
                                  <a:pt x="126" y="1573"/>
                                  <a:pt x="126" y="1573"/>
                                  <a:pt x="126" y="1573"/>
                                </a:cubicBezTo>
                                <a:cubicBezTo>
                                  <a:pt x="139" y="1581"/>
                                  <a:pt x="143" y="1583"/>
                                  <a:pt x="151" y="1588"/>
                                </a:cubicBezTo>
                                <a:cubicBezTo>
                                  <a:pt x="177" y="1601"/>
                                  <a:pt x="203" y="1608"/>
                                  <a:pt x="229" y="1608"/>
                                </a:cubicBezTo>
                                <a:cubicBezTo>
                                  <a:pt x="272" y="1608"/>
                                  <a:pt x="300" y="1589"/>
                                  <a:pt x="300" y="1560"/>
                                </a:cubicBezTo>
                                <a:cubicBezTo>
                                  <a:pt x="300" y="1552"/>
                                  <a:pt x="298" y="1544"/>
                                  <a:pt x="294" y="1538"/>
                                </a:cubicBezTo>
                                <a:moveTo>
                                  <a:pt x="1075" y="1909"/>
                                </a:moveTo>
                                <a:cubicBezTo>
                                  <a:pt x="1060" y="1943"/>
                                  <a:pt x="1060" y="1943"/>
                                  <a:pt x="1060" y="1943"/>
                                </a:cubicBezTo>
                                <a:cubicBezTo>
                                  <a:pt x="637" y="2892"/>
                                  <a:pt x="637" y="2892"/>
                                  <a:pt x="637" y="2892"/>
                                </a:cubicBezTo>
                                <a:cubicBezTo>
                                  <a:pt x="220" y="1951"/>
                                  <a:pt x="220" y="1951"/>
                                  <a:pt x="220" y="1951"/>
                                </a:cubicBezTo>
                                <a:cubicBezTo>
                                  <a:pt x="216" y="1943"/>
                                  <a:pt x="210" y="1929"/>
                                  <a:pt x="200" y="1909"/>
                                </a:cubicBezTo>
                                <a:cubicBezTo>
                                  <a:pt x="191" y="1889"/>
                                  <a:pt x="182" y="1875"/>
                                  <a:pt x="175" y="1860"/>
                                </a:cubicBezTo>
                                <a:cubicBezTo>
                                  <a:pt x="158" y="1825"/>
                                  <a:pt x="139" y="1804"/>
                                  <a:pt x="107" y="1776"/>
                                </a:cubicBezTo>
                                <a:cubicBezTo>
                                  <a:pt x="402" y="1776"/>
                                  <a:pt x="402" y="1776"/>
                                  <a:pt x="402" y="1776"/>
                                </a:cubicBezTo>
                                <a:cubicBezTo>
                                  <a:pt x="380" y="1796"/>
                                  <a:pt x="376" y="1805"/>
                                  <a:pt x="376" y="1828"/>
                                </a:cubicBezTo>
                                <a:cubicBezTo>
                                  <a:pt x="376" y="1847"/>
                                  <a:pt x="387" y="1892"/>
                                  <a:pt x="400" y="1922"/>
                                </a:cubicBezTo>
                                <a:cubicBezTo>
                                  <a:pt x="652" y="2501"/>
                                  <a:pt x="652" y="2501"/>
                                  <a:pt x="652" y="2501"/>
                                </a:cubicBezTo>
                                <a:cubicBezTo>
                                  <a:pt x="912" y="1907"/>
                                  <a:pt x="912" y="1907"/>
                                  <a:pt x="912" y="1907"/>
                                </a:cubicBezTo>
                                <a:cubicBezTo>
                                  <a:pt x="925" y="1878"/>
                                  <a:pt x="935" y="1840"/>
                                  <a:pt x="935" y="1823"/>
                                </a:cubicBezTo>
                                <a:cubicBezTo>
                                  <a:pt x="935" y="1805"/>
                                  <a:pt x="930" y="1792"/>
                                  <a:pt x="912" y="1776"/>
                                </a:cubicBezTo>
                                <a:cubicBezTo>
                                  <a:pt x="1166" y="1776"/>
                                  <a:pt x="1166" y="1776"/>
                                  <a:pt x="1166" y="1776"/>
                                </a:cubicBezTo>
                                <a:cubicBezTo>
                                  <a:pt x="1115" y="1819"/>
                                  <a:pt x="1108" y="1830"/>
                                  <a:pt x="1075" y="1909"/>
                                </a:cubicBezTo>
                                <a:moveTo>
                                  <a:pt x="1155" y="2873"/>
                                </a:moveTo>
                                <a:cubicBezTo>
                                  <a:pt x="1194" y="2846"/>
                                  <a:pt x="1206" y="2815"/>
                                  <a:pt x="1206" y="2747"/>
                                </a:cubicBezTo>
                                <a:cubicBezTo>
                                  <a:pt x="1206" y="2221"/>
                                  <a:pt x="1206" y="2221"/>
                                  <a:pt x="1206" y="2221"/>
                                </a:cubicBezTo>
                                <a:cubicBezTo>
                                  <a:pt x="1204" y="2157"/>
                                  <a:pt x="1198" y="2139"/>
                                  <a:pt x="1168" y="2109"/>
                                </a:cubicBezTo>
                                <a:cubicBezTo>
                                  <a:pt x="1377" y="2039"/>
                                  <a:pt x="1377" y="2039"/>
                                  <a:pt x="1377" y="2039"/>
                                </a:cubicBezTo>
                                <a:cubicBezTo>
                                  <a:pt x="1377" y="2747"/>
                                  <a:pt x="1377" y="2747"/>
                                  <a:pt x="1377" y="2747"/>
                                </a:cubicBezTo>
                                <a:cubicBezTo>
                                  <a:pt x="1377" y="2815"/>
                                  <a:pt x="1390" y="2846"/>
                                  <a:pt x="1427" y="2873"/>
                                </a:cubicBezTo>
                                <a:lnTo>
                                  <a:pt x="1155" y="2873"/>
                                </a:lnTo>
                                <a:close/>
                                <a:moveTo>
                                  <a:pt x="1349" y="1616"/>
                                </a:moveTo>
                                <a:cubicBezTo>
                                  <a:pt x="1311" y="1585"/>
                                  <a:pt x="1290" y="1542"/>
                                  <a:pt x="1290" y="1492"/>
                                </a:cubicBezTo>
                                <a:cubicBezTo>
                                  <a:pt x="1290" y="1398"/>
                                  <a:pt x="1365" y="1331"/>
                                  <a:pt x="1471" y="1331"/>
                                </a:cubicBezTo>
                                <a:cubicBezTo>
                                  <a:pt x="1482" y="1331"/>
                                  <a:pt x="1493" y="1332"/>
                                  <a:pt x="1505" y="1333"/>
                                </a:cubicBezTo>
                                <a:cubicBezTo>
                                  <a:pt x="1523" y="1335"/>
                                  <a:pt x="1534" y="1337"/>
                                  <a:pt x="1564" y="1344"/>
                                </a:cubicBezTo>
                                <a:cubicBezTo>
                                  <a:pt x="1571" y="1415"/>
                                  <a:pt x="1571" y="1415"/>
                                  <a:pt x="1571" y="1415"/>
                                </a:cubicBezTo>
                                <a:cubicBezTo>
                                  <a:pt x="1533" y="1386"/>
                                  <a:pt x="1503" y="1375"/>
                                  <a:pt x="1468" y="1375"/>
                                </a:cubicBezTo>
                                <a:cubicBezTo>
                                  <a:pt x="1397" y="1375"/>
                                  <a:pt x="1350" y="1421"/>
                                  <a:pt x="1350" y="1492"/>
                                </a:cubicBezTo>
                                <a:cubicBezTo>
                                  <a:pt x="1350" y="1563"/>
                                  <a:pt x="1398" y="1609"/>
                                  <a:pt x="1473" y="1609"/>
                                </a:cubicBezTo>
                                <a:cubicBezTo>
                                  <a:pt x="1495" y="1609"/>
                                  <a:pt x="1512" y="1605"/>
                                  <a:pt x="1530" y="1597"/>
                                </a:cubicBezTo>
                                <a:cubicBezTo>
                                  <a:pt x="1530" y="1520"/>
                                  <a:pt x="1530" y="1520"/>
                                  <a:pt x="1530" y="1520"/>
                                </a:cubicBezTo>
                                <a:cubicBezTo>
                                  <a:pt x="1530" y="1501"/>
                                  <a:pt x="1526" y="1492"/>
                                  <a:pt x="1514" y="1485"/>
                                </a:cubicBezTo>
                                <a:cubicBezTo>
                                  <a:pt x="1602" y="1485"/>
                                  <a:pt x="1602" y="1485"/>
                                  <a:pt x="1602" y="1485"/>
                                </a:cubicBezTo>
                                <a:cubicBezTo>
                                  <a:pt x="1589" y="1492"/>
                                  <a:pt x="1586" y="1501"/>
                                  <a:pt x="1586" y="1520"/>
                                </a:cubicBezTo>
                                <a:cubicBezTo>
                                  <a:pt x="1586" y="1610"/>
                                  <a:pt x="1586" y="1610"/>
                                  <a:pt x="1586" y="1610"/>
                                </a:cubicBezTo>
                                <a:cubicBezTo>
                                  <a:pt x="1586" y="1622"/>
                                  <a:pt x="1586" y="1627"/>
                                  <a:pt x="1591" y="1633"/>
                                </a:cubicBezTo>
                                <a:cubicBezTo>
                                  <a:pt x="1552" y="1645"/>
                                  <a:pt x="1506" y="1652"/>
                                  <a:pt x="1466" y="1652"/>
                                </a:cubicBezTo>
                                <a:cubicBezTo>
                                  <a:pt x="1416" y="1652"/>
                                  <a:pt x="1380" y="1641"/>
                                  <a:pt x="1349" y="1616"/>
                                </a:cubicBezTo>
                                <a:moveTo>
                                  <a:pt x="2115" y="2866"/>
                                </a:moveTo>
                                <a:cubicBezTo>
                                  <a:pt x="2090" y="2871"/>
                                  <a:pt x="2090" y="2871"/>
                                  <a:pt x="2090" y="2871"/>
                                </a:cubicBezTo>
                                <a:cubicBezTo>
                                  <a:pt x="1995" y="2892"/>
                                  <a:pt x="1973" y="2893"/>
                                  <a:pt x="1901" y="2893"/>
                                </a:cubicBezTo>
                                <a:cubicBezTo>
                                  <a:pt x="1767" y="2893"/>
                                  <a:pt x="1677" y="2865"/>
                                  <a:pt x="1600" y="2795"/>
                                </a:cubicBezTo>
                                <a:cubicBezTo>
                                  <a:pt x="1517" y="2719"/>
                                  <a:pt x="1472" y="2609"/>
                                  <a:pt x="1472" y="2483"/>
                                </a:cubicBezTo>
                                <a:cubicBezTo>
                                  <a:pt x="1472" y="2234"/>
                                  <a:pt x="1640" y="2066"/>
                                  <a:pt x="1889" y="2066"/>
                                </a:cubicBezTo>
                                <a:cubicBezTo>
                                  <a:pt x="1938" y="2066"/>
                                  <a:pt x="2003" y="2073"/>
                                  <a:pt x="2076" y="2085"/>
                                </a:cubicBezTo>
                                <a:cubicBezTo>
                                  <a:pt x="2090" y="2086"/>
                                  <a:pt x="2090" y="2086"/>
                                  <a:pt x="2090" y="2086"/>
                                </a:cubicBezTo>
                                <a:cubicBezTo>
                                  <a:pt x="2118" y="2289"/>
                                  <a:pt x="2118" y="2289"/>
                                  <a:pt x="2118" y="2289"/>
                                </a:cubicBezTo>
                                <a:cubicBezTo>
                                  <a:pt x="2043" y="2243"/>
                                  <a:pt x="1967" y="2219"/>
                                  <a:pt x="1889" y="2219"/>
                                </a:cubicBezTo>
                                <a:cubicBezTo>
                                  <a:pt x="1746" y="2219"/>
                                  <a:pt x="1656" y="2322"/>
                                  <a:pt x="1656" y="2481"/>
                                </a:cubicBezTo>
                                <a:cubicBezTo>
                                  <a:pt x="1656" y="2642"/>
                                  <a:pt x="1748" y="2744"/>
                                  <a:pt x="1890" y="2744"/>
                                </a:cubicBezTo>
                                <a:cubicBezTo>
                                  <a:pt x="1933" y="2744"/>
                                  <a:pt x="1979" y="2734"/>
                                  <a:pt x="2034" y="2715"/>
                                </a:cubicBezTo>
                                <a:cubicBezTo>
                                  <a:pt x="2079" y="2697"/>
                                  <a:pt x="2101" y="2687"/>
                                  <a:pt x="2153" y="2650"/>
                                </a:cubicBezTo>
                                <a:lnTo>
                                  <a:pt x="2115" y="2866"/>
                                </a:lnTo>
                                <a:close/>
                                <a:moveTo>
                                  <a:pt x="2661" y="2879"/>
                                </a:moveTo>
                                <a:cubicBezTo>
                                  <a:pt x="2617" y="2885"/>
                                  <a:pt x="2617" y="2885"/>
                                  <a:pt x="2617" y="2885"/>
                                </a:cubicBezTo>
                                <a:cubicBezTo>
                                  <a:pt x="2557" y="2893"/>
                                  <a:pt x="2536" y="2895"/>
                                  <a:pt x="2508" y="2895"/>
                                </a:cubicBezTo>
                                <a:cubicBezTo>
                                  <a:pt x="2447" y="2895"/>
                                  <a:pt x="2398" y="2881"/>
                                  <a:pt x="2365" y="2850"/>
                                </a:cubicBezTo>
                                <a:cubicBezTo>
                                  <a:pt x="2325" y="2815"/>
                                  <a:pt x="2309" y="2754"/>
                                  <a:pt x="2309" y="2637"/>
                                </a:cubicBezTo>
                                <a:cubicBezTo>
                                  <a:pt x="2309" y="2239"/>
                                  <a:pt x="2309" y="2239"/>
                                  <a:pt x="2309" y="2239"/>
                                </a:cubicBezTo>
                                <a:cubicBezTo>
                                  <a:pt x="2302" y="2239"/>
                                  <a:pt x="2302" y="2239"/>
                                  <a:pt x="2302" y="2239"/>
                                </a:cubicBezTo>
                                <a:cubicBezTo>
                                  <a:pt x="2269" y="2239"/>
                                  <a:pt x="2225" y="2246"/>
                                  <a:pt x="2176" y="2257"/>
                                </a:cubicBezTo>
                                <a:cubicBezTo>
                                  <a:pt x="2256" y="2088"/>
                                  <a:pt x="2256" y="2088"/>
                                  <a:pt x="2256" y="2088"/>
                                </a:cubicBezTo>
                                <a:cubicBezTo>
                                  <a:pt x="2309" y="2088"/>
                                  <a:pt x="2309" y="2088"/>
                                  <a:pt x="2309" y="2088"/>
                                </a:cubicBezTo>
                                <a:cubicBezTo>
                                  <a:pt x="2309" y="1906"/>
                                  <a:pt x="2309" y="1906"/>
                                  <a:pt x="2309" y="1906"/>
                                </a:cubicBezTo>
                                <a:cubicBezTo>
                                  <a:pt x="2482" y="1850"/>
                                  <a:pt x="2482" y="1850"/>
                                  <a:pt x="2482" y="1850"/>
                                </a:cubicBezTo>
                                <a:cubicBezTo>
                                  <a:pt x="2482" y="2088"/>
                                  <a:pt x="2482" y="2088"/>
                                  <a:pt x="2482" y="2088"/>
                                </a:cubicBezTo>
                                <a:cubicBezTo>
                                  <a:pt x="2545" y="2088"/>
                                  <a:pt x="2545" y="2088"/>
                                  <a:pt x="2545" y="2088"/>
                                </a:cubicBezTo>
                                <a:cubicBezTo>
                                  <a:pt x="2552" y="2088"/>
                                  <a:pt x="2562" y="2088"/>
                                  <a:pt x="2576" y="2086"/>
                                </a:cubicBezTo>
                                <a:cubicBezTo>
                                  <a:pt x="2594" y="2085"/>
                                  <a:pt x="2607" y="2083"/>
                                  <a:pt x="2617" y="2081"/>
                                </a:cubicBezTo>
                                <a:cubicBezTo>
                                  <a:pt x="2637" y="2078"/>
                                  <a:pt x="2648" y="2075"/>
                                  <a:pt x="2675" y="2068"/>
                                </a:cubicBezTo>
                                <a:cubicBezTo>
                                  <a:pt x="2595" y="2239"/>
                                  <a:pt x="2595" y="2239"/>
                                  <a:pt x="2595" y="2239"/>
                                </a:cubicBezTo>
                                <a:cubicBezTo>
                                  <a:pt x="2482" y="2239"/>
                                  <a:pt x="2482" y="2239"/>
                                  <a:pt x="2482" y="2239"/>
                                </a:cubicBezTo>
                                <a:cubicBezTo>
                                  <a:pt x="2482" y="2636"/>
                                  <a:pt x="2482" y="2636"/>
                                  <a:pt x="2482" y="2636"/>
                                </a:cubicBezTo>
                                <a:cubicBezTo>
                                  <a:pt x="2482" y="2715"/>
                                  <a:pt x="2497" y="2739"/>
                                  <a:pt x="2545" y="2739"/>
                                </a:cubicBezTo>
                                <a:cubicBezTo>
                                  <a:pt x="2595" y="2739"/>
                                  <a:pt x="2634" y="2729"/>
                                  <a:pt x="2707" y="2700"/>
                                </a:cubicBezTo>
                                <a:lnTo>
                                  <a:pt x="2661" y="2879"/>
                                </a:lnTo>
                                <a:close/>
                                <a:moveTo>
                                  <a:pt x="3141" y="2893"/>
                                </a:moveTo>
                                <a:cubicBezTo>
                                  <a:pt x="2905" y="2893"/>
                                  <a:pt x="2746" y="2729"/>
                                  <a:pt x="2746" y="2486"/>
                                </a:cubicBezTo>
                                <a:cubicBezTo>
                                  <a:pt x="2746" y="2241"/>
                                  <a:pt x="2911" y="2066"/>
                                  <a:pt x="3145" y="2066"/>
                                </a:cubicBezTo>
                                <a:cubicBezTo>
                                  <a:pt x="3379" y="2066"/>
                                  <a:pt x="3536" y="2226"/>
                                  <a:pt x="3536" y="2465"/>
                                </a:cubicBezTo>
                                <a:cubicBezTo>
                                  <a:pt x="3536" y="2716"/>
                                  <a:pt x="3373" y="2893"/>
                                  <a:pt x="3141" y="2893"/>
                                </a:cubicBezTo>
                                <a:moveTo>
                                  <a:pt x="3570" y="1474"/>
                                </a:moveTo>
                                <a:cubicBezTo>
                                  <a:pt x="3562" y="1465"/>
                                  <a:pt x="3551" y="1460"/>
                                  <a:pt x="3536" y="1460"/>
                                </a:cubicBezTo>
                                <a:cubicBezTo>
                                  <a:pt x="3505" y="1460"/>
                                  <a:pt x="3484" y="1480"/>
                                  <a:pt x="3484" y="1509"/>
                                </a:cubicBezTo>
                                <a:cubicBezTo>
                                  <a:pt x="3484" y="1611"/>
                                  <a:pt x="3484" y="1611"/>
                                  <a:pt x="3484" y="1611"/>
                                </a:cubicBezTo>
                                <a:cubicBezTo>
                                  <a:pt x="3484" y="1630"/>
                                  <a:pt x="3488" y="1639"/>
                                  <a:pt x="3500" y="1647"/>
                                </a:cubicBezTo>
                                <a:cubicBezTo>
                                  <a:pt x="3413" y="1647"/>
                                  <a:pt x="3413" y="1647"/>
                                  <a:pt x="3413" y="1647"/>
                                </a:cubicBezTo>
                                <a:cubicBezTo>
                                  <a:pt x="3426" y="1639"/>
                                  <a:pt x="3429" y="1630"/>
                                  <a:pt x="3429" y="1611"/>
                                </a:cubicBezTo>
                                <a:cubicBezTo>
                                  <a:pt x="3429" y="1469"/>
                                  <a:pt x="3429" y="1469"/>
                                  <a:pt x="3429" y="1469"/>
                                </a:cubicBezTo>
                                <a:cubicBezTo>
                                  <a:pt x="3429" y="1451"/>
                                  <a:pt x="3427" y="1446"/>
                                  <a:pt x="3417" y="1437"/>
                                </a:cubicBezTo>
                                <a:cubicBezTo>
                                  <a:pt x="3484" y="1417"/>
                                  <a:pt x="3484" y="1417"/>
                                  <a:pt x="3484" y="1417"/>
                                </a:cubicBezTo>
                                <a:cubicBezTo>
                                  <a:pt x="3484" y="1437"/>
                                  <a:pt x="3484" y="1437"/>
                                  <a:pt x="3484" y="1437"/>
                                </a:cubicBezTo>
                                <a:cubicBezTo>
                                  <a:pt x="3505" y="1424"/>
                                  <a:pt x="3520" y="1419"/>
                                  <a:pt x="3543" y="1419"/>
                                </a:cubicBezTo>
                                <a:cubicBezTo>
                                  <a:pt x="3574" y="1419"/>
                                  <a:pt x="3601" y="1430"/>
                                  <a:pt x="3617" y="1448"/>
                                </a:cubicBezTo>
                                <a:cubicBezTo>
                                  <a:pt x="3629" y="1464"/>
                                  <a:pt x="3633" y="1484"/>
                                  <a:pt x="3633" y="1534"/>
                                </a:cubicBezTo>
                                <a:cubicBezTo>
                                  <a:pt x="3633" y="1611"/>
                                  <a:pt x="3633" y="1611"/>
                                  <a:pt x="3633" y="1611"/>
                                </a:cubicBezTo>
                                <a:cubicBezTo>
                                  <a:pt x="3633" y="1630"/>
                                  <a:pt x="3637" y="1639"/>
                                  <a:pt x="3649" y="1647"/>
                                </a:cubicBezTo>
                                <a:cubicBezTo>
                                  <a:pt x="3563" y="1647"/>
                                  <a:pt x="3563" y="1647"/>
                                  <a:pt x="3563" y="1647"/>
                                </a:cubicBezTo>
                                <a:cubicBezTo>
                                  <a:pt x="3575" y="1639"/>
                                  <a:pt x="3579" y="1630"/>
                                  <a:pt x="3579" y="1611"/>
                                </a:cubicBezTo>
                                <a:cubicBezTo>
                                  <a:pt x="3579" y="1507"/>
                                  <a:pt x="3579" y="1507"/>
                                  <a:pt x="3579" y="1507"/>
                                </a:cubicBezTo>
                                <a:cubicBezTo>
                                  <a:pt x="3578" y="1489"/>
                                  <a:pt x="3576" y="1482"/>
                                  <a:pt x="3570" y="1474"/>
                                </a:cubicBezTo>
                                <a:moveTo>
                                  <a:pt x="4046" y="2279"/>
                                </a:moveTo>
                                <a:cubicBezTo>
                                  <a:pt x="4001" y="2252"/>
                                  <a:pt x="3981" y="2246"/>
                                  <a:pt x="3946" y="2246"/>
                                </a:cubicBezTo>
                                <a:cubicBezTo>
                                  <a:pt x="3856" y="2246"/>
                                  <a:pt x="3800" y="2323"/>
                                  <a:pt x="3800" y="2447"/>
                                </a:cubicBezTo>
                                <a:cubicBezTo>
                                  <a:pt x="3800" y="2747"/>
                                  <a:pt x="3800" y="2747"/>
                                  <a:pt x="3800" y="2747"/>
                                </a:cubicBezTo>
                                <a:cubicBezTo>
                                  <a:pt x="3800" y="2815"/>
                                  <a:pt x="3812" y="2846"/>
                                  <a:pt x="3850" y="2873"/>
                                </a:cubicBezTo>
                                <a:cubicBezTo>
                                  <a:pt x="3577" y="2873"/>
                                  <a:pt x="3577" y="2873"/>
                                  <a:pt x="3577" y="2873"/>
                                </a:cubicBezTo>
                                <a:cubicBezTo>
                                  <a:pt x="3617" y="2846"/>
                                  <a:pt x="3628" y="2815"/>
                                  <a:pt x="3628" y="2747"/>
                                </a:cubicBezTo>
                                <a:cubicBezTo>
                                  <a:pt x="3628" y="2243"/>
                                  <a:pt x="3628" y="2243"/>
                                  <a:pt x="3628" y="2243"/>
                                </a:cubicBezTo>
                                <a:cubicBezTo>
                                  <a:pt x="3627" y="2180"/>
                                  <a:pt x="3621" y="2162"/>
                                  <a:pt x="3590" y="2132"/>
                                </a:cubicBezTo>
                                <a:cubicBezTo>
                                  <a:pt x="3800" y="2062"/>
                                  <a:pt x="3800" y="2062"/>
                                  <a:pt x="3800" y="2062"/>
                                </a:cubicBezTo>
                                <a:cubicBezTo>
                                  <a:pt x="3800" y="2146"/>
                                  <a:pt x="3800" y="2146"/>
                                  <a:pt x="3800" y="2146"/>
                                </a:cubicBezTo>
                                <a:cubicBezTo>
                                  <a:pt x="3852" y="2094"/>
                                  <a:pt x="3902" y="2075"/>
                                  <a:pt x="3978" y="2075"/>
                                </a:cubicBezTo>
                                <a:cubicBezTo>
                                  <a:pt x="4006" y="2075"/>
                                  <a:pt x="4017" y="2076"/>
                                  <a:pt x="4046" y="2083"/>
                                </a:cubicBezTo>
                                <a:lnTo>
                                  <a:pt x="4046" y="2279"/>
                                </a:lnTo>
                                <a:close/>
                                <a:moveTo>
                                  <a:pt x="4108" y="2873"/>
                                </a:moveTo>
                                <a:cubicBezTo>
                                  <a:pt x="4148" y="2846"/>
                                  <a:pt x="4159" y="2815"/>
                                  <a:pt x="4159" y="2747"/>
                                </a:cubicBezTo>
                                <a:cubicBezTo>
                                  <a:pt x="4159" y="2221"/>
                                  <a:pt x="4159" y="2221"/>
                                  <a:pt x="4159" y="2221"/>
                                </a:cubicBezTo>
                                <a:cubicBezTo>
                                  <a:pt x="4158" y="2157"/>
                                  <a:pt x="4152" y="2139"/>
                                  <a:pt x="4121" y="2109"/>
                                </a:cubicBezTo>
                                <a:cubicBezTo>
                                  <a:pt x="4331" y="2039"/>
                                  <a:pt x="4331" y="2039"/>
                                  <a:pt x="4331" y="2039"/>
                                </a:cubicBezTo>
                                <a:cubicBezTo>
                                  <a:pt x="4331" y="2747"/>
                                  <a:pt x="4331" y="2747"/>
                                  <a:pt x="4331" y="2747"/>
                                </a:cubicBezTo>
                                <a:cubicBezTo>
                                  <a:pt x="4331" y="2815"/>
                                  <a:pt x="4344" y="2846"/>
                                  <a:pt x="4381" y="2873"/>
                                </a:cubicBezTo>
                                <a:lnTo>
                                  <a:pt x="4108" y="2873"/>
                                </a:lnTo>
                                <a:close/>
                                <a:moveTo>
                                  <a:pt x="4962" y="2873"/>
                                </a:moveTo>
                                <a:cubicBezTo>
                                  <a:pt x="4958" y="2855"/>
                                  <a:pt x="4957" y="2840"/>
                                  <a:pt x="4956" y="2802"/>
                                </a:cubicBezTo>
                                <a:cubicBezTo>
                                  <a:pt x="4902" y="2865"/>
                                  <a:pt x="4825" y="2893"/>
                                  <a:pt x="4722" y="2893"/>
                                </a:cubicBezTo>
                                <a:cubicBezTo>
                                  <a:pt x="4541" y="2893"/>
                                  <a:pt x="4435" y="2800"/>
                                  <a:pt x="4435" y="2641"/>
                                </a:cubicBezTo>
                                <a:cubicBezTo>
                                  <a:pt x="4435" y="2452"/>
                                  <a:pt x="4577" y="2348"/>
                                  <a:pt x="4834" y="2348"/>
                                </a:cubicBezTo>
                                <a:cubicBezTo>
                                  <a:pt x="4863" y="2348"/>
                                  <a:pt x="4883" y="2350"/>
                                  <a:pt x="4930" y="2355"/>
                                </a:cubicBezTo>
                                <a:cubicBezTo>
                                  <a:pt x="4930" y="2307"/>
                                  <a:pt x="4928" y="2295"/>
                                  <a:pt x="4921" y="2277"/>
                                </a:cubicBezTo>
                                <a:cubicBezTo>
                                  <a:pt x="4903" y="2234"/>
                                  <a:pt x="4855" y="2213"/>
                                  <a:pt x="4773" y="2213"/>
                                </a:cubicBezTo>
                                <a:cubicBezTo>
                                  <a:pt x="4722" y="2213"/>
                                  <a:pt x="4674" y="2219"/>
                                  <a:pt x="4631" y="2233"/>
                                </a:cubicBezTo>
                                <a:cubicBezTo>
                                  <a:pt x="4584" y="2246"/>
                                  <a:pt x="4554" y="2259"/>
                                  <a:pt x="4483" y="2299"/>
                                </a:cubicBezTo>
                                <a:cubicBezTo>
                                  <a:pt x="4536" y="2088"/>
                                  <a:pt x="4536" y="2088"/>
                                  <a:pt x="4536" y="2088"/>
                                </a:cubicBezTo>
                                <a:cubicBezTo>
                                  <a:pt x="4561" y="2085"/>
                                  <a:pt x="4580" y="2081"/>
                                  <a:pt x="4592" y="2080"/>
                                </a:cubicBezTo>
                                <a:cubicBezTo>
                                  <a:pt x="4658" y="2070"/>
                                  <a:pt x="4700" y="2066"/>
                                  <a:pt x="4757" y="2066"/>
                                </a:cubicBezTo>
                                <a:cubicBezTo>
                                  <a:pt x="4848" y="2066"/>
                                  <a:pt x="4914" y="2076"/>
                                  <a:pt x="4975" y="2099"/>
                                </a:cubicBezTo>
                                <a:cubicBezTo>
                                  <a:pt x="5012" y="2114"/>
                                  <a:pt x="5043" y="2136"/>
                                  <a:pt x="5061" y="2161"/>
                                </a:cubicBezTo>
                                <a:cubicBezTo>
                                  <a:pt x="5090" y="2200"/>
                                  <a:pt x="5099" y="2244"/>
                                  <a:pt x="5099" y="2376"/>
                                </a:cubicBezTo>
                                <a:cubicBezTo>
                                  <a:pt x="5099" y="2652"/>
                                  <a:pt x="5099" y="2652"/>
                                  <a:pt x="5099" y="2652"/>
                                </a:cubicBezTo>
                                <a:cubicBezTo>
                                  <a:pt x="5099" y="2708"/>
                                  <a:pt x="5102" y="2747"/>
                                  <a:pt x="5110" y="2790"/>
                                </a:cubicBezTo>
                                <a:cubicBezTo>
                                  <a:pt x="5115" y="2825"/>
                                  <a:pt x="5120" y="2840"/>
                                  <a:pt x="5134" y="2873"/>
                                </a:cubicBezTo>
                                <a:lnTo>
                                  <a:pt x="4962" y="2873"/>
                                </a:lnTo>
                                <a:close/>
                                <a:moveTo>
                                  <a:pt x="4830" y="2481"/>
                                </a:moveTo>
                                <a:cubicBezTo>
                                  <a:pt x="4686" y="2481"/>
                                  <a:pt x="4609" y="2532"/>
                                  <a:pt x="4609" y="2624"/>
                                </a:cubicBezTo>
                                <a:cubicBezTo>
                                  <a:pt x="4609" y="2703"/>
                                  <a:pt x="4664" y="2754"/>
                                  <a:pt x="4750" y="2754"/>
                                </a:cubicBezTo>
                                <a:cubicBezTo>
                                  <a:pt x="4867" y="2754"/>
                                  <a:pt x="4931" y="2677"/>
                                  <a:pt x="4931" y="2536"/>
                                </a:cubicBezTo>
                                <a:cubicBezTo>
                                  <a:pt x="4931" y="2521"/>
                                  <a:pt x="4931" y="2504"/>
                                  <a:pt x="4930" y="2488"/>
                                </a:cubicBezTo>
                                <a:cubicBezTo>
                                  <a:pt x="4880" y="2483"/>
                                  <a:pt x="4860" y="2481"/>
                                  <a:pt x="4830" y="2481"/>
                                </a:cubicBezTo>
                              </a:path>
                            </a:pathLst>
                          </a:custGeom>
                          <a:solidFill>
                            <a:srgbClr val="003F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1962"/>
                        <wps:cNvSpPr>
                          <a:spLocks noChangeAspect="1" noEditPoints="1"/>
                        </wps:cNvSpPr>
                        <wps:spPr bwMode="auto">
                          <a:xfrm>
                            <a:off x="-3253" y="1286"/>
                            <a:ext cx="26222" cy="4507"/>
                          </a:xfrm>
                          <a:custGeom>
                            <a:avLst/>
                            <a:gdLst>
                              <a:gd name="T0" fmla="*/ 108 w 11101"/>
                              <a:gd name="T1" fmla="*/ 597 h 1908"/>
                              <a:gd name="T2" fmla="*/ 738 w 11101"/>
                              <a:gd name="T3" fmla="*/ 203 h 1908"/>
                              <a:gd name="T4" fmla="*/ 1129 w 11101"/>
                              <a:gd name="T5" fmla="*/ 860 h 1908"/>
                              <a:gd name="T6" fmla="*/ 1316 w 11101"/>
                              <a:gd name="T7" fmla="*/ 451 h 1908"/>
                              <a:gd name="T8" fmla="*/ 1507 w 11101"/>
                              <a:gd name="T9" fmla="*/ 267 h 1908"/>
                              <a:gd name="T10" fmla="*/ 1737 w 11101"/>
                              <a:gd name="T11" fmla="*/ 463 h 1908"/>
                              <a:gd name="T12" fmla="*/ 2240 w 11101"/>
                              <a:gd name="T13" fmla="*/ 209 h 1908"/>
                              <a:gd name="T14" fmla="*/ 2476 w 11101"/>
                              <a:gd name="T15" fmla="*/ 624 h 1908"/>
                              <a:gd name="T16" fmla="*/ 2690 w 11101"/>
                              <a:gd name="T17" fmla="*/ 202 h 1908"/>
                              <a:gd name="T18" fmla="*/ 3107 w 11101"/>
                              <a:gd name="T19" fmla="*/ 360 h 1908"/>
                              <a:gd name="T20" fmla="*/ 3635 w 11101"/>
                              <a:gd name="T21" fmla="*/ 252 h 1908"/>
                              <a:gd name="T22" fmla="*/ 3874 w 11101"/>
                              <a:gd name="T23" fmla="*/ 202 h 1908"/>
                              <a:gd name="T24" fmla="*/ 4288 w 11101"/>
                              <a:gd name="T25" fmla="*/ 98 h 1908"/>
                              <a:gd name="T26" fmla="*/ 4470 w 11101"/>
                              <a:gd name="T27" fmla="*/ 285 h 1908"/>
                              <a:gd name="T28" fmla="*/ 4858 w 11101"/>
                              <a:gd name="T29" fmla="*/ 444 h 1908"/>
                              <a:gd name="T30" fmla="*/ 5491 w 11101"/>
                              <a:gd name="T31" fmla="*/ 214 h 1908"/>
                              <a:gd name="T32" fmla="*/ 5847 w 11101"/>
                              <a:gd name="T33" fmla="*/ 305 h 1908"/>
                              <a:gd name="T34" fmla="*/ 6471 w 11101"/>
                              <a:gd name="T35" fmla="*/ 249 h 1908"/>
                              <a:gd name="T36" fmla="*/ 6468 w 11101"/>
                              <a:gd name="T37" fmla="*/ 326 h 1908"/>
                              <a:gd name="T38" fmla="*/ 6842 w 11101"/>
                              <a:gd name="T39" fmla="*/ 699 h 1908"/>
                              <a:gd name="T40" fmla="*/ 7451 w 11101"/>
                              <a:gd name="T41" fmla="*/ 321 h 1908"/>
                              <a:gd name="T42" fmla="*/ 7760 w 11101"/>
                              <a:gd name="T43" fmla="*/ 286 h 1908"/>
                              <a:gd name="T44" fmla="*/ 7822 w 11101"/>
                              <a:gd name="T45" fmla="*/ 575 h 1908"/>
                              <a:gd name="T46" fmla="*/ 8270 w 11101"/>
                              <a:gd name="T47" fmla="*/ 676 h 1908"/>
                              <a:gd name="T48" fmla="*/ 8336 w 11101"/>
                              <a:gd name="T49" fmla="*/ 77 h 1908"/>
                              <a:gd name="T50" fmla="*/ 8761 w 11101"/>
                              <a:gd name="T51" fmla="*/ 621 h 1908"/>
                              <a:gd name="T52" fmla="*/ 9170 w 11101"/>
                              <a:gd name="T53" fmla="*/ 685 h 1908"/>
                              <a:gd name="T54" fmla="*/ 9986 w 11101"/>
                              <a:gd name="T55" fmla="*/ 369 h 1908"/>
                              <a:gd name="T56" fmla="*/ 9898 w 11101"/>
                              <a:gd name="T57" fmla="*/ 624 h 1908"/>
                              <a:gd name="T58" fmla="*/ 10320 w 11101"/>
                              <a:gd name="T59" fmla="*/ 685 h 1908"/>
                              <a:gd name="T60" fmla="*/ 10968 w 11101"/>
                              <a:gd name="T61" fmla="*/ 172 h 1908"/>
                              <a:gd name="T62" fmla="*/ 367 w 11101"/>
                              <a:gd name="T63" fmla="*/ 1707 h 1908"/>
                              <a:gd name="T64" fmla="*/ 367 w 11101"/>
                              <a:gd name="T65" fmla="*/ 1707 h 1908"/>
                              <a:gd name="T66" fmla="*/ 785 w 11101"/>
                              <a:gd name="T67" fmla="*/ 1302 h 1908"/>
                              <a:gd name="T68" fmla="*/ 1131 w 11101"/>
                              <a:gd name="T69" fmla="*/ 1223 h 1908"/>
                              <a:gd name="T70" fmla="*/ 1379 w 11101"/>
                              <a:gd name="T71" fmla="*/ 1706 h 1908"/>
                              <a:gd name="T72" fmla="*/ 1647 w 11101"/>
                              <a:gd name="T73" fmla="*/ 1491 h 1908"/>
                              <a:gd name="T74" fmla="*/ 2328 w 11101"/>
                              <a:gd name="T75" fmla="*/ 1717 h 1908"/>
                              <a:gd name="T76" fmla="*/ 2051 w 11101"/>
                              <a:gd name="T77" fmla="*/ 1395 h 1908"/>
                              <a:gd name="T78" fmla="*/ 2571 w 11101"/>
                              <a:gd name="T79" fmla="*/ 1147 h 1908"/>
                              <a:gd name="T80" fmla="*/ 3050 w 11101"/>
                              <a:gd name="T81" fmla="*/ 1099 h 1908"/>
                              <a:gd name="T82" fmla="*/ 3383 w 11101"/>
                              <a:gd name="T83" fmla="*/ 1023 h 1908"/>
                              <a:gd name="T84" fmla="*/ 3794 w 11101"/>
                              <a:gd name="T85" fmla="*/ 1022 h 1908"/>
                              <a:gd name="T86" fmla="*/ 4398 w 11101"/>
                              <a:gd name="T87" fmla="*/ 1375 h 1908"/>
                              <a:gd name="T88" fmla="*/ 4239 w 11101"/>
                              <a:gd name="T89" fmla="*/ 1312 h 1908"/>
                              <a:gd name="T90" fmla="*/ 4690 w 11101"/>
                              <a:gd name="T91" fmla="*/ 1303 h 1908"/>
                              <a:gd name="T92" fmla="*/ 5752 w 11101"/>
                              <a:gd name="T93" fmla="*/ 1707 h 1908"/>
                              <a:gd name="T94" fmla="*/ 5729 w 11101"/>
                              <a:gd name="T95" fmla="*/ 1348 h 1908"/>
                              <a:gd name="T96" fmla="*/ 6617 w 11101"/>
                              <a:gd name="T97" fmla="*/ 1387 h 1908"/>
                              <a:gd name="T98" fmla="*/ 7034 w 11101"/>
                              <a:gd name="T99" fmla="*/ 1594 h 1908"/>
                              <a:gd name="T100" fmla="*/ 6975 w 11101"/>
                              <a:gd name="T101" fmla="*/ 1424 h 1908"/>
                              <a:gd name="T102" fmla="*/ 7530 w 11101"/>
                              <a:gd name="T103" fmla="*/ 1237 h 1908"/>
                              <a:gd name="T104" fmla="*/ 7940 w 11101"/>
                              <a:gd name="T105" fmla="*/ 1500 h 1908"/>
                              <a:gd name="T106" fmla="*/ 8125 w 11101"/>
                              <a:gd name="T107" fmla="*/ 1023 h 1908"/>
                              <a:gd name="T108" fmla="*/ 8545 w 11101"/>
                              <a:gd name="T109" fmla="*/ 1475 h 1908"/>
                              <a:gd name="T110" fmla="*/ 8969 w 11101"/>
                              <a:gd name="T111" fmla="*/ 1226 h 1908"/>
                              <a:gd name="T112" fmla="*/ 9569 w 11101"/>
                              <a:gd name="T113" fmla="*/ 1294 h 1908"/>
                              <a:gd name="T114" fmla="*/ 9584 w 11101"/>
                              <a:gd name="T115" fmla="*/ 1707 h 1908"/>
                              <a:gd name="T116" fmla="*/ 9921 w 11101"/>
                              <a:gd name="T117" fmla="*/ 1473 h 1908"/>
                              <a:gd name="T118" fmla="*/ 10767 w 11101"/>
                              <a:gd name="T119" fmla="*/ 1356 h 1908"/>
                              <a:gd name="T120" fmla="*/ 10767 w 11101"/>
                              <a:gd name="T121" fmla="*/ 1707 h 1908"/>
                              <a:gd name="T122" fmla="*/ 11044 w 11101"/>
                              <a:gd name="T123" fmla="*/ 1646 h 1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101" h="1908">
                                <a:moveTo>
                                  <a:pt x="389" y="595"/>
                                </a:moveTo>
                                <a:cubicBezTo>
                                  <a:pt x="335" y="664"/>
                                  <a:pt x="279" y="685"/>
                                  <a:pt x="159" y="685"/>
                                </a:cubicBezTo>
                                <a:cubicBezTo>
                                  <a:pt x="0" y="685"/>
                                  <a:pt x="0" y="685"/>
                                  <a:pt x="0" y="685"/>
                                </a:cubicBezTo>
                                <a:cubicBezTo>
                                  <a:pt x="0" y="42"/>
                                  <a:pt x="0" y="42"/>
                                  <a:pt x="0" y="42"/>
                                </a:cubicBezTo>
                                <a:cubicBezTo>
                                  <a:pt x="134" y="42"/>
                                  <a:pt x="134" y="42"/>
                                  <a:pt x="134" y="42"/>
                                </a:cubicBezTo>
                                <a:cubicBezTo>
                                  <a:pt x="255" y="42"/>
                                  <a:pt x="327" y="64"/>
                                  <a:pt x="387" y="133"/>
                                </a:cubicBezTo>
                                <a:cubicBezTo>
                                  <a:pt x="434" y="188"/>
                                  <a:pt x="457" y="265"/>
                                  <a:pt x="457" y="365"/>
                                </a:cubicBezTo>
                                <a:cubicBezTo>
                                  <a:pt x="457" y="463"/>
                                  <a:pt x="433" y="539"/>
                                  <a:pt x="389" y="595"/>
                                </a:cubicBezTo>
                                <a:moveTo>
                                  <a:pt x="297" y="182"/>
                                </a:moveTo>
                                <a:cubicBezTo>
                                  <a:pt x="267" y="141"/>
                                  <a:pt x="234" y="126"/>
                                  <a:pt x="176" y="126"/>
                                </a:cubicBezTo>
                                <a:cubicBezTo>
                                  <a:pt x="108" y="126"/>
                                  <a:pt x="108" y="126"/>
                                  <a:pt x="108" y="126"/>
                                </a:cubicBezTo>
                                <a:cubicBezTo>
                                  <a:pt x="108" y="597"/>
                                  <a:pt x="108" y="597"/>
                                  <a:pt x="108" y="597"/>
                                </a:cubicBezTo>
                                <a:cubicBezTo>
                                  <a:pt x="179" y="597"/>
                                  <a:pt x="179" y="597"/>
                                  <a:pt x="179" y="597"/>
                                </a:cubicBezTo>
                                <a:cubicBezTo>
                                  <a:pt x="292" y="597"/>
                                  <a:pt x="338" y="522"/>
                                  <a:pt x="338" y="376"/>
                                </a:cubicBezTo>
                                <a:cubicBezTo>
                                  <a:pt x="338" y="294"/>
                                  <a:pt x="330" y="228"/>
                                  <a:pt x="297" y="182"/>
                                </a:cubicBezTo>
                                <a:moveTo>
                                  <a:pt x="648" y="478"/>
                                </a:moveTo>
                                <a:cubicBezTo>
                                  <a:pt x="648" y="485"/>
                                  <a:pt x="648" y="485"/>
                                  <a:pt x="648" y="485"/>
                                </a:cubicBezTo>
                                <a:cubicBezTo>
                                  <a:pt x="648" y="550"/>
                                  <a:pt x="672" y="619"/>
                                  <a:pt x="764" y="619"/>
                                </a:cubicBezTo>
                                <a:cubicBezTo>
                                  <a:pt x="808" y="619"/>
                                  <a:pt x="846" y="603"/>
                                  <a:pt x="881" y="572"/>
                                </a:cubicBezTo>
                                <a:cubicBezTo>
                                  <a:pt x="921" y="635"/>
                                  <a:pt x="921" y="635"/>
                                  <a:pt x="921" y="635"/>
                                </a:cubicBezTo>
                                <a:cubicBezTo>
                                  <a:pt x="872" y="676"/>
                                  <a:pt x="815" y="697"/>
                                  <a:pt x="752" y="697"/>
                                </a:cubicBezTo>
                                <a:cubicBezTo>
                                  <a:pt x="619" y="697"/>
                                  <a:pt x="536" y="601"/>
                                  <a:pt x="536" y="451"/>
                                </a:cubicBezTo>
                                <a:cubicBezTo>
                                  <a:pt x="536" y="368"/>
                                  <a:pt x="553" y="313"/>
                                  <a:pt x="594" y="267"/>
                                </a:cubicBezTo>
                                <a:cubicBezTo>
                                  <a:pt x="632" y="223"/>
                                  <a:pt x="679" y="203"/>
                                  <a:pt x="738" y="203"/>
                                </a:cubicBezTo>
                                <a:cubicBezTo>
                                  <a:pt x="785" y="203"/>
                                  <a:pt x="827" y="215"/>
                                  <a:pt x="867" y="252"/>
                                </a:cubicBezTo>
                                <a:cubicBezTo>
                                  <a:pt x="908" y="289"/>
                                  <a:pt x="929" y="346"/>
                                  <a:pt x="929" y="456"/>
                                </a:cubicBezTo>
                                <a:cubicBezTo>
                                  <a:pt x="929" y="478"/>
                                  <a:pt x="929" y="478"/>
                                  <a:pt x="929" y="478"/>
                                </a:cubicBezTo>
                                <a:lnTo>
                                  <a:pt x="648" y="478"/>
                                </a:lnTo>
                                <a:close/>
                                <a:moveTo>
                                  <a:pt x="738" y="281"/>
                                </a:moveTo>
                                <a:cubicBezTo>
                                  <a:pt x="681" y="281"/>
                                  <a:pt x="649" y="326"/>
                                  <a:pt x="649" y="402"/>
                                </a:cubicBezTo>
                                <a:cubicBezTo>
                                  <a:pt x="823" y="402"/>
                                  <a:pt x="823" y="402"/>
                                  <a:pt x="823" y="402"/>
                                </a:cubicBezTo>
                                <a:cubicBezTo>
                                  <a:pt x="823" y="326"/>
                                  <a:pt x="789" y="281"/>
                                  <a:pt x="738" y="281"/>
                                </a:cubicBezTo>
                                <a:moveTo>
                                  <a:pt x="1239" y="694"/>
                                </a:moveTo>
                                <a:cubicBezTo>
                                  <a:pt x="1199" y="694"/>
                                  <a:pt x="1160" y="681"/>
                                  <a:pt x="1127" y="656"/>
                                </a:cubicBezTo>
                                <a:cubicBezTo>
                                  <a:pt x="1127" y="656"/>
                                  <a:pt x="1129" y="676"/>
                                  <a:pt x="1129" y="702"/>
                                </a:cubicBezTo>
                                <a:cubicBezTo>
                                  <a:pt x="1129" y="860"/>
                                  <a:pt x="1129" y="860"/>
                                  <a:pt x="1129" y="860"/>
                                </a:cubicBezTo>
                                <a:cubicBezTo>
                                  <a:pt x="1031" y="885"/>
                                  <a:pt x="1031" y="885"/>
                                  <a:pt x="1031" y="885"/>
                                </a:cubicBezTo>
                                <a:cubicBezTo>
                                  <a:pt x="1031" y="336"/>
                                  <a:pt x="1031" y="336"/>
                                  <a:pt x="1031" y="336"/>
                                </a:cubicBezTo>
                                <a:cubicBezTo>
                                  <a:pt x="1031" y="278"/>
                                  <a:pt x="1028" y="254"/>
                                  <a:pt x="1021" y="219"/>
                                </a:cubicBezTo>
                                <a:cubicBezTo>
                                  <a:pt x="1115" y="202"/>
                                  <a:pt x="1115" y="202"/>
                                  <a:pt x="1115" y="202"/>
                                </a:cubicBezTo>
                                <a:cubicBezTo>
                                  <a:pt x="1120" y="218"/>
                                  <a:pt x="1122" y="231"/>
                                  <a:pt x="1123" y="260"/>
                                </a:cubicBezTo>
                                <a:cubicBezTo>
                                  <a:pt x="1153" y="224"/>
                                  <a:pt x="1199" y="204"/>
                                  <a:pt x="1248" y="204"/>
                                </a:cubicBezTo>
                                <a:cubicBezTo>
                                  <a:pt x="1343" y="204"/>
                                  <a:pt x="1426" y="276"/>
                                  <a:pt x="1426" y="440"/>
                                </a:cubicBezTo>
                                <a:cubicBezTo>
                                  <a:pt x="1426" y="596"/>
                                  <a:pt x="1359" y="694"/>
                                  <a:pt x="1239" y="694"/>
                                </a:cubicBezTo>
                                <a:moveTo>
                                  <a:pt x="1129" y="337"/>
                                </a:moveTo>
                                <a:cubicBezTo>
                                  <a:pt x="1129" y="571"/>
                                  <a:pt x="1129" y="571"/>
                                  <a:pt x="1129" y="571"/>
                                </a:cubicBezTo>
                                <a:cubicBezTo>
                                  <a:pt x="1154" y="596"/>
                                  <a:pt x="1186" y="613"/>
                                  <a:pt x="1217" y="613"/>
                                </a:cubicBezTo>
                                <a:cubicBezTo>
                                  <a:pt x="1285" y="613"/>
                                  <a:pt x="1316" y="562"/>
                                  <a:pt x="1316" y="451"/>
                                </a:cubicBezTo>
                                <a:cubicBezTo>
                                  <a:pt x="1316" y="346"/>
                                  <a:pt x="1296" y="289"/>
                                  <a:pt x="1229" y="289"/>
                                </a:cubicBezTo>
                                <a:cubicBezTo>
                                  <a:pt x="1192" y="289"/>
                                  <a:pt x="1157" y="306"/>
                                  <a:pt x="1129" y="337"/>
                                </a:cubicBezTo>
                                <a:moveTo>
                                  <a:pt x="1843" y="704"/>
                                </a:moveTo>
                                <a:cubicBezTo>
                                  <a:pt x="1814" y="693"/>
                                  <a:pt x="1790" y="671"/>
                                  <a:pt x="1779" y="641"/>
                                </a:cubicBezTo>
                                <a:cubicBezTo>
                                  <a:pt x="1741" y="684"/>
                                  <a:pt x="1700" y="699"/>
                                  <a:pt x="1650" y="699"/>
                                </a:cubicBezTo>
                                <a:cubicBezTo>
                                  <a:pt x="1542" y="699"/>
                                  <a:pt x="1494" y="639"/>
                                  <a:pt x="1494" y="557"/>
                                </a:cubicBezTo>
                                <a:cubicBezTo>
                                  <a:pt x="1494" y="449"/>
                                  <a:pt x="1575" y="394"/>
                                  <a:pt x="1726" y="394"/>
                                </a:cubicBezTo>
                                <a:cubicBezTo>
                                  <a:pt x="1757" y="394"/>
                                  <a:pt x="1757" y="394"/>
                                  <a:pt x="1757" y="394"/>
                                </a:cubicBezTo>
                                <a:cubicBezTo>
                                  <a:pt x="1757" y="369"/>
                                  <a:pt x="1757" y="369"/>
                                  <a:pt x="1757" y="369"/>
                                </a:cubicBezTo>
                                <a:cubicBezTo>
                                  <a:pt x="1757" y="315"/>
                                  <a:pt x="1748" y="286"/>
                                  <a:pt x="1692" y="286"/>
                                </a:cubicBezTo>
                                <a:cubicBezTo>
                                  <a:pt x="1625" y="286"/>
                                  <a:pt x="1552" y="340"/>
                                  <a:pt x="1552" y="340"/>
                                </a:cubicBezTo>
                                <a:cubicBezTo>
                                  <a:pt x="1507" y="267"/>
                                  <a:pt x="1507" y="267"/>
                                  <a:pt x="1507" y="267"/>
                                </a:cubicBezTo>
                                <a:cubicBezTo>
                                  <a:pt x="1577" y="222"/>
                                  <a:pt x="1636" y="202"/>
                                  <a:pt x="1706" y="202"/>
                                </a:cubicBezTo>
                                <a:cubicBezTo>
                                  <a:pt x="1780" y="202"/>
                                  <a:pt x="1829" y="229"/>
                                  <a:pt x="1849" y="280"/>
                                </a:cubicBezTo>
                                <a:cubicBezTo>
                                  <a:pt x="1858" y="301"/>
                                  <a:pt x="1858" y="326"/>
                                  <a:pt x="1857" y="396"/>
                                </a:cubicBezTo>
                                <a:cubicBezTo>
                                  <a:pt x="1855" y="530"/>
                                  <a:pt x="1855" y="530"/>
                                  <a:pt x="1855" y="530"/>
                                </a:cubicBezTo>
                                <a:cubicBezTo>
                                  <a:pt x="1854" y="594"/>
                                  <a:pt x="1860" y="614"/>
                                  <a:pt x="1896" y="639"/>
                                </a:cubicBezTo>
                                <a:lnTo>
                                  <a:pt x="1843" y="704"/>
                                </a:lnTo>
                                <a:close/>
                                <a:moveTo>
                                  <a:pt x="1737" y="463"/>
                                </a:moveTo>
                                <a:cubicBezTo>
                                  <a:pt x="1635" y="463"/>
                                  <a:pt x="1604" y="492"/>
                                  <a:pt x="1604" y="552"/>
                                </a:cubicBezTo>
                                <a:cubicBezTo>
                                  <a:pt x="1604" y="597"/>
                                  <a:pt x="1628" y="624"/>
                                  <a:pt x="1669" y="624"/>
                                </a:cubicBezTo>
                                <a:cubicBezTo>
                                  <a:pt x="1702" y="624"/>
                                  <a:pt x="1733" y="605"/>
                                  <a:pt x="1754" y="575"/>
                                </a:cubicBezTo>
                                <a:cubicBezTo>
                                  <a:pt x="1756" y="464"/>
                                  <a:pt x="1756" y="464"/>
                                  <a:pt x="1756" y="464"/>
                                </a:cubicBezTo>
                                <a:cubicBezTo>
                                  <a:pt x="1756" y="464"/>
                                  <a:pt x="1745" y="463"/>
                                  <a:pt x="1737" y="463"/>
                                </a:cubicBezTo>
                                <a:moveTo>
                                  <a:pt x="2240" y="209"/>
                                </a:moveTo>
                                <a:cubicBezTo>
                                  <a:pt x="2228" y="203"/>
                                  <a:pt x="2218" y="202"/>
                                  <a:pt x="2203" y="202"/>
                                </a:cubicBezTo>
                                <a:cubicBezTo>
                                  <a:pt x="2158" y="202"/>
                                  <a:pt x="2121" y="226"/>
                                  <a:pt x="2084" y="277"/>
                                </a:cubicBezTo>
                                <a:cubicBezTo>
                                  <a:pt x="2084" y="251"/>
                                  <a:pt x="2077" y="224"/>
                                  <a:pt x="2066" y="203"/>
                                </a:cubicBezTo>
                                <a:cubicBezTo>
                                  <a:pt x="1972" y="227"/>
                                  <a:pt x="1972" y="227"/>
                                  <a:pt x="1972" y="227"/>
                                </a:cubicBezTo>
                                <a:cubicBezTo>
                                  <a:pt x="1982" y="255"/>
                                  <a:pt x="1989" y="293"/>
                                  <a:pt x="1989" y="353"/>
                                </a:cubicBezTo>
                                <a:cubicBezTo>
                                  <a:pt x="1989" y="685"/>
                                  <a:pt x="1989" y="685"/>
                                  <a:pt x="1989" y="685"/>
                                </a:cubicBezTo>
                                <a:cubicBezTo>
                                  <a:pt x="2091" y="685"/>
                                  <a:pt x="2091" y="685"/>
                                  <a:pt x="2091" y="685"/>
                                </a:cubicBezTo>
                                <a:cubicBezTo>
                                  <a:pt x="2091" y="367"/>
                                  <a:pt x="2091" y="367"/>
                                  <a:pt x="2091" y="367"/>
                                </a:cubicBezTo>
                                <a:cubicBezTo>
                                  <a:pt x="2100" y="329"/>
                                  <a:pt x="2137" y="297"/>
                                  <a:pt x="2179" y="297"/>
                                </a:cubicBezTo>
                                <a:cubicBezTo>
                                  <a:pt x="2190" y="297"/>
                                  <a:pt x="2198" y="300"/>
                                  <a:pt x="2208" y="304"/>
                                </a:cubicBezTo>
                                <a:lnTo>
                                  <a:pt x="2240" y="209"/>
                                </a:lnTo>
                                <a:close/>
                                <a:moveTo>
                                  <a:pt x="2419" y="215"/>
                                </a:moveTo>
                                <a:cubicBezTo>
                                  <a:pt x="2419" y="168"/>
                                  <a:pt x="2423" y="111"/>
                                  <a:pt x="2427" y="73"/>
                                </a:cubicBezTo>
                                <a:cubicBezTo>
                                  <a:pt x="2322" y="98"/>
                                  <a:pt x="2322" y="98"/>
                                  <a:pt x="2322" y="98"/>
                                </a:cubicBezTo>
                                <a:cubicBezTo>
                                  <a:pt x="2318" y="134"/>
                                  <a:pt x="2318" y="175"/>
                                  <a:pt x="2318" y="215"/>
                                </a:cubicBezTo>
                                <a:cubicBezTo>
                                  <a:pt x="2266" y="215"/>
                                  <a:pt x="2266" y="215"/>
                                  <a:pt x="2266" y="215"/>
                                </a:cubicBezTo>
                                <a:cubicBezTo>
                                  <a:pt x="2266" y="285"/>
                                  <a:pt x="2266" y="285"/>
                                  <a:pt x="2266" y="285"/>
                                </a:cubicBezTo>
                                <a:cubicBezTo>
                                  <a:pt x="2318" y="285"/>
                                  <a:pt x="2318" y="285"/>
                                  <a:pt x="2318" y="285"/>
                                </a:cubicBezTo>
                                <a:cubicBezTo>
                                  <a:pt x="2318" y="576"/>
                                  <a:pt x="2318" y="576"/>
                                  <a:pt x="2318" y="576"/>
                                </a:cubicBezTo>
                                <a:cubicBezTo>
                                  <a:pt x="2318" y="643"/>
                                  <a:pt x="2349" y="697"/>
                                  <a:pt x="2440" y="697"/>
                                </a:cubicBezTo>
                                <a:cubicBezTo>
                                  <a:pt x="2472" y="697"/>
                                  <a:pt x="2502" y="690"/>
                                  <a:pt x="2532" y="676"/>
                                </a:cubicBezTo>
                                <a:cubicBezTo>
                                  <a:pt x="2519" y="615"/>
                                  <a:pt x="2519" y="615"/>
                                  <a:pt x="2519" y="615"/>
                                </a:cubicBezTo>
                                <a:cubicBezTo>
                                  <a:pt x="2502" y="622"/>
                                  <a:pt x="2490" y="624"/>
                                  <a:pt x="2476" y="624"/>
                                </a:cubicBezTo>
                                <a:cubicBezTo>
                                  <a:pt x="2431" y="624"/>
                                  <a:pt x="2418" y="608"/>
                                  <a:pt x="2418" y="549"/>
                                </a:cubicBezTo>
                                <a:cubicBezTo>
                                  <a:pt x="2418" y="285"/>
                                  <a:pt x="2418" y="285"/>
                                  <a:pt x="2418" y="285"/>
                                </a:cubicBezTo>
                                <a:cubicBezTo>
                                  <a:pt x="2504" y="285"/>
                                  <a:pt x="2504" y="285"/>
                                  <a:pt x="2504" y="285"/>
                                </a:cubicBezTo>
                                <a:cubicBezTo>
                                  <a:pt x="2531" y="215"/>
                                  <a:pt x="2531" y="215"/>
                                  <a:pt x="2531" y="215"/>
                                </a:cubicBezTo>
                                <a:cubicBezTo>
                                  <a:pt x="2419" y="215"/>
                                  <a:pt x="2419" y="215"/>
                                  <a:pt x="2419" y="215"/>
                                </a:cubicBezTo>
                                <a:moveTo>
                                  <a:pt x="3207" y="685"/>
                                </a:moveTo>
                                <a:cubicBezTo>
                                  <a:pt x="3207" y="341"/>
                                  <a:pt x="3207" y="341"/>
                                  <a:pt x="3207" y="341"/>
                                </a:cubicBezTo>
                                <a:cubicBezTo>
                                  <a:pt x="3207" y="243"/>
                                  <a:pt x="3161" y="204"/>
                                  <a:pt x="3084" y="204"/>
                                </a:cubicBezTo>
                                <a:cubicBezTo>
                                  <a:pt x="3034" y="204"/>
                                  <a:pt x="2989" y="226"/>
                                  <a:pt x="2944" y="272"/>
                                </a:cubicBezTo>
                                <a:cubicBezTo>
                                  <a:pt x="2910" y="217"/>
                                  <a:pt x="2873" y="204"/>
                                  <a:pt x="2832" y="204"/>
                                </a:cubicBezTo>
                                <a:cubicBezTo>
                                  <a:pt x="2788" y="204"/>
                                  <a:pt x="2744" y="225"/>
                                  <a:pt x="2707" y="263"/>
                                </a:cubicBezTo>
                                <a:cubicBezTo>
                                  <a:pt x="2705" y="237"/>
                                  <a:pt x="2699" y="217"/>
                                  <a:pt x="2690" y="202"/>
                                </a:cubicBezTo>
                                <a:cubicBezTo>
                                  <a:pt x="2597" y="228"/>
                                  <a:pt x="2597" y="228"/>
                                  <a:pt x="2597" y="228"/>
                                </a:cubicBezTo>
                                <a:cubicBezTo>
                                  <a:pt x="2608" y="254"/>
                                  <a:pt x="2614" y="289"/>
                                  <a:pt x="2614" y="347"/>
                                </a:cubicBezTo>
                                <a:cubicBezTo>
                                  <a:pt x="2614" y="685"/>
                                  <a:pt x="2614" y="685"/>
                                  <a:pt x="2614" y="685"/>
                                </a:cubicBezTo>
                                <a:cubicBezTo>
                                  <a:pt x="2713" y="685"/>
                                  <a:pt x="2713" y="685"/>
                                  <a:pt x="2713" y="685"/>
                                </a:cubicBezTo>
                                <a:cubicBezTo>
                                  <a:pt x="2713" y="336"/>
                                  <a:pt x="2713" y="336"/>
                                  <a:pt x="2713" y="336"/>
                                </a:cubicBezTo>
                                <a:cubicBezTo>
                                  <a:pt x="2748" y="305"/>
                                  <a:pt x="2781" y="290"/>
                                  <a:pt x="2810" y="290"/>
                                </a:cubicBezTo>
                                <a:cubicBezTo>
                                  <a:pt x="2849" y="290"/>
                                  <a:pt x="2861" y="308"/>
                                  <a:pt x="2861" y="362"/>
                                </a:cubicBezTo>
                                <a:cubicBezTo>
                                  <a:pt x="2861" y="685"/>
                                  <a:pt x="2861" y="685"/>
                                  <a:pt x="2861" y="685"/>
                                </a:cubicBezTo>
                                <a:cubicBezTo>
                                  <a:pt x="2959" y="685"/>
                                  <a:pt x="2959" y="685"/>
                                  <a:pt x="2959" y="685"/>
                                </a:cubicBezTo>
                                <a:cubicBezTo>
                                  <a:pt x="2959" y="343"/>
                                  <a:pt x="2959" y="343"/>
                                  <a:pt x="2959" y="343"/>
                                </a:cubicBezTo>
                                <a:cubicBezTo>
                                  <a:pt x="2991" y="312"/>
                                  <a:pt x="3024" y="289"/>
                                  <a:pt x="3058" y="289"/>
                                </a:cubicBezTo>
                                <a:cubicBezTo>
                                  <a:pt x="3094" y="289"/>
                                  <a:pt x="3107" y="305"/>
                                  <a:pt x="3107" y="360"/>
                                </a:cubicBezTo>
                                <a:cubicBezTo>
                                  <a:pt x="3107" y="685"/>
                                  <a:pt x="3107" y="685"/>
                                  <a:pt x="3107" y="685"/>
                                </a:cubicBezTo>
                                <a:lnTo>
                                  <a:pt x="3207" y="685"/>
                                </a:lnTo>
                                <a:close/>
                                <a:moveTo>
                                  <a:pt x="3416" y="478"/>
                                </a:moveTo>
                                <a:cubicBezTo>
                                  <a:pt x="3416" y="485"/>
                                  <a:pt x="3416" y="485"/>
                                  <a:pt x="3416" y="485"/>
                                </a:cubicBezTo>
                                <a:cubicBezTo>
                                  <a:pt x="3416" y="550"/>
                                  <a:pt x="3440" y="619"/>
                                  <a:pt x="3532" y="619"/>
                                </a:cubicBezTo>
                                <a:cubicBezTo>
                                  <a:pt x="3576" y="619"/>
                                  <a:pt x="3614" y="603"/>
                                  <a:pt x="3649" y="572"/>
                                </a:cubicBezTo>
                                <a:cubicBezTo>
                                  <a:pt x="3689" y="635"/>
                                  <a:pt x="3689" y="635"/>
                                  <a:pt x="3689" y="635"/>
                                </a:cubicBezTo>
                                <a:cubicBezTo>
                                  <a:pt x="3640" y="676"/>
                                  <a:pt x="3583" y="697"/>
                                  <a:pt x="3520" y="697"/>
                                </a:cubicBezTo>
                                <a:cubicBezTo>
                                  <a:pt x="3387" y="697"/>
                                  <a:pt x="3303" y="601"/>
                                  <a:pt x="3303" y="451"/>
                                </a:cubicBezTo>
                                <a:cubicBezTo>
                                  <a:pt x="3303" y="368"/>
                                  <a:pt x="3321" y="313"/>
                                  <a:pt x="3362" y="267"/>
                                </a:cubicBezTo>
                                <a:cubicBezTo>
                                  <a:pt x="3400" y="223"/>
                                  <a:pt x="3446" y="203"/>
                                  <a:pt x="3506" y="203"/>
                                </a:cubicBezTo>
                                <a:cubicBezTo>
                                  <a:pt x="3552" y="203"/>
                                  <a:pt x="3595" y="215"/>
                                  <a:pt x="3635" y="252"/>
                                </a:cubicBezTo>
                                <a:cubicBezTo>
                                  <a:pt x="3676" y="289"/>
                                  <a:pt x="3697" y="346"/>
                                  <a:pt x="3697" y="456"/>
                                </a:cubicBezTo>
                                <a:cubicBezTo>
                                  <a:pt x="3697" y="478"/>
                                  <a:pt x="3697" y="478"/>
                                  <a:pt x="3697" y="478"/>
                                </a:cubicBezTo>
                                <a:lnTo>
                                  <a:pt x="3416" y="478"/>
                                </a:lnTo>
                                <a:close/>
                                <a:moveTo>
                                  <a:pt x="3506" y="281"/>
                                </a:moveTo>
                                <a:cubicBezTo>
                                  <a:pt x="3448" y="281"/>
                                  <a:pt x="3417" y="326"/>
                                  <a:pt x="3417" y="402"/>
                                </a:cubicBezTo>
                                <a:cubicBezTo>
                                  <a:pt x="3591" y="402"/>
                                  <a:pt x="3591" y="402"/>
                                  <a:pt x="3591" y="402"/>
                                </a:cubicBezTo>
                                <a:cubicBezTo>
                                  <a:pt x="3591" y="326"/>
                                  <a:pt x="3557" y="281"/>
                                  <a:pt x="3506" y="281"/>
                                </a:cubicBezTo>
                                <a:moveTo>
                                  <a:pt x="4157" y="685"/>
                                </a:moveTo>
                                <a:cubicBezTo>
                                  <a:pt x="4157" y="334"/>
                                  <a:pt x="4157" y="334"/>
                                  <a:pt x="4157" y="334"/>
                                </a:cubicBezTo>
                                <a:cubicBezTo>
                                  <a:pt x="4157" y="247"/>
                                  <a:pt x="4107" y="204"/>
                                  <a:pt x="4035" y="204"/>
                                </a:cubicBezTo>
                                <a:cubicBezTo>
                                  <a:pt x="3985" y="204"/>
                                  <a:pt x="3941" y="226"/>
                                  <a:pt x="3891" y="268"/>
                                </a:cubicBezTo>
                                <a:cubicBezTo>
                                  <a:pt x="3891" y="243"/>
                                  <a:pt x="3885" y="223"/>
                                  <a:pt x="3874" y="202"/>
                                </a:cubicBezTo>
                                <a:cubicBezTo>
                                  <a:pt x="3781" y="228"/>
                                  <a:pt x="3781" y="228"/>
                                  <a:pt x="3781" y="228"/>
                                </a:cubicBezTo>
                                <a:cubicBezTo>
                                  <a:pt x="3794" y="261"/>
                                  <a:pt x="3799" y="290"/>
                                  <a:pt x="3799" y="339"/>
                                </a:cubicBezTo>
                                <a:cubicBezTo>
                                  <a:pt x="3799" y="685"/>
                                  <a:pt x="3799" y="685"/>
                                  <a:pt x="3799" y="685"/>
                                </a:cubicBezTo>
                                <a:cubicBezTo>
                                  <a:pt x="3899" y="685"/>
                                  <a:pt x="3899" y="685"/>
                                  <a:pt x="3899" y="685"/>
                                </a:cubicBezTo>
                                <a:cubicBezTo>
                                  <a:pt x="3899" y="344"/>
                                  <a:pt x="3899" y="344"/>
                                  <a:pt x="3899" y="344"/>
                                </a:cubicBezTo>
                                <a:cubicBezTo>
                                  <a:pt x="3930" y="313"/>
                                  <a:pt x="3972" y="291"/>
                                  <a:pt x="4002" y="291"/>
                                </a:cubicBezTo>
                                <a:cubicBezTo>
                                  <a:pt x="4041" y="291"/>
                                  <a:pt x="4056" y="308"/>
                                  <a:pt x="4056" y="373"/>
                                </a:cubicBezTo>
                                <a:cubicBezTo>
                                  <a:pt x="4056" y="685"/>
                                  <a:pt x="4056" y="685"/>
                                  <a:pt x="4056" y="685"/>
                                </a:cubicBezTo>
                                <a:lnTo>
                                  <a:pt x="4157" y="685"/>
                                </a:lnTo>
                                <a:close/>
                                <a:moveTo>
                                  <a:pt x="4385" y="215"/>
                                </a:moveTo>
                                <a:cubicBezTo>
                                  <a:pt x="4385" y="168"/>
                                  <a:pt x="4389" y="111"/>
                                  <a:pt x="4393" y="73"/>
                                </a:cubicBezTo>
                                <a:cubicBezTo>
                                  <a:pt x="4288" y="98"/>
                                  <a:pt x="4288" y="98"/>
                                  <a:pt x="4288" y="98"/>
                                </a:cubicBezTo>
                                <a:cubicBezTo>
                                  <a:pt x="4283" y="134"/>
                                  <a:pt x="4283" y="175"/>
                                  <a:pt x="4283" y="215"/>
                                </a:cubicBezTo>
                                <a:cubicBezTo>
                                  <a:pt x="4231" y="215"/>
                                  <a:pt x="4231" y="215"/>
                                  <a:pt x="4231" y="215"/>
                                </a:cubicBezTo>
                                <a:cubicBezTo>
                                  <a:pt x="4231" y="285"/>
                                  <a:pt x="4231" y="285"/>
                                  <a:pt x="4231" y="285"/>
                                </a:cubicBezTo>
                                <a:cubicBezTo>
                                  <a:pt x="4283" y="285"/>
                                  <a:pt x="4283" y="285"/>
                                  <a:pt x="4283" y="285"/>
                                </a:cubicBezTo>
                                <a:cubicBezTo>
                                  <a:pt x="4283" y="576"/>
                                  <a:pt x="4283" y="576"/>
                                  <a:pt x="4283" y="576"/>
                                </a:cubicBezTo>
                                <a:cubicBezTo>
                                  <a:pt x="4283" y="643"/>
                                  <a:pt x="4315" y="697"/>
                                  <a:pt x="4406" y="697"/>
                                </a:cubicBezTo>
                                <a:cubicBezTo>
                                  <a:pt x="4438" y="697"/>
                                  <a:pt x="4468" y="690"/>
                                  <a:pt x="4498" y="676"/>
                                </a:cubicBezTo>
                                <a:cubicBezTo>
                                  <a:pt x="4485" y="615"/>
                                  <a:pt x="4485" y="615"/>
                                  <a:pt x="4485" y="615"/>
                                </a:cubicBezTo>
                                <a:cubicBezTo>
                                  <a:pt x="4468" y="622"/>
                                  <a:pt x="4456" y="624"/>
                                  <a:pt x="4442" y="624"/>
                                </a:cubicBezTo>
                                <a:cubicBezTo>
                                  <a:pt x="4397" y="624"/>
                                  <a:pt x="4384" y="608"/>
                                  <a:pt x="4384" y="549"/>
                                </a:cubicBezTo>
                                <a:cubicBezTo>
                                  <a:pt x="4384" y="285"/>
                                  <a:pt x="4384" y="285"/>
                                  <a:pt x="4384" y="285"/>
                                </a:cubicBezTo>
                                <a:cubicBezTo>
                                  <a:pt x="4470" y="285"/>
                                  <a:pt x="4470" y="285"/>
                                  <a:pt x="4470" y="285"/>
                                </a:cubicBezTo>
                                <a:cubicBezTo>
                                  <a:pt x="4497" y="215"/>
                                  <a:pt x="4497" y="215"/>
                                  <a:pt x="4497" y="215"/>
                                </a:cubicBezTo>
                                <a:cubicBezTo>
                                  <a:pt x="4385" y="215"/>
                                  <a:pt x="4385" y="215"/>
                                  <a:pt x="4385" y="215"/>
                                </a:cubicBezTo>
                                <a:moveTo>
                                  <a:pt x="5160" y="452"/>
                                </a:moveTo>
                                <a:cubicBezTo>
                                  <a:pt x="5160" y="603"/>
                                  <a:pt x="5079" y="697"/>
                                  <a:pt x="4952" y="697"/>
                                </a:cubicBezTo>
                                <a:cubicBezTo>
                                  <a:pt x="4824" y="697"/>
                                  <a:pt x="4744" y="601"/>
                                  <a:pt x="4744" y="451"/>
                                </a:cubicBezTo>
                                <a:cubicBezTo>
                                  <a:pt x="4744" y="300"/>
                                  <a:pt x="4825" y="203"/>
                                  <a:pt x="4950" y="203"/>
                                </a:cubicBezTo>
                                <a:cubicBezTo>
                                  <a:pt x="5083" y="203"/>
                                  <a:pt x="5160" y="303"/>
                                  <a:pt x="5160" y="452"/>
                                </a:cubicBezTo>
                                <a:moveTo>
                                  <a:pt x="4858" y="444"/>
                                </a:moveTo>
                                <a:cubicBezTo>
                                  <a:pt x="4858" y="581"/>
                                  <a:pt x="4892" y="621"/>
                                  <a:pt x="4953" y="621"/>
                                </a:cubicBezTo>
                                <a:cubicBezTo>
                                  <a:pt x="5014" y="621"/>
                                  <a:pt x="5047" y="571"/>
                                  <a:pt x="5047" y="453"/>
                                </a:cubicBezTo>
                                <a:cubicBezTo>
                                  <a:pt x="5047" y="321"/>
                                  <a:pt x="5010" y="281"/>
                                  <a:pt x="4951" y="281"/>
                                </a:cubicBezTo>
                                <a:cubicBezTo>
                                  <a:pt x="4886" y="281"/>
                                  <a:pt x="4858" y="330"/>
                                  <a:pt x="4858" y="444"/>
                                </a:cubicBezTo>
                                <a:moveTo>
                                  <a:pt x="5516" y="29"/>
                                </a:moveTo>
                                <a:cubicBezTo>
                                  <a:pt x="5483" y="10"/>
                                  <a:pt x="5450" y="2"/>
                                  <a:pt x="5410" y="2"/>
                                </a:cubicBezTo>
                                <a:cubicBezTo>
                                  <a:pt x="5326" y="2"/>
                                  <a:pt x="5267" y="47"/>
                                  <a:pt x="5267" y="145"/>
                                </a:cubicBezTo>
                                <a:cubicBezTo>
                                  <a:pt x="5267" y="188"/>
                                  <a:pt x="5269" y="214"/>
                                  <a:pt x="5269" y="214"/>
                                </a:cubicBezTo>
                                <a:cubicBezTo>
                                  <a:pt x="5224" y="214"/>
                                  <a:pt x="5224" y="214"/>
                                  <a:pt x="5224" y="214"/>
                                </a:cubicBezTo>
                                <a:cubicBezTo>
                                  <a:pt x="5224" y="285"/>
                                  <a:pt x="5224" y="285"/>
                                  <a:pt x="5224" y="285"/>
                                </a:cubicBezTo>
                                <a:cubicBezTo>
                                  <a:pt x="5268" y="285"/>
                                  <a:pt x="5268" y="285"/>
                                  <a:pt x="5268" y="285"/>
                                </a:cubicBezTo>
                                <a:cubicBezTo>
                                  <a:pt x="5268" y="685"/>
                                  <a:pt x="5268" y="685"/>
                                  <a:pt x="5268" y="685"/>
                                </a:cubicBezTo>
                                <a:cubicBezTo>
                                  <a:pt x="5369" y="685"/>
                                  <a:pt x="5369" y="685"/>
                                  <a:pt x="5369" y="685"/>
                                </a:cubicBezTo>
                                <a:cubicBezTo>
                                  <a:pt x="5369" y="285"/>
                                  <a:pt x="5369" y="285"/>
                                  <a:pt x="5369" y="285"/>
                                </a:cubicBezTo>
                                <a:cubicBezTo>
                                  <a:pt x="5464" y="285"/>
                                  <a:pt x="5464" y="285"/>
                                  <a:pt x="5464" y="285"/>
                                </a:cubicBezTo>
                                <a:cubicBezTo>
                                  <a:pt x="5491" y="214"/>
                                  <a:pt x="5491" y="214"/>
                                  <a:pt x="5491" y="214"/>
                                </a:cubicBezTo>
                                <a:cubicBezTo>
                                  <a:pt x="5368" y="214"/>
                                  <a:pt x="5368" y="214"/>
                                  <a:pt x="5368" y="214"/>
                                </a:cubicBezTo>
                                <a:cubicBezTo>
                                  <a:pt x="5368" y="143"/>
                                  <a:pt x="5368" y="143"/>
                                  <a:pt x="5368" y="143"/>
                                </a:cubicBezTo>
                                <a:cubicBezTo>
                                  <a:pt x="5368" y="101"/>
                                  <a:pt x="5390" y="77"/>
                                  <a:pt x="5426" y="77"/>
                                </a:cubicBezTo>
                                <a:cubicBezTo>
                                  <a:pt x="5445" y="77"/>
                                  <a:pt x="5459" y="83"/>
                                  <a:pt x="5482" y="94"/>
                                </a:cubicBezTo>
                                <a:lnTo>
                                  <a:pt x="5516" y="29"/>
                                </a:lnTo>
                                <a:close/>
                                <a:moveTo>
                                  <a:pt x="6106" y="685"/>
                                </a:moveTo>
                                <a:cubicBezTo>
                                  <a:pt x="6106" y="594"/>
                                  <a:pt x="6106" y="594"/>
                                  <a:pt x="6106" y="594"/>
                                </a:cubicBezTo>
                                <a:cubicBezTo>
                                  <a:pt x="5848" y="594"/>
                                  <a:pt x="5848" y="594"/>
                                  <a:pt x="5848" y="594"/>
                                </a:cubicBezTo>
                                <a:cubicBezTo>
                                  <a:pt x="5848" y="393"/>
                                  <a:pt x="5848" y="393"/>
                                  <a:pt x="5848" y="393"/>
                                </a:cubicBezTo>
                                <a:cubicBezTo>
                                  <a:pt x="6044" y="393"/>
                                  <a:pt x="6044" y="393"/>
                                  <a:pt x="6044" y="393"/>
                                </a:cubicBezTo>
                                <a:cubicBezTo>
                                  <a:pt x="6044" y="305"/>
                                  <a:pt x="6044" y="305"/>
                                  <a:pt x="6044" y="305"/>
                                </a:cubicBezTo>
                                <a:cubicBezTo>
                                  <a:pt x="5847" y="305"/>
                                  <a:pt x="5847" y="305"/>
                                  <a:pt x="5847" y="305"/>
                                </a:cubicBezTo>
                                <a:cubicBezTo>
                                  <a:pt x="5847" y="129"/>
                                  <a:pt x="5847" y="129"/>
                                  <a:pt x="5847" y="129"/>
                                </a:cubicBezTo>
                                <a:cubicBezTo>
                                  <a:pt x="6082" y="129"/>
                                  <a:pt x="6082" y="129"/>
                                  <a:pt x="6082" y="129"/>
                                </a:cubicBezTo>
                                <a:cubicBezTo>
                                  <a:pt x="6096" y="42"/>
                                  <a:pt x="6096" y="42"/>
                                  <a:pt x="6096" y="42"/>
                                </a:cubicBezTo>
                                <a:cubicBezTo>
                                  <a:pt x="5739" y="42"/>
                                  <a:pt x="5739" y="42"/>
                                  <a:pt x="5739" y="42"/>
                                </a:cubicBezTo>
                                <a:cubicBezTo>
                                  <a:pt x="5739" y="685"/>
                                  <a:pt x="5739" y="685"/>
                                  <a:pt x="5739" y="685"/>
                                </a:cubicBezTo>
                                <a:lnTo>
                                  <a:pt x="6106" y="685"/>
                                </a:lnTo>
                                <a:close/>
                                <a:moveTo>
                                  <a:pt x="6490" y="685"/>
                                </a:moveTo>
                                <a:cubicBezTo>
                                  <a:pt x="6486" y="675"/>
                                  <a:pt x="6485" y="668"/>
                                  <a:pt x="6482" y="649"/>
                                </a:cubicBezTo>
                                <a:cubicBezTo>
                                  <a:pt x="6450" y="680"/>
                                  <a:pt x="6413" y="695"/>
                                  <a:pt x="6367" y="695"/>
                                </a:cubicBezTo>
                                <a:cubicBezTo>
                                  <a:pt x="6247" y="695"/>
                                  <a:pt x="6174" y="601"/>
                                  <a:pt x="6174" y="454"/>
                                </a:cubicBezTo>
                                <a:cubicBezTo>
                                  <a:pt x="6174" y="307"/>
                                  <a:pt x="6256" y="206"/>
                                  <a:pt x="6369" y="206"/>
                                </a:cubicBezTo>
                                <a:cubicBezTo>
                                  <a:pt x="6409" y="206"/>
                                  <a:pt x="6442" y="219"/>
                                  <a:pt x="6471" y="249"/>
                                </a:cubicBezTo>
                                <a:cubicBezTo>
                                  <a:pt x="6471" y="249"/>
                                  <a:pt x="6468" y="213"/>
                                  <a:pt x="6468" y="172"/>
                                </a:cubicBezTo>
                                <a:cubicBezTo>
                                  <a:pt x="6468" y="0"/>
                                  <a:pt x="6468" y="0"/>
                                  <a:pt x="6468" y="0"/>
                                </a:cubicBezTo>
                                <a:cubicBezTo>
                                  <a:pt x="6569" y="16"/>
                                  <a:pt x="6569" y="16"/>
                                  <a:pt x="6569" y="16"/>
                                </a:cubicBezTo>
                                <a:cubicBezTo>
                                  <a:pt x="6569" y="521"/>
                                  <a:pt x="6569" y="521"/>
                                  <a:pt x="6569" y="521"/>
                                </a:cubicBezTo>
                                <a:cubicBezTo>
                                  <a:pt x="6569" y="614"/>
                                  <a:pt x="6575" y="662"/>
                                  <a:pt x="6584" y="685"/>
                                </a:cubicBezTo>
                                <a:lnTo>
                                  <a:pt x="6490" y="685"/>
                                </a:lnTo>
                                <a:close/>
                                <a:moveTo>
                                  <a:pt x="6468" y="326"/>
                                </a:moveTo>
                                <a:cubicBezTo>
                                  <a:pt x="6445" y="301"/>
                                  <a:pt x="6417" y="288"/>
                                  <a:pt x="6382" y="288"/>
                                </a:cubicBezTo>
                                <a:cubicBezTo>
                                  <a:pt x="6317" y="288"/>
                                  <a:pt x="6288" y="340"/>
                                  <a:pt x="6288" y="453"/>
                                </a:cubicBezTo>
                                <a:cubicBezTo>
                                  <a:pt x="6288" y="558"/>
                                  <a:pt x="6308" y="610"/>
                                  <a:pt x="6385" y="610"/>
                                </a:cubicBezTo>
                                <a:cubicBezTo>
                                  <a:pt x="6423" y="610"/>
                                  <a:pt x="6454" y="588"/>
                                  <a:pt x="6468" y="565"/>
                                </a:cubicBezTo>
                                <a:lnTo>
                                  <a:pt x="6468" y="326"/>
                                </a:lnTo>
                                <a:close/>
                                <a:moveTo>
                                  <a:pt x="7088" y="651"/>
                                </a:moveTo>
                                <a:cubicBezTo>
                                  <a:pt x="7088" y="651"/>
                                  <a:pt x="7059" y="628"/>
                                  <a:pt x="7059" y="558"/>
                                </a:cubicBezTo>
                                <a:cubicBezTo>
                                  <a:pt x="7059" y="203"/>
                                  <a:pt x="7059" y="203"/>
                                  <a:pt x="7059" y="203"/>
                                </a:cubicBezTo>
                                <a:cubicBezTo>
                                  <a:pt x="6960" y="222"/>
                                  <a:pt x="6960" y="222"/>
                                  <a:pt x="6960" y="222"/>
                                </a:cubicBezTo>
                                <a:cubicBezTo>
                                  <a:pt x="6960" y="559"/>
                                  <a:pt x="6960" y="559"/>
                                  <a:pt x="6960" y="559"/>
                                </a:cubicBezTo>
                                <a:cubicBezTo>
                                  <a:pt x="6945" y="592"/>
                                  <a:pt x="6903" y="620"/>
                                  <a:pt x="6868" y="620"/>
                                </a:cubicBezTo>
                                <a:cubicBezTo>
                                  <a:pt x="6808" y="620"/>
                                  <a:pt x="6800" y="577"/>
                                  <a:pt x="6800" y="518"/>
                                </a:cubicBezTo>
                                <a:cubicBezTo>
                                  <a:pt x="6800" y="203"/>
                                  <a:pt x="6800" y="203"/>
                                  <a:pt x="6800" y="203"/>
                                </a:cubicBezTo>
                                <a:cubicBezTo>
                                  <a:pt x="6699" y="222"/>
                                  <a:pt x="6699" y="222"/>
                                  <a:pt x="6699" y="222"/>
                                </a:cubicBezTo>
                                <a:cubicBezTo>
                                  <a:pt x="6699" y="541"/>
                                  <a:pt x="6699" y="541"/>
                                  <a:pt x="6699" y="541"/>
                                </a:cubicBezTo>
                                <a:cubicBezTo>
                                  <a:pt x="6699" y="599"/>
                                  <a:pt x="6707" y="630"/>
                                  <a:pt x="6725" y="652"/>
                                </a:cubicBezTo>
                                <a:cubicBezTo>
                                  <a:pt x="6749" y="680"/>
                                  <a:pt x="6789" y="699"/>
                                  <a:pt x="6842" y="699"/>
                                </a:cubicBezTo>
                                <a:cubicBezTo>
                                  <a:pt x="6896" y="699"/>
                                  <a:pt x="6942" y="680"/>
                                  <a:pt x="6976" y="641"/>
                                </a:cubicBezTo>
                                <a:cubicBezTo>
                                  <a:pt x="6985" y="668"/>
                                  <a:pt x="6997" y="685"/>
                                  <a:pt x="7017" y="700"/>
                                </a:cubicBezTo>
                                <a:lnTo>
                                  <a:pt x="7088" y="651"/>
                                </a:lnTo>
                                <a:close/>
                                <a:moveTo>
                                  <a:pt x="7365" y="697"/>
                                </a:moveTo>
                                <a:cubicBezTo>
                                  <a:pt x="7428" y="697"/>
                                  <a:pt x="7472" y="678"/>
                                  <a:pt x="7515" y="635"/>
                                </a:cubicBezTo>
                                <a:cubicBezTo>
                                  <a:pt x="7467" y="572"/>
                                  <a:pt x="7467" y="572"/>
                                  <a:pt x="7467" y="572"/>
                                </a:cubicBezTo>
                                <a:cubicBezTo>
                                  <a:pt x="7436" y="603"/>
                                  <a:pt x="7404" y="619"/>
                                  <a:pt x="7372" y="619"/>
                                </a:cubicBezTo>
                                <a:cubicBezTo>
                                  <a:pt x="7347" y="619"/>
                                  <a:pt x="7325" y="609"/>
                                  <a:pt x="7310" y="592"/>
                                </a:cubicBezTo>
                                <a:cubicBezTo>
                                  <a:pt x="7288" y="569"/>
                                  <a:pt x="7278" y="528"/>
                                  <a:pt x="7278" y="464"/>
                                </a:cubicBezTo>
                                <a:cubicBezTo>
                                  <a:pt x="7278" y="405"/>
                                  <a:pt x="7284" y="361"/>
                                  <a:pt x="7298" y="333"/>
                                </a:cubicBezTo>
                                <a:cubicBezTo>
                                  <a:pt x="7312" y="302"/>
                                  <a:pt x="7340" y="285"/>
                                  <a:pt x="7372" y="285"/>
                                </a:cubicBezTo>
                                <a:cubicBezTo>
                                  <a:pt x="7399" y="285"/>
                                  <a:pt x="7423" y="296"/>
                                  <a:pt x="7451" y="321"/>
                                </a:cubicBezTo>
                                <a:cubicBezTo>
                                  <a:pt x="7502" y="253"/>
                                  <a:pt x="7502" y="253"/>
                                  <a:pt x="7502" y="253"/>
                                </a:cubicBezTo>
                                <a:cubicBezTo>
                                  <a:pt x="7460" y="215"/>
                                  <a:pt x="7423" y="203"/>
                                  <a:pt x="7372" y="203"/>
                                </a:cubicBezTo>
                                <a:cubicBezTo>
                                  <a:pt x="7267" y="203"/>
                                  <a:pt x="7165" y="284"/>
                                  <a:pt x="7165" y="455"/>
                                </a:cubicBezTo>
                                <a:cubicBezTo>
                                  <a:pt x="7165" y="607"/>
                                  <a:pt x="7236" y="697"/>
                                  <a:pt x="7365" y="697"/>
                                </a:cubicBezTo>
                                <a:moveTo>
                                  <a:pt x="7911" y="704"/>
                                </a:moveTo>
                                <a:cubicBezTo>
                                  <a:pt x="7882" y="693"/>
                                  <a:pt x="7858" y="671"/>
                                  <a:pt x="7847" y="641"/>
                                </a:cubicBezTo>
                                <a:cubicBezTo>
                                  <a:pt x="7809" y="684"/>
                                  <a:pt x="7768" y="699"/>
                                  <a:pt x="7718" y="699"/>
                                </a:cubicBezTo>
                                <a:cubicBezTo>
                                  <a:pt x="7610" y="699"/>
                                  <a:pt x="7561" y="639"/>
                                  <a:pt x="7561" y="557"/>
                                </a:cubicBezTo>
                                <a:cubicBezTo>
                                  <a:pt x="7561" y="449"/>
                                  <a:pt x="7643" y="394"/>
                                  <a:pt x="7794" y="394"/>
                                </a:cubicBezTo>
                                <a:cubicBezTo>
                                  <a:pt x="7825" y="394"/>
                                  <a:pt x="7825" y="394"/>
                                  <a:pt x="7825" y="394"/>
                                </a:cubicBezTo>
                                <a:cubicBezTo>
                                  <a:pt x="7825" y="369"/>
                                  <a:pt x="7825" y="369"/>
                                  <a:pt x="7825" y="369"/>
                                </a:cubicBezTo>
                                <a:cubicBezTo>
                                  <a:pt x="7825" y="315"/>
                                  <a:pt x="7816" y="286"/>
                                  <a:pt x="7760" y="286"/>
                                </a:cubicBezTo>
                                <a:cubicBezTo>
                                  <a:pt x="7692" y="286"/>
                                  <a:pt x="7620" y="340"/>
                                  <a:pt x="7620" y="340"/>
                                </a:cubicBezTo>
                                <a:cubicBezTo>
                                  <a:pt x="7574" y="267"/>
                                  <a:pt x="7574" y="267"/>
                                  <a:pt x="7574" y="267"/>
                                </a:cubicBezTo>
                                <a:cubicBezTo>
                                  <a:pt x="7645" y="222"/>
                                  <a:pt x="7704" y="202"/>
                                  <a:pt x="7774" y="202"/>
                                </a:cubicBezTo>
                                <a:cubicBezTo>
                                  <a:pt x="7848" y="202"/>
                                  <a:pt x="7897" y="229"/>
                                  <a:pt x="7918" y="280"/>
                                </a:cubicBezTo>
                                <a:cubicBezTo>
                                  <a:pt x="7926" y="301"/>
                                  <a:pt x="7926" y="326"/>
                                  <a:pt x="7925" y="396"/>
                                </a:cubicBezTo>
                                <a:cubicBezTo>
                                  <a:pt x="7923" y="530"/>
                                  <a:pt x="7923" y="530"/>
                                  <a:pt x="7923" y="530"/>
                                </a:cubicBezTo>
                                <a:cubicBezTo>
                                  <a:pt x="7922" y="594"/>
                                  <a:pt x="7928" y="614"/>
                                  <a:pt x="7964" y="639"/>
                                </a:cubicBezTo>
                                <a:lnTo>
                                  <a:pt x="7911" y="704"/>
                                </a:lnTo>
                                <a:close/>
                                <a:moveTo>
                                  <a:pt x="7805" y="463"/>
                                </a:moveTo>
                                <a:cubicBezTo>
                                  <a:pt x="7703" y="463"/>
                                  <a:pt x="7672" y="492"/>
                                  <a:pt x="7672" y="552"/>
                                </a:cubicBezTo>
                                <a:cubicBezTo>
                                  <a:pt x="7672" y="597"/>
                                  <a:pt x="7696" y="624"/>
                                  <a:pt x="7737" y="624"/>
                                </a:cubicBezTo>
                                <a:cubicBezTo>
                                  <a:pt x="7770" y="624"/>
                                  <a:pt x="7801" y="605"/>
                                  <a:pt x="7822" y="575"/>
                                </a:cubicBezTo>
                                <a:cubicBezTo>
                                  <a:pt x="7823" y="464"/>
                                  <a:pt x="7823" y="464"/>
                                  <a:pt x="7823" y="464"/>
                                </a:cubicBezTo>
                                <a:cubicBezTo>
                                  <a:pt x="7823" y="464"/>
                                  <a:pt x="7812" y="463"/>
                                  <a:pt x="7805" y="463"/>
                                </a:cubicBezTo>
                                <a:moveTo>
                                  <a:pt x="8157" y="215"/>
                                </a:moveTo>
                                <a:cubicBezTo>
                                  <a:pt x="8157" y="168"/>
                                  <a:pt x="8161" y="111"/>
                                  <a:pt x="8165" y="73"/>
                                </a:cubicBezTo>
                                <a:cubicBezTo>
                                  <a:pt x="8060" y="98"/>
                                  <a:pt x="8060" y="98"/>
                                  <a:pt x="8060" y="98"/>
                                </a:cubicBezTo>
                                <a:cubicBezTo>
                                  <a:pt x="8056" y="134"/>
                                  <a:pt x="8056" y="175"/>
                                  <a:pt x="8056" y="215"/>
                                </a:cubicBezTo>
                                <a:cubicBezTo>
                                  <a:pt x="8004" y="215"/>
                                  <a:pt x="8004" y="215"/>
                                  <a:pt x="8004" y="215"/>
                                </a:cubicBezTo>
                                <a:cubicBezTo>
                                  <a:pt x="8004" y="285"/>
                                  <a:pt x="8004" y="285"/>
                                  <a:pt x="8004" y="285"/>
                                </a:cubicBezTo>
                                <a:cubicBezTo>
                                  <a:pt x="8056" y="285"/>
                                  <a:pt x="8056" y="285"/>
                                  <a:pt x="8056" y="285"/>
                                </a:cubicBezTo>
                                <a:cubicBezTo>
                                  <a:pt x="8056" y="576"/>
                                  <a:pt x="8056" y="576"/>
                                  <a:pt x="8056" y="576"/>
                                </a:cubicBezTo>
                                <a:cubicBezTo>
                                  <a:pt x="8056" y="643"/>
                                  <a:pt x="8087" y="697"/>
                                  <a:pt x="8178" y="697"/>
                                </a:cubicBezTo>
                                <a:cubicBezTo>
                                  <a:pt x="8210" y="697"/>
                                  <a:pt x="8240" y="690"/>
                                  <a:pt x="8270" y="676"/>
                                </a:cubicBezTo>
                                <a:cubicBezTo>
                                  <a:pt x="8257" y="615"/>
                                  <a:pt x="8257" y="615"/>
                                  <a:pt x="8257" y="615"/>
                                </a:cubicBezTo>
                                <a:cubicBezTo>
                                  <a:pt x="8240" y="622"/>
                                  <a:pt x="8228" y="624"/>
                                  <a:pt x="8214" y="624"/>
                                </a:cubicBezTo>
                                <a:cubicBezTo>
                                  <a:pt x="8169" y="624"/>
                                  <a:pt x="8156" y="608"/>
                                  <a:pt x="8156" y="549"/>
                                </a:cubicBezTo>
                                <a:cubicBezTo>
                                  <a:pt x="8156" y="285"/>
                                  <a:pt x="8156" y="285"/>
                                  <a:pt x="8156" y="285"/>
                                </a:cubicBezTo>
                                <a:cubicBezTo>
                                  <a:pt x="8243" y="285"/>
                                  <a:pt x="8243" y="285"/>
                                  <a:pt x="8243" y="285"/>
                                </a:cubicBezTo>
                                <a:cubicBezTo>
                                  <a:pt x="8269" y="215"/>
                                  <a:pt x="8269" y="215"/>
                                  <a:pt x="8269" y="215"/>
                                </a:cubicBezTo>
                                <a:cubicBezTo>
                                  <a:pt x="8157" y="215"/>
                                  <a:pt x="8157" y="215"/>
                                  <a:pt x="8157" y="215"/>
                                </a:cubicBezTo>
                                <a:moveTo>
                                  <a:pt x="8336" y="77"/>
                                </a:moveTo>
                                <a:cubicBezTo>
                                  <a:pt x="8336" y="39"/>
                                  <a:pt x="8366" y="8"/>
                                  <a:pt x="8404" y="8"/>
                                </a:cubicBezTo>
                                <a:cubicBezTo>
                                  <a:pt x="8440" y="8"/>
                                  <a:pt x="8471" y="38"/>
                                  <a:pt x="8471" y="77"/>
                                </a:cubicBezTo>
                                <a:cubicBezTo>
                                  <a:pt x="8471" y="114"/>
                                  <a:pt x="8440" y="145"/>
                                  <a:pt x="8402" y="145"/>
                                </a:cubicBezTo>
                                <a:cubicBezTo>
                                  <a:pt x="8365" y="145"/>
                                  <a:pt x="8336" y="114"/>
                                  <a:pt x="8336" y="77"/>
                                </a:cubicBezTo>
                                <a:moveTo>
                                  <a:pt x="8351" y="685"/>
                                </a:moveTo>
                                <a:cubicBezTo>
                                  <a:pt x="8351" y="222"/>
                                  <a:pt x="8351" y="222"/>
                                  <a:pt x="8351" y="222"/>
                                </a:cubicBezTo>
                                <a:cubicBezTo>
                                  <a:pt x="8454" y="204"/>
                                  <a:pt x="8454" y="204"/>
                                  <a:pt x="8454" y="204"/>
                                </a:cubicBezTo>
                                <a:cubicBezTo>
                                  <a:pt x="8454" y="685"/>
                                  <a:pt x="8454" y="685"/>
                                  <a:pt x="8454" y="685"/>
                                </a:cubicBezTo>
                                <a:lnTo>
                                  <a:pt x="8351" y="685"/>
                                </a:lnTo>
                                <a:close/>
                                <a:moveTo>
                                  <a:pt x="8967" y="452"/>
                                </a:moveTo>
                                <a:cubicBezTo>
                                  <a:pt x="8967" y="603"/>
                                  <a:pt x="8886" y="697"/>
                                  <a:pt x="8759" y="697"/>
                                </a:cubicBezTo>
                                <a:cubicBezTo>
                                  <a:pt x="8632" y="697"/>
                                  <a:pt x="8552" y="601"/>
                                  <a:pt x="8552" y="451"/>
                                </a:cubicBezTo>
                                <a:cubicBezTo>
                                  <a:pt x="8552" y="300"/>
                                  <a:pt x="8633" y="203"/>
                                  <a:pt x="8757" y="203"/>
                                </a:cubicBezTo>
                                <a:cubicBezTo>
                                  <a:pt x="8891" y="203"/>
                                  <a:pt x="8967" y="303"/>
                                  <a:pt x="8967" y="452"/>
                                </a:cubicBezTo>
                                <a:moveTo>
                                  <a:pt x="8665" y="444"/>
                                </a:moveTo>
                                <a:cubicBezTo>
                                  <a:pt x="8665" y="581"/>
                                  <a:pt x="8700" y="621"/>
                                  <a:pt x="8761" y="621"/>
                                </a:cubicBezTo>
                                <a:cubicBezTo>
                                  <a:pt x="8821" y="621"/>
                                  <a:pt x="8855" y="571"/>
                                  <a:pt x="8855" y="453"/>
                                </a:cubicBezTo>
                                <a:cubicBezTo>
                                  <a:pt x="8855" y="321"/>
                                  <a:pt x="8818" y="281"/>
                                  <a:pt x="8758" y="281"/>
                                </a:cubicBezTo>
                                <a:cubicBezTo>
                                  <a:pt x="8693" y="281"/>
                                  <a:pt x="8665" y="330"/>
                                  <a:pt x="8665" y="444"/>
                                </a:cubicBezTo>
                                <a:moveTo>
                                  <a:pt x="9428" y="685"/>
                                </a:moveTo>
                                <a:cubicBezTo>
                                  <a:pt x="9428" y="334"/>
                                  <a:pt x="9428" y="334"/>
                                  <a:pt x="9428" y="334"/>
                                </a:cubicBezTo>
                                <a:cubicBezTo>
                                  <a:pt x="9428" y="247"/>
                                  <a:pt x="9378" y="204"/>
                                  <a:pt x="9305" y="204"/>
                                </a:cubicBezTo>
                                <a:cubicBezTo>
                                  <a:pt x="9255" y="204"/>
                                  <a:pt x="9212" y="226"/>
                                  <a:pt x="9161" y="268"/>
                                </a:cubicBezTo>
                                <a:cubicBezTo>
                                  <a:pt x="9161" y="243"/>
                                  <a:pt x="9156" y="223"/>
                                  <a:pt x="9145" y="202"/>
                                </a:cubicBezTo>
                                <a:cubicBezTo>
                                  <a:pt x="9052" y="228"/>
                                  <a:pt x="9052" y="228"/>
                                  <a:pt x="9052" y="228"/>
                                </a:cubicBezTo>
                                <a:cubicBezTo>
                                  <a:pt x="9065" y="261"/>
                                  <a:pt x="9070" y="290"/>
                                  <a:pt x="9070" y="339"/>
                                </a:cubicBezTo>
                                <a:cubicBezTo>
                                  <a:pt x="9070" y="685"/>
                                  <a:pt x="9070" y="685"/>
                                  <a:pt x="9070" y="685"/>
                                </a:cubicBezTo>
                                <a:cubicBezTo>
                                  <a:pt x="9170" y="685"/>
                                  <a:pt x="9170" y="685"/>
                                  <a:pt x="9170" y="685"/>
                                </a:cubicBezTo>
                                <a:cubicBezTo>
                                  <a:pt x="9170" y="344"/>
                                  <a:pt x="9170" y="344"/>
                                  <a:pt x="9170" y="344"/>
                                </a:cubicBezTo>
                                <a:cubicBezTo>
                                  <a:pt x="9201" y="313"/>
                                  <a:pt x="9243" y="291"/>
                                  <a:pt x="9273" y="291"/>
                                </a:cubicBezTo>
                                <a:cubicBezTo>
                                  <a:pt x="9312" y="291"/>
                                  <a:pt x="9327" y="308"/>
                                  <a:pt x="9327" y="373"/>
                                </a:cubicBezTo>
                                <a:cubicBezTo>
                                  <a:pt x="9327" y="685"/>
                                  <a:pt x="9327" y="685"/>
                                  <a:pt x="9327" y="685"/>
                                </a:cubicBezTo>
                                <a:lnTo>
                                  <a:pt x="9428" y="685"/>
                                </a:lnTo>
                                <a:close/>
                                <a:moveTo>
                                  <a:pt x="10072" y="704"/>
                                </a:moveTo>
                                <a:cubicBezTo>
                                  <a:pt x="10043" y="693"/>
                                  <a:pt x="10019" y="671"/>
                                  <a:pt x="10008" y="641"/>
                                </a:cubicBezTo>
                                <a:cubicBezTo>
                                  <a:pt x="9970" y="684"/>
                                  <a:pt x="9929" y="699"/>
                                  <a:pt x="9879" y="699"/>
                                </a:cubicBezTo>
                                <a:cubicBezTo>
                                  <a:pt x="9771" y="699"/>
                                  <a:pt x="9723" y="639"/>
                                  <a:pt x="9723" y="557"/>
                                </a:cubicBezTo>
                                <a:cubicBezTo>
                                  <a:pt x="9723" y="449"/>
                                  <a:pt x="9804" y="394"/>
                                  <a:pt x="9955" y="394"/>
                                </a:cubicBezTo>
                                <a:cubicBezTo>
                                  <a:pt x="9986" y="394"/>
                                  <a:pt x="9986" y="394"/>
                                  <a:pt x="9986" y="394"/>
                                </a:cubicBezTo>
                                <a:cubicBezTo>
                                  <a:pt x="9986" y="369"/>
                                  <a:pt x="9986" y="369"/>
                                  <a:pt x="9986" y="369"/>
                                </a:cubicBezTo>
                                <a:cubicBezTo>
                                  <a:pt x="9986" y="315"/>
                                  <a:pt x="9977" y="286"/>
                                  <a:pt x="9921" y="286"/>
                                </a:cubicBezTo>
                                <a:cubicBezTo>
                                  <a:pt x="9854" y="286"/>
                                  <a:pt x="9781" y="340"/>
                                  <a:pt x="9781" y="340"/>
                                </a:cubicBezTo>
                                <a:cubicBezTo>
                                  <a:pt x="9735" y="267"/>
                                  <a:pt x="9735" y="267"/>
                                  <a:pt x="9735" y="267"/>
                                </a:cubicBezTo>
                                <a:cubicBezTo>
                                  <a:pt x="9806" y="222"/>
                                  <a:pt x="9865" y="202"/>
                                  <a:pt x="9935" y="202"/>
                                </a:cubicBezTo>
                                <a:cubicBezTo>
                                  <a:pt x="10009" y="202"/>
                                  <a:pt x="10058" y="229"/>
                                  <a:pt x="10079" y="280"/>
                                </a:cubicBezTo>
                                <a:cubicBezTo>
                                  <a:pt x="10087" y="301"/>
                                  <a:pt x="10087" y="326"/>
                                  <a:pt x="10086" y="396"/>
                                </a:cubicBezTo>
                                <a:cubicBezTo>
                                  <a:pt x="10084" y="530"/>
                                  <a:pt x="10084" y="530"/>
                                  <a:pt x="10084" y="530"/>
                                </a:cubicBezTo>
                                <a:cubicBezTo>
                                  <a:pt x="10083" y="594"/>
                                  <a:pt x="10089" y="614"/>
                                  <a:pt x="10125" y="639"/>
                                </a:cubicBezTo>
                                <a:lnTo>
                                  <a:pt x="10072" y="704"/>
                                </a:lnTo>
                                <a:close/>
                                <a:moveTo>
                                  <a:pt x="9966" y="463"/>
                                </a:moveTo>
                                <a:cubicBezTo>
                                  <a:pt x="9864" y="463"/>
                                  <a:pt x="9833" y="492"/>
                                  <a:pt x="9833" y="552"/>
                                </a:cubicBezTo>
                                <a:cubicBezTo>
                                  <a:pt x="9833" y="597"/>
                                  <a:pt x="9857" y="624"/>
                                  <a:pt x="9898" y="624"/>
                                </a:cubicBezTo>
                                <a:cubicBezTo>
                                  <a:pt x="9931" y="624"/>
                                  <a:pt x="9962" y="605"/>
                                  <a:pt x="9983" y="575"/>
                                </a:cubicBezTo>
                                <a:cubicBezTo>
                                  <a:pt x="9984" y="464"/>
                                  <a:pt x="9984" y="464"/>
                                  <a:pt x="9984" y="464"/>
                                </a:cubicBezTo>
                                <a:cubicBezTo>
                                  <a:pt x="9984" y="464"/>
                                  <a:pt x="9973" y="463"/>
                                  <a:pt x="9966" y="463"/>
                                </a:cubicBezTo>
                                <a:moveTo>
                                  <a:pt x="10578" y="685"/>
                                </a:moveTo>
                                <a:cubicBezTo>
                                  <a:pt x="10578" y="334"/>
                                  <a:pt x="10578" y="334"/>
                                  <a:pt x="10578" y="334"/>
                                </a:cubicBezTo>
                                <a:cubicBezTo>
                                  <a:pt x="10578" y="247"/>
                                  <a:pt x="10528" y="204"/>
                                  <a:pt x="10456" y="204"/>
                                </a:cubicBezTo>
                                <a:cubicBezTo>
                                  <a:pt x="10406" y="204"/>
                                  <a:pt x="10362" y="226"/>
                                  <a:pt x="10312" y="268"/>
                                </a:cubicBezTo>
                                <a:cubicBezTo>
                                  <a:pt x="10312" y="243"/>
                                  <a:pt x="10306" y="223"/>
                                  <a:pt x="10295" y="202"/>
                                </a:cubicBezTo>
                                <a:cubicBezTo>
                                  <a:pt x="10202" y="228"/>
                                  <a:pt x="10202" y="228"/>
                                  <a:pt x="10202" y="228"/>
                                </a:cubicBezTo>
                                <a:cubicBezTo>
                                  <a:pt x="10215" y="261"/>
                                  <a:pt x="10220" y="290"/>
                                  <a:pt x="10220" y="339"/>
                                </a:cubicBezTo>
                                <a:cubicBezTo>
                                  <a:pt x="10220" y="685"/>
                                  <a:pt x="10220" y="685"/>
                                  <a:pt x="10220" y="685"/>
                                </a:cubicBezTo>
                                <a:cubicBezTo>
                                  <a:pt x="10320" y="685"/>
                                  <a:pt x="10320" y="685"/>
                                  <a:pt x="10320" y="685"/>
                                </a:cubicBezTo>
                                <a:cubicBezTo>
                                  <a:pt x="10320" y="344"/>
                                  <a:pt x="10320" y="344"/>
                                  <a:pt x="10320" y="344"/>
                                </a:cubicBezTo>
                                <a:cubicBezTo>
                                  <a:pt x="10351" y="313"/>
                                  <a:pt x="10394" y="291"/>
                                  <a:pt x="10423" y="291"/>
                                </a:cubicBezTo>
                                <a:cubicBezTo>
                                  <a:pt x="10462" y="291"/>
                                  <a:pt x="10477" y="308"/>
                                  <a:pt x="10477" y="373"/>
                                </a:cubicBezTo>
                                <a:cubicBezTo>
                                  <a:pt x="10477" y="685"/>
                                  <a:pt x="10477" y="685"/>
                                  <a:pt x="10477" y="685"/>
                                </a:cubicBezTo>
                                <a:lnTo>
                                  <a:pt x="10578" y="685"/>
                                </a:lnTo>
                                <a:close/>
                                <a:moveTo>
                                  <a:pt x="10990" y="685"/>
                                </a:moveTo>
                                <a:cubicBezTo>
                                  <a:pt x="10985" y="675"/>
                                  <a:pt x="10984" y="668"/>
                                  <a:pt x="10982" y="649"/>
                                </a:cubicBezTo>
                                <a:cubicBezTo>
                                  <a:pt x="10950" y="680"/>
                                  <a:pt x="10913" y="695"/>
                                  <a:pt x="10866" y="695"/>
                                </a:cubicBezTo>
                                <a:cubicBezTo>
                                  <a:pt x="10746" y="695"/>
                                  <a:pt x="10674" y="601"/>
                                  <a:pt x="10674" y="454"/>
                                </a:cubicBezTo>
                                <a:cubicBezTo>
                                  <a:pt x="10674" y="307"/>
                                  <a:pt x="10756" y="206"/>
                                  <a:pt x="10869" y="206"/>
                                </a:cubicBezTo>
                                <a:cubicBezTo>
                                  <a:pt x="10909" y="206"/>
                                  <a:pt x="10942" y="219"/>
                                  <a:pt x="10970" y="249"/>
                                </a:cubicBezTo>
                                <a:cubicBezTo>
                                  <a:pt x="10970" y="249"/>
                                  <a:pt x="10968" y="213"/>
                                  <a:pt x="10968" y="172"/>
                                </a:cubicBezTo>
                                <a:cubicBezTo>
                                  <a:pt x="10968" y="0"/>
                                  <a:pt x="10968" y="0"/>
                                  <a:pt x="10968" y="0"/>
                                </a:cubicBezTo>
                                <a:cubicBezTo>
                                  <a:pt x="11069" y="16"/>
                                  <a:pt x="11069" y="16"/>
                                  <a:pt x="11069" y="16"/>
                                </a:cubicBezTo>
                                <a:cubicBezTo>
                                  <a:pt x="11069" y="521"/>
                                  <a:pt x="11069" y="521"/>
                                  <a:pt x="11069" y="521"/>
                                </a:cubicBezTo>
                                <a:cubicBezTo>
                                  <a:pt x="11069" y="614"/>
                                  <a:pt x="11075" y="662"/>
                                  <a:pt x="11084" y="685"/>
                                </a:cubicBezTo>
                                <a:lnTo>
                                  <a:pt x="10990" y="685"/>
                                </a:lnTo>
                                <a:close/>
                                <a:moveTo>
                                  <a:pt x="10968" y="326"/>
                                </a:moveTo>
                                <a:cubicBezTo>
                                  <a:pt x="10944" y="301"/>
                                  <a:pt x="10916" y="288"/>
                                  <a:pt x="10882" y="288"/>
                                </a:cubicBezTo>
                                <a:cubicBezTo>
                                  <a:pt x="10817" y="288"/>
                                  <a:pt x="10787" y="340"/>
                                  <a:pt x="10787" y="453"/>
                                </a:cubicBezTo>
                                <a:cubicBezTo>
                                  <a:pt x="10787" y="558"/>
                                  <a:pt x="10808" y="610"/>
                                  <a:pt x="10885" y="610"/>
                                </a:cubicBezTo>
                                <a:cubicBezTo>
                                  <a:pt x="10923" y="610"/>
                                  <a:pt x="10954" y="588"/>
                                  <a:pt x="10968" y="565"/>
                                </a:cubicBezTo>
                                <a:lnTo>
                                  <a:pt x="10968" y="326"/>
                                </a:lnTo>
                                <a:close/>
                                <a:moveTo>
                                  <a:pt x="367" y="1707"/>
                                </a:moveTo>
                                <a:cubicBezTo>
                                  <a:pt x="367" y="1616"/>
                                  <a:pt x="367" y="1616"/>
                                  <a:pt x="367" y="1616"/>
                                </a:cubicBezTo>
                                <a:cubicBezTo>
                                  <a:pt x="109" y="1616"/>
                                  <a:pt x="109" y="1616"/>
                                  <a:pt x="109" y="1616"/>
                                </a:cubicBezTo>
                                <a:cubicBezTo>
                                  <a:pt x="109" y="1415"/>
                                  <a:pt x="109" y="1415"/>
                                  <a:pt x="109" y="1415"/>
                                </a:cubicBezTo>
                                <a:cubicBezTo>
                                  <a:pt x="305" y="1415"/>
                                  <a:pt x="305" y="1415"/>
                                  <a:pt x="305" y="1415"/>
                                </a:cubicBezTo>
                                <a:cubicBezTo>
                                  <a:pt x="305" y="1327"/>
                                  <a:pt x="305" y="1327"/>
                                  <a:pt x="305" y="1327"/>
                                </a:cubicBezTo>
                                <a:cubicBezTo>
                                  <a:pt x="107" y="1327"/>
                                  <a:pt x="107" y="1327"/>
                                  <a:pt x="107" y="1327"/>
                                </a:cubicBezTo>
                                <a:cubicBezTo>
                                  <a:pt x="107" y="1151"/>
                                  <a:pt x="107" y="1151"/>
                                  <a:pt x="107" y="1151"/>
                                </a:cubicBezTo>
                                <a:cubicBezTo>
                                  <a:pt x="343" y="1151"/>
                                  <a:pt x="343" y="1151"/>
                                  <a:pt x="343" y="1151"/>
                                </a:cubicBezTo>
                                <a:cubicBezTo>
                                  <a:pt x="357" y="1064"/>
                                  <a:pt x="357" y="1064"/>
                                  <a:pt x="357" y="1064"/>
                                </a:cubicBezTo>
                                <a:cubicBezTo>
                                  <a:pt x="0" y="1064"/>
                                  <a:pt x="0" y="1064"/>
                                  <a:pt x="0" y="1064"/>
                                </a:cubicBezTo>
                                <a:cubicBezTo>
                                  <a:pt x="0" y="1707"/>
                                  <a:pt x="0" y="1707"/>
                                  <a:pt x="0" y="1707"/>
                                </a:cubicBezTo>
                                <a:lnTo>
                                  <a:pt x="367" y="1707"/>
                                </a:lnTo>
                                <a:close/>
                                <a:moveTo>
                                  <a:pt x="778" y="1726"/>
                                </a:moveTo>
                                <a:cubicBezTo>
                                  <a:pt x="749" y="1715"/>
                                  <a:pt x="725" y="1693"/>
                                  <a:pt x="714" y="1663"/>
                                </a:cubicBezTo>
                                <a:cubicBezTo>
                                  <a:pt x="676" y="1706"/>
                                  <a:pt x="635" y="1721"/>
                                  <a:pt x="585" y="1721"/>
                                </a:cubicBezTo>
                                <a:cubicBezTo>
                                  <a:pt x="477" y="1721"/>
                                  <a:pt x="429" y="1661"/>
                                  <a:pt x="429" y="1579"/>
                                </a:cubicBezTo>
                                <a:cubicBezTo>
                                  <a:pt x="429" y="1471"/>
                                  <a:pt x="511" y="1416"/>
                                  <a:pt x="661" y="1416"/>
                                </a:cubicBezTo>
                                <a:cubicBezTo>
                                  <a:pt x="693" y="1416"/>
                                  <a:pt x="693" y="1416"/>
                                  <a:pt x="693" y="1416"/>
                                </a:cubicBezTo>
                                <a:cubicBezTo>
                                  <a:pt x="693" y="1391"/>
                                  <a:pt x="693" y="1391"/>
                                  <a:pt x="693" y="1391"/>
                                </a:cubicBezTo>
                                <a:cubicBezTo>
                                  <a:pt x="693" y="1337"/>
                                  <a:pt x="683" y="1308"/>
                                  <a:pt x="628" y="1308"/>
                                </a:cubicBezTo>
                                <a:cubicBezTo>
                                  <a:pt x="560" y="1308"/>
                                  <a:pt x="487" y="1362"/>
                                  <a:pt x="487" y="1362"/>
                                </a:cubicBezTo>
                                <a:cubicBezTo>
                                  <a:pt x="442" y="1289"/>
                                  <a:pt x="442" y="1289"/>
                                  <a:pt x="442" y="1289"/>
                                </a:cubicBezTo>
                                <a:cubicBezTo>
                                  <a:pt x="512" y="1244"/>
                                  <a:pt x="571" y="1224"/>
                                  <a:pt x="641" y="1224"/>
                                </a:cubicBezTo>
                                <a:cubicBezTo>
                                  <a:pt x="715" y="1224"/>
                                  <a:pt x="764" y="1251"/>
                                  <a:pt x="785" y="1302"/>
                                </a:cubicBezTo>
                                <a:cubicBezTo>
                                  <a:pt x="793" y="1323"/>
                                  <a:pt x="793" y="1348"/>
                                  <a:pt x="792" y="1418"/>
                                </a:cubicBezTo>
                                <a:cubicBezTo>
                                  <a:pt x="790" y="1553"/>
                                  <a:pt x="790" y="1553"/>
                                  <a:pt x="790" y="1553"/>
                                </a:cubicBezTo>
                                <a:cubicBezTo>
                                  <a:pt x="789" y="1616"/>
                                  <a:pt x="795" y="1636"/>
                                  <a:pt x="831" y="1661"/>
                                </a:cubicBezTo>
                                <a:lnTo>
                                  <a:pt x="778" y="1726"/>
                                </a:lnTo>
                                <a:close/>
                                <a:moveTo>
                                  <a:pt x="672" y="1485"/>
                                </a:moveTo>
                                <a:cubicBezTo>
                                  <a:pt x="570" y="1485"/>
                                  <a:pt x="539" y="1514"/>
                                  <a:pt x="539" y="1574"/>
                                </a:cubicBezTo>
                                <a:cubicBezTo>
                                  <a:pt x="539" y="1619"/>
                                  <a:pt x="563" y="1646"/>
                                  <a:pt x="604" y="1646"/>
                                </a:cubicBezTo>
                                <a:cubicBezTo>
                                  <a:pt x="637" y="1646"/>
                                  <a:pt x="669" y="1627"/>
                                  <a:pt x="689" y="1597"/>
                                </a:cubicBezTo>
                                <a:cubicBezTo>
                                  <a:pt x="691" y="1486"/>
                                  <a:pt x="691" y="1486"/>
                                  <a:pt x="691" y="1486"/>
                                </a:cubicBezTo>
                                <a:cubicBezTo>
                                  <a:pt x="691" y="1486"/>
                                  <a:pt x="680" y="1485"/>
                                  <a:pt x="672" y="1485"/>
                                </a:cubicBezTo>
                                <a:moveTo>
                                  <a:pt x="1167" y="1231"/>
                                </a:moveTo>
                                <a:cubicBezTo>
                                  <a:pt x="1155" y="1225"/>
                                  <a:pt x="1146" y="1223"/>
                                  <a:pt x="1131" y="1223"/>
                                </a:cubicBezTo>
                                <a:cubicBezTo>
                                  <a:pt x="1086" y="1223"/>
                                  <a:pt x="1049" y="1248"/>
                                  <a:pt x="1011" y="1299"/>
                                </a:cubicBezTo>
                                <a:cubicBezTo>
                                  <a:pt x="1011" y="1273"/>
                                  <a:pt x="1005" y="1246"/>
                                  <a:pt x="994" y="1224"/>
                                </a:cubicBezTo>
                                <a:cubicBezTo>
                                  <a:pt x="900" y="1249"/>
                                  <a:pt x="900" y="1249"/>
                                  <a:pt x="900" y="1249"/>
                                </a:cubicBezTo>
                                <a:cubicBezTo>
                                  <a:pt x="910" y="1278"/>
                                  <a:pt x="917" y="1316"/>
                                  <a:pt x="917" y="1375"/>
                                </a:cubicBezTo>
                                <a:cubicBezTo>
                                  <a:pt x="917" y="1707"/>
                                  <a:pt x="917" y="1707"/>
                                  <a:pt x="917" y="1707"/>
                                </a:cubicBezTo>
                                <a:cubicBezTo>
                                  <a:pt x="1019" y="1707"/>
                                  <a:pt x="1019" y="1707"/>
                                  <a:pt x="1019" y="1707"/>
                                </a:cubicBezTo>
                                <a:cubicBezTo>
                                  <a:pt x="1019" y="1389"/>
                                  <a:pt x="1019" y="1389"/>
                                  <a:pt x="1019" y="1389"/>
                                </a:cubicBezTo>
                                <a:cubicBezTo>
                                  <a:pt x="1028" y="1351"/>
                                  <a:pt x="1064" y="1319"/>
                                  <a:pt x="1107" y="1319"/>
                                </a:cubicBezTo>
                                <a:cubicBezTo>
                                  <a:pt x="1118" y="1319"/>
                                  <a:pt x="1126" y="1322"/>
                                  <a:pt x="1136" y="1326"/>
                                </a:cubicBezTo>
                                <a:lnTo>
                                  <a:pt x="1167" y="1231"/>
                                </a:lnTo>
                                <a:close/>
                                <a:moveTo>
                                  <a:pt x="1318" y="1717"/>
                                </a:moveTo>
                                <a:cubicBezTo>
                                  <a:pt x="1341" y="1717"/>
                                  <a:pt x="1361" y="1713"/>
                                  <a:pt x="1379" y="1706"/>
                                </a:cubicBezTo>
                                <a:cubicBezTo>
                                  <a:pt x="1363" y="1643"/>
                                  <a:pt x="1363" y="1643"/>
                                  <a:pt x="1363" y="1643"/>
                                </a:cubicBezTo>
                                <a:cubicBezTo>
                                  <a:pt x="1350" y="1648"/>
                                  <a:pt x="1335" y="1644"/>
                                  <a:pt x="1329" y="1635"/>
                                </a:cubicBezTo>
                                <a:cubicBezTo>
                                  <a:pt x="1322" y="1624"/>
                                  <a:pt x="1319" y="1614"/>
                                  <a:pt x="1319" y="1551"/>
                                </a:cubicBezTo>
                                <a:cubicBezTo>
                                  <a:pt x="1319" y="1152"/>
                                  <a:pt x="1319" y="1152"/>
                                  <a:pt x="1319" y="1152"/>
                                </a:cubicBezTo>
                                <a:cubicBezTo>
                                  <a:pt x="1319" y="1091"/>
                                  <a:pt x="1318" y="1052"/>
                                  <a:pt x="1310" y="1023"/>
                                </a:cubicBezTo>
                                <a:cubicBezTo>
                                  <a:pt x="1206" y="1046"/>
                                  <a:pt x="1206" y="1046"/>
                                  <a:pt x="1206" y="1046"/>
                                </a:cubicBezTo>
                                <a:cubicBezTo>
                                  <a:pt x="1212" y="1085"/>
                                  <a:pt x="1215" y="1119"/>
                                  <a:pt x="1215" y="1184"/>
                                </a:cubicBezTo>
                                <a:cubicBezTo>
                                  <a:pt x="1215" y="1584"/>
                                  <a:pt x="1215" y="1584"/>
                                  <a:pt x="1215" y="1584"/>
                                </a:cubicBezTo>
                                <a:cubicBezTo>
                                  <a:pt x="1215" y="1624"/>
                                  <a:pt x="1215" y="1717"/>
                                  <a:pt x="1318" y="1717"/>
                                </a:cubicBezTo>
                                <a:moveTo>
                                  <a:pt x="1835" y="1237"/>
                                </a:moveTo>
                                <a:cubicBezTo>
                                  <a:pt x="1725" y="1237"/>
                                  <a:pt x="1725" y="1237"/>
                                  <a:pt x="1725" y="1237"/>
                                </a:cubicBezTo>
                                <a:cubicBezTo>
                                  <a:pt x="1647" y="1491"/>
                                  <a:pt x="1647" y="1491"/>
                                  <a:pt x="1647" y="1491"/>
                                </a:cubicBezTo>
                                <a:cubicBezTo>
                                  <a:pt x="1629" y="1549"/>
                                  <a:pt x="1612" y="1619"/>
                                  <a:pt x="1612" y="1619"/>
                                </a:cubicBezTo>
                                <a:cubicBezTo>
                                  <a:pt x="1612" y="1619"/>
                                  <a:pt x="1594" y="1541"/>
                                  <a:pt x="1586" y="1513"/>
                                </a:cubicBezTo>
                                <a:cubicBezTo>
                                  <a:pt x="1499" y="1226"/>
                                  <a:pt x="1499" y="1226"/>
                                  <a:pt x="1499" y="1226"/>
                                </a:cubicBezTo>
                                <a:cubicBezTo>
                                  <a:pt x="1395" y="1244"/>
                                  <a:pt x="1395" y="1244"/>
                                  <a:pt x="1395" y="1244"/>
                                </a:cubicBezTo>
                                <a:cubicBezTo>
                                  <a:pt x="1502" y="1561"/>
                                  <a:pt x="1502" y="1561"/>
                                  <a:pt x="1502" y="1561"/>
                                </a:cubicBezTo>
                                <a:cubicBezTo>
                                  <a:pt x="1516" y="1603"/>
                                  <a:pt x="1534" y="1654"/>
                                  <a:pt x="1547" y="1707"/>
                                </a:cubicBezTo>
                                <a:cubicBezTo>
                                  <a:pt x="1579" y="1707"/>
                                  <a:pt x="1579" y="1707"/>
                                  <a:pt x="1579" y="1707"/>
                                </a:cubicBezTo>
                                <a:cubicBezTo>
                                  <a:pt x="1552" y="1797"/>
                                  <a:pt x="1516" y="1824"/>
                                  <a:pt x="1452" y="1842"/>
                                </a:cubicBezTo>
                                <a:cubicBezTo>
                                  <a:pt x="1485" y="1908"/>
                                  <a:pt x="1485" y="1908"/>
                                  <a:pt x="1485" y="1908"/>
                                </a:cubicBezTo>
                                <a:cubicBezTo>
                                  <a:pt x="1596" y="1887"/>
                                  <a:pt x="1629" y="1831"/>
                                  <a:pt x="1668" y="1717"/>
                                </a:cubicBezTo>
                                <a:lnTo>
                                  <a:pt x="1835" y="1237"/>
                                </a:lnTo>
                                <a:close/>
                                <a:moveTo>
                                  <a:pt x="2328" y="1717"/>
                                </a:moveTo>
                                <a:cubicBezTo>
                                  <a:pt x="2397" y="1717"/>
                                  <a:pt x="2453" y="1699"/>
                                  <a:pt x="2504" y="1661"/>
                                </a:cubicBezTo>
                                <a:cubicBezTo>
                                  <a:pt x="2453" y="1593"/>
                                  <a:pt x="2453" y="1593"/>
                                  <a:pt x="2453" y="1593"/>
                                </a:cubicBezTo>
                                <a:cubicBezTo>
                                  <a:pt x="2417" y="1621"/>
                                  <a:pt x="2384" y="1633"/>
                                  <a:pt x="2338" y="1633"/>
                                </a:cubicBezTo>
                                <a:cubicBezTo>
                                  <a:pt x="2276" y="1633"/>
                                  <a:pt x="2223" y="1604"/>
                                  <a:pt x="2195" y="1542"/>
                                </a:cubicBezTo>
                                <a:cubicBezTo>
                                  <a:pt x="2178" y="1506"/>
                                  <a:pt x="2170" y="1461"/>
                                  <a:pt x="2170" y="1382"/>
                                </a:cubicBezTo>
                                <a:cubicBezTo>
                                  <a:pt x="2170" y="1306"/>
                                  <a:pt x="2181" y="1252"/>
                                  <a:pt x="2203" y="1213"/>
                                </a:cubicBezTo>
                                <a:cubicBezTo>
                                  <a:pt x="2231" y="1164"/>
                                  <a:pt x="2277" y="1136"/>
                                  <a:pt x="2332" y="1136"/>
                                </a:cubicBezTo>
                                <a:cubicBezTo>
                                  <a:pt x="2372" y="1136"/>
                                  <a:pt x="2407" y="1147"/>
                                  <a:pt x="2441" y="1172"/>
                                </a:cubicBezTo>
                                <a:cubicBezTo>
                                  <a:pt x="2491" y="1102"/>
                                  <a:pt x="2491" y="1102"/>
                                  <a:pt x="2491" y="1102"/>
                                </a:cubicBezTo>
                                <a:cubicBezTo>
                                  <a:pt x="2452" y="1070"/>
                                  <a:pt x="2393" y="1052"/>
                                  <a:pt x="2331" y="1052"/>
                                </a:cubicBezTo>
                                <a:cubicBezTo>
                                  <a:pt x="2230" y="1052"/>
                                  <a:pt x="2142" y="1107"/>
                                  <a:pt x="2094" y="1199"/>
                                </a:cubicBezTo>
                                <a:cubicBezTo>
                                  <a:pt x="2065" y="1253"/>
                                  <a:pt x="2051" y="1317"/>
                                  <a:pt x="2051" y="1395"/>
                                </a:cubicBezTo>
                                <a:cubicBezTo>
                                  <a:pt x="2051" y="1487"/>
                                  <a:pt x="2076" y="1566"/>
                                  <a:pt x="2124" y="1624"/>
                                </a:cubicBezTo>
                                <a:cubicBezTo>
                                  <a:pt x="2175" y="1684"/>
                                  <a:pt x="2242" y="1717"/>
                                  <a:pt x="2328" y="1717"/>
                                </a:cubicBezTo>
                                <a:moveTo>
                                  <a:pt x="2947" y="1707"/>
                                </a:moveTo>
                                <a:cubicBezTo>
                                  <a:pt x="2947" y="1375"/>
                                  <a:pt x="2947" y="1375"/>
                                  <a:pt x="2947" y="1375"/>
                                </a:cubicBezTo>
                                <a:cubicBezTo>
                                  <a:pt x="2947" y="1328"/>
                                  <a:pt x="2943" y="1306"/>
                                  <a:pt x="2931" y="1283"/>
                                </a:cubicBezTo>
                                <a:cubicBezTo>
                                  <a:pt x="2915" y="1252"/>
                                  <a:pt x="2872" y="1225"/>
                                  <a:pt x="2817" y="1225"/>
                                </a:cubicBezTo>
                                <a:cubicBezTo>
                                  <a:pt x="2766" y="1225"/>
                                  <a:pt x="2719" y="1245"/>
                                  <a:pt x="2673" y="1287"/>
                                </a:cubicBezTo>
                                <a:cubicBezTo>
                                  <a:pt x="2673" y="1287"/>
                                  <a:pt x="2675" y="1264"/>
                                  <a:pt x="2675" y="1234"/>
                                </a:cubicBezTo>
                                <a:cubicBezTo>
                                  <a:pt x="2675" y="1133"/>
                                  <a:pt x="2675" y="1133"/>
                                  <a:pt x="2675" y="1133"/>
                                </a:cubicBezTo>
                                <a:cubicBezTo>
                                  <a:pt x="2675" y="1088"/>
                                  <a:pt x="2672" y="1050"/>
                                  <a:pt x="2665" y="1023"/>
                                </a:cubicBezTo>
                                <a:cubicBezTo>
                                  <a:pt x="2562" y="1045"/>
                                  <a:pt x="2562" y="1045"/>
                                  <a:pt x="2562" y="1045"/>
                                </a:cubicBezTo>
                                <a:cubicBezTo>
                                  <a:pt x="2568" y="1069"/>
                                  <a:pt x="2571" y="1106"/>
                                  <a:pt x="2571" y="1147"/>
                                </a:cubicBezTo>
                                <a:cubicBezTo>
                                  <a:pt x="2571" y="1707"/>
                                  <a:pt x="2571" y="1707"/>
                                  <a:pt x="2571" y="1707"/>
                                </a:cubicBezTo>
                                <a:cubicBezTo>
                                  <a:pt x="2675" y="1707"/>
                                  <a:pt x="2675" y="1707"/>
                                  <a:pt x="2675" y="1707"/>
                                </a:cubicBezTo>
                                <a:cubicBezTo>
                                  <a:pt x="2675" y="1369"/>
                                  <a:pt x="2675" y="1369"/>
                                  <a:pt x="2675" y="1369"/>
                                </a:cubicBezTo>
                                <a:cubicBezTo>
                                  <a:pt x="2708" y="1335"/>
                                  <a:pt x="2752" y="1312"/>
                                  <a:pt x="2788" y="1312"/>
                                </a:cubicBezTo>
                                <a:cubicBezTo>
                                  <a:pt x="2827" y="1312"/>
                                  <a:pt x="2847" y="1329"/>
                                  <a:pt x="2847" y="1387"/>
                                </a:cubicBezTo>
                                <a:cubicBezTo>
                                  <a:pt x="2847" y="1707"/>
                                  <a:pt x="2847" y="1707"/>
                                  <a:pt x="2847" y="1707"/>
                                </a:cubicBezTo>
                                <a:lnTo>
                                  <a:pt x="2947" y="1707"/>
                                </a:lnTo>
                                <a:close/>
                                <a:moveTo>
                                  <a:pt x="3050" y="1099"/>
                                </a:moveTo>
                                <a:cubicBezTo>
                                  <a:pt x="3050" y="1061"/>
                                  <a:pt x="3079" y="1030"/>
                                  <a:pt x="3118" y="1030"/>
                                </a:cubicBezTo>
                                <a:cubicBezTo>
                                  <a:pt x="3154" y="1030"/>
                                  <a:pt x="3184" y="1060"/>
                                  <a:pt x="3184" y="1099"/>
                                </a:cubicBezTo>
                                <a:cubicBezTo>
                                  <a:pt x="3184" y="1136"/>
                                  <a:pt x="3154" y="1167"/>
                                  <a:pt x="3116" y="1167"/>
                                </a:cubicBezTo>
                                <a:cubicBezTo>
                                  <a:pt x="3078" y="1167"/>
                                  <a:pt x="3050" y="1136"/>
                                  <a:pt x="3050" y="1099"/>
                                </a:cubicBezTo>
                                <a:moveTo>
                                  <a:pt x="3065" y="1707"/>
                                </a:moveTo>
                                <a:cubicBezTo>
                                  <a:pt x="3065" y="1244"/>
                                  <a:pt x="3065" y="1244"/>
                                  <a:pt x="3065" y="1244"/>
                                </a:cubicBezTo>
                                <a:cubicBezTo>
                                  <a:pt x="3168" y="1225"/>
                                  <a:pt x="3168" y="1225"/>
                                  <a:pt x="3168" y="1225"/>
                                </a:cubicBezTo>
                                <a:cubicBezTo>
                                  <a:pt x="3168" y="1707"/>
                                  <a:pt x="3168" y="1707"/>
                                  <a:pt x="3168" y="1707"/>
                                </a:cubicBezTo>
                                <a:lnTo>
                                  <a:pt x="3065" y="1707"/>
                                </a:lnTo>
                                <a:close/>
                                <a:moveTo>
                                  <a:pt x="3391" y="1717"/>
                                </a:moveTo>
                                <a:cubicBezTo>
                                  <a:pt x="3414" y="1717"/>
                                  <a:pt x="3434" y="1713"/>
                                  <a:pt x="3452" y="1706"/>
                                </a:cubicBezTo>
                                <a:cubicBezTo>
                                  <a:pt x="3435" y="1643"/>
                                  <a:pt x="3435" y="1643"/>
                                  <a:pt x="3435" y="1643"/>
                                </a:cubicBezTo>
                                <a:cubicBezTo>
                                  <a:pt x="3423" y="1648"/>
                                  <a:pt x="3408" y="1644"/>
                                  <a:pt x="3402" y="1635"/>
                                </a:cubicBezTo>
                                <a:cubicBezTo>
                                  <a:pt x="3394" y="1624"/>
                                  <a:pt x="3392" y="1614"/>
                                  <a:pt x="3392" y="1551"/>
                                </a:cubicBezTo>
                                <a:cubicBezTo>
                                  <a:pt x="3392" y="1152"/>
                                  <a:pt x="3392" y="1152"/>
                                  <a:pt x="3392" y="1152"/>
                                </a:cubicBezTo>
                                <a:cubicBezTo>
                                  <a:pt x="3392" y="1091"/>
                                  <a:pt x="3391" y="1052"/>
                                  <a:pt x="3383" y="1023"/>
                                </a:cubicBezTo>
                                <a:cubicBezTo>
                                  <a:pt x="3278" y="1046"/>
                                  <a:pt x="3278" y="1046"/>
                                  <a:pt x="3278" y="1046"/>
                                </a:cubicBezTo>
                                <a:cubicBezTo>
                                  <a:pt x="3285" y="1085"/>
                                  <a:pt x="3288" y="1119"/>
                                  <a:pt x="3288" y="1184"/>
                                </a:cubicBezTo>
                                <a:cubicBezTo>
                                  <a:pt x="3288" y="1584"/>
                                  <a:pt x="3288" y="1584"/>
                                  <a:pt x="3288" y="1584"/>
                                </a:cubicBezTo>
                                <a:cubicBezTo>
                                  <a:pt x="3288" y="1624"/>
                                  <a:pt x="3288" y="1717"/>
                                  <a:pt x="3391" y="1717"/>
                                </a:cubicBezTo>
                                <a:moveTo>
                                  <a:pt x="3816" y="1707"/>
                                </a:moveTo>
                                <a:cubicBezTo>
                                  <a:pt x="3812" y="1697"/>
                                  <a:pt x="3811" y="1690"/>
                                  <a:pt x="3808" y="1671"/>
                                </a:cubicBezTo>
                                <a:cubicBezTo>
                                  <a:pt x="3776" y="1702"/>
                                  <a:pt x="3739" y="1717"/>
                                  <a:pt x="3693" y="1717"/>
                                </a:cubicBezTo>
                                <a:cubicBezTo>
                                  <a:pt x="3573" y="1717"/>
                                  <a:pt x="3500" y="1623"/>
                                  <a:pt x="3500" y="1476"/>
                                </a:cubicBezTo>
                                <a:cubicBezTo>
                                  <a:pt x="3500" y="1329"/>
                                  <a:pt x="3582" y="1228"/>
                                  <a:pt x="3696" y="1228"/>
                                </a:cubicBezTo>
                                <a:cubicBezTo>
                                  <a:pt x="3735" y="1228"/>
                                  <a:pt x="3768" y="1241"/>
                                  <a:pt x="3797" y="1271"/>
                                </a:cubicBezTo>
                                <a:cubicBezTo>
                                  <a:pt x="3797" y="1271"/>
                                  <a:pt x="3794" y="1235"/>
                                  <a:pt x="3794" y="1194"/>
                                </a:cubicBezTo>
                                <a:cubicBezTo>
                                  <a:pt x="3794" y="1022"/>
                                  <a:pt x="3794" y="1022"/>
                                  <a:pt x="3794" y="1022"/>
                                </a:cubicBezTo>
                                <a:cubicBezTo>
                                  <a:pt x="3895" y="1038"/>
                                  <a:pt x="3895" y="1038"/>
                                  <a:pt x="3895" y="1038"/>
                                </a:cubicBezTo>
                                <a:cubicBezTo>
                                  <a:pt x="3895" y="1543"/>
                                  <a:pt x="3895" y="1543"/>
                                  <a:pt x="3895" y="1543"/>
                                </a:cubicBezTo>
                                <a:cubicBezTo>
                                  <a:pt x="3895" y="1636"/>
                                  <a:pt x="3901" y="1684"/>
                                  <a:pt x="3910" y="1707"/>
                                </a:cubicBezTo>
                                <a:lnTo>
                                  <a:pt x="3816" y="1707"/>
                                </a:lnTo>
                                <a:close/>
                                <a:moveTo>
                                  <a:pt x="3794" y="1348"/>
                                </a:moveTo>
                                <a:cubicBezTo>
                                  <a:pt x="3771" y="1323"/>
                                  <a:pt x="3743" y="1310"/>
                                  <a:pt x="3708" y="1310"/>
                                </a:cubicBezTo>
                                <a:cubicBezTo>
                                  <a:pt x="3643" y="1310"/>
                                  <a:pt x="3614" y="1362"/>
                                  <a:pt x="3614" y="1475"/>
                                </a:cubicBezTo>
                                <a:cubicBezTo>
                                  <a:pt x="3614" y="1579"/>
                                  <a:pt x="3634" y="1632"/>
                                  <a:pt x="3711" y="1632"/>
                                </a:cubicBezTo>
                                <a:cubicBezTo>
                                  <a:pt x="3749" y="1632"/>
                                  <a:pt x="3780" y="1610"/>
                                  <a:pt x="3794" y="1587"/>
                                </a:cubicBezTo>
                                <a:lnTo>
                                  <a:pt x="3794" y="1348"/>
                                </a:lnTo>
                                <a:close/>
                                <a:moveTo>
                                  <a:pt x="4398" y="1707"/>
                                </a:moveTo>
                                <a:cubicBezTo>
                                  <a:pt x="4398" y="1375"/>
                                  <a:pt x="4398" y="1375"/>
                                  <a:pt x="4398" y="1375"/>
                                </a:cubicBezTo>
                                <a:cubicBezTo>
                                  <a:pt x="4398" y="1328"/>
                                  <a:pt x="4394" y="1306"/>
                                  <a:pt x="4382" y="1283"/>
                                </a:cubicBezTo>
                                <a:cubicBezTo>
                                  <a:pt x="4366" y="1252"/>
                                  <a:pt x="4324" y="1225"/>
                                  <a:pt x="4268" y="1225"/>
                                </a:cubicBezTo>
                                <a:cubicBezTo>
                                  <a:pt x="4218" y="1225"/>
                                  <a:pt x="4170" y="1245"/>
                                  <a:pt x="4124" y="1287"/>
                                </a:cubicBezTo>
                                <a:cubicBezTo>
                                  <a:pt x="4124" y="1287"/>
                                  <a:pt x="4126" y="1264"/>
                                  <a:pt x="4126" y="1234"/>
                                </a:cubicBezTo>
                                <a:cubicBezTo>
                                  <a:pt x="4126" y="1133"/>
                                  <a:pt x="4126" y="1133"/>
                                  <a:pt x="4126" y="1133"/>
                                </a:cubicBezTo>
                                <a:cubicBezTo>
                                  <a:pt x="4126" y="1088"/>
                                  <a:pt x="4123" y="1050"/>
                                  <a:pt x="4116" y="1023"/>
                                </a:cubicBezTo>
                                <a:cubicBezTo>
                                  <a:pt x="4013" y="1045"/>
                                  <a:pt x="4013" y="1045"/>
                                  <a:pt x="4013" y="1045"/>
                                </a:cubicBezTo>
                                <a:cubicBezTo>
                                  <a:pt x="4019" y="1069"/>
                                  <a:pt x="4022" y="1106"/>
                                  <a:pt x="4022" y="1147"/>
                                </a:cubicBezTo>
                                <a:cubicBezTo>
                                  <a:pt x="4022" y="1707"/>
                                  <a:pt x="4022" y="1707"/>
                                  <a:pt x="4022" y="1707"/>
                                </a:cubicBezTo>
                                <a:cubicBezTo>
                                  <a:pt x="4126" y="1707"/>
                                  <a:pt x="4126" y="1707"/>
                                  <a:pt x="4126" y="1707"/>
                                </a:cubicBezTo>
                                <a:cubicBezTo>
                                  <a:pt x="4126" y="1369"/>
                                  <a:pt x="4126" y="1369"/>
                                  <a:pt x="4126" y="1369"/>
                                </a:cubicBezTo>
                                <a:cubicBezTo>
                                  <a:pt x="4159" y="1335"/>
                                  <a:pt x="4203" y="1312"/>
                                  <a:pt x="4239" y="1312"/>
                                </a:cubicBezTo>
                                <a:cubicBezTo>
                                  <a:pt x="4278" y="1312"/>
                                  <a:pt x="4299" y="1329"/>
                                  <a:pt x="4299" y="1387"/>
                                </a:cubicBezTo>
                                <a:cubicBezTo>
                                  <a:pt x="4299" y="1707"/>
                                  <a:pt x="4299" y="1707"/>
                                  <a:pt x="4299" y="1707"/>
                                </a:cubicBezTo>
                                <a:lnTo>
                                  <a:pt x="4398" y="1707"/>
                                </a:lnTo>
                                <a:close/>
                                <a:moveTo>
                                  <a:pt x="4899" y="1474"/>
                                </a:moveTo>
                                <a:cubicBezTo>
                                  <a:pt x="4899" y="1625"/>
                                  <a:pt x="4818" y="1719"/>
                                  <a:pt x="4691" y="1719"/>
                                </a:cubicBezTo>
                                <a:cubicBezTo>
                                  <a:pt x="4563" y="1719"/>
                                  <a:pt x="4483" y="1623"/>
                                  <a:pt x="4483" y="1473"/>
                                </a:cubicBezTo>
                                <a:cubicBezTo>
                                  <a:pt x="4483" y="1322"/>
                                  <a:pt x="4564" y="1225"/>
                                  <a:pt x="4689" y="1225"/>
                                </a:cubicBezTo>
                                <a:cubicBezTo>
                                  <a:pt x="4823" y="1225"/>
                                  <a:pt x="4899" y="1325"/>
                                  <a:pt x="4899" y="1474"/>
                                </a:cubicBezTo>
                                <a:moveTo>
                                  <a:pt x="4597" y="1466"/>
                                </a:moveTo>
                                <a:cubicBezTo>
                                  <a:pt x="4597" y="1603"/>
                                  <a:pt x="4631" y="1643"/>
                                  <a:pt x="4692" y="1643"/>
                                </a:cubicBezTo>
                                <a:cubicBezTo>
                                  <a:pt x="4753" y="1643"/>
                                  <a:pt x="4786" y="1593"/>
                                  <a:pt x="4786" y="1475"/>
                                </a:cubicBezTo>
                                <a:cubicBezTo>
                                  <a:pt x="4786" y="1342"/>
                                  <a:pt x="4749" y="1303"/>
                                  <a:pt x="4690" y="1303"/>
                                </a:cubicBezTo>
                                <a:cubicBezTo>
                                  <a:pt x="4625" y="1303"/>
                                  <a:pt x="4597" y="1352"/>
                                  <a:pt x="4597" y="1466"/>
                                </a:cubicBezTo>
                                <a:moveTo>
                                  <a:pt x="5375" y="1474"/>
                                </a:moveTo>
                                <a:cubicBezTo>
                                  <a:pt x="5375" y="1625"/>
                                  <a:pt x="5294" y="1719"/>
                                  <a:pt x="5166" y="1719"/>
                                </a:cubicBezTo>
                                <a:cubicBezTo>
                                  <a:pt x="5039" y="1719"/>
                                  <a:pt x="4959" y="1623"/>
                                  <a:pt x="4959" y="1473"/>
                                </a:cubicBezTo>
                                <a:cubicBezTo>
                                  <a:pt x="4959" y="1322"/>
                                  <a:pt x="5040" y="1225"/>
                                  <a:pt x="5165" y="1225"/>
                                </a:cubicBezTo>
                                <a:cubicBezTo>
                                  <a:pt x="5298" y="1225"/>
                                  <a:pt x="5375" y="1325"/>
                                  <a:pt x="5375" y="1474"/>
                                </a:cubicBezTo>
                                <a:moveTo>
                                  <a:pt x="5072" y="1466"/>
                                </a:moveTo>
                                <a:cubicBezTo>
                                  <a:pt x="5072" y="1603"/>
                                  <a:pt x="5107" y="1643"/>
                                  <a:pt x="5168" y="1643"/>
                                </a:cubicBezTo>
                                <a:cubicBezTo>
                                  <a:pt x="5228" y="1643"/>
                                  <a:pt x="5262" y="1593"/>
                                  <a:pt x="5262" y="1475"/>
                                </a:cubicBezTo>
                                <a:cubicBezTo>
                                  <a:pt x="5262" y="1342"/>
                                  <a:pt x="5225" y="1303"/>
                                  <a:pt x="5165" y="1303"/>
                                </a:cubicBezTo>
                                <a:cubicBezTo>
                                  <a:pt x="5100" y="1303"/>
                                  <a:pt x="5072" y="1352"/>
                                  <a:pt x="5072" y="1466"/>
                                </a:cubicBezTo>
                                <a:moveTo>
                                  <a:pt x="5752" y="1707"/>
                                </a:moveTo>
                                <a:cubicBezTo>
                                  <a:pt x="5747" y="1697"/>
                                  <a:pt x="5746" y="1690"/>
                                  <a:pt x="5743" y="1671"/>
                                </a:cubicBezTo>
                                <a:cubicBezTo>
                                  <a:pt x="5712" y="1702"/>
                                  <a:pt x="5675" y="1717"/>
                                  <a:pt x="5628" y="1717"/>
                                </a:cubicBezTo>
                                <a:cubicBezTo>
                                  <a:pt x="5508" y="1717"/>
                                  <a:pt x="5436" y="1623"/>
                                  <a:pt x="5436" y="1476"/>
                                </a:cubicBezTo>
                                <a:cubicBezTo>
                                  <a:pt x="5436" y="1329"/>
                                  <a:pt x="5518" y="1228"/>
                                  <a:pt x="5631" y="1228"/>
                                </a:cubicBezTo>
                                <a:cubicBezTo>
                                  <a:pt x="5671" y="1228"/>
                                  <a:pt x="5703" y="1241"/>
                                  <a:pt x="5732" y="1271"/>
                                </a:cubicBezTo>
                                <a:cubicBezTo>
                                  <a:pt x="5732" y="1271"/>
                                  <a:pt x="5729" y="1235"/>
                                  <a:pt x="5729" y="1194"/>
                                </a:cubicBezTo>
                                <a:cubicBezTo>
                                  <a:pt x="5729" y="1022"/>
                                  <a:pt x="5729" y="1022"/>
                                  <a:pt x="5729" y="1022"/>
                                </a:cubicBezTo>
                                <a:cubicBezTo>
                                  <a:pt x="5831" y="1038"/>
                                  <a:pt x="5831" y="1038"/>
                                  <a:pt x="5831" y="1038"/>
                                </a:cubicBezTo>
                                <a:cubicBezTo>
                                  <a:pt x="5831" y="1543"/>
                                  <a:pt x="5831" y="1543"/>
                                  <a:pt x="5831" y="1543"/>
                                </a:cubicBezTo>
                                <a:cubicBezTo>
                                  <a:pt x="5831" y="1636"/>
                                  <a:pt x="5836" y="1684"/>
                                  <a:pt x="5846" y="1707"/>
                                </a:cubicBezTo>
                                <a:lnTo>
                                  <a:pt x="5752" y="1707"/>
                                </a:lnTo>
                                <a:close/>
                                <a:moveTo>
                                  <a:pt x="5729" y="1348"/>
                                </a:moveTo>
                                <a:cubicBezTo>
                                  <a:pt x="5706" y="1323"/>
                                  <a:pt x="5678" y="1310"/>
                                  <a:pt x="5644" y="1310"/>
                                </a:cubicBezTo>
                                <a:cubicBezTo>
                                  <a:pt x="5579" y="1310"/>
                                  <a:pt x="5549" y="1362"/>
                                  <a:pt x="5549" y="1475"/>
                                </a:cubicBezTo>
                                <a:cubicBezTo>
                                  <a:pt x="5549" y="1579"/>
                                  <a:pt x="5570" y="1632"/>
                                  <a:pt x="5647" y="1632"/>
                                </a:cubicBezTo>
                                <a:cubicBezTo>
                                  <a:pt x="5685" y="1632"/>
                                  <a:pt x="5716" y="1610"/>
                                  <a:pt x="5729" y="1587"/>
                                </a:cubicBezTo>
                                <a:lnTo>
                                  <a:pt x="5729" y="1348"/>
                                </a:lnTo>
                                <a:close/>
                                <a:moveTo>
                                  <a:pt x="6549" y="1617"/>
                                </a:moveTo>
                                <a:cubicBezTo>
                                  <a:pt x="6495" y="1686"/>
                                  <a:pt x="6439" y="1707"/>
                                  <a:pt x="6319" y="1707"/>
                                </a:cubicBezTo>
                                <a:cubicBezTo>
                                  <a:pt x="6160" y="1707"/>
                                  <a:pt x="6160" y="1707"/>
                                  <a:pt x="6160" y="1707"/>
                                </a:cubicBezTo>
                                <a:cubicBezTo>
                                  <a:pt x="6160" y="1064"/>
                                  <a:pt x="6160" y="1064"/>
                                  <a:pt x="6160" y="1064"/>
                                </a:cubicBezTo>
                                <a:cubicBezTo>
                                  <a:pt x="6294" y="1064"/>
                                  <a:pt x="6294" y="1064"/>
                                  <a:pt x="6294" y="1064"/>
                                </a:cubicBezTo>
                                <a:cubicBezTo>
                                  <a:pt x="6415" y="1064"/>
                                  <a:pt x="6487" y="1086"/>
                                  <a:pt x="6547" y="1155"/>
                                </a:cubicBezTo>
                                <a:cubicBezTo>
                                  <a:pt x="6594" y="1210"/>
                                  <a:pt x="6617" y="1287"/>
                                  <a:pt x="6617" y="1387"/>
                                </a:cubicBezTo>
                                <a:cubicBezTo>
                                  <a:pt x="6617" y="1485"/>
                                  <a:pt x="6593" y="1561"/>
                                  <a:pt x="6549" y="1617"/>
                                </a:cubicBezTo>
                                <a:moveTo>
                                  <a:pt x="6457" y="1204"/>
                                </a:moveTo>
                                <a:cubicBezTo>
                                  <a:pt x="6427" y="1163"/>
                                  <a:pt x="6394" y="1148"/>
                                  <a:pt x="6336" y="1148"/>
                                </a:cubicBezTo>
                                <a:cubicBezTo>
                                  <a:pt x="6268" y="1148"/>
                                  <a:pt x="6268" y="1148"/>
                                  <a:pt x="6268" y="1148"/>
                                </a:cubicBezTo>
                                <a:cubicBezTo>
                                  <a:pt x="6268" y="1619"/>
                                  <a:pt x="6268" y="1619"/>
                                  <a:pt x="6268" y="1619"/>
                                </a:cubicBezTo>
                                <a:cubicBezTo>
                                  <a:pt x="6339" y="1619"/>
                                  <a:pt x="6339" y="1619"/>
                                  <a:pt x="6339" y="1619"/>
                                </a:cubicBezTo>
                                <a:cubicBezTo>
                                  <a:pt x="6452" y="1619"/>
                                  <a:pt x="6498" y="1544"/>
                                  <a:pt x="6498" y="1398"/>
                                </a:cubicBezTo>
                                <a:cubicBezTo>
                                  <a:pt x="6498" y="1316"/>
                                  <a:pt x="6490" y="1249"/>
                                  <a:pt x="6457" y="1204"/>
                                </a:cubicBezTo>
                                <a:moveTo>
                                  <a:pt x="6801" y="1500"/>
                                </a:moveTo>
                                <a:cubicBezTo>
                                  <a:pt x="6801" y="1507"/>
                                  <a:pt x="6801" y="1507"/>
                                  <a:pt x="6801" y="1507"/>
                                </a:cubicBezTo>
                                <a:cubicBezTo>
                                  <a:pt x="6801" y="1572"/>
                                  <a:pt x="6825" y="1641"/>
                                  <a:pt x="6917" y="1641"/>
                                </a:cubicBezTo>
                                <a:cubicBezTo>
                                  <a:pt x="6961" y="1641"/>
                                  <a:pt x="6999" y="1625"/>
                                  <a:pt x="7034" y="1594"/>
                                </a:cubicBezTo>
                                <a:cubicBezTo>
                                  <a:pt x="7074" y="1657"/>
                                  <a:pt x="7074" y="1657"/>
                                  <a:pt x="7074" y="1657"/>
                                </a:cubicBezTo>
                                <a:cubicBezTo>
                                  <a:pt x="7025" y="1698"/>
                                  <a:pt x="6968" y="1719"/>
                                  <a:pt x="6905" y="1719"/>
                                </a:cubicBezTo>
                                <a:cubicBezTo>
                                  <a:pt x="6772" y="1719"/>
                                  <a:pt x="6688" y="1623"/>
                                  <a:pt x="6688" y="1473"/>
                                </a:cubicBezTo>
                                <a:cubicBezTo>
                                  <a:pt x="6688" y="1390"/>
                                  <a:pt x="6706" y="1335"/>
                                  <a:pt x="6747" y="1289"/>
                                </a:cubicBezTo>
                                <a:cubicBezTo>
                                  <a:pt x="6785" y="1245"/>
                                  <a:pt x="6831" y="1226"/>
                                  <a:pt x="6891" y="1226"/>
                                </a:cubicBezTo>
                                <a:cubicBezTo>
                                  <a:pt x="6937" y="1226"/>
                                  <a:pt x="6980" y="1237"/>
                                  <a:pt x="7020" y="1274"/>
                                </a:cubicBezTo>
                                <a:cubicBezTo>
                                  <a:pt x="7061" y="1311"/>
                                  <a:pt x="7081" y="1369"/>
                                  <a:pt x="7081" y="1478"/>
                                </a:cubicBezTo>
                                <a:cubicBezTo>
                                  <a:pt x="7081" y="1500"/>
                                  <a:pt x="7081" y="1500"/>
                                  <a:pt x="7081" y="1500"/>
                                </a:cubicBezTo>
                                <a:lnTo>
                                  <a:pt x="6801" y="1500"/>
                                </a:lnTo>
                                <a:close/>
                                <a:moveTo>
                                  <a:pt x="6891" y="1303"/>
                                </a:moveTo>
                                <a:cubicBezTo>
                                  <a:pt x="6833" y="1303"/>
                                  <a:pt x="6802" y="1348"/>
                                  <a:pt x="6802" y="1424"/>
                                </a:cubicBezTo>
                                <a:cubicBezTo>
                                  <a:pt x="6975" y="1424"/>
                                  <a:pt x="6975" y="1424"/>
                                  <a:pt x="6975" y="1424"/>
                                </a:cubicBezTo>
                                <a:cubicBezTo>
                                  <a:pt x="6975" y="1348"/>
                                  <a:pt x="6942" y="1303"/>
                                  <a:pt x="6891" y="1303"/>
                                </a:cubicBezTo>
                                <a:moveTo>
                                  <a:pt x="7530" y="1237"/>
                                </a:moveTo>
                                <a:cubicBezTo>
                                  <a:pt x="7423" y="1237"/>
                                  <a:pt x="7423" y="1237"/>
                                  <a:pt x="7423" y="1237"/>
                                </a:cubicBezTo>
                                <a:cubicBezTo>
                                  <a:pt x="7345" y="1475"/>
                                  <a:pt x="7345" y="1475"/>
                                  <a:pt x="7345" y="1475"/>
                                </a:cubicBezTo>
                                <a:cubicBezTo>
                                  <a:pt x="7327" y="1528"/>
                                  <a:pt x="7317" y="1584"/>
                                  <a:pt x="7317" y="1584"/>
                                </a:cubicBezTo>
                                <a:cubicBezTo>
                                  <a:pt x="7315" y="1584"/>
                                  <a:pt x="7315" y="1584"/>
                                  <a:pt x="7315" y="1584"/>
                                </a:cubicBezTo>
                                <a:cubicBezTo>
                                  <a:pt x="7315" y="1584"/>
                                  <a:pt x="7302" y="1528"/>
                                  <a:pt x="7287" y="1479"/>
                                </a:cubicBezTo>
                                <a:cubicBezTo>
                                  <a:pt x="7205" y="1225"/>
                                  <a:pt x="7205" y="1225"/>
                                  <a:pt x="7205" y="1225"/>
                                </a:cubicBezTo>
                                <a:cubicBezTo>
                                  <a:pt x="7100" y="1240"/>
                                  <a:pt x="7100" y="1240"/>
                                  <a:pt x="7100" y="1240"/>
                                </a:cubicBezTo>
                                <a:cubicBezTo>
                                  <a:pt x="7269" y="1709"/>
                                  <a:pt x="7269" y="1709"/>
                                  <a:pt x="7269" y="1709"/>
                                </a:cubicBezTo>
                                <a:cubicBezTo>
                                  <a:pt x="7359" y="1709"/>
                                  <a:pt x="7359" y="1709"/>
                                  <a:pt x="7359" y="1709"/>
                                </a:cubicBezTo>
                                <a:lnTo>
                                  <a:pt x="7530" y="1237"/>
                                </a:lnTo>
                                <a:close/>
                                <a:moveTo>
                                  <a:pt x="7659" y="1500"/>
                                </a:moveTo>
                                <a:cubicBezTo>
                                  <a:pt x="7659" y="1507"/>
                                  <a:pt x="7659" y="1507"/>
                                  <a:pt x="7659" y="1507"/>
                                </a:cubicBezTo>
                                <a:cubicBezTo>
                                  <a:pt x="7659" y="1572"/>
                                  <a:pt x="7683" y="1641"/>
                                  <a:pt x="7775" y="1641"/>
                                </a:cubicBezTo>
                                <a:cubicBezTo>
                                  <a:pt x="7819" y="1641"/>
                                  <a:pt x="7857" y="1625"/>
                                  <a:pt x="7892" y="1594"/>
                                </a:cubicBezTo>
                                <a:cubicBezTo>
                                  <a:pt x="7932" y="1657"/>
                                  <a:pt x="7932" y="1657"/>
                                  <a:pt x="7932" y="1657"/>
                                </a:cubicBezTo>
                                <a:cubicBezTo>
                                  <a:pt x="7883" y="1698"/>
                                  <a:pt x="7827" y="1719"/>
                                  <a:pt x="7763" y="1719"/>
                                </a:cubicBezTo>
                                <a:cubicBezTo>
                                  <a:pt x="7630" y="1719"/>
                                  <a:pt x="7547" y="1623"/>
                                  <a:pt x="7547" y="1473"/>
                                </a:cubicBezTo>
                                <a:cubicBezTo>
                                  <a:pt x="7547" y="1390"/>
                                  <a:pt x="7564" y="1335"/>
                                  <a:pt x="7605" y="1289"/>
                                </a:cubicBezTo>
                                <a:cubicBezTo>
                                  <a:pt x="7643" y="1245"/>
                                  <a:pt x="7690" y="1226"/>
                                  <a:pt x="7749" y="1226"/>
                                </a:cubicBezTo>
                                <a:cubicBezTo>
                                  <a:pt x="7796" y="1226"/>
                                  <a:pt x="7838" y="1237"/>
                                  <a:pt x="7879" y="1274"/>
                                </a:cubicBezTo>
                                <a:cubicBezTo>
                                  <a:pt x="7920" y="1311"/>
                                  <a:pt x="7940" y="1369"/>
                                  <a:pt x="7940" y="1478"/>
                                </a:cubicBezTo>
                                <a:cubicBezTo>
                                  <a:pt x="7940" y="1500"/>
                                  <a:pt x="7940" y="1500"/>
                                  <a:pt x="7940" y="1500"/>
                                </a:cubicBezTo>
                                <a:lnTo>
                                  <a:pt x="7659" y="1500"/>
                                </a:lnTo>
                                <a:close/>
                                <a:moveTo>
                                  <a:pt x="7749" y="1303"/>
                                </a:moveTo>
                                <a:cubicBezTo>
                                  <a:pt x="7692" y="1303"/>
                                  <a:pt x="7660" y="1348"/>
                                  <a:pt x="7660" y="1424"/>
                                </a:cubicBezTo>
                                <a:cubicBezTo>
                                  <a:pt x="7834" y="1424"/>
                                  <a:pt x="7834" y="1424"/>
                                  <a:pt x="7834" y="1424"/>
                                </a:cubicBezTo>
                                <a:cubicBezTo>
                                  <a:pt x="7834" y="1348"/>
                                  <a:pt x="7800" y="1303"/>
                                  <a:pt x="7749" y="1303"/>
                                </a:cubicBezTo>
                                <a:moveTo>
                                  <a:pt x="8133" y="1717"/>
                                </a:moveTo>
                                <a:cubicBezTo>
                                  <a:pt x="8156" y="1717"/>
                                  <a:pt x="8176" y="1713"/>
                                  <a:pt x="8194" y="1706"/>
                                </a:cubicBezTo>
                                <a:cubicBezTo>
                                  <a:pt x="8178" y="1643"/>
                                  <a:pt x="8178" y="1643"/>
                                  <a:pt x="8178" y="1643"/>
                                </a:cubicBezTo>
                                <a:cubicBezTo>
                                  <a:pt x="8166" y="1648"/>
                                  <a:pt x="8150" y="1644"/>
                                  <a:pt x="8144" y="1635"/>
                                </a:cubicBezTo>
                                <a:cubicBezTo>
                                  <a:pt x="8137" y="1624"/>
                                  <a:pt x="8134" y="1614"/>
                                  <a:pt x="8134" y="1551"/>
                                </a:cubicBezTo>
                                <a:cubicBezTo>
                                  <a:pt x="8134" y="1152"/>
                                  <a:pt x="8134" y="1152"/>
                                  <a:pt x="8134" y="1152"/>
                                </a:cubicBezTo>
                                <a:cubicBezTo>
                                  <a:pt x="8134" y="1091"/>
                                  <a:pt x="8133" y="1052"/>
                                  <a:pt x="8125" y="1023"/>
                                </a:cubicBezTo>
                                <a:cubicBezTo>
                                  <a:pt x="8021" y="1046"/>
                                  <a:pt x="8021" y="1046"/>
                                  <a:pt x="8021" y="1046"/>
                                </a:cubicBezTo>
                                <a:cubicBezTo>
                                  <a:pt x="8027" y="1085"/>
                                  <a:pt x="8030" y="1119"/>
                                  <a:pt x="8030" y="1184"/>
                                </a:cubicBezTo>
                                <a:cubicBezTo>
                                  <a:pt x="8030" y="1584"/>
                                  <a:pt x="8030" y="1584"/>
                                  <a:pt x="8030" y="1584"/>
                                </a:cubicBezTo>
                                <a:cubicBezTo>
                                  <a:pt x="8030" y="1624"/>
                                  <a:pt x="8030" y="1717"/>
                                  <a:pt x="8133" y="1717"/>
                                </a:cubicBezTo>
                                <a:moveTo>
                                  <a:pt x="8657" y="1474"/>
                                </a:moveTo>
                                <a:cubicBezTo>
                                  <a:pt x="8657" y="1625"/>
                                  <a:pt x="8576" y="1719"/>
                                  <a:pt x="8449" y="1719"/>
                                </a:cubicBezTo>
                                <a:cubicBezTo>
                                  <a:pt x="8321" y="1719"/>
                                  <a:pt x="8242" y="1623"/>
                                  <a:pt x="8242" y="1473"/>
                                </a:cubicBezTo>
                                <a:cubicBezTo>
                                  <a:pt x="8242" y="1322"/>
                                  <a:pt x="8322" y="1225"/>
                                  <a:pt x="8447" y="1225"/>
                                </a:cubicBezTo>
                                <a:cubicBezTo>
                                  <a:pt x="8581" y="1225"/>
                                  <a:pt x="8657" y="1325"/>
                                  <a:pt x="8657" y="1474"/>
                                </a:cubicBezTo>
                                <a:moveTo>
                                  <a:pt x="8355" y="1466"/>
                                </a:moveTo>
                                <a:cubicBezTo>
                                  <a:pt x="8355" y="1603"/>
                                  <a:pt x="8389" y="1643"/>
                                  <a:pt x="8451" y="1643"/>
                                </a:cubicBezTo>
                                <a:cubicBezTo>
                                  <a:pt x="8511" y="1643"/>
                                  <a:pt x="8545" y="1593"/>
                                  <a:pt x="8545" y="1475"/>
                                </a:cubicBezTo>
                                <a:cubicBezTo>
                                  <a:pt x="8545" y="1342"/>
                                  <a:pt x="8507" y="1303"/>
                                  <a:pt x="8448" y="1303"/>
                                </a:cubicBezTo>
                                <a:cubicBezTo>
                                  <a:pt x="8383" y="1303"/>
                                  <a:pt x="8355" y="1352"/>
                                  <a:pt x="8355" y="1466"/>
                                </a:cubicBezTo>
                                <a:moveTo>
                                  <a:pt x="8960" y="1716"/>
                                </a:moveTo>
                                <a:cubicBezTo>
                                  <a:pt x="8920" y="1716"/>
                                  <a:pt x="8881" y="1703"/>
                                  <a:pt x="8848" y="1678"/>
                                </a:cubicBezTo>
                                <a:cubicBezTo>
                                  <a:pt x="8848" y="1678"/>
                                  <a:pt x="8850" y="1698"/>
                                  <a:pt x="8850" y="1724"/>
                                </a:cubicBezTo>
                                <a:cubicBezTo>
                                  <a:pt x="8850" y="1882"/>
                                  <a:pt x="8850" y="1882"/>
                                  <a:pt x="8850" y="1882"/>
                                </a:cubicBezTo>
                                <a:cubicBezTo>
                                  <a:pt x="8752" y="1907"/>
                                  <a:pt x="8752" y="1907"/>
                                  <a:pt x="8752" y="1907"/>
                                </a:cubicBezTo>
                                <a:cubicBezTo>
                                  <a:pt x="8752" y="1358"/>
                                  <a:pt x="8752" y="1358"/>
                                  <a:pt x="8752" y="1358"/>
                                </a:cubicBezTo>
                                <a:cubicBezTo>
                                  <a:pt x="8752" y="1300"/>
                                  <a:pt x="8749" y="1276"/>
                                  <a:pt x="8742" y="1241"/>
                                </a:cubicBezTo>
                                <a:cubicBezTo>
                                  <a:pt x="8836" y="1224"/>
                                  <a:pt x="8836" y="1224"/>
                                  <a:pt x="8836" y="1224"/>
                                </a:cubicBezTo>
                                <a:cubicBezTo>
                                  <a:pt x="8841" y="1240"/>
                                  <a:pt x="8843" y="1253"/>
                                  <a:pt x="8844" y="1282"/>
                                </a:cubicBezTo>
                                <a:cubicBezTo>
                                  <a:pt x="8873" y="1246"/>
                                  <a:pt x="8920" y="1226"/>
                                  <a:pt x="8969" y="1226"/>
                                </a:cubicBezTo>
                                <a:cubicBezTo>
                                  <a:pt x="9064" y="1226"/>
                                  <a:pt x="9147" y="1298"/>
                                  <a:pt x="9147" y="1461"/>
                                </a:cubicBezTo>
                                <a:cubicBezTo>
                                  <a:pt x="9147" y="1618"/>
                                  <a:pt x="9080" y="1716"/>
                                  <a:pt x="8960" y="1716"/>
                                </a:cubicBezTo>
                                <a:moveTo>
                                  <a:pt x="8850" y="1359"/>
                                </a:moveTo>
                                <a:cubicBezTo>
                                  <a:pt x="8850" y="1594"/>
                                  <a:pt x="8850" y="1594"/>
                                  <a:pt x="8850" y="1594"/>
                                </a:cubicBezTo>
                                <a:cubicBezTo>
                                  <a:pt x="8874" y="1618"/>
                                  <a:pt x="8907" y="1635"/>
                                  <a:pt x="8938" y="1635"/>
                                </a:cubicBezTo>
                                <a:cubicBezTo>
                                  <a:pt x="9006" y="1635"/>
                                  <a:pt x="9037" y="1584"/>
                                  <a:pt x="9037" y="1473"/>
                                </a:cubicBezTo>
                                <a:cubicBezTo>
                                  <a:pt x="9037" y="1368"/>
                                  <a:pt x="9017" y="1311"/>
                                  <a:pt x="8950" y="1311"/>
                                </a:cubicBezTo>
                                <a:cubicBezTo>
                                  <a:pt x="8913" y="1311"/>
                                  <a:pt x="8878" y="1328"/>
                                  <a:pt x="8850" y="1359"/>
                                </a:cubicBezTo>
                                <a:moveTo>
                                  <a:pt x="9832" y="1707"/>
                                </a:moveTo>
                                <a:cubicBezTo>
                                  <a:pt x="9832" y="1363"/>
                                  <a:pt x="9832" y="1363"/>
                                  <a:pt x="9832" y="1363"/>
                                </a:cubicBezTo>
                                <a:cubicBezTo>
                                  <a:pt x="9832" y="1265"/>
                                  <a:pt x="9786" y="1225"/>
                                  <a:pt x="9709" y="1225"/>
                                </a:cubicBezTo>
                                <a:cubicBezTo>
                                  <a:pt x="9659" y="1225"/>
                                  <a:pt x="9614" y="1248"/>
                                  <a:pt x="9569" y="1294"/>
                                </a:cubicBezTo>
                                <a:cubicBezTo>
                                  <a:pt x="9534" y="1239"/>
                                  <a:pt x="9498" y="1225"/>
                                  <a:pt x="9456" y="1225"/>
                                </a:cubicBezTo>
                                <a:cubicBezTo>
                                  <a:pt x="9412" y="1225"/>
                                  <a:pt x="9369" y="1247"/>
                                  <a:pt x="9332" y="1285"/>
                                </a:cubicBezTo>
                                <a:cubicBezTo>
                                  <a:pt x="9330" y="1259"/>
                                  <a:pt x="9324" y="1239"/>
                                  <a:pt x="9315" y="1224"/>
                                </a:cubicBezTo>
                                <a:cubicBezTo>
                                  <a:pt x="9222" y="1250"/>
                                  <a:pt x="9222" y="1250"/>
                                  <a:pt x="9222" y="1250"/>
                                </a:cubicBezTo>
                                <a:cubicBezTo>
                                  <a:pt x="9233" y="1276"/>
                                  <a:pt x="9239" y="1311"/>
                                  <a:pt x="9239" y="1369"/>
                                </a:cubicBezTo>
                                <a:cubicBezTo>
                                  <a:pt x="9239" y="1707"/>
                                  <a:pt x="9239" y="1707"/>
                                  <a:pt x="9239" y="1707"/>
                                </a:cubicBezTo>
                                <a:cubicBezTo>
                                  <a:pt x="9338" y="1707"/>
                                  <a:pt x="9338" y="1707"/>
                                  <a:pt x="9338" y="1707"/>
                                </a:cubicBezTo>
                                <a:cubicBezTo>
                                  <a:pt x="9338" y="1358"/>
                                  <a:pt x="9338" y="1358"/>
                                  <a:pt x="9338" y="1358"/>
                                </a:cubicBezTo>
                                <a:cubicBezTo>
                                  <a:pt x="9372" y="1327"/>
                                  <a:pt x="9406" y="1312"/>
                                  <a:pt x="9435" y="1312"/>
                                </a:cubicBezTo>
                                <a:cubicBezTo>
                                  <a:pt x="9474" y="1312"/>
                                  <a:pt x="9486" y="1330"/>
                                  <a:pt x="9486" y="1384"/>
                                </a:cubicBezTo>
                                <a:cubicBezTo>
                                  <a:pt x="9486" y="1707"/>
                                  <a:pt x="9486" y="1707"/>
                                  <a:pt x="9486" y="1707"/>
                                </a:cubicBezTo>
                                <a:cubicBezTo>
                                  <a:pt x="9584" y="1707"/>
                                  <a:pt x="9584" y="1707"/>
                                  <a:pt x="9584" y="1707"/>
                                </a:cubicBezTo>
                                <a:cubicBezTo>
                                  <a:pt x="9584" y="1365"/>
                                  <a:pt x="9584" y="1365"/>
                                  <a:pt x="9584" y="1365"/>
                                </a:cubicBezTo>
                                <a:cubicBezTo>
                                  <a:pt x="9616" y="1334"/>
                                  <a:pt x="9648" y="1311"/>
                                  <a:pt x="9683" y="1311"/>
                                </a:cubicBezTo>
                                <a:cubicBezTo>
                                  <a:pt x="9719" y="1311"/>
                                  <a:pt x="9731" y="1327"/>
                                  <a:pt x="9731" y="1382"/>
                                </a:cubicBezTo>
                                <a:cubicBezTo>
                                  <a:pt x="9731" y="1707"/>
                                  <a:pt x="9731" y="1707"/>
                                  <a:pt x="9731" y="1707"/>
                                </a:cubicBezTo>
                                <a:lnTo>
                                  <a:pt x="9832" y="1707"/>
                                </a:lnTo>
                                <a:close/>
                                <a:moveTo>
                                  <a:pt x="10033" y="1500"/>
                                </a:moveTo>
                                <a:cubicBezTo>
                                  <a:pt x="10033" y="1507"/>
                                  <a:pt x="10033" y="1507"/>
                                  <a:pt x="10033" y="1507"/>
                                </a:cubicBezTo>
                                <a:cubicBezTo>
                                  <a:pt x="10033" y="1572"/>
                                  <a:pt x="10057" y="1641"/>
                                  <a:pt x="10149" y="1641"/>
                                </a:cubicBezTo>
                                <a:cubicBezTo>
                                  <a:pt x="10193" y="1641"/>
                                  <a:pt x="10231" y="1625"/>
                                  <a:pt x="10266" y="1594"/>
                                </a:cubicBezTo>
                                <a:cubicBezTo>
                                  <a:pt x="10306" y="1657"/>
                                  <a:pt x="10306" y="1657"/>
                                  <a:pt x="10306" y="1657"/>
                                </a:cubicBezTo>
                                <a:cubicBezTo>
                                  <a:pt x="10257" y="1698"/>
                                  <a:pt x="10200" y="1719"/>
                                  <a:pt x="10137" y="1719"/>
                                </a:cubicBezTo>
                                <a:cubicBezTo>
                                  <a:pt x="10004" y="1719"/>
                                  <a:pt x="9921" y="1623"/>
                                  <a:pt x="9921" y="1473"/>
                                </a:cubicBezTo>
                                <a:cubicBezTo>
                                  <a:pt x="9921" y="1390"/>
                                  <a:pt x="9938" y="1335"/>
                                  <a:pt x="9979" y="1289"/>
                                </a:cubicBezTo>
                                <a:cubicBezTo>
                                  <a:pt x="10017" y="1245"/>
                                  <a:pt x="10064" y="1226"/>
                                  <a:pt x="10123" y="1226"/>
                                </a:cubicBezTo>
                                <a:cubicBezTo>
                                  <a:pt x="10170" y="1226"/>
                                  <a:pt x="10212" y="1237"/>
                                  <a:pt x="10253" y="1274"/>
                                </a:cubicBezTo>
                                <a:cubicBezTo>
                                  <a:pt x="10293" y="1311"/>
                                  <a:pt x="10314" y="1369"/>
                                  <a:pt x="10314" y="1478"/>
                                </a:cubicBezTo>
                                <a:cubicBezTo>
                                  <a:pt x="10314" y="1500"/>
                                  <a:pt x="10314" y="1500"/>
                                  <a:pt x="10314" y="1500"/>
                                </a:cubicBezTo>
                                <a:lnTo>
                                  <a:pt x="10033" y="1500"/>
                                </a:lnTo>
                                <a:close/>
                                <a:moveTo>
                                  <a:pt x="10123" y="1303"/>
                                </a:moveTo>
                                <a:cubicBezTo>
                                  <a:pt x="10066" y="1303"/>
                                  <a:pt x="10034" y="1348"/>
                                  <a:pt x="10034" y="1424"/>
                                </a:cubicBezTo>
                                <a:cubicBezTo>
                                  <a:pt x="10208" y="1424"/>
                                  <a:pt x="10208" y="1424"/>
                                  <a:pt x="10208" y="1424"/>
                                </a:cubicBezTo>
                                <a:cubicBezTo>
                                  <a:pt x="10208" y="1348"/>
                                  <a:pt x="10174" y="1303"/>
                                  <a:pt x="10123" y="1303"/>
                                </a:cubicBezTo>
                                <a:moveTo>
                                  <a:pt x="10767" y="1707"/>
                                </a:moveTo>
                                <a:cubicBezTo>
                                  <a:pt x="10767" y="1356"/>
                                  <a:pt x="10767" y="1356"/>
                                  <a:pt x="10767" y="1356"/>
                                </a:cubicBezTo>
                                <a:cubicBezTo>
                                  <a:pt x="10767" y="1269"/>
                                  <a:pt x="10717" y="1225"/>
                                  <a:pt x="10644" y="1225"/>
                                </a:cubicBezTo>
                                <a:cubicBezTo>
                                  <a:pt x="10594" y="1225"/>
                                  <a:pt x="10551" y="1248"/>
                                  <a:pt x="10500" y="1290"/>
                                </a:cubicBezTo>
                                <a:cubicBezTo>
                                  <a:pt x="10500" y="1265"/>
                                  <a:pt x="10495" y="1245"/>
                                  <a:pt x="10484" y="1223"/>
                                </a:cubicBezTo>
                                <a:cubicBezTo>
                                  <a:pt x="10391" y="1249"/>
                                  <a:pt x="10391" y="1249"/>
                                  <a:pt x="10391" y="1249"/>
                                </a:cubicBezTo>
                                <a:cubicBezTo>
                                  <a:pt x="10404" y="1283"/>
                                  <a:pt x="10408" y="1312"/>
                                  <a:pt x="10408" y="1361"/>
                                </a:cubicBezTo>
                                <a:cubicBezTo>
                                  <a:pt x="10408" y="1707"/>
                                  <a:pt x="10408" y="1707"/>
                                  <a:pt x="10408" y="1707"/>
                                </a:cubicBezTo>
                                <a:cubicBezTo>
                                  <a:pt x="10509" y="1707"/>
                                  <a:pt x="10509" y="1707"/>
                                  <a:pt x="10509" y="1707"/>
                                </a:cubicBezTo>
                                <a:cubicBezTo>
                                  <a:pt x="10509" y="1366"/>
                                  <a:pt x="10509" y="1366"/>
                                  <a:pt x="10509" y="1366"/>
                                </a:cubicBezTo>
                                <a:cubicBezTo>
                                  <a:pt x="10539" y="1335"/>
                                  <a:pt x="10582" y="1313"/>
                                  <a:pt x="10612" y="1313"/>
                                </a:cubicBezTo>
                                <a:cubicBezTo>
                                  <a:pt x="10651" y="1313"/>
                                  <a:pt x="10666" y="1330"/>
                                  <a:pt x="10666" y="1394"/>
                                </a:cubicBezTo>
                                <a:cubicBezTo>
                                  <a:pt x="10666" y="1707"/>
                                  <a:pt x="10666" y="1707"/>
                                  <a:pt x="10666" y="1707"/>
                                </a:cubicBezTo>
                                <a:lnTo>
                                  <a:pt x="10767" y="1707"/>
                                </a:lnTo>
                                <a:close/>
                                <a:moveTo>
                                  <a:pt x="10987" y="1237"/>
                                </a:moveTo>
                                <a:cubicBezTo>
                                  <a:pt x="10987" y="1190"/>
                                  <a:pt x="10991" y="1133"/>
                                  <a:pt x="10996" y="1095"/>
                                </a:cubicBezTo>
                                <a:cubicBezTo>
                                  <a:pt x="10890" y="1120"/>
                                  <a:pt x="10890" y="1120"/>
                                  <a:pt x="10890" y="1120"/>
                                </a:cubicBezTo>
                                <a:cubicBezTo>
                                  <a:pt x="10886" y="1156"/>
                                  <a:pt x="10886" y="1197"/>
                                  <a:pt x="10886" y="1237"/>
                                </a:cubicBezTo>
                                <a:cubicBezTo>
                                  <a:pt x="10834" y="1237"/>
                                  <a:pt x="10834" y="1237"/>
                                  <a:pt x="10834" y="1237"/>
                                </a:cubicBezTo>
                                <a:cubicBezTo>
                                  <a:pt x="10834" y="1307"/>
                                  <a:pt x="10834" y="1307"/>
                                  <a:pt x="10834" y="1307"/>
                                </a:cubicBezTo>
                                <a:cubicBezTo>
                                  <a:pt x="10886" y="1307"/>
                                  <a:pt x="10886" y="1307"/>
                                  <a:pt x="10886" y="1307"/>
                                </a:cubicBezTo>
                                <a:cubicBezTo>
                                  <a:pt x="10886" y="1598"/>
                                  <a:pt x="10886" y="1598"/>
                                  <a:pt x="10886" y="1598"/>
                                </a:cubicBezTo>
                                <a:cubicBezTo>
                                  <a:pt x="10886" y="1665"/>
                                  <a:pt x="10917" y="1719"/>
                                  <a:pt x="11009" y="1719"/>
                                </a:cubicBezTo>
                                <a:cubicBezTo>
                                  <a:pt x="11040" y="1719"/>
                                  <a:pt x="11070" y="1712"/>
                                  <a:pt x="11101" y="1699"/>
                                </a:cubicBezTo>
                                <a:cubicBezTo>
                                  <a:pt x="11088" y="1637"/>
                                  <a:pt x="11088" y="1637"/>
                                  <a:pt x="11088" y="1637"/>
                                </a:cubicBezTo>
                                <a:cubicBezTo>
                                  <a:pt x="11070" y="1644"/>
                                  <a:pt x="11058" y="1646"/>
                                  <a:pt x="11044" y="1646"/>
                                </a:cubicBezTo>
                                <a:cubicBezTo>
                                  <a:pt x="10999" y="1646"/>
                                  <a:pt x="10986" y="1630"/>
                                  <a:pt x="10986" y="1571"/>
                                </a:cubicBezTo>
                                <a:cubicBezTo>
                                  <a:pt x="10986" y="1307"/>
                                  <a:pt x="10986" y="1307"/>
                                  <a:pt x="10986" y="1307"/>
                                </a:cubicBezTo>
                                <a:cubicBezTo>
                                  <a:pt x="11073" y="1307"/>
                                  <a:pt x="11073" y="1307"/>
                                  <a:pt x="11073" y="1307"/>
                                </a:cubicBezTo>
                                <a:cubicBezTo>
                                  <a:pt x="11100" y="1237"/>
                                  <a:pt x="11100" y="1237"/>
                                  <a:pt x="11100" y="1237"/>
                                </a:cubicBezTo>
                                <a:cubicBezTo>
                                  <a:pt x="10987" y="1237"/>
                                  <a:pt x="10987" y="1237"/>
                                  <a:pt x="10987" y="1237"/>
                                </a:cubicBezTo>
                              </a:path>
                            </a:pathLst>
                          </a:custGeom>
                          <a:solidFill>
                            <a:srgbClr val="6867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Logo Vic" o:spid="_x0000_s1026" alt="Title: Victorian State Government logo - Description: Victorian State Government logo" style="position:absolute;margin-left:56.5pt;margin-top:28.35pt;width:183.4pt;height:33.25pt;z-index:-251340800;mso-position-horizontal-relative:page;mso-position-vertical-relative:page" coordorigin="-17207,-1468" coordsize="40176,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">
                <o:lock v:ext="edit" aspectratio="t"/>
                <v:shape id="Freeform 1961" o:spid="_x0000_s1027" style="position:absolute;left:-17207;top:-1468;width:12446;height:7115;visibility:visible;mso-wrap-style:square;v-text-anchor:top" coordsize="5269,3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Y5cMA&#10;AADdAAAADwAAAGRycy9kb3ducmV2LnhtbESPQYvCMBSE78L+h/AW9qaprohWoyyCoF7E6rLXR/Ns&#10;yzYvpUk1/nsjCB6HmfmGWayCqcWVWldZVjAcJCCIc6srLhScT5v+FITzyBpry6TgTg5Wy4/eAlNt&#10;b3yka+YLESHsUlRQet+kUrq8JINuYBvi6F1sa9BH2RZSt3iLcFPLUZJMpMGK40KJDa1Lyv+zzijo&#10;DsM93cfh0IQs3/12xMep+1Pq6zP8zEF4Cv4dfrW3WsF3MpvB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VY5cMAAADdAAAADwAAAAAAAAAAAAAAAACYAgAAZHJzL2Rv&#10;d25yZXYueG1sUEsFBgAAAAAEAAQA9QAAAIgDAAAAAA==&#10;" path="m3785,591v-11,78,-11,78,-11,78c3832,617,3832,617,3832,617v58,52,58,52,58,52c3879,591,3879,591,3879,591v70,,70,,70,c3888,541,3888,541,3888,541v48,-63,48,-63,48,-63c3859,495,3859,495,3859,495v-27,-74,-27,-74,-27,-74c3805,495,3805,495,3805,495v-77,-17,-77,-17,-77,-17c3775,541,3775,541,3775,541v-60,50,-60,50,-60,50l3785,591xm4132,1278v75,-40,75,-40,75,-40c4247,1314,4247,1314,4247,1314v19,-90,19,-90,19,-90c4352,1259,4352,1259,4352,1259v-40,-76,-40,-76,-40,-76c4387,1144,4387,1144,4387,1144v-91,-19,-91,-19,-91,-19c4332,1040,4332,1040,4332,1040v-76,39,-76,39,-76,39c4216,1004,4216,1004,4216,1004v-18,90,-18,90,-18,90c4113,1059,4113,1059,4113,1059v40,75,40,75,40,75c4077,1174,4077,1174,4077,1174v91,19,91,19,91,19l4132,1278xm4169,255v-9,91,-9,91,-9,91c4229,285,4229,285,4229,285v68,61,68,61,68,61c4289,255,4289,255,4289,255v77,,77,,77,c4300,196,4300,196,4300,196v51,-74,51,-74,51,-74c4265,142,4265,142,4265,142,4229,55,4229,55,4229,55v-37,87,-37,87,-37,87c4106,122,4106,122,4106,122v52,74,52,74,52,74c4091,255,4091,255,4091,255r78,xm4540,570v69,-10,69,-10,69,-10c4638,617,4638,617,4638,617v27,-57,27,-57,27,-57c4736,570,4736,570,4736,570v-38,-62,-38,-62,-38,-62c4735,448,4735,448,4735,448v-69,10,-69,10,-69,10c4638,400,4638,400,4638,400v-29,58,-29,58,-29,58c4539,448,4539,448,4539,448v38,61,38,61,38,61l4540,570xm4355,734v-7,48,-7,48,-7,48c4389,760,4389,760,4389,760v41,22,41,22,41,22c4422,734,4422,734,4422,734v34,-30,34,-30,34,-30c4407,695,4407,695,4407,695v-18,-40,-18,-40,-18,-40c4370,695,4370,695,4370,695v-48,9,-48,9,-48,9l4355,734xm3141,2215v-131,,-214,105,-214,268c2927,2642,3013,2749,3141,2749v130,,215,-105,215,-270c3356,2318,3271,2215,3141,2215m1740,1612v42,,69,-30,69,-76c1809,1490,1782,1461,1740,1461v-41,,-67,30,-67,76c1673,1581,1700,1612,1740,1612m590,1577v,22,17,36,44,36c672,1613,692,1591,692,1552v,-5,,-9,,-14c676,1537,669,1536,660,1536v-46,,-70,15,-70,41m1057,1462v-26,,-46,13,-55,38c1109,1500,1109,1500,1109,1500v-10,-26,-26,-38,-52,-38m2215,1462v-26,,-45,13,-54,38c2267,1500,2267,1500,2267,1500v-9,-26,-26,-38,-52,-38m3279,1462v-26,,-45,13,-54,38c3332,1500,3332,1500,3332,1500v-10,-26,-26,-38,-53,-38m5181,c4222,1940,4222,1940,4222,1940,3280,,3280,,3280,,,,,,,,,3012,,3012,,3012v5269,,5269,,5269,c5269,,5269,,5269,r-88,xm3667,1425v17,,17,,17,c3684,1374,3684,1374,3684,1374v55,-16,55,-16,55,-16c3739,1425,3739,1425,3739,1425v19,,19,,19,c3761,1425,3764,1425,3768,1424v6,,10,,13,-1c3788,1422,3791,1421,3800,1419v-25,49,-25,49,-25,49c3739,1468,3739,1468,3739,1468v,112,,112,,112c3739,1602,3743,1609,3758,1609v17,,29,-3,52,-11c3795,1649,3795,1649,3795,1649v-14,1,-14,1,-14,1c3762,1653,3756,1653,3747,1653v-20,,-35,-4,-45,-13c3689,1630,3684,1613,3684,1580v,-112,,-112,,-112c3682,1468,3682,1468,3682,1468v-11,,-25,2,-40,5l3667,1425xm3282,1419v46,,81,22,99,62c3389,1499,3392,1514,3394,1542v-175,,-175,,-175,c3220,1556,3221,1559,3224,1569v9,25,37,41,73,41c3314,1610,3331,1606,3350,1598v11,-5,19,-9,37,-21c3373,1644,3373,1644,3373,1644v-7,1,-12,2,-15,3c3338,1651,3317,1653,3299,1653v-84,,-137,-45,-137,-114c3162,1469,3212,1419,3282,1419t-510,18c2839,1417,2839,1417,2839,1417v,20,,20,,20c2857,1424,2875,1419,2897,1419v31,,52,9,71,31c2979,1441,2983,1437,2990,1433v15,-9,35,-14,54,-14c3072,1419,3100,1430,3115,1448v13,16,16,36,16,86c3131,1611,3131,1611,3131,1611v,19,5,28,16,36c3061,1647,3061,1647,3061,1647v12,-8,16,-17,16,-36c3077,1507,3077,1507,3077,1507v,-18,-3,-26,-9,-33c3061,1465,3049,1460,3037,1460v-30,,-52,20,-52,49c2985,1611,2985,1611,2985,1611v,19,4,28,16,36c2914,1647,2914,1647,2914,1647v13,-8,16,-17,16,-36c2930,1507,2930,1507,2930,1507v,-18,-2,-26,-8,-33c2914,1465,2903,1460,2889,1460v-29,,-50,20,-50,49c2839,1611,2839,1611,2839,1611v,19,4,28,16,36c2768,1647,2768,1647,2768,1647v13,-8,16,-17,16,-36c2784,1469,2784,1469,2784,1469v,-18,-2,-23,-12,-32m2515,1437v66,-20,66,-20,66,-20c2581,1437,2581,1437,2581,1437v21,-13,37,-18,60,-18c2672,1419,2699,1430,2715,1448v12,16,16,36,16,86c2731,1611,2731,1611,2731,1611v,19,3,28,15,36c2660,1647,2660,1647,2660,1647v13,-8,16,-17,16,-36c2676,1507,2676,1507,2676,1507v,-18,-2,-25,-8,-33c2660,1465,2649,1460,2633,1460v-31,,-52,20,-52,49c2581,1611,2581,1611,2581,1611v,19,4,28,16,36c2511,1647,2511,1647,2511,1647v13,-8,16,-17,16,-36c2527,1469,2527,1469,2527,1469v,-18,-2,-23,-12,-32m2353,1437v66,-20,66,-20,66,-20c2419,1441,2419,1441,2419,1441v17,-14,33,-20,57,-20c2485,1421,2488,1422,2497,1424v,55,,55,,55c2483,1472,2477,1470,2466,1470v-29,,-47,22,-47,57c2419,1611,2419,1611,2419,1611v,19,4,28,16,36c2349,1647,2349,1647,2349,1647v13,-8,16,-17,16,-36c2365,1469,2365,1469,2365,1469v,-18,-2,-23,-12,-32m2218,1419v46,,81,22,99,62c2324,1499,2327,1514,2329,1542v-174,,-174,,-174,c2156,1556,2157,1559,2160,1569v9,25,37,41,72,41c2250,1610,2267,1606,2285,1598v12,-5,20,-9,37,-21c2308,1644,2308,1644,2308,1644v-6,1,-11,2,-15,3c2273,1651,2252,1653,2234,1653v-84,,-137,-45,-137,-114c2097,1469,2148,1419,2218,1419t-280,6c1933,1429,1931,1433,1931,1440v,5,2,13,4,17c1985,1552,1985,1552,1985,1552v47,-91,47,-91,47,-91c2035,1454,2038,1444,2038,1439v,-5,-2,-9,-8,-14c2109,1425,2109,1425,2109,1425v-5,6,-7,8,-11,14c2092,1448,2082,1463,2077,1473v-97,180,-97,180,-97,180c1875,1458,1875,1458,1875,1458v,-1,-1,-4,-3,-6c1869,1448,1868,1445,1866,1442v-4,-7,-8,-10,-16,-17l1938,1425xm1742,1419v74,,124,45,124,113c1866,1602,1814,1653,1740,1653v-74,,-125,-47,-125,-115c1615,1468,1668,1419,1742,1419t-551,357c1377,1776,1377,1776,1377,1776v,195,,195,,195c1191,1971,1191,1971,1191,1971r,-195xm1059,1419v46,,81,22,99,62c1166,1499,1169,1514,1171,1542v-174,,-174,,-174,c998,1556,999,1559,1002,1569v9,25,36,41,72,41c1091,1610,1108,1606,1127,1598v11,-5,19,-9,37,-21c1150,1644,1150,1644,1150,1644v-7,1,-12,2,-15,3c1115,1651,1093,1653,1076,1653v-84,,-137,-45,-137,-114c939,1469,990,1419,1059,1419t-270,6c806,1425,806,1425,806,1425v,-51,,-51,,-51c861,1358,861,1358,861,1358v,67,,67,,67c881,1425,881,1425,881,1425v2,,5,,10,-1c897,1424,901,1424,904,1423v6,-1,9,-2,18,-4c897,1468,897,1468,897,1468v-36,,-36,,-36,c861,1580,861,1580,861,1580v,22,5,29,20,29c897,1609,909,1606,932,1598v-15,51,-15,51,-15,51c904,1650,904,1650,904,1650v-19,3,-26,3,-35,3c850,1653,835,1649,824,1640v-13,-10,-18,-27,-18,-60c806,1468,806,1468,806,1468v-2,,-2,,-2,c794,1468,780,1470,764,1473r25,-48xm689,1479v-6,-13,-21,-19,-47,-19c626,1460,611,1462,597,1466v-15,4,-24,8,-47,19c567,1425,567,1425,567,1425v8,-1,14,-2,17,-2c606,1420,619,1419,637,1419v29,,50,3,69,9c718,1432,728,1438,734,1446v9,11,11,23,11,60c745,1584,745,1584,745,1584v,16,1,27,3,39c750,1633,751,1638,756,1647v-54,,-54,,-54,c701,1642,701,1638,700,1627v-17,17,-42,26,-74,26c569,1653,535,1626,535,1581v,-53,45,-82,126,-82c671,1499,677,1499,692,1501v,-14,-1,-17,-3,-22m378,1425v17,,17,,17,c395,1374,395,1374,395,1374v55,-16,55,-16,55,-16c450,1425,450,1425,450,1425v20,,20,,20,c472,1425,475,1425,480,1424v5,,10,,13,-1c499,1422,502,1421,511,1419v-25,49,-25,49,-25,49c450,1468,450,1468,450,1468v,112,,112,,112c450,1602,454,1609,470,1609v16,,28,-3,51,-11c506,1649,506,1649,506,1649v-13,1,-13,1,-13,1c474,1653,467,1653,458,1653v-19,,-35,-4,-45,-13c400,1630,395,1613,395,1580v,-112,,-112,,-112c393,1468,393,1468,393,1468v-10,,-24,2,-40,5l378,1425xm294,1538v-6,-10,-16,-16,-41,-24c248,1512,241,1509,230,1505v-33,-12,-44,-17,-58,-25c147,1465,135,1446,135,1419v,-56,45,-88,123,-88c276,1331,284,1332,318,1337v8,1,8,1,8,1c335,1405,335,1405,335,1405v-18,-12,-24,-15,-33,-19c286,1379,266,1375,249,1375v-34,,-55,14,-55,35c194,1419,196,1426,201,1431v9,10,23,16,61,29c307,1475,318,1480,332,1493v16,15,26,36,26,61c358,1613,305,1652,224,1652v-26,,-54,-3,-89,-11c126,1573,126,1573,126,1573v13,8,17,10,25,15c177,1601,203,1608,229,1608v43,,71,-19,71,-48c300,1552,298,1544,294,1538t781,371c1060,1943,1060,1943,1060,1943,637,2892,637,2892,637,2892,220,1951,220,1951,220,1951v-4,-8,-10,-22,-20,-42c191,1889,182,1875,175,1860v-17,-35,-36,-56,-68,-84c402,1776,402,1776,402,1776v-22,20,-26,29,-26,52c376,1847,387,1892,400,1922v252,579,252,579,252,579c912,1907,912,1907,912,1907v13,-29,23,-67,23,-84c935,1805,930,1792,912,1776v254,,254,,254,c1115,1819,1108,1830,1075,1909t80,964c1194,2846,1206,2815,1206,2747v,-526,,-526,,-526c1204,2157,1198,2139,1168,2109v209,-70,209,-70,209,-70c1377,2747,1377,2747,1377,2747v,68,13,99,50,126l1155,2873xm1349,1616v-38,-31,-59,-74,-59,-124c1290,1398,1365,1331,1471,1331v11,,22,1,34,2c1523,1335,1534,1337,1564,1344v7,71,7,71,7,71c1533,1386,1503,1375,1468,1375v-71,,-118,46,-118,117c1350,1563,1398,1609,1473,1609v22,,39,-4,57,-12c1530,1520,1530,1520,1530,1520v,-19,-4,-28,-16,-35c1602,1485,1602,1485,1602,1485v-13,7,-16,16,-16,35c1586,1610,1586,1610,1586,1610v,12,,17,5,23c1552,1645,1506,1652,1466,1652v-50,,-86,-11,-117,-36m2115,2866v-25,5,-25,5,-25,5c1995,2892,1973,2893,1901,2893v-134,,-224,-28,-301,-98c1517,2719,1472,2609,1472,2483v,-249,168,-417,417,-417c1938,2066,2003,2073,2076,2085v14,1,14,1,14,1c2118,2289,2118,2289,2118,2289v-75,-46,-151,-70,-229,-70c1746,2219,1656,2322,1656,2481v,161,92,263,234,263c1933,2744,1979,2734,2034,2715v45,-18,67,-28,119,-65l2115,2866xm2661,2879v-44,6,-44,6,-44,6c2557,2893,2536,2895,2508,2895v-61,,-110,-14,-143,-45c2325,2815,2309,2754,2309,2637v,-398,,-398,,-398c2302,2239,2302,2239,2302,2239v-33,,-77,7,-126,18c2256,2088,2256,2088,2256,2088v53,,53,,53,c2309,1906,2309,1906,2309,1906v173,-56,173,-56,173,-56c2482,2088,2482,2088,2482,2088v63,,63,,63,c2552,2088,2562,2088,2576,2086v18,-1,31,-3,41,-5c2637,2078,2648,2075,2675,2068v-80,171,-80,171,-80,171c2482,2239,2482,2239,2482,2239v,397,,397,,397c2482,2715,2497,2739,2545,2739v50,,89,-10,162,-39l2661,2879xm3141,2893v-236,,-395,-164,-395,-407c2746,2241,2911,2066,3145,2066v234,,391,160,391,399c3536,2716,3373,2893,3141,2893m3570,1474v-8,-9,-19,-14,-34,-14c3505,1460,3484,1480,3484,1509v,102,,102,,102c3484,1630,3488,1639,3500,1647v-87,,-87,,-87,c3426,1639,3429,1630,3429,1611v,-142,,-142,,-142c3429,1451,3427,1446,3417,1437v67,-20,67,-20,67,-20c3484,1437,3484,1437,3484,1437v21,-13,36,-18,59,-18c3574,1419,3601,1430,3617,1448v12,16,16,36,16,86c3633,1611,3633,1611,3633,1611v,19,4,28,16,36c3563,1647,3563,1647,3563,1647v12,-8,16,-17,16,-36c3579,1507,3579,1507,3579,1507v-1,-18,-3,-25,-9,-33m4046,2279v-45,-27,-65,-33,-100,-33c3856,2246,3800,2323,3800,2447v,300,,300,,300c3800,2815,3812,2846,3850,2873v-273,,-273,,-273,c3617,2846,3628,2815,3628,2747v,-504,,-504,,-504c3627,2180,3621,2162,3590,2132v210,-70,210,-70,210,-70c3800,2146,3800,2146,3800,2146v52,-52,102,-71,178,-71c4006,2075,4017,2076,4046,2083r,196xm4108,2873v40,-27,51,-58,51,-126c4159,2221,4159,2221,4159,2221v-1,-64,-7,-82,-38,-112c4331,2039,4331,2039,4331,2039v,708,,708,,708c4331,2815,4344,2846,4381,2873r-273,xm4962,2873v-4,-18,-5,-33,-6,-71c4902,2865,4825,2893,4722,2893v-181,,-287,-93,-287,-252c4435,2452,4577,2348,4834,2348v29,,49,2,96,7c4930,2307,4928,2295,4921,2277v-18,-43,-66,-64,-148,-64c4722,2213,4674,2219,4631,2233v-47,13,-77,26,-148,66c4536,2088,4536,2088,4536,2088v25,-3,44,-7,56,-8c4658,2070,4700,2066,4757,2066v91,,157,10,218,33c5012,2114,5043,2136,5061,2161v29,39,38,83,38,215c5099,2652,5099,2652,5099,2652v,56,3,95,11,138c5115,2825,5120,2840,5134,2873r-172,xm4830,2481v-144,,-221,51,-221,143c4609,2703,4664,2754,4750,2754v117,,181,-77,181,-218c4931,2521,4931,2504,4930,2488v-50,-5,-70,-7,-100,-7e" fillcolor="#003f7c" stroked="f">
                  <v:path arrowok="t" o:connecttype="custom" o:connectlocs="9297,1129;9760,3019;10233,2457;9760,3019;10278,288;10724,1346;10956,945;10464,1847;7419,5232;3952,3631;2497,3454;7745,3454;0,7115;8832,3366;8877,3801;8697,3468;7788,3803;6548,3395;7396,3624;7051,3565;6706,3565;6097,3347;6321,3806;5969,3806;5898,3494;5558,3395;5485,3725;4571,3442;4677,3905;4110,3905;2501,3352;2716,3883;2034,3208;2034,3732;1904,3468;1339,3366;1786,3891;893,3366;1207,3352;1082,3905;598,3576;713,3274;319,3876;1505,6832;1540,5908;2849,5246;3475,3144;3614,3591;4996,6770;5003,5407;6182,6815;5454,4932;6130,5289;7429,4880;8062,3891;8582,3624;9321,5306;8976,4871;9734,4982;10476,6239;10847,4913;11721,6787" o:connectangles="0,0,0,0,0,0,0,0,0,0,0,0,0,0,0,0,0,0,0,0,0,0,0,0,0,0,0,0,0,0,0,0,0,0,0,0,0,0,0,0,0,0,0,0,0,0,0,0,0,0,0,0,0,0,0,0,0,0,0,0,0,0"/>
                  <o:lock v:ext="edit" aspectratio="t" verticies="t"/>
                </v:shape>
                <v:shape id="Freeform 1962" o:spid="_x0000_s1028" style="position:absolute;left:-3253;top:1286;width:26222;height:4507;visibility:visible;mso-wrap-style:square;v-text-anchor:top" coordsize="11101,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5XccMA&#10;AADdAAAADwAAAGRycy9kb3ducmV2LnhtbERPz2vCMBS+D/wfwhO8DJtqYZTOKCJsCDvI2jE8vjVv&#10;bVnzEpKo3X9vDoMdP77fm91kRnElHwbLClZZDoK4tXrgTsFH87IsQYSIrHG0TAp+KcBuO3vYYKXt&#10;jd/pWsdOpBAOFSroY3SVlKHtyWDIrCNO3Lf1BmOCvpPa4y2Fm1Gu8/xJGhw4NfTo6NBT+1NfjALd&#10;FF+vrTuX2h3828l80t7yo1KL+bR/BhFpiv/iP/dRKyhWedqf3q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5XccMAAADdAAAADwAAAAAAAAAAAAAAAACYAgAAZHJzL2Rv&#10;d25yZXYueG1sUEsFBgAAAAAEAAQA9QAAAIgDAAAAAA==&#10;" path="m389,595v-54,69,-110,90,-230,90c,685,,685,,685,,42,,42,,42v134,,134,,134,c255,42,327,64,387,133v47,55,70,132,70,232c457,463,433,539,389,595m297,182c267,141,234,126,176,126v-68,,-68,,-68,c108,597,108,597,108,597v71,,71,,71,c292,597,338,522,338,376v,-82,-8,-148,-41,-194m648,478v,7,,7,,7c648,550,672,619,764,619v44,,82,-16,117,-47c921,635,921,635,921,635v-49,41,-106,62,-169,62c619,697,536,601,536,451v,-83,17,-138,58,-184c632,223,679,203,738,203v47,,89,12,129,49c908,289,929,346,929,456v,22,,22,,22l648,478xm738,281v-57,,-89,45,-89,121c823,402,823,402,823,402v,-76,-34,-121,-85,-121m1239,694v-40,,-79,-13,-112,-38c1127,656,1129,676,1129,702v,158,,158,,158c1031,885,1031,885,1031,885v,-549,,-549,,-549c1031,278,1028,254,1021,219v94,-17,94,-17,94,-17c1120,218,1122,231,1123,260v30,-36,76,-56,125,-56c1343,204,1426,276,1426,440v,156,-67,254,-187,254m1129,337v,234,,234,,234c1154,596,1186,613,1217,613v68,,99,-51,99,-162c1316,346,1296,289,1229,289v-37,,-72,17,-100,48m1843,704v-29,-11,-53,-33,-64,-63c1741,684,1700,699,1650,699v-108,,-156,-60,-156,-142c1494,449,1575,394,1726,394v31,,31,,31,c1757,369,1757,369,1757,369v,-54,-9,-83,-65,-83c1625,286,1552,340,1552,340v-45,-73,-45,-73,-45,-73c1577,222,1636,202,1706,202v74,,123,27,143,78c1858,301,1858,326,1857,396v-2,134,-2,134,-2,134c1854,594,1860,614,1896,639r-53,65xm1737,463v-102,,-133,29,-133,89c1604,597,1628,624,1669,624v33,,64,-19,85,-49c1756,464,1756,464,1756,464v,,-11,-1,-19,-1m2240,209v-12,-6,-22,-7,-37,-7c2158,202,2121,226,2084,277v,-26,-7,-53,-18,-74c1972,227,1972,227,1972,227v10,28,17,66,17,126c1989,685,1989,685,1989,685v102,,102,,102,c2091,367,2091,367,2091,367v9,-38,46,-70,88,-70c2190,297,2198,300,2208,304r32,-95xm2419,215v,-47,4,-104,8,-142c2322,98,2322,98,2322,98v-4,36,-4,77,-4,117c2266,215,2266,215,2266,215v,70,,70,,70c2318,285,2318,285,2318,285v,291,,291,,291c2318,643,2349,697,2440,697v32,,62,-7,92,-21c2519,615,2519,615,2519,615v-17,7,-29,9,-43,9c2431,624,2418,608,2418,549v,-264,,-264,,-264c2504,285,2504,285,2504,285v27,-70,27,-70,27,-70c2419,215,2419,215,2419,215t788,470c3207,341,3207,341,3207,341v,-98,-46,-137,-123,-137c3034,204,2989,226,2944,272v-34,-55,-71,-68,-112,-68c2788,204,2744,225,2707,263v-2,-26,-8,-46,-17,-61c2597,228,2597,228,2597,228v11,26,17,61,17,119c2614,685,2614,685,2614,685v99,,99,,99,c2713,336,2713,336,2713,336v35,-31,68,-46,97,-46c2849,290,2861,308,2861,362v,323,,323,,323c2959,685,2959,685,2959,685v,-342,,-342,,-342c2991,312,3024,289,3058,289v36,,49,16,49,71c3107,685,3107,685,3107,685r100,xm3416,478v,7,,7,,7c3416,550,3440,619,3532,619v44,,82,-16,117,-47c3689,635,3689,635,3689,635v-49,41,-106,62,-169,62c3387,697,3303,601,3303,451v,-83,18,-138,59,-184c3400,223,3446,203,3506,203v46,,89,12,129,49c3676,289,3697,346,3697,456v,22,,22,,22l3416,478xm3506,281v-58,,-89,45,-89,121c3591,402,3591,402,3591,402v,-76,-34,-121,-85,-121m4157,685v,-351,,-351,,-351c4157,247,4107,204,4035,204v-50,,-94,22,-144,64c3891,243,3885,223,3874,202v-93,26,-93,26,-93,26c3794,261,3799,290,3799,339v,346,,346,,346c3899,685,3899,685,3899,685v,-341,,-341,,-341c3930,313,3972,291,4002,291v39,,54,17,54,82c4056,685,4056,685,4056,685r101,xm4385,215v,-47,4,-104,8,-142c4288,98,4288,98,4288,98v-5,36,-5,77,-5,117c4231,215,4231,215,4231,215v,70,,70,,70c4283,285,4283,285,4283,285v,291,,291,,291c4283,643,4315,697,4406,697v32,,62,-7,92,-21c4485,615,4485,615,4485,615v-17,7,-29,9,-43,9c4397,624,4384,608,4384,549v,-264,,-264,,-264c4470,285,4470,285,4470,285v27,-70,27,-70,27,-70c4385,215,4385,215,4385,215t775,237c5160,603,5079,697,4952,697v-128,,-208,-96,-208,-246c4744,300,4825,203,4950,203v133,,210,100,210,249m4858,444v,137,34,177,95,177c5014,621,5047,571,5047,453v,-132,-37,-172,-96,-172c4886,281,4858,330,4858,444m5516,29c5483,10,5450,2,5410,2v-84,,-143,45,-143,143c5267,188,5269,214,5269,214v-45,,-45,,-45,c5224,285,5224,285,5224,285v44,,44,,44,c5268,685,5268,685,5268,685v101,,101,,101,c5369,285,5369,285,5369,285v95,,95,,95,c5491,214,5491,214,5491,214v-123,,-123,,-123,c5368,143,5368,143,5368,143v,-42,22,-66,58,-66c5445,77,5459,83,5482,94r34,-65xm6106,685v,-91,,-91,,-91c5848,594,5848,594,5848,594v,-201,,-201,,-201c6044,393,6044,393,6044,393v,-88,,-88,,-88c5847,305,5847,305,5847,305v,-176,,-176,,-176c6082,129,6082,129,6082,129v14,-87,14,-87,14,-87c5739,42,5739,42,5739,42v,643,,643,,643l6106,685xm6490,685v-4,-10,-5,-17,-8,-36c6450,680,6413,695,6367,695v-120,,-193,-94,-193,-241c6174,307,6256,206,6369,206v40,,73,13,102,43c6471,249,6468,213,6468,172,6468,,6468,,6468,v101,16,101,16,101,16c6569,521,6569,521,6569,521v,93,6,141,15,164l6490,685xm6468,326v-23,-25,-51,-38,-86,-38c6317,288,6288,340,6288,453v,105,20,157,97,157c6423,610,6454,588,6468,565r,-239xm7088,651v,,-29,-23,-29,-93c7059,203,7059,203,7059,203v-99,19,-99,19,-99,19c6960,559,6960,559,6960,559v-15,33,-57,61,-92,61c6808,620,6800,577,6800,518v,-315,,-315,,-315c6699,222,6699,222,6699,222v,319,,319,,319c6699,599,6707,630,6725,652v24,28,64,47,117,47c6896,699,6942,680,6976,641v9,27,21,44,41,59l7088,651xm7365,697v63,,107,-19,150,-62c7467,572,7467,572,7467,572v-31,31,-63,47,-95,47c7347,619,7325,609,7310,592v-22,-23,-32,-64,-32,-128c7278,405,7284,361,7298,333v14,-31,42,-48,74,-48c7399,285,7423,296,7451,321v51,-68,51,-68,51,-68c7460,215,7423,203,7372,203v-105,,-207,81,-207,252c7165,607,7236,697,7365,697t546,7c7882,693,7858,671,7847,641v-38,43,-79,58,-129,58c7610,699,7561,639,7561,557v,-108,82,-163,233,-163c7825,394,7825,394,7825,394v,-25,,-25,,-25c7825,315,7816,286,7760,286v-68,,-140,54,-140,54c7574,267,7574,267,7574,267v71,-45,130,-65,200,-65c7848,202,7897,229,7918,280v8,21,8,46,7,116c7923,530,7923,530,7923,530v-1,64,5,84,41,109l7911,704xm7805,463v-102,,-133,29,-133,89c7672,597,7696,624,7737,624v33,,64,-19,85,-49c7823,464,7823,464,7823,464v,,-11,-1,-18,-1m8157,215v,-47,4,-104,8,-142c8060,98,8060,98,8060,98v-4,36,-4,77,-4,117c8004,215,8004,215,8004,215v,70,,70,,70c8056,285,8056,285,8056,285v,291,,291,,291c8056,643,8087,697,8178,697v32,,62,-7,92,-21c8257,615,8257,615,8257,615v-17,7,-29,9,-43,9c8169,624,8156,608,8156,549v,-264,,-264,,-264c8243,285,8243,285,8243,285v26,-70,26,-70,26,-70c8157,215,8157,215,8157,215m8336,77v,-38,30,-69,68,-69c8440,8,8471,38,8471,77v,37,-31,68,-69,68c8365,145,8336,114,8336,77t15,608c8351,222,8351,222,8351,222v103,-18,103,-18,103,-18c8454,685,8454,685,8454,685r-103,xm8967,452v,151,-81,245,-208,245c8632,697,8552,601,8552,451v,-151,81,-248,205,-248c8891,203,8967,303,8967,452t-302,-8c8665,581,8700,621,8761,621v60,,94,-50,94,-168c8855,321,8818,281,8758,281v-65,,-93,49,-93,163m9428,685v,-351,,-351,,-351c9428,247,9378,204,9305,204v-50,,-93,22,-144,64c9161,243,9156,223,9145,202v-93,26,-93,26,-93,26c9065,261,9070,290,9070,339v,346,,346,,346c9170,685,9170,685,9170,685v,-341,,-341,,-341c9201,313,9243,291,9273,291v39,,54,17,54,82c9327,685,9327,685,9327,685r101,xm10072,704v-29,-11,-53,-33,-64,-63c9970,684,9929,699,9879,699v-108,,-156,-60,-156,-142c9723,449,9804,394,9955,394v31,,31,,31,c9986,369,9986,369,9986,369v,-54,-9,-83,-65,-83c9854,286,9781,340,9781,340v-46,-73,-46,-73,-46,-73c9806,222,9865,202,9935,202v74,,123,27,144,78c10087,301,10087,326,10086,396v-2,134,-2,134,-2,134c10083,594,10089,614,10125,639r-53,65xm9966,463v-102,,-133,29,-133,89c9833,597,9857,624,9898,624v33,,64,-19,85,-49c9984,464,9984,464,9984,464v,,-11,-1,-18,-1m10578,685v,-351,,-351,,-351c10578,247,10528,204,10456,204v-50,,-94,22,-144,64c10312,243,10306,223,10295,202v-93,26,-93,26,-93,26c10215,261,10220,290,10220,339v,346,,346,,346c10320,685,10320,685,10320,685v,-341,,-341,,-341c10351,313,10394,291,10423,291v39,,54,17,54,82c10477,685,10477,685,10477,685r101,xm10990,685v-5,-10,-6,-17,-8,-36c10950,680,10913,695,10866,695v-120,,-192,-94,-192,-241c10674,307,10756,206,10869,206v40,,73,13,101,43c10970,249,10968,213,10968,172v,-172,,-172,,-172c11069,16,11069,16,11069,16v,505,,505,,505c11069,614,11075,662,11084,685r-94,xm10968,326v-24,-25,-52,-38,-86,-38c10817,288,10787,340,10787,453v,105,21,157,98,157c10923,610,10954,588,10968,565r,-239xm367,1707v,-91,,-91,,-91c109,1616,109,1616,109,1616v,-201,,-201,,-201c305,1415,305,1415,305,1415v,-88,,-88,,-88c107,1327,107,1327,107,1327v,-176,,-176,,-176c343,1151,343,1151,343,1151v14,-87,14,-87,14,-87c,1064,,1064,,1064v,643,,643,,643l367,1707xm778,1726v-29,-11,-53,-33,-64,-63c676,1706,635,1721,585,1721v-108,,-156,-60,-156,-142c429,1471,511,1416,661,1416v32,,32,,32,c693,1391,693,1391,693,1391v,-54,-10,-83,-65,-83c560,1308,487,1362,487,1362v-45,-73,-45,-73,-45,-73c512,1244,571,1224,641,1224v74,,123,27,144,78c793,1323,793,1348,792,1418v-2,135,-2,135,-2,135c789,1616,795,1636,831,1661r-53,65xm672,1485v-102,,-133,29,-133,89c539,1619,563,1646,604,1646v33,,65,-19,85,-49c691,1486,691,1486,691,1486v,,-11,-1,-19,-1m1167,1231v-12,-6,-21,-8,-36,-8c1086,1223,1049,1248,1011,1299v,-26,-6,-53,-17,-75c900,1249,900,1249,900,1249v10,29,17,67,17,126c917,1707,917,1707,917,1707v102,,102,,102,c1019,1389,1019,1389,1019,1389v9,-38,45,-70,88,-70c1118,1319,1126,1322,1136,1326r31,-95xm1318,1717v23,,43,-4,61,-11c1363,1643,1363,1643,1363,1643v-13,5,-28,1,-34,-8c1322,1624,1319,1614,1319,1551v,-399,,-399,,-399c1319,1091,1318,1052,1310,1023v-104,23,-104,23,-104,23c1212,1085,1215,1119,1215,1184v,400,,400,,400c1215,1624,1215,1717,1318,1717t517,-480c1725,1237,1725,1237,1725,1237v-78,254,-78,254,-78,254c1629,1549,1612,1619,1612,1619v,,-18,-78,-26,-106c1499,1226,1499,1226,1499,1226v-104,18,-104,18,-104,18c1502,1561,1502,1561,1502,1561v14,42,32,93,45,146c1579,1707,1579,1707,1579,1707v-27,90,-63,117,-127,135c1485,1908,1485,1908,1485,1908v111,-21,144,-77,183,-191l1835,1237xm2328,1717v69,,125,-18,176,-56c2453,1593,2453,1593,2453,1593v-36,28,-69,40,-115,40c2276,1633,2223,1604,2195,1542v-17,-36,-25,-81,-25,-160c2170,1306,2181,1252,2203,1213v28,-49,74,-77,129,-77c2372,1136,2407,1147,2441,1172v50,-70,50,-70,50,-70c2452,1070,2393,1052,2331,1052v-101,,-189,55,-237,147c2065,1253,2051,1317,2051,1395v,92,25,171,73,229c2175,1684,2242,1717,2328,1717t619,-10c2947,1375,2947,1375,2947,1375v,-47,-4,-69,-16,-92c2915,1252,2872,1225,2817,1225v-51,,-98,20,-144,62c2673,1287,2675,1264,2675,1234v,-101,,-101,,-101c2675,1088,2672,1050,2665,1023v-103,22,-103,22,-103,22c2568,1069,2571,1106,2571,1147v,560,,560,,560c2675,1707,2675,1707,2675,1707v,-338,,-338,,-338c2708,1335,2752,1312,2788,1312v39,,59,17,59,75c2847,1707,2847,1707,2847,1707r100,xm3050,1099v,-38,29,-69,68,-69c3154,1030,3184,1060,3184,1099v,37,-30,68,-68,68c3078,1167,3050,1136,3050,1099t15,608c3065,1244,3065,1244,3065,1244v103,-19,103,-19,103,-19c3168,1707,3168,1707,3168,1707r-103,xm3391,1717v23,,43,-4,61,-11c3435,1643,3435,1643,3435,1643v-12,5,-27,1,-33,-8c3394,1624,3392,1614,3392,1551v,-399,,-399,,-399c3392,1091,3391,1052,3383,1023v-105,23,-105,23,-105,23c3285,1085,3288,1119,3288,1184v,400,,400,,400c3288,1624,3288,1717,3391,1717t425,-10c3812,1697,3811,1690,3808,1671v-32,31,-69,46,-115,46c3573,1717,3500,1623,3500,1476v,-147,82,-248,196,-248c3735,1228,3768,1241,3797,1271v,,-3,-36,-3,-77c3794,1022,3794,1022,3794,1022v101,16,101,16,101,16c3895,1543,3895,1543,3895,1543v,93,6,141,15,164l3816,1707xm3794,1348v-23,-25,-51,-38,-86,-38c3643,1310,3614,1362,3614,1475v,104,20,157,97,157c3749,1632,3780,1610,3794,1587r,-239xm4398,1707v,-332,,-332,,-332c4398,1328,4394,1306,4382,1283v-16,-31,-58,-58,-114,-58c4218,1225,4170,1245,4124,1287v,,2,-23,2,-53c4126,1133,4126,1133,4126,1133v,-45,-3,-83,-10,-110c4013,1045,4013,1045,4013,1045v6,24,9,61,9,102c4022,1707,4022,1707,4022,1707v104,,104,,104,c4126,1369,4126,1369,4126,1369v33,-34,77,-57,113,-57c4278,1312,4299,1329,4299,1387v,320,,320,,320l4398,1707xm4899,1474v,151,-81,245,-208,245c4563,1719,4483,1623,4483,1473v,-151,81,-248,206,-248c4823,1225,4899,1325,4899,1474t-302,-8c4597,1603,4631,1643,4692,1643v61,,94,-50,94,-168c4786,1342,4749,1303,4690,1303v-65,,-93,49,-93,163m5375,1474v,151,-81,245,-209,245c5039,1719,4959,1623,4959,1473v,-151,81,-248,206,-248c5298,1225,5375,1325,5375,1474t-303,-8c5072,1603,5107,1643,5168,1643v60,,94,-50,94,-168c5262,1342,5225,1303,5165,1303v-65,,-93,49,-93,163m5752,1707v-5,-10,-6,-17,-9,-36c5712,1702,5675,1717,5628,1717v-120,,-192,-94,-192,-241c5436,1329,5518,1228,5631,1228v40,,72,13,101,43c5732,1271,5729,1235,5729,1194v,-172,,-172,,-172c5831,1038,5831,1038,5831,1038v,505,,505,,505c5831,1636,5836,1684,5846,1707r-94,xm5729,1348v-23,-25,-51,-38,-85,-38c5579,1310,5549,1362,5549,1475v,104,21,157,98,157c5685,1632,5716,1610,5729,1587r,-239xm6549,1617v-54,69,-110,90,-230,90c6160,1707,6160,1707,6160,1707v,-643,,-643,,-643c6294,1064,6294,1064,6294,1064v121,,193,22,253,91c6594,1210,6617,1287,6617,1387v,98,-24,174,-68,230m6457,1204v-30,-41,-63,-56,-121,-56c6268,1148,6268,1148,6268,1148v,471,,471,,471c6339,1619,6339,1619,6339,1619v113,,159,-75,159,-221c6498,1316,6490,1249,6457,1204t344,296c6801,1507,6801,1507,6801,1507v,65,24,134,116,134c6961,1641,6999,1625,7034,1594v40,63,40,63,40,63c7025,1698,6968,1719,6905,1719v-133,,-217,-96,-217,-246c6688,1390,6706,1335,6747,1289v38,-44,84,-63,144,-63c6937,1226,6980,1237,7020,1274v41,37,61,95,61,204c7081,1500,7081,1500,7081,1500r-280,xm6891,1303v-58,,-89,45,-89,121c6975,1424,6975,1424,6975,1424v,-76,-33,-121,-84,-121m7530,1237v-107,,-107,,-107,c7345,1475,7345,1475,7345,1475v-18,53,-28,109,-28,109c7315,1584,7315,1584,7315,1584v,,-13,-56,-28,-105c7205,1225,7205,1225,7205,1225v-105,15,-105,15,-105,15c7269,1709,7269,1709,7269,1709v90,,90,,90,l7530,1237xm7659,1500v,7,,7,,7c7659,1572,7683,1641,7775,1641v44,,82,-16,117,-47c7932,1657,7932,1657,7932,1657v-49,41,-105,62,-169,62c7630,1719,7547,1623,7547,1473v,-83,17,-138,58,-184c7643,1245,7690,1226,7749,1226v47,,89,11,130,48c7920,1311,7940,1369,7940,1478v,22,,22,,22l7659,1500xm7749,1303v-57,,-89,45,-89,121c7834,1424,7834,1424,7834,1424v,-76,-34,-121,-85,-121m8133,1717v23,,43,-4,61,-11c8178,1643,8178,1643,8178,1643v-12,5,-28,1,-34,-8c8137,1624,8134,1614,8134,1551v,-399,,-399,,-399c8134,1091,8133,1052,8125,1023v-104,23,-104,23,-104,23c8027,1085,8030,1119,8030,1184v,400,,400,,400c8030,1624,8030,1717,8133,1717t524,-243c8657,1625,8576,1719,8449,1719v-128,,-207,-96,-207,-246c8242,1322,8322,1225,8447,1225v134,,210,100,210,249m8355,1466v,137,34,177,96,177c8511,1643,8545,1593,8545,1475v,-133,-38,-172,-97,-172c8383,1303,8355,1352,8355,1466t605,250c8920,1716,8881,1703,8848,1678v,,2,20,2,46c8850,1882,8850,1882,8850,1882v-98,25,-98,25,-98,25c8752,1358,8752,1358,8752,1358v,-58,-3,-82,-10,-117c8836,1224,8836,1224,8836,1224v5,16,7,29,8,58c8873,1246,8920,1226,8969,1226v95,,178,72,178,235c9147,1618,9080,1716,8960,1716m8850,1359v,235,,235,,235c8874,1618,8907,1635,8938,1635v68,,99,-51,99,-162c9037,1368,9017,1311,8950,1311v-37,,-72,17,-100,48m9832,1707v,-344,,-344,,-344c9832,1265,9786,1225,9709,1225v-50,,-95,23,-140,69c9534,1239,9498,1225,9456,1225v-44,,-87,22,-124,60c9330,1259,9324,1239,9315,1224v-93,26,-93,26,-93,26c9233,1276,9239,1311,9239,1369v,338,,338,,338c9338,1707,9338,1707,9338,1707v,-349,,-349,,-349c9372,1327,9406,1312,9435,1312v39,,51,18,51,72c9486,1707,9486,1707,9486,1707v98,,98,,98,c9584,1365,9584,1365,9584,1365v32,-31,64,-54,99,-54c9719,1311,9731,1327,9731,1382v,325,,325,,325l9832,1707xm10033,1500v,7,,7,,7c10033,1572,10057,1641,10149,1641v44,,82,-16,117,-47c10306,1657,10306,1657,10306,1657v-49,41,-106,62,-169,62c10004,1719,9921,1623,9921,1473v,-83,17,-138,58,-184c10017,1245,10064,1226,10123,1226v47,,89,11,130,48c10293,1311,10314,1369,10314,1478v,22,,22,,22l10033,1500xm10123,1303v-57,,-89,45,-89,121c10208,1424,10208,1424,10208,1424v,-76,-34,-121,-85,-121m10767,1707v,-351,,-351,,-351c10767,1269,10717,1225,10644,1225v-50,,-93,23,-144,65c10500,1265,10495,1245,10484,1223v-93,26,-93,26,-93,26c10404,1283,10408,1312,10408,1361v,346,,346,,346c10509,1707,10509,1707,10509,1707v,-341,,-341,,-341c10539,1335,10582,1313,10612,1313v39,,54,17,54,81c10666,1707,10666,1707,10666,1707r101,xm10987,1237v,-47,4,-104,9,-142c10890,1120,10890,1120,10890,1120v-4,36,-4,77,-4,117c10834,1237,10834,1237,10834,1237v,70,,70,,70c10886,1307,10886,1307,10886,1307v,291,,291,,291c10886,1665,10917,1719,11009,1719v31,,61,-7,92,-20c11088,1637,11088,1637,11088,1637v-18,7,-30,9,-44,9c10999,1646,10986,1630,10986,1571v,-264,,-264,,-264c11073,1307,11073,1307,11073,1307v27,-70,27,-70,27,-70c10987,1237,10987,1237,10987,1237e" fillcolor="#68676c" stroked="f">
                  <v:path arrowok="t" o:connecttype="custom" o:connectlocs="255,1410;1743,480;2667,2031;3109,1065;3560,631;4103,1094;5291,494;5849,1474;6354,477;7339,850;8586,595;9151,477;10129,231;10559,673;11475,1049;12970,506;13811,720;15285,588;15278,770;16162,1651;17600,758;18330,676;18477,1358;19535,1597;19691,182;20695,1467;21661,1618;23588,872;23380,1474;24377,1618;25908,406;867,4032;867,4032;1854,3076;2672,2889;3257,4030;3890,3522;5499,4056;4845,3295;6073,2709;7204,2596;7991,2416;8962,2414;10389,3248;10013,3099;11078,3078;13587,4032;13533,3184;15630,3276;16615,3765;16476,3364;17787,2922;18755,3543;19192,2416;20184,3484;21186,2896;22603,3057;22639,4032;23435,3479;25433,3203;25433,4032;26087,3888" o:connectangles="0,0,0,0,0,0,0,0,0,0,0,0,0,0,0,0,0,0,0,0,0,0,0,0,0,0,0,0,0,0,0,0,0,0,0,0,0,0,0,0,0,0,0,0,0,0,0,0,0,0,0,0,0,0,0,0,0,0,0,0,0,0"/>
                  <o:lock v:ext="edit" aspectratio="t" verticies="t"/>
                </v:shape>
                <w10:wrap anchorx="page" anchory="page"/>
                <w10:anchorlock/>
              </v:group>
            </w:pict>
          </mc:Fallback>
        </mc:AlternateContent>
      </w:r>
    </w:p>
    <w:p w:rsidR="0097609C" w:rsidRPr="001F29E3" w:rsidRDefault="0097609C" w:rsidP="00DA3526">
      <w:pPr>
        <w:rPr>
          <w:rFonts w:cs="Arial"/>
        </w:rPr>
      </w:pPr>
    </w:p>
    <w:p w:rsidR="0097609C" w:rsidRPr="00FD41DF" w:rsidRDefault="0097609C" w:rsidP="00DA3526">
      <w:pPr>
        <w:rPr>
          <w:rFonts w:cs="Arial"/>
        </w:rPr>
      </w:pPr>
    </w:p>
    <w:p w:rsidR="0097609C" w:rsidRPr="001F29E3" w:rsidRDefault="0097609C" w:rsidP="00DA3526">
      <w:pPr>
        <w:rPr>
          <w:rFonts w:cs="Arial"/>
        </w:rPr>
        <w:sectPr w:rsidR="0097609C" w:rsidRPr="001F29E3" w:rsidSect="002D6A3A">
          <w:pgSz w:w="11907" w:h="16840" w:code="9"/>
          <w:pgMar w:top="471" w:right="346" w:bottom="12106" w:left="7938" w:header="136" w:footer="709" w:gutter="0"/>
          <w:cols w:space="708"/>
          <w:titlePg/>
          <w:docGrid w:linePitch="360"/>
        </w:sectPr>
      </w:pPr>
    </w:p>
    <w:p w:rsidR="00AD4AE7" w:rsidRPr="001F29E3" w:rsidRDefault="00AD4AE7" w:rsidP="00DA3526">
      <w:pPr>
        <w:pStyle w:val="CopyrightDetailsBold"/>
        <w:jc w:val="left"/>
        <w:rPr>
          <w:rFonts w:cs="Arial"/>
        </w:rPr>
      </w:pPr>
      <w:r w:rsidRPr="001F29E3">
        <w:rPr>
          <w:rFonts w:cs="Arial"/>
        </w:rPr>
        <w:lastRenderedPageBreak/>
        <w:t>Prepared by Department of Education and</w:t>
      </w:r>
      <w:r w:rsidRPr="001F29E3">
        <w:rPr>
          <w:rFonts w:cs="Arial"/>
        </w:rPr>
        <w:br/>
        <w:t>Early Childhood Development</w:t>
      </w:r>
    </w:p>
    <w:p w:rsidR="00AD4AE7" w:rsidRPr="001F29E3" w:rsidRDefault="00AD4AE7" w:rsidP="00DA3526">
      <w:pPr>
        <w:pStyle w:val="CopyrightDetails"/>
        <w:jc w:val="left"/>
        <w:rPr>
          <w:rFonts w:cs="Arial"/>
        </w:rPr>
      </w:pPr>
      <w:r w:rsidRPr="001F29E3">
        <w:rPr>
          <w:rFonts w:cs="Arial"/>
        </w:rPr>
        <w:t>Melbourne</w:t>
      </w:r>
      <w:r w:rsidRPr="001F29E3">
        <w:rPr>
          <w:rFonts w:cs="Arial"/>
        </w:rPr>
        <w:br/>
      </w:r>
      <w:r w:rsidR="00660565" w:rsidRPr="005C0406">
        <w:rPr>
          <w:rFonts w:cs="Arial"/>
        </w:rPr>
        <w:t>November</w:t>
      </w:r>
      <w:r w:rsidRPr="005C0406">
        <w:rPr>
          <w:rFonts w:cs="Arial"/>
        </w:rPr>
        <w:t xml:space="preserve"> 201</w:t>
      </w:r>
      <w:r w:rsidR="00DA3526" w:rsidRPr="005C0406">
        <w:rPr>
          <w:rFonts w:cs="Arial"/>
        </w:rPr>
        <w:t>3</w:t>
      </w:r>
    </w:p>
    <w:p w:rsidR="00AD4AE7" w:rsidRPr="001F29E3" w:rsidRDefault="00AD4AE7" w:rsidP="00DA3526">
      <w:pPr>
        <w:pStyle w:val="CopyrightDetails"/>
        <w:jc w:val="left"/>
        <w:rPr>
          <w:rFonts w:cs="Arial"/>
        </w:rPr>
      </w:pPr>
    </w:p>
    <w:p w:rsidR="00AD4AE7" w:rsidRPr="001F29E3" w:rsidRDefault="00AD4AE7" w:rsidP="00DA3526">
      <w:pPr>
        <w:pStyle w:val="CopyrightDetails"/>
        <w:jc w:val="left"/>
        <w:rPr>
          <w:rFonts w:cs="Arial"/>
        </w:rPr>
      </w:pPr>
      <w:r w:rsidRPr="001F29E3">
        <w:rPr>
          <w:rFonts w:cs="Arial"/>
        </w:rPr>
        <w:t>©State of Victoria (Department of Education</w:t>
      </w:r>
      <w:r w:rsidRPr="001F29E3">
        <w:rPr>
          <w:rFonts w:cs="Arial"/>
        </w:rPr>
        <w:br/>
        <w:t>and Early Childhood Development) 201</w:t>
      </w:r>
      <w:r w:rsidR="00DA3526" w:rsidRPr="001F29E3">
        <w:rPr>
          <w:rFonts w:cs="Arial"/>
        </w:rPr>
        <w:t>3</w:t>
      </w:r>
    </w:p>
    <w:p w:rsidR="00AD4AE7" w:rsidRPr="001F29E3" w:rsidRDefault="00AD4AE7" w:rsidP="00DA3526">
      <w:pPr>
        <w:pStyle w:val="CopyrightDetails"/>
        <w:jc w:val="left"/>
        <w:rPr>
          <w:rFonts w:cs="Arial"/>
        </w:rPr>
      </w:pPr>
    </w:p>
    <w:p w:rsidR="00BC23CB" w:rsidRDefault="00AD4AE7" w:rsidP="00DA3526">
      <w:pPr>
        <w:pStyle w:val="CopyrightDetails"/>
        <w:jc w:val="left"/>
        <w:rPr>
          <w:rFonts w:cs="Arial"/>
        </w:rPr>
      </w:pPr>
      <w:r w:rsidRPr="001F29E3">
        <w:rPr>
          <w:rFonts w:cs="Arial"/>
        </w:rPr>
        <w:t>The copyright in this document is owned by the State of Victoria (Department of Education and Early Childhood Development),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BC23CB" w:rsidRDefault="00BC23CB" w:rsidP="00DA3526">
      <w:pPr>
        <w:pStyle w:val="CopyrightDetails"/>
        <w:jc w:val="left"/>
        <w:rPr>
          <w:rFonts w:cs="Arial"/>
        </w:rPr>
      </w:pPr>
    </w:p>
    <w:p w:rsidR="00AD4AE7" w:rsidRPr="001F29E3" w:rsidRDefault="00AD4AE7" w:rsidP="00DA3526">
      <w:pPr>
        <w:pStyle w:val="CopyrightDetails"/>
        <w:jc w:val="left"/>
        <w:rPr>
          <w:rFonts w:cs="Arial"/>
        </w:rPr>
      </w:pPr>
      <w:r w:rsidRPr="001F29E3">
        <w:rPr>
          <w:rFonts w:cs="Arial"/>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AD4AE7" w:rsidRPr="001F29E3" w:rsidRDefault="00AD4AE7" w:rsidP="00DA3526">
      <w:pPr>
        <w:pStyle w:val="CopyrightDetails"/>
        <w:jc w:val="left"/>
        <w:rPr>
          <w:rFonts w:cs="Arial"/>
        </w:rPr>
      </w:pPr>
    </w:p>
    <w:p w:rsidR="00F87392" w:rsidRPr="001F29E3" w:rsidRDefault="00AD4AE7" w:rsidP="00DA3526">
      <w:pPr>
        <w:pStyle w:val="CopyrightDetails"/>
        <w:jc w:val="left"/>
        <w:rPr>
          <w:rFonts w:cs="Arial"/>
        </w:rPr>
      </w:pPr>
      <w:r w:rsidRPr="001F29E3">
        <w:rPr>
          <w:rFonts w:cs="Arial"/>
        </w:rPr>
        <w:t>Authorised by the Department of Education</w:t>
      </w:r>
      <w:r w:rsidRPr="001F29E3">
        <w:rPr>
          <w:rFonts w:cs="Arial"/>
        </w:rPr>
        <w:br/>
        <w:t>and Early Childhood Development</w:t>
      </w:r>
      <w:r w:rsidR="001A1AD1" w:rsidRPr="001F29E3">
        <w:rPr>
          <w:rFonts w:cs="Arial"/>
        </w:rPr>
        <w:t xml:space="preserve">, </w:t>
      </w:r>
      <w:r w:rsidRPr="001F29E3">
        <w:rPr>
          <w:rFonts w:cs="Arial"/>
        </w:rPr>
        <w:br/>
        <w:t>2 Treasury Place, East Melbourne, Victoria, 300</w:t>
      </w:r>
      <w:r w:rsidR="00CA03C0" w:rsidRPr="001F29E3">
        <w:rPr>
          <w:rFonts w:cs="Arial"/>
        </w:rPr>
        <w:t>2</w:t>
      </w:r>
    </w:p>
    <w:p w:rsidR="00AD4AE7" w:rsidRPr="001F29E3" w:rsidRDefault="00AD4AE7" w:rsidP="00DA3526">
      <w:pPr>
        <w:rPr>
          <w:rFonts w:cs="Arial"/>
        </w:rPr>
        <w:sectPr w:rsidR="00AD4AE7" w:rsidRPr="001F29E3" w:rsidSect="002D6A3A">
          <w:headerReference w:type="even" r:id="rId9"/>
          <w:headerReference w:type="default" r:id="rId10"/>
          <w:footerReference w:type="even" r:id="rId11"/>
          <w:footerReference w:type="default" r:id="rId12"/>
          <w:headerReference w:type="first" r:id="rId13"/>
          <w:footerReference w:type="first" r:id="rId14"/>
          <w:pgSz w:w="11907" w:h="16840" w:code="9"/>
          <w:pgMar w:top="907" w:right="4536" w:bottom="1009" w:left="1707" w:header="420" w:footer="216" w:gutter="0"/>
          <w:cols w:space="708"/>
          <w:docGrid w:linePitch="360"/>
        </w:sectPr>
      </w:pPr>
    </w:p>
    <w:p w:rsidR="004E0101" w:rsidRDefault="00B4686E" w:rsidP="00BC23CB">
      <w:pPr>
        <w:pStyle w:val="TOC1"/>
        <w:rPr>
          <w:rFonts w:ascii="Arial" w:hAnsi="Arial"/>
          <w:b w:val="0"/>
          <w:bCs w:val="0"/>
          <w:caps w:val="0"/>
          <w:noProof w:val="0"/>
          <w:color w:val="76923C" w:themeColor="accent3" w:themeShade="BF"/>
          <w:spacing w:val="-12"/>
          <w:sz w:val="46"/>
          <w:szCs w:val="46"/>
        </w:rPr>
      </w:pPr>
      <w:r w:rsidRPr="00C15A15">
        <w:rPr>
          <w:rFonts w:ascii="Arial" w:hAnsi="Arial"/>
          <w:b w:val="0"/>
          <w:bCs w:val="0"/>
          <w:caps w:val="0"/>
          <w:noProof w:val="0"/>
          <w:color w:val="76923C" w:themeColor="accent3" w:themeShade="BF"/>
          <w:spacing w:val="-12"/>
          <w:sz w:val="46"/>
          <w:szCs w:val="46"/>
        </w:rPr>
        <w:lastRenderedPageBreak/>
        <w:t>Contents</w:t>
      </w:r>
    </w:p>
    <w:p w:rsidR="00BC23CB" w:rsidRPr="00BC23CB" w:rsidRDefault="00BC23CB" w:rsidP="00BC23CB"/>
    <w:p w:rsidR="0057045E" w:rsidRPr="0057045E" w:rsidRDefault="0020796B" w:rsidP="0057045E">
      <w:pPr>
        <w:pStyle w:val="TOC1"/>
        <w:tabs>
          <w:tab w:val="clear" w:pos="6698"/>
          <w:tab w:val="right" w:pos="8789"/>
        </w:tabs>
        <w:spacing w:beforeLines="80" w:before="192" w:afterLines="80" w:after="192"/>
        <w:rPr>
          <w:rFonts w:ascii="Arial" w:eastAsiaTheme="minorEastAsia" w:hAnsi="Arial"/>
          <w:b w:val="0"/>
          <w:bCs w:val="0"/>
          <w:caps w:val="0"/>
          <w:sz w:val="22"/>
          <w:szCs w:val="22"/>
          <w:lang w:eastAsia="en-AU"/>
        </w:rPr>
      </w:pPr>
      <w:r w:rsidRPr="0057045E">
        <w:rPr>
          <w:rFonts w:ascii="Arial" w:hAnsi="Arial"/>
          <w:sz w:val="16"/>
          <w:szCs w:val="16"/>
        </w:rPr>
        <w:fldChar w:fldCharType="begin"/>
      </w:r>
      <w:r w:rsidRPr="0057045E">
        <w:rPr>
          <w:rFonts w:ascii="Arial" w:hAnsi="Arial"/>
          <w:sz w:val="16"/>
          <w:szCs w:val="16"/>
        </w:rPr>
        <w:instrText xml:space="preserve"> TOC \o "1-2" </w:instrText>
      </w:r>
      <w:r w:rsidRPr="0057045E">
        <w:rPr>
          <w:rFonts w:ascii="Arial" w:hAnsi="Arial"/>
          <w:sz w:val="16"/>
          <w:szCs w:val="16"/>
        </w:rPr>
        <w:fldChar w:fldCharType="separate"/>
      </w:r>
      <w:r w:rsidR="0057045E" w:rsidRPr="0057045E">
        <w:rPr>
          <w:rFonts w:ascii="Arial" w:hAnsi="Arial"/>
        </w:rPr>
        <w:t>Executive Summary</w:t>
      </w:r>
      <w:r w:rsidR="0057045E" w:rsidRPr="0057045E">
        <w:rPr>
          <w:rFonts w:ascii="Arial" w:hAnsi="Arial"/>
        </w:rPr>
        <w:tab/>
      </w:r>
      <w:r w:rsidR="0057045E" w:rsidRPr="0057045E">
        <w:rPr>
          <w:rFonts w:ascii="Arial" w:hAnsi="Arial"/>
        </w:rPr>
        <w:fldChar w:fldCharType="begin"/>
      </w:r>
      <w:r w:rsidR="0057045E" w:rsidRPr="0057045E">
        <w:rPr>
          <w:rFonts w:ascii="Arial" w:hAnsi="Arial"/>
        </w:rPr>
        <w:instrText xml:space="preserve"> PAGEREF _Toc372613419 \h </w:instrText>
      </w:r>
      <w:r w:rsidR="0057045E" w:rsidRPr="0057045E">
        <w:rPr>
          <w:rFonts w:ascii="Arial" w:hAnsi="Arial"/>
        </w:rPr>
      </w:r>
      <w:r w:rsidR="0057045E" w:rsidRPr="0057045E">
        <w:rPr>
          <w:rFonts w:ascii="Arial" w:hAnsi="Arial"/>
        </w:rPr>
        <w:fldChar w:fldCharType="separate"/>
      </w:r>
      <w:r w:rsidR="00EB10C4">
        <w:rPr>
          <w:rFonts w:ascii="Arial" w:hAnsi="Arial"/>
        </w:rPr>
        <w:t>5</w:t>
      </w:r>
      <w:r w:rsidR="0057045E" w:rsidRPr="0057045E">
        <w:rPr>
          <w:rFonts w:ascii="Arial" w:hAnsi="Arial"/>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The Policy Context of Vocational Training in Victoria</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_Toc372613420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10</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Notes about the data</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_Toc372613421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12</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Reporting scope</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_Toc372613422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12</w:t>
      </w:r>
      <w:r w:rsidRPr="0057045E">
        <w:rPr>
          <w:rFonts w:ascii="Arial" w:hAnsi="Arial" w:cs="Arial"/>
          <w:noProof/>
        </w:rPr>
        <w:fldChar w:fldCharType="end"/>
      </w:r>
    </w:p>
    <w:p w:rsidR="0057045E" w:rsidRPr="0057045E" w:rsidRDefault="0057045E" w:rsidP="0057045E">
      <w:pPr>
        <w:pStyle w:val="TOC1"/>
        <w:tabs>
          <w:tab w:val="clear" w:pos="6698"/>
          <w:tab w:val="right" w:pos="8789"/>
        </w:tabs>
        <w:spacing w:beforeLines="80" w:before="192" w:afterLines="80" w:after="192"/>
        <w:rPr>
          <w:rFonts w:ascii="Arial" w:eastAsiaTheme="minorEastAsia" w:hAnsi="Arial"/>
          <w:b w:val="0"/>
          <w:bCs w:val="0"/>
          <w:caps w:val="0"/>
          <w:sz w:val="22"/>
          <w:szCs w:val="22"/>
          <w:lang w:eastAsia="en-AU"/>
        </w:rPr>
      </w:pPr>
      <w:r w:rsidRPr="0057045E">
        <w:rPr>
          <w:rFonts w:ascii="Arial" w:hAnsi="Arial"/>
        </w:rPr>
        <w:t>Vocational Training Summary</w:t>
      </w:r>
      <w:r w:rsidRPr="0057045E">
        <w:rPr>
          <w:rFonts w:ascii="Arial" w:hAnsi="Arial"/>
        </w:rPr>
        <w:tab/>
      </w:r>
      <w:r w:rsidRPr="0057045E">
        <w:rPr>
          <w:rFonts w:ascii="Arial" w:hAnsi="Arial"/>
        </w:rPr>
        <w:fldChar w:fldCharType="begin"/>
      </w:r>
      <w:r w:rsidRPr="0057045E">
        <w:rPr>
          <w:rFonts w:ascii="Arial" w:hAnsi="Arial"/>
        </w:rPr>
        <w:instrText xml:space="preserve"> PAGEREF _Toc372613423 \h </w:instrText>
      </w:r>
      <w:r w:rsidRPr="0057045E">
        <w:rPr>
          <w:rFonts w:ascii="Arial" w:hAnsi="Arial"/>
        </w:rPr>
      </w:r>
      <w:r w:rsidRPr="0057045E">
        <w:rPr>
          <w:rFonts w:ascii="Arial" w:hAnsi="Arial"/>
        </w:rPr>
        <w:fldChar w:fldCharType="separate"/>
      </w:r>
      <w:r w:rsidR="00EB10C4">
        <w:rPr>
          <w:rFonts w:ascii="Arial" w:hAnsi="Arial"/>
        </w:rPr>
        <w:t>13</w:t>
      </w:r>
      <w:r w:rsidRPr="0057045E">
        <w:rPr>
          <w:rFonts w:ascii="Arial" w:hAnsi="Arial"/>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Vocational Training by Funding Type</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_Toc372613424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13</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Qualification Levels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_Toc372613425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16</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Age Profile</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_Toc372613426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20</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Government Subsidised Regional Activity and Participation</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_Toc372613427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22</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Government Subsidised Delivery by Provider Type</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_Toc372613428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28</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Adult, Community and Further Education (ACFE) Performance</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_Toc372613429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31</w:t>
      </w:r>
      <w:r w:rsidRPr="0057045E">
        <w:rPr>
          <w:rFonts w:ascii="Arial" w:hAnsi="Arial" w:cs="Arial"/>
          <w:noProof/>
        </w:rPr>
        <w:fldChar w:fldCharType="end"/>
      </w:r>
    </w:p>
    <w:p w:rsidR="0057045E" w:rsidRPr="0057045E" w:rsidRDefault="0057045E" w:rsidP="0057045E">
      <w:pPr>
        <w:pStyle w:val="TOC1"/>
        <w:tabs>
          <w:tab w:val="clear" w:pos="6698"/>
          <w:tab w:val="right" w:pos="8789"/>
        </w:tabs>
        <w:spacing w:beforeLines="80" w:before="192" w:afterLines="80" w:after="192"/>
        <w:rPr>
          <w:rFonts w:ascii="Arial" w:eastAsiaTheme="minorEastAsia" w:hAnsi="Arial"/>
          <w:b w:val="0"/>
          <w:bCs w:val="0"/>
          <w:caps w:val="0"/>
          <w:sz w:val="22"/>
          <w:szCs w:val="22"/>
          <w:lang w:eastAsia="en-AU"/>
        </w:rPr>
      </w:pPr>
      <w:r w:rsidRPr="0057045E">
        <w:rPr>
          <w:rFonts w:ascii="Arial" w:hAnsi="Arial"/>
        </w:rPr>
        <w:t>Learners Facing Barriers to Participation</w:t>
      </w:r>
      <w:r w:rsidRPr="0057045E">
        <w:rPr>
          <w:rFonts w:ascii="Arial" w:hAnsi="Arial"/>
        </w:rPr>
        <w:tab/>
      </w:r>
      <w:r w:rsidRPr="0057045E">
        <w:rPr>
          <w:rFonts w:ascii="Arial" w:hAnsi="Arial"/>
        </w:rPr>
        <w:fldChar w:fldCharType="begin"/>
      </w:r>
      <w:r w:rsidRPr="0057045E">
        <w:rPr>
          <w:rFonts w:ascii="Arial" w:hAnsi="Arial"/>
        </w:rPr>
        <w:instrText xml:space="preserve"> PAGEREF _Toc372613430 \h </w:instrText>
      </w:r>
      <w:r w:rsidRPr="0057045E">
        <w:rPr>
          <w:rFonts w:ascii="Arial" w:hAnsi="Arial"/>
        </w:rPr>
      </w:r>
      <w:r w:rsidRPr="0057045E">
        <w:rPr>
          <w:rFonts w:ascii="Arial" w:hAnsi="Arial"/>
        </w:rPr>
        <w:fldChar w:fldCharType="separate"/>
      </w:r>
      <w:r w:rsidR="00EB10C4">
        <w:rPr>
          <w:rFonts w:ascii="Arial" w:hAnsi="Arial"/>
        </w:rPr>
        <w:t>37</w:t>
      </w:r>
      <w:r w:rsidRPr="0057045E">
        <w:rPr>
          <w:rFonts w:ascii="Arial" w:hAnsi="Arial"/>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Vocational Training Delivery to Learner Cohorts Facing Barriers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_Toc372613431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37</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Indigenous Students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_Toc372613432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38</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Students with a Disability</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_Toc372613433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39</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Students with a Culturally and Linguistically Diverse (CALD) Background</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_Toc372613434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40</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Unemployed Students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_Toc372613435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41</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Young People (Aged 15 to 19) Without Year 12 or Equivalent and Not at School</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_Toc372613436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42</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Students with Low Prior Qualifications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_Toc372613437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43</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Foundation Level Training</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_Toc372613438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44</w:t>
      </w:r>
      <w:r w:rsidRPr="0057045E">
        <w:rPr>
          <w:rFonts w:ascii="Arial" w:hAnsi="Arial" w:cs="Arial"/>
          <w:noProof/>
        </w:rPr>
        <w:fldChar w:fldCharType="end"/>
      </w:r>
    </w:p>
    <w:p w:rsidR="0057045E" w:rsidRPr="0057045E" w:rsidRDefault="0057045E" w:rsidP="0057045E">
      <w:pPr>
        <w:pStyle w:val="TOC1"/>
        <w:tabs>
          <w:tab w:val="clear" w:pos="6698"/>
          <w:tab w:val="right" w:pos="8789"/>
        </w:tabs>
        <w:spacing w:beforeLines="80" w:before="192" w:afterLines="80" w:after="192"/>
        <w:rPr>
          <w:rFonts w:ascii="Arial" w:eastAsiaTheme="minorEastAsia" w:hAnsi="Arial"/>
          <w:b w:val="0"/>
          <w:bCs w:val="0"/>
          <w:caps w:val="0"/>
          <w:sz w:val="22"/>
          <w:szCs w:val="22"/>
          <w:lang w:eastAsia="en-AU"/>
        </w:rPr>
      </w:pPr>
      <w:r w:rsidRPr="0057045E">
        <w:rPr>
          <w:rFonts w:ascii="Arial" w:hAnsi="Arial"/>
        </w:rPr>
        <w:t>Alignment of Training to Industry Skills Needs</w:t>
      </w:r>
      <w:r w:rsidRPr="0057045E">
        <w:rPr>
          <w:rFonts w:ascii="Arial" w:hAnsi="Arial"/>
        </w:rPr>
        <w:tab/>
      </w:r>
      <w:r w:rsidRPr="0057045E">
        <w:rPr>
          <w:rFonts w:ascii="Arial" w:hAnsi="Arial"/>
        </w:rPr>
        <w:fldChar w:fldCharType="begin"/>
      </w:r>
      <w:r w:rsidRPr="0057045E">
        <w:rPr>
          <w:rFonts w:ascii="Arial" w:hAnsi="Arial"/>
        </w:rPr>
        <w:instrText xml:space="preserve"> PAGEREF _Toc372613439 \h </w:instrText>
      </w:r>
      <w:r w:rsidRPr="0057045E">
        <w:rPr>
          <w:rFonts w:ascii="Arial" w:hAnsi="Arial"/>
        </w:rPr>
      </w:r>
      <w:r w:rsidRPr="0057045E">
        <w:rPr>
          <w:rFonts w:ascii="Arial" w:hAnsi="Arial"/>
        </w:rPr>
        <w:fldChar w:fldCharType="separate"/>
      </w:r>
      <w:r w:rsidR="00EB10C4">
        <w:rPr>
          <w:rFonts w:ascii="Arial" w:hAnsi="Arial"/>
        </w:rPr>
        <w:t>47</w:t>
      </w:r>
      <w:r w:rsidRPr="0057045E">
        <w:rPr>
          <w:rFonts w:ascii="Arial" w:hAnsi="Arial"/>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Training Activity by Industry</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_Toc372613440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48</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Training Activity by Occupation</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_Toc372613441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51</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Apprenticeships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_Toc372613442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52</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Traineeships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_Toc372613443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55</w:t>
      </w:r>
      <w:r w:rsidRPr="0057045E">
        <w:rPr>
          <w:rFonts w:ascii="Arial" w:hAnsi="Arial" w:cs="Arial"/>
          <w:noProof/>
        </w:rPr>
        <w:fldChar w:fldCharType="end"/>
      </w:r>
    </w:p>
    <w:p w:rsidR="0057045E" w:rsidRPr="0057045E" w:rsidRDefault="0057045E" w:rsidP="0057045E">
      <w:pPr>
        <w:pStyle w:val="TOC2"/>
        <w:tabs>
          <w:tab w:val="right" w:pos="8789"/>
          <w:tab w:val="right" w:pos="9062"/>
        </w:tabs>
        <w:spacing w:beforeLines="80" w:before="192" w:afterLines="80" w:after="192" w:line="240" w:lineRule="auto"/>
        <w:rPr>
          <w:rFonts w:ascii="Arial" w:eastAsiaTheme="minorEastAsia" w:hAnsi="Arial" w:cs="Arial"/>
          <w:b w:val="0"/>
          <w:bCs w:val="0"/>
          <w:noProof/>
          <w:sz w:val="22"/>
          <w:szCs w:val="22"/>
          <w:lang w:eastAsia="en-AU"/>
        </w:rPr>
      </w:pPr>
      <w:r w:rsidRPr="0057045E">
        <w:rPr>
          <w:rFonts w:ascii="Arial" w:hAnsi="Arial" w:cs="Arial"/>
          <w:noProof/>
        </w:rPr>
        <w:t>Training in Specialised and In-Shortage Related Occupations</w:t>
      </w:r>
      <w:r w:rsidRPr="0057045E">
        <w:rPr>
          <w:rFonts w:ascii="Arial" w:hAnsi="Arial" w:cs="Arial"/>
          <w:noProof/>
        </w:rPr>
        <w:tab/>
      </w:r>
      <w:r w:rsidRPr="0057045E">
        <w:rPr>
          <w:rFonts w:ascii="Arial" w:hAnsi="Arial" w:cs="Arial"/>
          <w:noProof/>
        </w:rPr>
        <w:fldChar w:fldCharType="begin"/>
      </w:r>
      <w:r w:rsidRPr="0057045E">
        <w:rPr>
          <w:rFonts w:ascii="Arial" w:hAnsi="Arial" w:cs="Arial"/>
          <w:noProof/>
        </w:rPr>
        <w:instrText xml:space="preserve"> PAGEREF _Toc372613444 \h </w:instrText>
      </w:r>
      <w:r w:rsidRPr="0057045E">
        <w:rPr>
          <w:rFonts w:ascii="Arial" w:hAnsi="Arial" w:cs="Arial"/>
          <w:noProof/>
        </w:rPr>
      </w:r>
      <w:r w:rsidRPr="0057045E">
        <w:rPr>
          <w:rFonts w:ascii="Arial" w:hAnsi="Arial" w:cs="Arial"/>
          <w:noProof/>
        </w:rPr>
        <w:fldChar w:fldCharType="separate"/>
      </w:r>
      <w:r w:rsidR="00EB10C4">
        <w:rPr>
          <w:rFonts w:ascii="Arial" w:hAnsi="Arial" w:cs="Arial"/>
          <w:noProof/>
        </w:rPr>
        <w:t>58</w:t>
      </w:r>
      <w:r w:rsidRPr="0057045E">
        <w:rPr>
          <w:rFonts w:ascii="Arial" w:hAnsi="Arial" w:cs="Arial"/>
          <w:noProof/>
        </w:rPr>
        <w:fldChar w:fldCharType="end"/>
      </w:r>
    </w:p>
    <w:p w:rsidR="00D15283" w:rsidRDefault="0020796B" w:rsidP="00BC23CB">
      <w:pPr>
        <w:tabs>
          <w:tab w:val="right" w:pos="6663"/>
          <w:tab w:val="right" w:pos="8080"/>
          <w:tab w:val="right" w:pos="8222"/>
          <w:tab w:val="right" w:pos="8505"/>
          <w:tab w:val="right" w:pos="8647"/>
          <w:tab w:val="right" w:pos="8789"/>
        </w:tabs>
        <w:spacing w:beforeLines="80" w:before="192" w:afterLines="80" w:after="192" w:line="240" w:lineRule="auto"/>
      </w:pPr>
      <w:r w:rsidRPr="0057045E">
        <w:rPr>
          <w:rFonts w:cs="Arial"/>
          <w:b/>
          <w:bCs/>
          <w:caps/>
          <w:sz w:val="16"/>
          <w:szCs w:val="16"/>
        </w:rPr>
        <w:fldChar w:fldCharType="end"/>
      </w:r>
      <w:r w:rsidR="000C300D">
        <w:rPr>
          <w:rFonts w:cs="Arial"/>
          <w:b/>
          <w:bCs/>
          <w:caps/>
          <w:sz w:val="16"/>
          <w:szCs w:val="16"/>
        </w:rPr>
        <w:br w:type="page"/>
      </w:r>
      <w:bookmarkStart w:id="2" w:name="_Toc319069085"/>
      <w:bookmarkStart w:id="3" w:name="_Ref350270560"/>
      <w:bookmarkStart w:id="4" w:name="_Ref350270581"/>
      <w:bookmarkStart w:id="5" w:name="_Ref350271358"/>
      <w:bookmarkStart w:id="6" w:name="_Ref350271377"/>
      <w:bookmarkStart w:id="7" w:name="_Toc313801732"/>
      <w:bookmarkStart w:id="8" w:name="_Toc314810780"/>
      <w:bookmarkStart w:id="9" w:name="_Toc315061190"/>
      <w:bookmarkStart w:id="10" w:name="_Toc315064345"/>
      <w:bookmarkStart w:id="11" w:name="_Toc315064952"/>
      <w:bookmarkStart w:id="12" w:name="_Toc315424662"/>
      <w:bookmarkStart w:id="13" w:name="_Toc315680736"/>
      <w:bookmarkStart w:id="14" w:name="_Toc315683686"/>
      <w:bookmarkStart w:id="15" w:name="_Toc316050550"/>
      <w:bookmarkStart w:id="16" w:name="_Toc316050840"/>
      <w:bookmarkStart w:id="17" w:name="_Toc316051380"/>
      <w:bookmarkStart w:id="18" w:name="_Toc316054622"/>
      <w:bookmarkStart w:id="19" w:name="_Toc316054743"/>
      <w:bookmarkStart w:id="20" w:name="_Toc316534692"/>
      <w:bookmarkStart w:id="21" w:name="_Toc316629494"/>
      <w:bookmarkStart w:id="22" w:name="_Toc316629584"/>
      <w:bookmarkStart w:id="23" w:name="_Toc317173938"/>
      <w:bookmarkStart w:id="24" w:name="_Toc317174087"/>
    </w:p>
    <w:p w:rsidR="000C300D" w:rsidRPr="004302D8" w:rsidRDefault="000C300D" w:rsidP="00D15283">
      <w:pPr>
        <w:pStyle w:val="Heading3"/>
        <w:pBdr>
          <w:top w:val="single" w:sz="4" w:space="1" w:color="auto"/>
          <w:left w:val="single" w:sz="4" w:space="1" w:color="auto"/>
          <w:bottom w:val="single" w:sz="4" w:space="1" w:color="auto"/>
          <w:right w:val="single" w:sz="4" w:space="1" w:color="auto"/>
        </w:pBdr>
        <w:rPr>
          <w:sz w:val="28"/>
          <w:szCs w:val="28"/>
        </w:rPr>
      </w:pPr>
      <w:r w:rsidRPr="004302D8">
        <w:rPr>
          <w:sz w:val="28"/>
          <w:szCs w:val="28"/>
        </w:rPr>
        <w:lastRenderedPageBreak/>
        <w:t>Notes on data</w:t>
      </w:r>
      <w:r w:rsidR="00D15283" w:rsidRPr="004302D8">
        <w:rPr>
          <w:sz w:val="28"/>
          <w:szCs w:val="28"/>
        </w:rPr>
        <w:t xml:space="preserve"> included in this report</w:t>
      </w:r>
    </w:p>
    <w:p w:rsidR="005D5595" w:rsidRDefault="005D5595" w:rsidP="00141132">
      <w:pPr>
        <w:pStyle w:val="BodyText"/>
        <w:pBdr>
          <w:top w:val="single" w:sz="4" w:space="1" w:color="auto"/>
          <w:left w:val="single" w:sz="4" w:space="1" w:color="auto"/>
          <w:bottom w:val="single" w:sz="4" w:space="1" w:color="auto"/>
          <w:right w:val="single" w:sz="4" w:space="1" w:color="auto"/>
        </w:pBdr>
        <w:jc w:val="both"/>
        <w:rPr>
          <w:sz w:val="19"/>
        </w:rPr>
      </w:pPr>
    </w:p>
    <w:p w:rsidR="00141132" w:rsidRDefault="000C300D" w:rsidP="00141132">
      <w:pPr>
        <w:pStyle w:val="BodyText"/>
        <w:pBdr>
          <w:top w:val="single" w:sz="4" w:space="1" w:color="auto"/>
          <w:left w:val="single" w:sz="4" w:space="1" w:color="auto"/>
          <w:bottom w:val="single" w:sz="4" w:space="1" w:color="auto"/>
          <w:right w:val="single" w:sz="4" w:space="1" w:color="auto"/>
        </w:pBdr>
        <w:jc w:val="both"/>
        <w:rPr>
          <w:sz w:val="19"/>
        </w:rPr>
      </w:pPr>
      <w:r>
        <w:rPr>
          <w:sz w:val="19"/>
        </w:rPr>
        <w:t xml:space="preserve">The Victorian Training Market Report is compiled </w:t>
      </w:r>
      <w:r w:rsidR="008A70A1">
        <w:rPr>
          <w:sz w:val="19"/>
        </w:rPr>
        <w:t>using</w:t>
      </w:r>
      <w:r>
        <w:rPr>
          <w:sz w:val="19"/>
        </w:rPr>
        <w:t xml:space="preserve"> training activity data submitted to the Department of Education and Early Child Development by funded training providers. Data included in the Report is based on </w:t>
      </w:r>
      <w:r w:rsidR="009B40E0">
        <w:rPr>
          <w:sz w:val="19"/>
        </w:rPr>
        <w:t xml:space="preserve">the </w:t>
      </w:r>
      <w:r>
        <w:rPr>
          <w:sz w:val="19"/>
        </w:rPr>
        <w:t xml:space="preserve">reported date, i.e. the date </w:t>
      </w:r>
      <w:r w:rsidR="00E34620">
        <w:rPr>
          <w:sz w:val="19"/>
        </w:rPr>
        <w:t xml:space="preserve">in which </w:t>
      </w:r>
      <w:r>
        <w:rPr>
          <w:sz w:val="19"/>
        </w:rPr>
        <w:t>training activity data is submitted to the Department.</w:t>
      </w:r>
      <w:r w:rsidR="00141132">
        <w:rPr>
          <w:sz w:val="19"/>
        </w:rPr>
        <w:t xml:space="preserve"> </w:t>
      </w:r>
      <w:r w:rsidR="00141132">
        <w:rPr>
          <w:sz w:val="19"/>
        </w:rPr>
        <w:br/>
      </w:r>
      <w:r w:rsidR="00141132" w:rsidRPr="00A07718">
        <w:rPr>
          <w:sz w:val="19"/>
        </w:rPr>
        <w:t xml:space="preserve">Quarter </w:t>
      </w:r>
      <w:r w:rsidR="00186A43">
        <w:rPr>
          <w:sz w:val="19"/>
        </w:rPr>
        <w:t>3</w:t>
      </w:r>
      <w:r w:rsidR="00141132" w:rsidRPr="00A07718">
        <w:rPr>
          <w:sz w:val="19"/>
        </w:rPr>
        <w:t xml:space="preserve"> 2013 includes training activity data that were submitted to the Department by end of </w:t>
      </w:r>
      <w:r w:rsidR="00186A43">
        <w:rPr>
          <w:sz w:val="19"/>
        </w:rPr>
        <w:t>third</w:t>
      </w:r>
      <w:r w:rsidR="00141132" w:rsidRPr="00A07718">
        <w:rPr>
          <w:sz w:val="19"/>
        </w:rPr>
        <w:t xml:space="preserve"> quarter</w:t>
      </w:r>
      <w:r w:rsidR="00E34620">
        <w:rPr>
          <w:sz w:val="19"/>
        </w:rPr>
        <w:t xml:space="preserve"> in 2013 and </w:t>
      </w:r>
      <w:r w:rsidR="00141132" w:rsidRPr="00A07718">
        <w:rPr>
          <w:sz w:val="19"/>
        </w:rPr>
        <w:t xml:space="preserve">reflects training activity during the first </w:t>
      </w:r>
      <w:r w:rsidR="00186A43">
        <w:rPr>
          <w:sz w:val="19"/>
        </w:rPr>
        <w:t>nine</w:t>
      </w:r>
      <w:r w:rsidR="00141132" w:rsidRPr="00A07718">
        <w:rPr>
          <w:sz w:val="19"/>
        </w:rPr>
        <w:t xml:space="preserve"> months of 2013</w:t>
      </w:r>
      <w:r w:rsidR="008A70A1">
        <w:rPr>
          <w:sz w:val="19"/>
        </w:rPr>
        <w:t>.</w:t>
      </w:r>
    </w:p>
    <w:p w:rsidR="00D15283" w:rsidRDefault="00D15283" w:rsidP="00D15283">
      <w:pPr>
        <w:pStyle w:val="BodyText"/>
        <w:pBdr>
          <w:top w:val="single" w:sz="4" w:space="1" w:color="auto"/>
          <w:left w:val="single" w:sz="4" w:space="1" w:color="auto"/>
          <w:bottom w:val="single" w:sz="4" w:space="1" w:color="auto"/>
          <w:right w:val="single" w:sz="4" w:space="1" w:color="auto"/>
        </w:pBdr>
        <w:jc w:val="both"/>
        <w:rPr>
          <w:sz w:val="19"/>
        </w:rPr>
      </w:pPr>
    </w:p>
    <w:p w:rsidR="00D15283" w:rsidRDefault="00D15283" w:rsidP="00D15283">
      <w:pPr>
        <w:pStyle w:val="Heading3"/>
        <w:pBdr>
          <w:top w:val="single" w:sz="4" w:space="1" w:color="auto"/>
          <w:left w:val="single" w:sz="4" w:space="1" w:color="auto"/>
          <w:bottom w:val="single" w:sz="4" w:space="1" w:color="auto"/>
          <w:right w:val="single" w:sz="4" w:space="1" w:color="auto"/>
        </w:pBdr>
      </w:pPr>
      <w:r>
        <w:t xml:space="preserve">Data collection </w:t>
      </w:r>
    </w:p>
    <w:p w:rsidR="000C300D" w:rsidRDefault="00A903CB" w:rsidP="00D15283">
      <w:pPr>
        <w:pStyle w:val="BodyText"/>
        <w:pBdr>
          <w:top w:val="single" w:sz="4" w:space="1" w:color="auto"/>
          <w:left w:val="single" w:sz="4" w:space="1" w:color="auto"/>
          <w:bottom w:val="single" w:sz="4" w:space="1" w:color="auto"/>
          <w:right w:val="single" w:sz="4" w:space="1" w:color="auto"/>
        </w:pBdr>
        <w:jc w:val="both"/>
        <w:rPr>
          <w:sz w:val="19"/>
        </w:rPr>
      </w:pPr>
      <w:r>
        <w:rPr>
          <w:sz w:val="19"/>
        </w:rPr>
        <w:t xml:space="preserve">Data included in this report are </w:t>
      </w:r>
      <w:r w:rsidR="00144180">
        <w:rPr>
          <w:sz w:val="19"/>
        </w:rPr>
        <w:t>a snapshot in time</w:t>
      </w:r>
      <w:r>
        <w:rPr>
          <w:sz w:val="19"/>
        </w:rPr>
        <w:t xml:space="preserve">. Quarterly figures for the current year are preliminary </w:t>
      </w:r>
      <w:r w:rsidR="0058065A">
        <w:rPr>
          <w:sz w:val="19"/>
        </w:rPr>
        <w:t>as the training activity is still in progress for the year. Therefore</w:t>
      </w:r>
      <w:r w:rsidR="00144180">
        <w:rPr>
          <w:sz w:val="19"/>
        </w:rPr>
        <w:t xml:space="preserve">, </w:t>
      </w:r>
      <w:r w:rsidR="0058065A">
        <w:rPr>
          <w:sz w:val="19"/>
        </w:rPr>
        <w:t xml:space="preserve">these figures </w:t>
      </w:r>
      <w:r w:rsidR="000C300D" w:rsidRPr="000C300D">
        <w:rPr>
          <w:sz w:val="19"/>
        </w:rPr>
        <w:t>should be treated as indicative only</w:t>
      </w:r>
      <w:r w:rsidR="0058065A">
        <w:rPr>
          <w:sz w:val="19"/>
        </w:rPr>
        <w:t>.</w:t>
      </w:r>
      <w:r w:rsidR="00AF4DCF">
        <w:rPr>
          <w:sz w:val="19"/>
        </w:rPr>
        <w:t xml:space="preserve"> All data is subject to change until the end of the calendar year.</w:t>
      </w:r>
    </w:p>
    <w:p w:rsidR="008A70A1" w:rsidRDefault="008A70A1" w:rsidP="008A70A1">
      <w:pPr>
        <w:pStyle w:val="BodyText"/>
        <w:pBdr>
          <w:top w:val="single" w:sz="4" w:space="1" w:color="auto"/>
          <w:left w:val="single" w:sz="4" w:space="1" w:color="auto"/>
          <w:bottom w:val="single" w:sz="4" w:space="1" w:color="auto"/>
          <w:right w:val="single" w:sz="4" w:space="1" w:color="auto"/>
        </w:pBdr>
        <w:jc w:val="both"/>
        <w:rPr>
          <w:sz w:val="19"/>
        </w:rPr>
      </w:pPr>
      <w:r w:rsidRPr="008A70A1">
        <w:rPr>
          <w:sz w:val="19"/>
        </w:rPr>
        <w:t xml:space="preserve">In some limited cases training activity data can be impacted by system issues, for example some TAFE institutes have informed the Department that they have been unable to report all their enrolments for the previous reporting period due to a backlog arising from the implementation of a new student management system. These enrolments are likely to </w:t>
      </w:r>
      <w:r>
        <w:rPr>
          <w:sz w:val="19"/>
        </w:rPr>
        <w:t>be included in the report to be compiled from full 2013 activity data.</w:t>
      </w:r>
    </w:p>
    <w:p w:rsidR="004302D8" w:rsidRDefault="004302D8" w:rsidP="00D15283">
      <w:pPr>
        <w:pStyle w:val="BodyText"/>
        <w:pBdr>
          <w:top w:val="single" w:sz="4" w:space="1" w:color="auto"/>
          <w:left w:val="single" w:sz="4" w:space="1" w:color="auto"/>
          <w:bottom w:val="single" w:sz="4" w:space="1" w:color="auto"/>
          <w:right w:val="single" w:sz="4" w:space="1" w:color="auto"/>
        </w:pBdr>
        <w:jc w:val="both"/>
        <w:rPr>
          <w:sz w:val="19"/>
        </w:rPr>
      </w:pPr>
    </w:p>
    <w:p w:rsidR="00992281" w:rsidRDefault="00992281" w:rsidP="00D15283">
      <w:pPr>
        <w:pStyle w:val="BodyText"/>
        <w:pBdr>
          <w:top w:val="single" w:sz="4" w:space="1" w:color="auto"/>
          <w:left w:val="single" w:sz="4" w:space="1" w:color="auto"/>
          <w:bottom w:val="single" w:sz="4" w:space="1" w:color="auto"/>
          <w:right w:val="single" w:sz="4" w:space="1" w:color="auto"/>
        </w:pBdr>
        <w:jc w:val="both"/>
        <w:rPr>
          <w:b/>
          <w:bCs/>
          <w:color w:val="76923C" w:themeColor="accent3" w:themeShade="BF"/>
          <w:sz w:val="19"/>
          <w:szCs w:val="19"/>
        </w:rPr>
      </w:pPr>
      <w:r>
        <w:rPr>
          <w:b/>
          <w:bCs/>
          <w:color w:val="76923C" w:themeColor="accent3" w:themeShade="BF"/>
          <w:sz w:val="19"/>
          <w:szCs w:val="19"/>
        </w:rPr>
        <w:t>Data interpretation</w:t>
      </w:r>
    </w:p>
    <w:p w:rsidR="00C50BC4" w:rsidRDefault="00C50BC4" w:rsidP="00FF2D8E">
      <w:pPr>
        <w:pStyle w:val="BodyText"/>
        <w:pBdr>
          <w:top w:val="single" w:sz="4" w:space="1" w:color="auto"/>
          <w:left w:val="single" w:sz="4" w:space="1" w:color="auto"/>
          <w:bottom w:val="single" w:sz="4" w:space="1" w:color="auto"/>
          <w:right w:val="single" w:sz="4" w:space="1" w:color="auto"/>
        </w:pBdr>
        <w:jc w:val="both"/>
        <w:rPr>
          <w:sz w:val="19"/>
        </w:rPr>
      </w:pPr>
      <w:r>
        <w:rPr>
          <w:sz w:val="19"/>
        </w:rPr>
        <w:t xml:space="preserve">Due to </w:t>
      </w:r>
      <w:r w:rsidR="00BB290A">
        <w:rPr>
          <w:sz w:val="19"/>
        </w:rPr>
        <w:t>an</w:t>
      </w:r>
      <w:r>
        <w:rPr>
          <w:sz w:val="19"/>
        </w:rPr>
        <w:t xml:space="preserve"> </w:t>
      </w:r>
      <w:r w:rsidR="00E62C12">
        <w:rPr>
          <w:sz w:val="19"/>
        </w:rPr>
        <w:t>unusually high</w:t>
      </w:r>
      <w:r>
        <w:rPr>
          <w:sz w:val="19"/>
        </w:rPr>
        <w:t xml:space="preserve"> spike in government subsidised training activity that occurred in 2012, </w:t>
      </w:r>
      <w:r w:rsidR="00BB290A">
        <w:rPr>
          <w:sz w:val="19"/>
        </w:rPr>
        <w:t>just prior to</w:t>
      </w:r>
      <w:r w:rsidR="00BB290A" w:rsidRPr="00BB290A">
        <w:rPr>
          <w:sz w:val="19"/>
        </w:rPr>
        <w:t xml:space="preserve"> changes to subsidy arrangements that came i</w:t>
      </w:r>
      <w:r w:rsidR="00BB290A">
        <w:rPr>
          <w:sz w:val="19"/>
        </w:rPr>
        <w:t xml:space="preserve">nto effect in July of that year, </w:t>
      </w:r>
      <w:r>
        <w:rPr>
          <w:sz w:val="19"/>
        </w:rPr>
        <w:t>t</w:t>
      </w:r>
      <w:r w:rsidR="00FF2D8E" w:rsidRPr="00962D5C">
        <w:rPr>
          <w:sz w:val="19"/>
        </w:rPr>
        <w:t>h</w:t>
      </w:r>
      <w:r w:rsidR="00FF2D8E">
        <w:rPr>
          <w:sz w:val="19"/>
        </w:rPr>
        <w:t>is</w:t>
      </w:r>
      <w:r w:rsidR="00FF2D8E" w:rsidRPr="00962D5C">
        <w:rPr>
          <w:sz w:val="19"/>
        </w:rPr>
        <w:t xml:space="preserve"> report includes comparisons of Q3 201</w:t>
      </w:r>
      <w:r w:rsidR="00FF2D8E">
        <w:rPr>
          <w:sz w:val="19"/>
        </w:rPr>
        <w:t xml:space="preserve">3 with </w:t>
      </w:r>
      <w:r>
        <w:rPr>
          <w:sz w:val="19"/>
        </w:rPr>
        <w:t>Q3</w:t>
      </w:r>
      <w:r w:rsidR="00FF2D8E">
        <w:rPr>
          <w:sz w:val="19"/>
        </w:rPr>
        <w:t xml:space="preserve"> 2011 and Q3 2012</w:t>
      </w:r>
      <w:r>
        <w:rPr>
          <w:sz w:val="19"/>
        </w:rPr>
        <w:t>. This f</w:t>
      </w:r>
      <w:r w:rsidR="00FF2D8E">
        <w:rPr>
          <w:sz w:val="19"/>
        </w:rPr>
        <w:t>ollow</w:t>
      </w:r>
      <w:r>
        <w:rPr>
          <w:sz w:val="19"/>
        </w:rPr>
        <w:t>s</w:t>
      </w:r>
      <w:r w:rsidR="00FF2D8E">
        <w:rPr>
          <w:sz w:val="19"/>
        </w:rPr>
        <w:t xml:space="preserve"> a similar approach used in the Q2 2013 report</w:t>
      </w:r>
      <w:r w:rsidR="00BB290A">
        <w:rPr>
          <w:sz w:val="19"/>
        </w:rPr>
        <w:t>,</w:t>
      </w:r>
      <w:r>
        <w:rPr>
          <w:sz w:val="19"/>
        </w:rPr>
        <w:t xml:space="preserve"> to avoid any potentially misleading comparisons of</w:t>
      </w:r>
      <w:r w:rsidR="00E62C12">
        <w:rPr>
          <w:sz w:val="19"/>
        </w:rPr>
        <w:t xml:space="preserve"> quarterly</w:t>
      </w:r>
      <w:r>
        <w:rPr>
          <w:sz w:val="19"/>
        </w:rPr>
        <w:t xml:space="preserve"> training activity </w:t>
      </w:r>
      <w:r w:rsidR="00E62C12">
        <w:rPr>
          <w:sz w:val="19"/>
        </w:rPr>
        <w:t xml:space="preserve">data for </w:t>
      </w:r>
      <w:r>
        <w:rPr>
          <w:sz w:val="19"/>
        </w:rPr>
        <w:t>2013 with just 2012.</w:t>
      </w:r>
    </w:p>
    <w:p w:rsidR="00992281" w:rsidRDefault="00992281" w:rsidP="00D15283">
      <w:pPr>
        <w:pStyle w:val="BodyText"/>
        <w:pBdr>
          <w:top w:val="single" w:sz="4" w:space="1" w:color="auto"/>
          <w:left w:val="single" w:sz="4" w:space="1" w:color="auto"/>
          <w:bottom w:val="single" w:sz="4" w:space="1" w:color="auto"/>
          <w:right w:val="single" w:sz="4" w:space="1" w:color="auto"/>
        </w:pBdr>
        <w:jc w:val="both"/>
        <w:rPr>
          <w:b/>
          <w:bCs/>
          <w:color w:val="76923C" w:themeColor="accent3" w:themeShade="BF"/>
          <w:sz w:val="19"/>
          <w:szCs w:val="19"/>
        </w:rPr>
      </w:pPr>
    </w:p>
    <w:p w:rsidR="004302D8" w:rsidRPr="004302D8" w:rsidRDefault="004302D8" w:rsidP="00D15283">
      <w:pPr>
        <w:pStyle w:val="BodyText"/>
        <w:pBdr>
          <w:top w:val="single" w:sz="4" w:space="1" w:color="auto"/>
          <w:left w:val="single" w:sz="4" w:space="1" w:color="auto"/>
          <w:bottom w:val="single" w:sz="4" w:space="1" w:color="auto"/>
          <w:right w:val="single" w:sz="4" w:space="1" w:color="auto"/>
        </w:pBdr>
        <w:jc w:val="both"/>
        <w:rPr>
          <w:b/>
          <w:bCs/>
          <w:color w:val="76923C" w:themeColor="accent3" w:themeShade="BF"/>
          <w:sz w:val="19"/>
          <w:szCs w:val="19"/>
        </w:rPr>
      </w:pPr>
      <w:r>
        <w:rPr>
          <w:b/>
          <w:bCs/>
          <w:color w:val="76923C" w:themeColor="accent3" w:themeShade="BF"/>
          <w:sz w:val="19"/>
          <w:szCs w:val="19"/>
        </w:rPr>
        <w:t>Data presentation</w:t>
      </w:r>
    </w:p>
    <w:p w:rsidR="000C300D" w:rsidRDefault="000C300D" w:rsidP="00D15283">
      <w:pPr>
        <w:pStyle w:val="BodyText"/>
        <w:pBdr>
          <w:top w:val="single" w:sz="4" w:space="1" w:color="auto"/>
          <w:left w:val="single" w:sz="4" w:space="1" w:color="auto"/>
          <w:bottom w:val="single" w:sz="4" w:space="1" w:color="auto"/>
          <w:right w:val="single" w:sz="4" w:space="1" w:color="auto"/>
        </w:pBdr>
        <w:jc w:val="both"/>
        <w:rPr>
          <w:sz w:val="19"/>
        </w:rPr>
      </w:pPr>
      <w:r w:rsidRPr="000C300D">
        <w:rPr>
          <w:sz w:val="19"/>
        </w:rPr>
        <w:t xml:space="preserve">Owing to the preliminary nature of this data, </w:t>
      </w:r>
      <w:r w:rsidR="008D6D73">
        <w:rPr>
          <w:sz w:val="19"/>
        </w:rPr>
        <w:t xml:space="preserve">the </w:t>
      </w:r>
      <w:r w:rsidR="0052721E">
        <w:rPr>
          <w:sz w:val="19"/>
        </w:rPr>
        <w:t>Q</w:t>
      </w:r>
      <w:r w:rsidR="0058065A">
        <w:rPr>
          <w:sz w:val="19"/>
        </w:rPr>
        <w:t xml:space="preserve">uarter </w:t>
      </w:r>
      <w:r w:rsidR="00186A43">
        <w:rPr>
          <w:sz w:val="19"/>
        </w:rPr>
        <w:t>3</w:t>
      </w:r>
      <w:r w:rsidR="0058065A">
        <w:rPr>
          <w:sz w:val="19"/>
        </w:rPr>
        <w:t xml:space="preserve"> </w:t>
      </w:r>
      <w:r w:rsidR="008D6D73">
        <w:rPr>
          <w:sz w:val="19"/>
        </w:rPr>
        <w:t xml:space="preserve">2013 </w:t>
      </w:r>
      <w:r w:rsidRPr="000C300D">
        <w:rPr>
          <w:sz w:val="19"/>
        </w:rPr>
        <w:t>figures should be treated as being indicative only. Figures are generally rounded to the nearest 100.</w:t>
      </w:r>
      <w:r w:rsidR="004302D8">
        <w:rPr>
          <w:sz w:val="19"/>
        </w:rPr>
        <w:t xml:space="preserve"> </w:t>
      </w:r>
    </w:p>
    <w:p w:rsidR="00370B87" w:rsidRPr="000C300D" w:rsidRDefault="00370B87" w:rsidP="00D15283">
      <w:pPr>
        <w:pStyle w:val="BodyText"/>
        <w:pBdr>
          <w:top w:val="single" w:sz="4" w:space="1" w:color="auto"/>
          <w:left w:val="single" w:sz="4" w:space="1" w:color="auto"/>
          <w:bottom w:val="single" w:sz="4" w:space="1" w:color="auto"/>
          <w:right w:val="single" w:sz="4" w:space="1" w:color="auto"/>
        </w:pBdr>
        <w:jc w:val="both"/>
        <w:rPr>
          <w:sz w:val="19"/>
        </w:rPr>
      </w:pPr>
    </w:p>
    <w:p w:rsidR="00AE063E" w:rsidRDefault="000C300D">
      <w:pPr>
        <w:spacing w:after="0" w:line="240" w:lineRule="auto"/>
        <w:jc w:val="left"/>
        <w:rPr>
          <w:rFonts w:cs="Arial"/>
          <w:color w:val="76923C" w:themeColor="accent3" w:themeShade="BF"/>
          <w:spacing w:val="-12"/>
          <w:sz w:val="46"/>
          <w:szCs w:val="46"/>
        </w:rPr>
      </w:pPr>
      <w:r>
        <w:rPr>
          <w:rFonts w:cs="Arial"/>
        </w:rPr>
        <w:br w:type="page"/>
      </w:r>
    </w:p>
    <w:p w:rsidR="00351166" w:rsidRPr="001F29E3" w:rsidRDefault="00351166" w:rsidP="00A9260A">
      <w:pPr>
        <w:pStyle w:val="Heading1"/>
        <w:rPr>
          <w:rFonts w:cs="Arial"/>
        </w:rPr>
      </w:pPr>
      <w:bookmarkStart w:id="25" w:name="_Toc372613419"/>
      <w:r w:rsidRPr="001F29E3">
        <w:rPr>
          <w:rFonts w:cs="Arial"/>
        </w:rPr>
        <w:lastRenderedPageBreak/>
        <w:t>Executive Summary</w:t>
      </w:r>
      <w:bookmarkEnd w:id="2"/>
      <w:bookmarkEnd w:id="3"/>
      <w:bookmarkEnd w:id="4"/>
      <w:bookmarkEnd w:id="5"/>
      <w:bookmarkEnd w:id="6"/>
      <w:bookmarkEnd w:id="25"/>
    </w:p>
    <w:p w:rsidR="00351166" w:rsidRPr="001F29E3" w:rsidRDefault="00351166" w:rsidP="00351166">
      <w:pPr>
        <w:pStyle w:val="BodyText"/>
      </w:pPr>
    </w:p>
    <w:p w:rsidR="009F59E5" w:rsidRPr="00A37E72" w:rsidRDefault="00351166" w:rsidP="00351166">
      <w:pPr>
        <w:pStyle w:val="BodyText"/>
        <w:jc w:val="both"/>
        <w:rPr>
          <w:sz w:val="19"/>
        </w:rPr>
      </w:pPr>
      <w:r w:rsidRPr="00A37E72">
        <w:rPr>
          <w:sz w:val="19"/>
        </w:rPr>
        <w:t xml:space="preserve">This Victorian Training Market </w:t>
      </w:r>
      <w:r w:rsidR="00B21070">
        <w:rPr>
          <w:sz w:val="19"/>
        </w:rPr>
        <w:t xml:space="preserve">Quarterly Report for Quarter </w:t>
      </w:r>
      <w:r w:rsidR="00B91AF9">
        <w:rPr>
          <w:sz w:val="19"/>
        </w:rPr>
        <w:t>3</w:t>
      </w:r>
      <w:r w:rsidR="00B21070">
        <w:rPr>
          <w:sz w:val="19"/>
        </w:rPr>
        <w:t xml:space="preserve"> 2013</w:t>
      </w:r>
      <w:r w:rsidR="000D5B80" w:rsidRPr="00A37E72">
        <w:rPr>
          <w:sz w:val="19"/>
        </w:rPr>
        <w:t xml:space="preserve"> </w:t>
      </w:r>
      <w:r w:rsidRPr="00A37E72">
        <w:rPr>
          <w:sz w:val="19"/>
        </w:rPr>
        <w:t xml:space="preserve">is the latest in an on-going series of reports produced by the Department of Education and Early Childhood Development (DEECD). The aim of the report is to provide a summary of Victorian </w:t>
      </w:r>
      <w:r w:rsidR="00BE4A30">
        <w:rPr>
          <w:sz w:val="19"/>
        </w:rPr>
        <w:t>V</w:t>
      </w:r>
      <w:r w:rsidR="0058065A" w:rsidRPr="00A37E72">
        <w:rPr>
          <w:sz w:val="19"/>
        </w:rPr>
        <w:t xml:space="preserve">ocational </w:t>
      </w:r>
      <w:r w:rsidR="00BE4A30">
        <w:rPr>
          <w:sz w:val="19"/>
        </w:rPr>
        <w:t>E</w:t>
      </w:r>
      <w:r w:rsidR="0058065A" w:rsidRPr="00A37E72">
        <w:rPr>
          <w:sz w:val="19"/>
        </w:rPr>
        <w:t xml:space="preserve">ducation and </w:t>
      </w:r>
      <w:r w:rsidR="00BE4A30">
        <w:rPr>
          <w:sz w:val="19"/>
        </w:rPr>
        <w:t>T</w:t>
      </w:r>
      <w:r w:rsidRPr="00A37E72">
        <w:rPr>
          <w:sz w:val="19"/>
        </w:rPr>
        <w:t xml:space="preserve">raining </w:t>
      </w:r>
      <w:r w:rsidR="003F6393" w:rsidRPr="00A37E72">
        <w:rPr>
          <w:sz w:val="19"/>
        </w:rPr>
        <w:t xml:space="preserve">(VET) </w:t>
      </w:r>
      <w:r w:rsidRPr="00A37E72">
        <w:rPr>
          <w:sz w:val="19"/>
        </w:rPr>
        <w:t>market performance and responsiveness to industry</w:t>
      </w:r>
      <w:r w:rsidR="00BE4A30">
        <w:rPr>
          <w:sz w:val="19"/>
        </w:rPr>
        <w:t xml:space="preserve"> needs</w:t>
      </w:r>
      <w:r w:rsidRPr="00A37E72">
        <w:rPr>
          <w:sz w:val="19"/>
        </w:rPr>
        <w:t xml:space="preserve">. </w:t>
      </w:r>
      <w:r w:rsidR="00013468" w:rsidRPr="00A37E72">
        <w:rPr>
          <w:sz w:val="19"/>
        </w:rPr>
        <w:t xml:space="preserve">The </w:t>
      </w:r>
      <w:r w:rsidR="00B91AF9">
        <w:rPr>
          <w:sz w:val="19"/>
        </w:rPr>
        <w:t>third</w:t>
      </w:r>
      <w:r w:rsidR="00253FE6">
        <w:rPr>
          <w:sz w:val="19"/>
        </w:rPr>
        <w:t xml:space="preserve"> </w:t>
      </w:r>
      <w:r w:rsidR="00013468" w:rsidRPr="00A37E72">
        <w:rPr>
          <w:sz w:val="19"/>
        </w:rPr>
        <w:t xml:space="preserve">quarter </w:t>
      </w:r>
      <w:r w:rsidR="00050691" w:rsidRPr="00A37E72">
        <w:rPr>
          <w:sz w:val="19"/>
        </w:rPr>
        <w:t>(Q</w:t>
      </w:r>
      <w:r w:rsidR="00B91AF9">
        <w:rPr>
          <w:sz w:val="19"/>
        </w:rPr>
        <w:t>3</w:t>
      </w:r>
      <w:r w:rsidR="00050691" w:rsidRPr="00A37E72">
        <w:rPr>
          <w:sz w:val="19"/>
        </w:rPr>
        <w:t xml:space="preserve">) </w:t>
      </w:r>
      <w:r w:rsidR="00013468" w:rsidRPr="00A37E72">
        <w:rPr>
          <w:sz w:val="19"/>
        </w:rPr>
        <w:t xml:space="preserve">report provides an overview based on a snapshot of </w:t>
      </w:r>
      <w:r w:rsidR="0058065A" w:rsidRPr="00A37E72">
        <w:rPr>
          <w:sz w:val="19"/>
        </w:rPr>
        <w:t>training activity</w:t>
      </w:r>
      <w:r w:rsidR="00013468" w:rsidRPr="00A37E72">
        <w:rPr>
          <w:sz w:val="19"/>
        </w:rPr>
        <w:t xml:space="preserve"> data </w:t>
      </w:r>
      <w:r w:rsidR="00AB2D09">
        <w:rPr>
          <w:sz w:val="19"/>
        </w:rPr>
        <w:t>as reported</w:t>
      </w:r>
      <w:r w:rsidR="0058065A" w:rsidRPr="00A37E72">
        <w:rPr>
          <w:sz w:val="19"/>
        </w:rPr>
        <w:t xml:space="preserve"> at the end of </w:t>
      </w:r>
      <w:r w:rsidR="00B91AF9">
        <w:rPr>
          <w:sz w:val="19"/>
        </w:rPr>
        <w:t>September</w:t>
      </w:r>
      <w:r w:rsidR="0058065A" w:rsidRPr="00A37E72">
        <w:rPr>
          <w:sz w:val="19"/>
        </w:rPr>
        <w:t xml:space="preserve"> 2013</w:t>
      </w:r>
      <w:r w:rsidR="00013468" w:rsidRPr="00A37E72">
        <w:rPr>
          <w:sz w:val="19"/>
        </w:rPr>
        <w:t xml:space="preserve">. </w:t>
      </w:r>
    </w:p>
    <w:p w:rsidR="00013468" w:rsidRPr="00A37E72" w:rsidRDefault="00013468" w:rsidP="00351166">
      <w:pPr>
        <w:pStyle w:val="BodyText"/>
        <w:jc w:val="both"/>
        <w:rPr>
          <w:sz w:val="19"/>
        </w:rPr>
      </w:pPr>
    </w:p>
    <w:p w:rsidR="00351166" w:rsidRPr="00A37E72" w:rsidRDefault="00351166" w:rsidP="00A9260A">
      <w:pPr>
        <w:pStyle w:val="Heading3"/>
      </w:pPr>
      <w:r w:rsidRPr="00A37E72">
        <w:t>Context</w:t>
      </w:r>
    </w:p>
    <w:p w:rsidR="00351166" w:rsidRPr="00A37E72" w:rsidRDefault="00351166" w:rsidP="00D12AD8">
      <w:pPr>
        <w:rPr>
          <w:rFonts w:cs="Arial"/>
          <w:bCs/>
          <w:iCs/>
        </w:rPr>
      </w:pPr>
      <w:r w:rsidRPr="00BA6ED4">
        <w:rPr>
          <w:rFonts w:cs="Arial"/>
        </w:rPr>
        <w:t xml:space="preserve">With </w:t>
      </w:r>
      <w:r w:rsidR="00BB290A" w:rsidRPr="00EC42C1">
        <w:rPr>
          <w:rFonts w:cs="Arial"/>
        </w:rPr>
        <w:t>budgeted</w:t>
      </w:r>
      <w:r w:rsidR="00BB290A">
        <w:rPr>
          <w:rFonts w:cs="Arial"/>
        </w:rPr>
        <w:t xml:space="preserve"> </w:t>
      </w:r>
      <w:r w:rsidRPr="00BA6ED4">
        <w:rPr>
          <w:rFonts w:cs="Arial"/>
        </w:rPr>
        <w:t>expenditure of $2.</w:t>
      </w:r>
      <w:r w:rsidR="00110919" w:rsidRPr="00BA6ED4">
        <w:rPr>
          <w:rFonts w:cs="Arial"/>
        </w:rPr>
        <w:t>3</w:t>
      </w:r>
      <w:r w:rsidRPr="00BA6ED4">
        <w:rPr>
          <w:rFonts w:cs="Arial"/>
        </w:rPr>
        <w:t xml:space="preserve"> billion in 201</w:t>
      </w:r>
      <w:r w:rsidR="00BB290A">
        <w:rPr>
          <w:rFonts w:cs="Arial"/>
        </w:rPr>
        <w:t>3</w:t>
      </w:r>
      <w:r w:rsidR="00617C62" w:rsidRPr="00BA6ED4">
        <w:rPr>
          <w:rFonts w:cs="Arial"/>
        </w:rPr>
        <w:t>/</w:t>
      </w:r>
      <w:r w:rsidRPr="00BA6ED4">
        <w:rPr>
          <w:rFonts w:cs="Arial"/>
        </w:rPr>
        <w:t>1</w:t>
      </w:r>
      <w:r w:rsidR="00BB290A">
        <w:rPr>
          <w:rFonts w:cs="Arial"/>
        </w:rPr>
        <w:t>4</w:t>
      </w:r>
      <w:r w:rsidRPr="00BA6ED4">
        <w:rPr>
          <w:rFonts w:cs="Arial"/>
        </w:rPr>
        <w:t xml:space="preserve">, the DEECD has specific responsibility for the government-subsidised </w:t>
      </w:r>
      <w:r w:rsidR="00B03850" w:rsidRPr="00BA6ED4">
        <w:rPr>
          <w:rFonts w:cs="Arial"/>
        </w:rPr>
        <w:t xml:space="preserve">Vocational </w:t>
      </w:r>
      <w:r w:rsidR="00416B67" w:rsidRPr="00BA6ED4">
        <w:rPr>
          <w:rFonts w:cs="Arial"/>
        </w:rPr>
        <w:t>T</w:t>
      </w:r>
      <w:r w:rsidR="00B03850" w:rsidRPr="00BA6ED4">
        <w:rPr>
          <w:rFonts w:cs="Arial"/>
        </w:rPr>
        <w:t>raining</w:t>
      </w:r>
      <w:r w:rsidRPr="00BA6ED4">
        <w:rPr>
          <w:rFonts w:cs="Arial"/>
        </w:rPr>
        <w:t xml:space="preserve"> market in Victoria to support industry in the provision of a highly skilled and capable workforce. </w:t>
      </w:r>
      <w:r w:rsidRPr="00BA6ED4">
        <w:rPr>
          <w:rFonts w:cs="Arial"/>
          <w:bCs/>
          <w:iCs/>
        </w:rPr>
        <w:t xml:space="preserve">The Victorian system does this through the </w:t>
      </w:r>
      <w:r w:rsidRPr="00C54B09">
        <w:rPr>
          <w:rFonts w:cs="Arial"/>
          <w:bCs/>
          <w:i/>
          <w:iCs/>
        </w:rPr>
        <w:t>Victorian Training Guarantee</w:t>
      </w:r>
      <w:r w:rsidRPr="00BA6ED4">
        <w:rPr>
          <w:rFonts w:cs="Arial"/>
          <w:lang w:val="en-US"/>
        </w:rPr>
        <w:t xml:space="preserve">, which provides an </w:t>
      </w:r>
      <w:r w:rsidRPr="00BA6ED4">
        <w:rPr>
          <w:rFonts w:cs="Arial"/>
          <w:bCs/>
          <w:iCs/>
          <w:lang w:val="en-US"/>
        </w:rPr>
        <w:t xml:space="preserve">unlimited number of government </w:t>
      </w:r>
      <w:proofErr w:type="spellStart"/>
      <w:r w:rsidR="00F952B3" w:rsidRPr="00BA6ED4">
        <w:rPr>
          <w:rFonts w:cs="Arial"/>
          <w:bCs/>
          <w:iCs/>
          <w:lang w:val="en-US"/>
        </w:rPr>
        <w:t>subsidised</w:t>
      </w:r>
      <w:proofErr w:type="spellEnd"/>
      <w:r w:rsidRPr="00BA6ED4">
        <w:rPr>
          <w:rFonts w:cs="Arial"/>
          <w:bCs/>
          <w:iCs/>
          <w:lang w:val="en-US"/>
        </w:rPr>
        <w:t xml:space="preserve"> training places to people who meet the eligibility criteria. </w:t>
      </w:r>
      <w:r w:rsidRPr="00BA6ED4">
        <w:rPr>
          <w:rFonts w:cs="Arial"/>
          <w:bCs/>
          <w:iCs/>
        </w:rPr>
        <w:t xml:space="preserve">In July 2012, further reforms to the system refocused training subsidies away from over-supplied courses or those with little connection to job prospects </w:t>
      </w:r>
      <w:r w:rsidR="004C30A8" w:rsidRPr="00BA6ED4">
        <w:rPr>
          <w:rFonts w:cs="Arial"/>
          <w:bCs/>
          <w:iCs/>
        </w:rPr>
        <w:t xml:space="preserve">and productivity </w:t>
      </w:r>
      <w:r w:rsidRPr="00BA6ED4">
        <w:rPr>
          <w:rFonts w:cs="Arial"/>
          <w:bCs/>
          <w:iCs/>
        </w:rPr>
        <w:t xml:space="preserve">towards courses of greatest </w:t>
      </w:r>
      <w:r w:rsidR="004C30A8" w:rsidRPr="00BA6ED4">
        <w:rPr>
          <w:rFonts w:cs="Arial"/>
          <w:bCs/>
          <w:iCs/>
        </w:rPr>
        <w:t>economic</w:t>
      </w:r>
      <w:r w:rsidRPr="00BA6ED4">
        <w:rPr>
          <w:rFonts w:cs="Arial"/>
          <w:bCs/>
          <w:iCs/>
        </w:rPr>
        <w:t xml:space="preserve"> benefit and future jobs growth.</w:t>
      </w:r>
      <w:r w:rsidRPr="00A37E72">
        <w:rPr>
          <w:rFonts w:cs="Arial"/>
          <w:bCs/>
          <w:iCs/>
        </w:rPr>
        <w:t xml:space="preserve"> </w:t>
      </w:r>
    </w:p>
    <w:p w:rsidR="006738FB" w:rsidRPr="00A37E72" w:rsidRDefault="006738FB" w:rsidP="00A9260A">
      <w:pPr>
        <w:pStyle w:val="Heading3"/>
      </w:pPr>
    </w:p>
    <w:p w:rsidR="00131DDA" w:rsidRPr="00A37E72" w:rsidRDefault="00131DDA" w:rsidP="00131DDA">
      <w:pPr>
        <w:pStyle w:val="Heading3"/>
      </w:pPr>
      <w:r w:rsidRPr="00A37E72">
        <w:t>2012 Outcomes (full year)</w:t>
      </w:r>
    </w:p>
    <w:p w:rsidR="008A70A1" w:rsidRDefault="008A70A1" w:rsidP="008A70A1">
      <w:r>
        <w:t xml:space="preserve">Victoria’s </w:t>
      </w:r>
      <w:r w:rsidR="00652D1F">
        <w:t xml:space="preserve">vocational education and training </w:t>
      </w:r>
      <w:r>
        <w:t xml:space="preserve">system performs well compared to other Australian jurisdictions. According to data published by the </w:t>
      </w:r>
      <w:r w:rsidRPr="00B67A95">
        <w:t>National Centre for Vocational Education Research (NCVER)</w:t>
      </w:r>
      <w:r>
        <w:t xml:space="preserve">, in 2012 Victoria had the highest overall participation rate in VET of 15 to 64 year olds, higher than the national average and all other states and territories. </w:t>
      </w:r>
      <w:r w:rsidR="0051046D">
        <w:t xml:space="preserve">In addition the numbers of students in the Victorian vocational system was higher than New South Wales (NSW), a state with a larger population, by about 53,000 students. In </w:t>
      </w:r>
      <w:r w:rsidR="004C5A1D">
        <w:t>Australian Qualification Framework (</w:t>
      </w:r>
      <w:r w:rsidR="0051046D">
        <w:t>AQF</w:t>
      </w:r>
      <w:r w:rsidR="004C5A1D">
        <w:t>) Level 1 and above</w:t>
      </w:r>
      <w:r w:rsidR="0051046D">
        <w:t xml:space="preserve"> courses of study Victoria had about 100,000 more students than in NSW.</w:t>
      </w:r>
    </w:p>
    <w:p w:rsidR="002936E7" w:rsidRDefault="002936E7" w:rsidP="008A70A1">
      <w:pPr>
        <w:pStyle w:val="Caption"/>
      </w:pPr>
    </w:p>
    <w:p w:rsidR="008A70A1" w:rsidRDefault="008A70A1" w:rsidP="008A70A1">
      <w:pPr>
        <w:pStyle w:val="Caption"/>
      </w:pPr>
      <w:r w:rsidRPr="00B67A95">
        <w:t>Participation in VET by 15 to 64 y</w:t>
      </w:r>
      <w:r>
        <w:t>ear olds in 2012, Government funded and public provider fee for service based on 2012 NCVER data and ABS population estimates</w:t>
      </w:r>
    </w:p>
    <w:p w:rsidR="00AB1E8D" w:rsidRDefault="00AB1E8D" w:rsidP="00AB1E8D">
      <w:r>
        <w:rPr>
          <w:noProof/>
          <w:lang w:eastAsia="en-AU"/>
        </w:rPr>
        <w:drawing>
          <wp:inline distT="0" distB="0" distL="0" distR="0" wp14:anchorId="6E06B196">
            <wp:extent cx="5868000" cy="3380400"/>
            <wp:effectExtent l="0" t="0" r="0" b="0"/>
            <wp:docPr id="2" name="Picture 2" descr="This chart shows the participation rate of students aged 15 to 64 in Vocational Education and Training in government funded and public provider fee for service by state and territory in 2012. The data were sourced from the NCVER report and the ABS population estimates." title="Participation in VET by 15 to 64 year olds in 2012, Government funded and public provider fee for service based on 2012 NCVER data and ABS populati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000" cy="3380400"/>
                    </a:xfrm>
                    <a:prstGeom prst="rect">
                      <a:avLst/>
                    </a:prstGeom>
                    <a:noFill/>
                  </pic:spPr>
                </pic:pic>
              </a:graphicData>
            </a:graphic>
          </wp:inline>
        </w:drawing>
      </w:r>
    </w:p>
    <w:p w:rsidR="00AB1E8D" w:rsidRPr="00AB1E8D" w:rsidRDefault="00AB1E8D" w:rsidP="00AB1E8D"/>
    <w:p w:rsidR="008A70A1" w:rsidRPr="00A37E72" w:rsidRDefault="008A70A1" w:rsidP="00DB4B43">
      <w:pPr>
        <w:jc w:val="center"/>
      </w:pPr>
    </w:p>
    <w:p w:rsidR="008A70A1" w:rsidRDefault="008A70A1" w:rsidP="00131DDA"/>
    <w:p w:rsidR="004C5A1D" w:rsidRDefault="004C5A1D">
      <w:pPr>
        <w:spacing w:after="0" w:line="240" w:lineRule="auto"/>
        <w:jc w:val="left"/>
      </w:pPr>
      <w:r>
        <w:br w:type="page"/>
      </w:r>
    </w:p>
    <w:p w:rsidR="00F034AF" w:rsidRPr="00A37E72" w:rsidRDefault="00131DDA" w:rsidP="00F034AF">
      <w:r w:rsidRPr="00A37E72">
        <w:lastRenderedPageBreak/>
        <w:t>The Victorian training market has seen significant growth over the last five years. Between 2008 and 2012 there was a 7</w:t>
      </w:r>
      <w:r w:rsidR="00517D0F" w:rsidRPr="00A37E72">
        <w:t>6</w:t>
      </w:r>
      <w:r w:rsidRPr="00A37E72">
        <w:t xml:space="preserve"> per cent increase in government funded enrolments. </w:t>
      </w:r>
      <w:r w:rsidR="00F034AF">
        <w:t xml:space="preserve">Since the introduction of </w:t>
      </w:r>
      <w:r w:rsidR="00F034AF" w:rsidRPr="00E90DC6">
        <w:rPr>
          <w:rFonts w:cs="Arial"/>
          <w:bCs/>
          <w:i/>
          <w:iCs/>
        </w:rPr>
        <w:t>Refocusing Vocational Training</w:t>
      </w:r>
      <w:r w:rsidR="00F034AF">
        <w:rPr>
          <w:rFonts w:cs="Arial"/>
          <w:bCs/>
          <w:i/>
          <w:iCs/>
        </w:rPr>
        <w:t xml:space="preserve"> </w:t>
      </w:r>
      <w:r w:rsidR="00C91269">
        <w:rPr>
          <w:rFonts w:cs="Arial"/>
          <w:bCs/>
          <w:i/>
          <w:iCs/>
        </w:rPr>
        <w:t xml:space="preserve">in Victoria </w:t>
      </w:r>
      <w:r w:rsidR="004D7D6F">
        <w:rPr>
          <w:rFonts w:cs="Arial"/>
          <w:bCs/>
          <w:i/>
          <w:iCs/>
        </w:rPr>
        <w:t xml:space="preserve">(RVT) </w:t>
      </w:r>
      <w:r w:rsidR="00F034AF" w:rsidRPr="00C91269">
        <w:rPr>
          <w:rFonts w:cs="Arial"/>
          <w:bCs/>
          <w:iCs/>
        </w:rPr>
        <w:t>reforms</w:t>
      </w:r>
      <w:r w:rsidR="00D06F82">
        <w:rPr>
          <w:rFonts w:cs="Arial"/>
          <w:bCs/>
          <w:i/>
          <w:iCs/>
        </w:rPr>
        <w:t xml:space="preserve"> </w:t>
      </w:r>
      <w:r w:rsidR="00F034AF">
        <w:t xml:space="preserve">there has been a shift to a greater number of enrolments in courses in “in shortage” skill areas. </w:t>
      </w:r>
      <w:r w:rsidR="00F034AF" w:rsidRPr="00A37E72">
        <w:t xml:space="preserve">In 2012, enrolments for ‘in shortage’ </w:t>
      </w:r>
      <w:r w:rsidR="00F034AF">
        <w:t>occupations</w:t>
      </w:r>
      <w:r w:rsidR="00F034AF" w:rsidRPr="00A37E72">
        <w:t xml:space="preserve"> increased by 18 per cent to over 150,000 enrolments</w:t>
      </w:r>
      <w:r w:rsidR="002248DA">
        <w:t xml:space="preserve"> and t</w:t>
      </w:r>
      <w:r w:rsidR="00F034AF" w:rsidRPr="00A37E72">
        <w:t xml:space="preserve">raining in specialised qualifications increased by 11 per cent to over 80,000 enrolments. </w:t>
      </w:r>
    </w:p>
    <w:p w:rsidR="00F034AF" w:rsidRDefault="00F034AF" w:rsidP="00F034AF">
      <w:r w:rsidRPr="00A37E72">
        <w:t>In 2012 there were 134,300 apprentices and trainees in government subsidised training. This was a 6 per cent increase compared to 2011</w:t>
      </w:r>
      <w:r>
        <w:t>.</w:t>
      </w:r>
      <w:r w:rsidRPr="00A37E72">
        <w:t xml:space="preserve"> </w:t>
      </w:r>
    </w:p>
    <w:p w:rsidR="002936E7" w:rsidRPr="00BA6ED4" w:rsidRDefault="008D7D5A" w:rsidP="00131DDA">
      <w:r w:rsidRPr="00BA6ED4">
        <w:t>The 2012 year experience</w:t>
      </w:r>
      <w:r w:rsidR="009B5895" w:rsidRPr="00BA6ED4">
        <w:t>d</w:t>
      </w:r>
      <w:r w:rsidRPr="00BA6ED4">
        <w:t xml:space="preserve"> </w:t>
      </w:r>
      <w:r w:rsidR="002248DA" w:rsidRPr="00BA6ED4">
        <w:t>unprecedented</w:t>
      </w:r>
      <w:r w:rsidRPr="00BA6ED4">
        <w:t xml:space="preserve"> </w:t>
      </w:r>
      <w:r w:rsidR="0014079C" w:rsidRPr="00BA6ED4">
        <w:t>growth</w:t>
      </w:r>
      <w:r w:rsidR="007A2223" w:rsidRPr="00BA6ED4">
        <w:t xml:space="preserve"> in government subsidised training</w:t>
      </w:r>
      <w:r w:rsidR="0014079C" w:rsidRPr="00BA6ED4">
        <w:t>;</w:t>
      </w:r>
      <w:r w:rsidR="00A54E5D" w:rsidRPr="00BA6ED4">
        <w:t xml:space="preserve"> this growth was influenced by changes to </w:t>
      </w:r>
      <w:r w:rsidRPr="00BA6ED4">
        <w:t xml:space="preserve">subsidy </w:t>
      </w:r>
      <w:r w:rsidR="00A54E5D" w:rsidRPr="00BA6ED4">
        <w:t xml:space="preserve">arrangements </w:t>
      </w:r>
      <w:r w:rsidR="00BA6ED4" w:rsidRPr="00BA6ED4">
        <w:t>that came into effect in</w:t>
      </w:r>
      <w:r w:rsidRPr="00BA6ED4">
        <w:t xml:space="preserve"> July </w:t>
      </w:r>
      <w:r w:rsidR="00A54E5D" w:rsidRPr="00BA6ED4">
        <w:t xml:space="preserve">of </w:t>
      </w:r>
      <w:r w:rsidRPr="00BA6ED4">
        <w:t xml:space="preserve">that year. </w:t>
      </w:r>
      <w:r w:rsidR="00227F04" w:rsidRPr="00BA6ED4">
        <w:t>Quarter 2 w</w:t>
      </w:r>
      <w:r w:rsidR="0051046D" w:rsidRPr="00BA6ED4">
        <w:t>ould normally repres</w:t>
      </w:r>
      <w:r w:rsidR="00A54E5D" w:rsidRPr="00BA6ED4">
        <w:t>ent about 60</w:t>
      </w:r>
      <w:r w:rsidR="000609C4" w:rsidRPr="00BA6ED4">
        <w:t xml:space="preserve"> per cent</w:t>
      </w:r>
      <w:r w:rsidR="00227F04" w:rsidRPr="00BA6ED4">
        <w:t xml:space="preserve"> of reported</w:t>
      </w:r>
      <w:r w:rsidR="00A54E5D" w:rsidRPr="00BA6ED4">
        <w:t xml:space="preserve"> </w:t>
      </w:r>
      <w:r w:rsidR="00F034AF" w:rsidRPr="00BA6ED4">
        <w:t xml:space="preserve">year to date </w:t>
      </w:r>
      <w:r w:rsidR="002248DA" w:rsidRPr="00BA6ED4">
        <w:t>activity</w:t>
      </w:r>
      <w:r w:rsidR="00A54E5D" w:rsidRPr="00BA6ED4">
        <w:t>; the</w:t>
      </w:r>
      <w:r w:rsidR="00227F04" w:rsidRPr="00BA6ED4">
        <w:t xml:space="preserve"> 2012 Q2 results represented </w:t>
      </w:r>
      <w:r w:rsidR="0051046D" w:rsidRPr="00BA6ED4">
        <w:t>68</w:t>
      </w:r>
      <w:r w:rsidR="00227F04" w:rsidRPr="00BA6ED4">
        <w:t xml:space="preserve"> per cent of reported enrolments in that year. </w:t>
      </w:r>
    </w:p>
    <w:p w:rsidR="008D7D5A" w:rsidRPr="00A37E72" w:rsidRDefault="007A2223" w:rsidP="00131DDA">
      <w:r w:rsidRPr="00BA6ED4">
        <w:t>As t</w:t>
      </w:r>
      <w:r w:rsidR="009B5895" w:rsidRPr="00BA6ED4">
        <w:t>he</w:t>
      </w:r>
      <w:r w:rsidR="0014079C" w:rsidRPr="00BA6ED4">
        <w:t xml:space="preserve"> </w:t>
      </w:r>
      <w:r w:rsidR="00F034AF" w:rsidRPr="00BA6ED4">
        <w:t xml:space="preserve">market response to new approach to Government </w:t>
      </w:r>
      <w:r w:rsidR="0014079C" w:rsidRPr="00BA6ED4">
        <w:t xml:space="preserve"> arrangements</w:t>
      </w:r>
      <w:r w:rsidR="009B5895" w:rsidRPr="00BA6ED4">
        <w:t xml:space="preserve"> in 2012  </w:t>
      </w:r>
      <w:r w:rsidR="0051046D" w:rsidRPr="00BA6ED4">
        <w:t xml:space="preserve">somewhat </w:t>
      </w:r>
      <w:r w:rsidR="009B5895" w:rsidRPr="00BA6ED4">
        <w:t xml:space="preserve">distort year on year comparisons some caution should be used in making </w:t>
      </w:r>
      <w:r w:rsidR="0051046D" w:rsidRPr="00BA6ED4">
        <w:t xml:space="preserve">comparisons between quarters, for </w:t>
      </w:r>
      <w:r w:rsidR="00253FE6" w:rsidRPr="00BA6ED4">
        <w:t>this reason the</w:t>
      </w:r>
      <w:r w:rsidR="0051046D" w:rsidRPr="00BA6ED4">
        <w:t xml:space="preserve"> report includes comparisons of Q</w:t>
      </w:r>
      <w:r w:rsidR="00B16981" w:rsidRPr="00BA6ED4">
        <w:t>3</w:t>
      </w:r>
      <w:r w:rsidR="0051046D" w:rsidRPr="00BA6ED4">
        <w:t xml:space="preserve"> 2013 with both Q</w:t>
      </w:r>
      <w:r w:rsidR="00B16981" w:rsidRPr="00BA6ED4">
        <w:t>3</w:t>
      </w:r>
      <w:r w:rsidR="0051046D" w:rsidRPr="00BA6ED4">
        <w:t xml:space="preserve"> 2012 and Q</w:t>
      </w:r>
      <w:r w:rsidR="00B16981" w:rsidRPr="00BA6ED4">
        <w:t>3</w:t>
      </w:r>
      <w:r w:rsidR="0051046D" w:rsidRPr="00BA6ED4">
        <w:t xml:space="preserve"> 2011.</w:t>
      </w:r>
    </w:p>
    <w:p w:rsidR="00652D1F" w:rsidRDefault="00652D1F" w:rsidP="004B558C">
      <w:pPr>
        <w:pStyle w:val="Heading3"/>
      </w:pPr>
    </w:p>
    <w:p w:rsidR="00131DDA" w:rsidRPr="00A37E72" w:rsidRDefault="00131DDA" w:rsidP="004B558C">
      <w:pPr>
        <w:pStyle w:val="Heading3"/>
      </w:pPr>
      <w:r w:rsidRPr="00A37E72">
        <w:t>Q</w:t>
      </w:r>
      <w:r w:rsidR="00B16981">
        <w:t>3</w:t>
      </w:r>
      <w:r w:rsidRPr="00A37E72">
        <w:t xml:space="preserve"> 2013 Overview </w:t>
      </w:r>
    </w:p>
    <w:p w:rsidR="000609C4" w:rsidRDefault="000609C4" w:rsidP="00131DDA">
      <w:r>
        <w:t xml:space="preserve">Noting the issues associated with the unusually high level of reported delivery in 2012, there were </w:t>
      </w:r>
      <w:r w:rsidR="00D06F82">
        <w:t xml:space="preserve">approximately </w:t>
      </w:r>
      <w:r w:rsidR="00B16981">
        <w:t>529</w:t>
      </w:r>
      <w:r w:rsidR="00D06F82">
        <w:t>,</w:t>
      </w:r>
      <w:r w:rsidR="00B16981">
        <w:t>9</w:t>
      </w:r>
      <w:r w:rsidR="00D06F82">
        <w:t>00</w:t>
      </w:r>
      <w:r>
        <w:t xml:space="preserve"> government subsidised enrolments in Q</w:t>
      </w:r>
      <w:r w:rsidR="00B16981">
        <w:t>3</w:t>
      </w:r>
      <w:r>
        <w:t xml:space="preserve"> 2013</w:t>
      </w:r>
      <w:r w:rsidR="00D06F82">
        <w:t xml:space="preserve">, </w:t>
      </w:r>
      <w:r>
        <w:t xml:space="preserve">down </w:t>
      </w:r>
      <w:r w:rsidR="00B16981">
        <w:t>9</w:t>
      </w:r>
      <w:r w:rsidR="00AF59CF">
        <w:t xml:space="preserve"> per cent </w:t>
      </w:r>
      <w:r>
        <w:t>when compared to Q</w:t>
      </w:r>
      <w:r w:rsidR="00B16981">
        <w:t>3</w:t>
      </w:r>
      <w:r>
        <w:t xml:space="preserve"> 2012, but still </w:t>
      </w:r>
      <w:r w:rsidR="00AF59CF">
        <w:t>2</w:t>
      </w:r>
      <w:r w:rsidR="00B16981">
        <w:t>1</w:t>
      </w:r>
      <w:r w:rsidR="00AF59CF">
        <w:t xml:space="preserve"> per cent </w:t>
      </w:r>
      <w:r w:rsidR="00D06F82">
        <w:t>higher than</w:t>
      </w:r>
      <w:r>
        <w:t xml:space="preserve"> Q</w:t>
      </w:r>
      <w:r w:rsidR="00B16981">
        <w:t>3</w:t>
      </w:r>
      <w:r>
        <w:t xml:space="preserve"> 2011</w:t>
      </w:r>
      <w:r w:rsidR="00AF59CF">
        <w:t>.</w:t>
      </w:r>
    </w:p>
    <w:p w:rsidR="004111E3" w:rsidRDefault="00F53E4A" w:rsidP="00DE784E">
      <w:r>
        <w:t>T</w:t>
      </w:r>
      <w:r w:rsidR="00131DDA" w:rsidRPr="00A37E72">
        <w:t xml:space="preserve">here were </w:t>
      </w:r>
      <w:r w:rsidR="00B16981">
        <w:t>88</w:t>
      </w:r>
      <w:r w:rsidR="00045F0C">
        <w:t>,</w:t>
      </w:r>
      <w:r w:rsidR="00B16981">
        <w:t>4</w:t>
      </w:r>
      <w:r w:rsidR="00045F0C">
        <w:t>00</w:t>
      </w:r>
      <w:r w:rsidR="00131DDA" w:rsidRPr="00A37E72">
        <w:t xml:space="preserve"> TAFE domestic </w:t>
      </w:r>
      <w:proofErr w:type="gramStart"/>
      <w:r w:rsidR="00131DDA" w:rsidRPr="00A37E72">
        <w:t>fee</w:t>
      </w:r>
      <w:proofErr w:type="gramEnd"/>
      <w:r w:rsidR="00131DDA" w:rsidRPr="00A37E72">
        <w:t xml:space="preserve"> for service</w:t>
      </w:r>
      <w:r w:rsidR="000E296F" w:rsidRPr="00A37E72">
        <w:rPr>
          <w:rStyle w:val="FootnoteReference"/>
        </w:rPr>
        <w:footnoteReference w:id="1"/>
      </w:r>
      <w:r w:rsidR="00131DDA" w:rsidRPr="00A37E72">
        <w:t xml:space="preserve"> enrolments in Q</w:t>
      </w:r>
      <w:r w:rsidR="00B16981">
        <w:t>3</w:t>
      </w:r>
      <w:r w:rsidR="00131DDA" w:rsidRPr="00A37E72">
        <w:t xml:space="preserve"> 2013. This is down by </w:t>
      </w:r>
      <w:r w:rsidR="00B16981">
        <w:t>12</w:t>
      </w:r>
      <w:r w:rsidR="00385F2D" w:rsidRPr="00A37E72">
        <w:t xml:space="preserve"> per cent (</w:t>
      </w:r>
      <w:r w:rsidR="00B16981">
        <w:t>11</w:t>
      </w:r>
      <w:r w:rsidR="00045F0C">
        <w:t>,</w:t>
      </w:r>
      <w:r w:rsidR="00B16981">
        <w:t>5</w:t>
      </w:r>
      <w:r w:rsidR="00045F0C">
        <w:t>00</w:t>
      </w:r>
      <w:r w:rsidR="001C7A8C">
        <w:t xml:space="preserve"> enrolments</w:t>
      </w:r>
      <w:r w:rsidR="00131DDA" w:rsidRPr="00A37E72">
        <w:t>) compared to Q</w:t>
      </w:r>
      <w:r w:rsidR="00B16981">
        <w:t>3</w:t>
      </w:r>
      <w:r w:rsidR="00131DDA" w:rsidRPr="00A37E72">
        <w:t xml:space="preserve"> 2012, but up by </w:t>
      </w:r>
      <w:r w:rsidR="00B16981">
        <w:t>6</w:t>
      </w:r>
      <w:r w:rsidR="00131DDA" w:rsidRPr="00A37E72">
        <w:t xml:space="preserve"> per cent (</w:t>
      </w:r>
      <w:r w:rsidR="00B16981">
        <w:t>5</w:t>
      </w:r>
      <w:r w:rsidR="00045F0C">
        <w:t>,</w:t>
      </w:r>
      <w:r w:rsidR="00B16981">
        <w:t>3</w:t>
      </w:r>
      <w:r w:rsidR="00045F0C">
        <w:t>00</w:t>
      </w:r>
      <w:r w:rsidR="00131DDA" w:rsidRPr="00A37E72">
        <w:t xml:space="preserve">) compared to the same </w:t>
      </w:r>
      <w:r w:rsidR="001B796C">
        <w:t>period</w:t>
      </w:r>
      <w:r w:rsidR="00131DDA" w:rsidRPr="00A37E72">
        <w:t xml:space="preserve"> in 2011.</w:t>
      </w:r>
    </w:p>
    <w:p w:rsidR="007936E9" w:rsidRDefault="007936E9">
      <w:pPr>
        <w:spacing w:after="0" w:line="240" w:lineRule="auto"/>
        <w:jc w:val="left"/>
        <w:rPr>
          <w:b/>
          <w:bCs/>
          <w:color w:val="76923C" w:themeColor="accent3" w:themeShade="BF"/>
          <w:sz w:val="18"/>
          <w:szCs w:val="16"/>
        </w:rPr>
      </w:pPr>
    </w:p>
    <w:p w:rsidR="00AD2D2A" w:rsidRDefault="00AD2D2A" w:rsidP="00AD2D2A">
      <w:pPr>
        <w:pStyle w:val="Caption"/>
      </w:pPr>
      <w:r w:rsidRPr="00A37E72">
        <w:t>Government subsidised and TAFE Fee for service course enrolments, 2008-2012</w:t>
      </w:r>
      <w:r w:rsidR="002318E7" w:rsidRPr="00A37E72">
        <w:t xml:space="preserve"> and</w:t>
      </w:r>
      <w:r w:rsidRPr="00A37E72">
        <w:t xml:space="preserve"> Q</w:t>
      </w:r>
      <w:r w:rsidR="00B16981">
        <w:t>3</w:t>
      </w:r>
      <w:r w:rsidRPr="00A37E72">
        <w:t xml:space="preserve"> 2011</w:t>
      </w:r>
      <w:r w:rsidR="002318E7" w:rsidRPr="00A37E72">
        <w:t>-2013</w:t>
      </w:r>
    </w:p>
    <w:p w:rsidR="00B16981" w:rsidRDefault="00B16981" w:rsidP="00B16981">
      <w:r>
        <w:rPr>
          <w:noProof/>
          <w:lang w:eastAsia="en-AU"/>
        </w:rPr>
        <w:drawing>
          <wp:inline distT="0" distB="0" distL="0" distR="0" wp14:anchorId="2E232563" wp14:editId="155E05FC">
            <wp:extent cx="5505450" cy="2962910"/>
            <wp:effectExtent l="0" t="0" r="0" b="0"/>
            <wp:docPr id="7" name="Picture 7" descr="This chart presents the number of government subsidised and TAFE fee for service course enrolments from 2008 to 2012, and in Q3 2011, Q3 2012 and Q3 2013. " title="Government subsidised and TAFE Fee for service course enrolments, 2008-2012 and Q3 201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962910"/>
                    </a:xfrm>
                    <a:prstGeom prst="rect">
                      <a:avLst/>
                    </a:prstGeom>
                    <a:noFill/>
                  </pic:spPr>
                </pic:pic>
              </a:graphicData>
            </a:graphic>
          </wp:inline>
        </w:drawing>
      </w:r>
    </w:p>
    <w:p w:rsidR="00B16981" w:rsidRPr="00B16981" w:rsidRDefault="00B16981" w:rsidP="00B16981"/>
    <w:p w:rsidR="007436A4" w:rsidRPr="000F39CF" w:rsidRDefault="007436A4" w:rsidP="007436A4">
      <w:pPr>
        <w:pStyle w:val="Heading3"/>
      </w:pPr>
      <w:r>
        <w:t xml:space="preserve">Learners facing barriers to participation </w:t>
      </w:r>
    </w:p>
    <w:p w:rsidR="009C7247" w:rsidRDefault="009C7247" w:rsidP="00B574F2">
      <w:pPr>
        <w:rPr>
          <w:rFonts w:cs="Arial"/>
          <w:szCs w:val="19"/>
        </w:rPr>
      </w:pPr>
      <w:r>
        <w:rPr>
          <w:rFonts w:cs="Arial"/>
        </w:rPr>
        <w:t xml:space="preserve">Certain </w:t>
      </w:r>
      <w:r w:rsidR="00E34620">
        <w:rPr>
          <w:rFonts w:cs="Arial"/>
        </w:rPr>
        <w:t xml:space="preserve">population </w:t>
      </w:r>
      <w:r>
        <w:rPr>
          <w:rFonts w:cs="Arial"/>
        </w:rPr>
        <w:t>groups face barriers to participat</w:t>
      </w:r>
      <w:r w:rsidR="00DF526A">
        <w:rPr>
          <w:rFonts w:cs="Arial"/>
        </w:rPr>
        <w:t>ion</w:t>
      </w:r>
      <w:r>
        <w:rPr>
          <w:rFonts w:cs="Arial"/>
        </w:rPr>
        <w:t xml:space="preserve"> in </w:t>
      </w:r>
      <w:r w:rsidR="00AF59CF">
        <w:rPr>
          <w:rFonts w:cs="Arial"/>
        </w:rPr>
        <w:t>education, training and the workforce.</w:t>
      </w:r>
      <w:r>
        <w:rPr>
          <w:rFonts w:cs="Arial"/>
        </w:rPr>
        <w:t xml:space="preserve"> </w:t>
      </w:r>
      <w:r w:rsidR="001A4590">
        <w:rPr>
          <w:rFonts w:cs="Arial"/>
        </w:rPr>
        <w:t>Education and training</w:t>
      </w:r>
      <w:r>
        <w:rPr>
          <w:rFonts w:cs="Arial"/>
        </w:rPr>
        <w:t xml:space="preserve"> can be a key mechanism to </w:t>
      </w:r>
      <w:r w:rsidR="001B3B1D">
        <w:rPr>
          <w:rFonts w:cs="Arial"/>
        </w:rPr>
        <w:t>improve</w:t>
      </w:r>
      <w:r>
        <w:rPr>
          <w:rFonts w:cs="Arial"/>
        </w:rPr>
        <w:t xml:space="preserve"> their employment and life opportunities. </w:t>
      </w:r>
      <w:r w:rsidR="007436A4" w:rsidRPr="009C7247">
        <w:rPr>
          <w:rFonts w:cs="Arial"/>
          <w:szCs w:val="19"/>
        </w:rPr>
        <w:t xml:space="preserve">There were approximately </w:t>
      </w:r>
      <w:r w:rsidR="00B16981">
        <w:rPr>
          <w:rFonts w:cs="Arial"/>
          <w:szCs w:val="19"/>
        </w:rPr>
        <w:t>107,8</w:t>
      </w:r>
      <w:r w:rsidR="007436A4" w:rsidRPr="009C7247">
        <w:rPr>
          <w:rFonts w:cs="Arial"/>
          <w:szCs w:val="19"/>
        </w:rPr>
        <w:t xml:space="preserve">00 unemployed students in </w:t>
      </w:r>
      <w:r w:rsidR="00B16981">
        <w:rPr>
          <w:rFonts w:cs="Arial"/>
          <w:szCs w:val="19"/>
        </w:rPr>
        <w:t>government subsidised training</w:t>
      </w:r>
      <w:r w:rsidR="007436A4" w:rsidRPr="009C7247">
        <w:rPr>
          <w:rFonts w:cs="Arial"/>
          <w:szCs w:val="19"/>
        </w:rPr>
        <w:t xml:space="preserve"> in Q</w:t>
      </w:r>
      <w:r w:rsidR="00B16981">
        <w:rPr>
          <w:rFonts w:cs="Arial"/>
          <w:szCs w:val="19"/>
        </w:rPr>
        <w:t>3</w:t>
      </w:r>
      <w:r w:rsidR="007436A4" w:rsidRPr="009C7247">
        <w:rPr>
          <w:rFonts w:cs="Arial"/>
          <w:szCs w:val="19"/>
        </w:rPr>
        <w:t xml:space="preserve"> 2013, this was up by </w:t>
      </w:r>
      <w:r w:rsidR="00581A9A">
        <w:rPr>
          <w:rFonts w:cs="Arial"/>
          <w:szCs w:val="19"/>
        </w:rPr>
        <w:t xml:space="preserve">48 per cent and </w:t>
      </w:r>
      <w:r w:rsidR="00B16981">
        <w:rPr>
          <w:rFonts w:cs="Arial"/>
          <w:szCs w:val="19"/>
        </w:rPr>
        <w:t>9</w:t>
      </w:r>
      <w:r w:rsidR="00581A9A">
        <w:rPr>
          <w:rFonts w:cs="Arial"/>
          <w:szCs w:val="19"/>
        </w:rPr>
        <w:t xml:space="preserve"> per cen</w:t>
      </w:r>
      <w:r w:rsidR="00E34620">
        <w:rPr>
          <w:rFonts w:cs="Arial"/>
          <w:szCs w:val="19"/>
        </w:rPr>
        <w:t xml:space="preserve">t compared to the </w:t>
      </w:r>
      <w:r w:rsidR="007436A4" w:rsidRPr="009C7247">
        <w:rPr>
          <w:rFonts w:cs="Arial"/>
          <w:szCs w:val="19"/>
        </w:rPr>
        <w:t xml:space="preserve">same period in </w:t>
      </w:r>
      <w:r w:rsidR="00581A9A">
        <w:rPr>
          <w:rFonts w:cs="Arial"/>
          <w:szCs w:val="19"/>
        </w:rPr>
        <w:t xml:space="preserve">2011 and </w:t>
      </w:r>
      <w:r w:rsidR="007436A4" w:rsidRPr="009C7247">
        <w:rPr>
          <w:rFonts w:cs="Arial"/>
          <w:szCs w:val="19"/>
        </w:rPr>
        <w:t>2012</w:t>
      </w:r>
      <w:r w:rsidR="00E34620">
        <w:rPr>
          <w:rFonts w:cs="Arial"/>
          <w:szCs w:val="19"/>
        </w:rPr>
        <w:t>, respectively</w:t>
      </w:r>
      <w:r w:rsidR="007436A4" w:rsidRPr="009C7247">
        <w:rPr>
          <w:rFonts w:cs="Arial"/>
          <w:szCs w:val="19"/>
        </w:rPr>
        <w:t xml:space="preserve">. </w:t>
      </w:r>
      <w:r w:rsidR="00B16981">
        <w:rPr>
          <w:rFonts w:cs="Arial"/>
          <w:szCs w:val="19"/>
        </w:rPr>
        <w:t xml:space="preserve">The number of Indigenous students enrolled in government subsidised training was 5,200 in Q3 2013, this was up by </w:t>
      </w:r>
      <w:r w:rsidR="00581A9A">
        <w:rPr>
          <w:rFonts w:cs="Arial"/>
          <w:szCs w:val="19"/>
        </w:rPr>
        <w:t xml:space="preserve">13 per cent compared to Q3 2011 and </w:t>
      </w:r>
      <w:r w:rsidR="00B16981">
        <w:rPr>
          <w:rFonts w:cs="Arial"/>
          <w:szCs w:val="19"/>
        </w:rPr>
        <w:t>1 per cent compared to Q3 2012.</w:t>
      </w:r>
    </w:p>
    <w:p w:rsidR="009C7247" w:rsidRDefault="009C7247" w:rsidP="00892373">
      <w:pPr>
        <w:pStyle w:val="Heading3"/>
      </w:pPr>
    </w:p>
    <w:p w:rsidR="001A4590" w:rsidRDefault="001A4590">
      <w:pPr>
        <w:spacing w:after="0" w:line="240" w:lineRule="auto"/>
        <w:jc w:val="left"/>
        <w:rPr>
          <w:rFonts w:cs="Arial"/>
          <w:b/>
          <w:bCs/>
          <w:color w:val="76923C" w:themeColor="accent3" w:themeShade="BF"/>
          <w:szCs w:val="19"/>
        </w:rPr>
      </w:pPr>
      <w:r>
        <w:br w:type="page"/>
      </w:r>
    </w:p>
    <w:p w:rsidR="00892373" w:rsidRPr="00A37E72" w:rsidRDefault="00892373" w:rsidP="00892373">
      <w:pPr>
        <w:pStyle w:val="Heading3"/>
      </w:pPr>
      <w:r w:rsidRPr="00A37E72">
        <w:lastRenderedPageBreak/>
        <w:t>Government Subsidised Training Delivery by Regional Area</w:t>
      </w:r>
    </w:p>
    <w:p w:rsidR="00892373" w:rsidRPr="00A37E72" w:rsidRDefault="00306BD0" w:rsidP="00892373">
      <w:pPr>
        <w:rPr>
          <w:rFonts w:cs="Arial"/>
        </w:rPr>
      </w:pPr>
      <w:r>
        <w:rPr>
          <w:rFonts w:cs="Arial"/>
        </w:rPr>
        <w:t>Delivery of g</w:t>
      </w:r>
      <w:r w:rsidR="00892373" w:rsidRPr="00A37E72">
        <w:rPr>
          <w:rFonts w:cs="Arial"/>
        </w:rPr>
        <w:t>overnment</w:t>
      </w:r>
      <w:r w:rsidR="001C5D5A">
        <w:rPr>
          <w:rFonts w:cs="Arial"/>
        </w:rPr>
        <w:t xml:space="preserve"> subsidised training in</w:t>
      </w:r>
      <w:r w:rsidR="00892373" w:rsidRPr="00A37E72">
        <w:rPr>
          <w:rFonts w:cs="Arial"/>
        </w:rPr>
        <w:t xml:space="preserve"> each </w:t>
      </w:r>
      <w:r w:rsidR="001C5D5A">
        <w:rPr>
          <w:rFonts w:cs="Arial"/>
        </w:rPr>
        <w:t xml:space="preserve">of the department’s four </w:t>
      </w:r>
      <w:r w:rsidR="00892373" w:rsidRPr="00A37E72">
        <w:rPr>
          <w:rFonts w:cs="Arial"/>
        </w:rPr>
        <w:t>region</w:t>
      </w:r>
      <w:r w:rsidR="001C5D5A">
        <w:rPr>
          <w:rFonts w:cs="Arial"/>
        </w:rPr>
        <w:t>s</w:t>
      </w:r>
      <w:r w:rsidR="00892373" w:rsidRPr="00A37E72">
        <w:rPr>
          <w:rFonts w:cs="Arial"/>
        </w:rPr>
        <w:t xml:space="preserve"> follows the state-wide trend that enrolments were lower in Q</w:t>
      </w:r>
      <w:r w:rsidR="00EA5101">
        <w:rPr>
          <w:rFonts w:cs="Arial"/>
        </w:rPr>
        <w:t>3</w:t>
      </w:r>
      <w:r w:rsidR="00892373" w:rsidRPr="00A37E72">
        <w:rPr>
          <w:rFonts w:cs="Arial"/>
        </w:rPr>
        <w:t xml:space="preserve"> 2013 compared to Q</w:t>
      </w:r>
      <w:r w:rsidR="00EA5101">
        <w:rPr>
          <w:rFonts w:cs="Arial"/>
        </w:rPr>
        <w:t>3</w:t>
      </w:r>
      <w:r w:rsidR="00892373" w:rsidRPr="00A37E72">
        <w:rPr>
          <w:rFonts w:cs="Arial"/>
        </w:rPr>
        <w:t xml:space="preserve"> 2012, but higher than Q</w:t>
      </w:r>
      <w:r w:rsidR="00EA5101">
        <w:rPr>
          <w:rFonts w:cs="Arial"/>
        </w:rPr>
        <w:t>3</w:t>
      </w:r>
      <w:r w:rsidR="00892373" w:rsidRPr="00A37E72">
        <w:rPr>
          <w:rFonts w:cs="Arial"/>
        </w:rPr>
        <w:t xml:space="preserve"> </w:t>
      </w:r>
      <w:r w:rsidR="00892373" w:rsidRPr="00EC42C1">
        <w:rPr>
          <w:rFonts w:cs="Arial"/>
        </w:rPr>
        <w:t>2011</w:t>
      </w:r>
      <w:r w:rsidR="000F764C" w:rsidRPr="00EC42C1">
        <w:rPr>
          <w:rFonts w:cs="Arial"/>
        </w:rPr>
        <w:t xml:space="preserve">, except for the North </w:t>
      </w:r>
      <w:r w:rsidR="00E62C12" w:rsidRPr="00EC42C1">
        <w:rPr>
          <w:rFonts w:cs="Arial"/>
        </w:rPr>
        <w:t>Eastern Region</w:t>
      </w:r>
      <w:r w:rsidR="000F764C" w:rsidRPr="00EC42C1">
        <w:rPr>
          <w:rFonts w:cs="Arial"/>
        </w:rPr>
        <w:t xml:space="preserve"> where government subsidised enrolments in Q3 2013 were higher than in Q3 2012</w:t>
      </w:r>
      <w:r w:rsidR="00892373" w:rsidRPr="00EC42C1">
        <w:rPr>
          <w:rFonts w:cs="Arial"/>
        </w:rPr>
        <w:t xml:space="preserve">. When enrolment data </w:t>
      </w:r>
      <w:r w:rsidR="00DF526A">
        <w:rPr>
          <w:rFonts w:cs="Arial"/>
        </w:rPr>
        <w:t xml:space="preserve">is </w:t>
      </w:r>
      <w:r w:rsidR="00892373" w:rsidRPr="00EC42C1">
        <w:rPr>
          <w:rFonts w:cs="Arial"/>
        </w:rPr>
        <w:t xml:space="preserve">further disaggregated into nine regional areas, the results show </w:t>
      </w:r>
      <w:r w:rsidR="00A650B5" w:rsidRPr="00EC42C1">
        <w:rPr>
          <w:rFonts w:cs="Arial"/>
        </w:rPr>
        <w:t xml:space="preserve">a </w:t>
      </w:r>
      <w:r w:rsidR="00DF526A">
        <w:rPr>
          <w:rFonts w:cs="Arial"/>
        </w:rPr>
        <w:t>more varied picture</w:t>
      </w:r>
      <w:r w:rsidR="00372EA7">
        <w:rPr>
          <w:rFonts w:cs="Arial"/>
        </w:rPr>
        <w:t>. Of particular note:</w:t>
      </w:r>
    </w:p>
    <w:p w:rsidR="00892373" w:rsidRPr="000F39CF" w:rsidRDefault="00892373" w:rsidP="00AB2D09">
      <w:pPr>
        <w:pStyle w:val="ListParagraph"/>
        <w:numPr>
          <w:ilvl w:val="0"/>
          <w:numId w:val="26"/>
        </w:numPr>
        <w:spacing w:after="120"/>
        <w:ind w:left="714" w:hanging="357"/>
        <w:rPr>
          <w:rFonts w:ascii="Arial" w:hAnsi="Arial" w:cs="Arial"/>
          <w:sz w:val="19"/>
          <w:szCs w:val="19"/>
        </w:rPr>
      </w:pPr>
      <w:r w:rsidRPr="000F39CF">
        <w:rPr>
          <w:rFonts w:ascii="Arial" w:hAnsi="Arial" w:cs="Arial"/>
          <w:sz w:val="19"/>
          <w:szCs w:val="19"/>
        </w:rPr>
        <w:t>Hume regional area: government subsidised enrolments in Q</w:t>
      </w:r>
      <w:r w:rsidR="00EA5101">
        <w:rPr>
          <w:rFonts w:ascii="Arial" w:hAnsi="Arial" w:cs="Arial"/>
          <w:sz w:val="19"/>
          <w:szCs w:val="19"/>
        </w:rPr>
        <w:t>3</w:t>
      </w:r>
      <w:r w:rsidRPr="000F39CF">
        <w:rPr>
          <w:rFonts w:ascii="Arial" w:hAnsi="Arial" w:cs="Arial"/>
          <w:sz w:val="19"/>
          <w:szCs w:val="19"/>
        </w:rPr>
        <w:t xml:space="preserve"> 2013 were higher than the corresponding figures over the same period in 2011 and 2012</w:t>
      </w:r>
      <w:r w:rsidR="00372EA7">
        <w:rPr>
          <w:rFonts w:ascii="Arial" w:hAnsi="Arial" w:cs="Arial"/>
          <w:sz w:val="19"/>
          <w:szCs w:val="19"/>
        </w:rPr>
        <w:t>. This was the only regional area with this pattern of enrolments</w:t>
      </w:r>
      <w:r w:rsidRPr="000F39CF">
        <w:rPr>
          <w:rFonts w:ascii="Arial" w:hAnsi="Arial" w:cs="Arial"/>
          <w:sz w:val="19"/>
          <w:szCs w:val="19"/>
        </w:rPr>
        <w:t xml:space="preserve">. </w:t>
      </w:r>
    </w:p>
    <w:p w:rsidR="00892373" w:rsidRPr="000F39CF" w:rsidRDefault="00892373" w:rsidP="00AB2D09">
      <w:pPr>
        <w:pStyle w:val="ListParagraph"/>
        <w:numPr>
          <w:ilvl w:val="0"/>
          <w:numId w:val="26"/>
        </w:numPr>
        <w:spacing w:after="120"/>
        <w:ind w:left="714" w:hanging="357"/>
        <w:rPr>
          <w:rFonts w:ascii="Arial" w:hAnsi="Arial" w:cs="Arial"/>
          <w:sz w:val="19"/>
          <w:szCs w:val="19"/>
        </w:rPr>
      </w:pPr>
      <w:r w:rsidRPr="000F39CF">
        <w:rPr>
          <w:rFonts w:ascii="Arial" w:hAnsi="Arial" w:cs="Arial"/>
          <w:sz w:val="19"/>
          <w:szCs w:val="19"/>
        </w:rPr>
        <w:t>Eastern metropolitan</w:t>
      </w:r>
      <w:r w:rsidR="00EA5101">
        <w:rPr>
          <w:rFonts w:ascii="Arial" w:hAnsi="Arial" w:cs="Arial"/>
          <w:sz w:val="19"/>
          <w:szCs w:val="19"/>
        </w:rPr>
        <w:t xml:space="preserve">, </w:t>
      </w:r>
      <w:r w:rsidRPr="000F39CF">
        <w:rPr>
          <w:rFonts w:ascii="Arial" w:hAnsi="Arial" w:cs="Arial"/>
          <w:sz w:val="19"/>
          <w:szCs w:val="19"/>
        </w:rPr>
        <w:t xml:space="preserve">Gippsland </w:t>
      </w:r>
      <w:r w:rsidR="00EA5101">
        <w:rPr>
          <w:rFonts w:ascii="Arial" w:hAnsi="Arial" w:cs="Arial"/>
          <w:sz w:val="19"/>
          <w:szCs w:val="19"/>
        </w:rPr>
        <w:t xml:space="preserve">and Barwon South West </w:t>
      </w:r>
      <w:r w:rsidRPr="000F39CF">
        <w:rPr>
          <w:rFonts w:ascii="Arial" w:hAnsi="Arial" w:cs="Arial"/>
          <w:sz w:val="19"/>
          <w:szCs w:val="19"/>
        </w:rPr>
        <w:t>regional area</w:t>
      </w:r>
      <w:r>
        <w:rPr>
          <w:rFonts w:ascii="Arial" w:hAnsi="Arial" w:cs="Arial"/>
          <w:sz w:val="19"/>
          <w:szCs w:val="19"/>
        </w:rPr>
        <w:t>s</w:t>
      </w:r>
      <w:r w:rsidRPr="000F39CF">
        <w:rPr>
          <w:rFonts w:ascii="Arial" w:hAnsi="Arial" w:cs="Arial"/>
          <w:sz w:val="19"/>
          <w:szCs w:val="19"/>
        </w:rPr>
        <w:t>: government subsidised enrolments in Q</w:t>
      </w:r>
      <w:r w:rsidR="00EA5101">
        <w:rPr>
          <w:rFonts w:ascii="Arial" w:hAnsi="Arial" w:cs="Arial"/>
          <w:sz w:val="19"/>
          <w:szCs w:val="19"/>
        </w:rPr>
        <w:t>3</w:t>
      </w:r>
      <w:r w:rsidRPr="000F39CF">
        <w:rPr>
          <w:rFonts w:ascii="Arial" w:hAnsi="Arial" w:cs="Arial"/>
          <w:sz w:val="19"/>
          <w:szCs w:val="19"/>
        </w:rPr>
        <w:t xml:space="preserve"> 2013 were lower than the corresponding figures in Q</w:t>
      </w:r>
      <w:r w:rsidR="00EA5101">
        <w:rPr>
          <w:rFonts w:ascii="Arial" w:hAnsi="Arial" w:cs="Arial"/>
          <w:sz w:val="19"/>
          <w:szCs w:val="19"/>
        </w:rPr>
        <w:t>3</w:t>
      </w:r>
      <w:r w:rsidRPr="000F39CF">
        <w:rPr>
          <w:rFonts w:ascii="Arial" w:hAnsi="Arial" w:cs="Arial"/>
          <w:sz w:val="19"/>
          <w:szCs w:val="19"/>
        </w:rPr>
        <w:t xml:space="preserve"> 2011 and Q</w:t>
      </w:r>
      <w:r w:rsidR="00EA5101">
        <w:rPr>
          <w:rFonts w:ascii="Arial" w:hAnsi="Arial" w:cs="Arial"/>
          <w:sz w:val="19"/>
          <w:szCs w:val="19"/>
        </w:rPr>
        <w:t>3</w:t>
      </w:r>
      <w:r w:rsidRPr="000F39CF">
        <w:rPr>
          <w:rFonts w:ascii="Arial" w:hAnsi="Arial" w:cs="Arial"/>
          <w:sz w:val="19"/>
          <w:szCs w:val="19"/>
        </w:rPr>
        <w:t xml:space="preserve"> 2012.</w:t>
      </w:r>
    </w:p>
    <w:p w:rsidR="00892373" w:rsidRDefault="00892373" w:rsidP="00892373">
      <w:pPr>
        <w:pStyle w:val="Caption"/>
      </w:pPr>
      <w:r w:rsidRPr="00A83459">
        <w:t>Government subsidised enrolments by regional area, Q</w:t>
      </w:r>
      <w:r w:rsidR="00EA5101">
        <w:t>3</w:t>
      </w:r>
      <w:r>
        <w:t xml:space="preserve"> 2011-</w:t>
      </w:r>
      <w:r w:rsidRPr="00A83459">
        <w:t xml:space="preserve"> 2013</w:t>
      </w:r>
    </w:p>
    <w:p w:rsidR="00892373" w:rsidRPr="00892373" w:rsidRDefault="00B16981" w:rsidP="00892373">
      <w:pPr>
        <w:rPr>
          <w:rFonts w:cs="Arial"/>
          <w:b/>
          <w:color w:val="76923C" w:themeColor="accent3" w:themeShade="BF"/>
          <w:sz w:val="16"/>
        </w:rPr>
      </w:pPr>
      <w:r>
        <w:rPr>
          <w:rFonts w:cs="Arial"/>
          <w:b/>
          <w:noProof/>
          <w:color w:val="76923C" w:themeColor="accent3" w:themeShade="BF"/>
          <w:sz w:val="16"/>
          <w:lang w:eastAsia="en-AU"/>
        </w:rPr>
        <w:drawing>
          <wp:inline distT="0" distB="0" distL="0" distR="0" wp14:anchorId="53183ECE" wp14:editId="642E4FC2">
            <wp:extent cx="5547600" cy="3002400"/>
            <wp:effectExtent l="0" t="0" r="0" b="0"/>
            <wp:docPr id="16" name="Picture 16" descr="This chart presents the number of government subsidised course delivery in each of the nine regional areas in Q3 2011, Q3 2012 and Q3 2013." title="Government subsidised enrolments by regional area, Q3 2011-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600" cy="3002400"/>
                    </a:xfrm>
                    <a:prstGeom prst="rect">
                      <a:avLst/>
                    </a:prstGeom>
                    <a:noFill/>
                  </pic:spPr>
                </pic:pic>
              </a:graphicData>
            </a:graphic>
          </wp:inline>
        </w:drawing>
      </w:r>
    </w:p>
    <w:p w:rsidR="00A47AB4" w:rsidRDefault="00A47AB4">
      <w:pPr>
        <w:spacing w:after="0" w:line="240" w:lineRule="auto"/>
        <w:jc w:val="left"/>
        <w:rPr>
          <w:rFonts w:cs="Arial"/>
          <w:b/>
          <w:bCs/>
          <w:color w:val="76923C" w:themeColor="accent3" w:themeShade="BF"/>
          <w:szCs w:val="19"/>
        </w:rPr>
      </w:pPr>
      <w:r>
        <w:br w:type="page"/>
      </w:r>
    </w:p>
    <w:p w:rsidR="004978BF" w:rsidRPr="00A37E72" w:rsidRDefault="004978BF" w:rsidP="004978BF">
      <w:pPr>
        <w:pStyle w:val="Heading3"/>
      </w:pPr>
      <w:r>
        <w:lastRenderedPageBreak/>
        <w:t>Participation in G</w:t>
      </w:r>
      <w:r w:rsidRPr="00A37E72">
        <w:t xml:space="preserve">overnment </w:t>
      </w:r>
      <w:r>
        <w:t>Subsidised T</w:t>
      </w:r>
      <w:r w:rsidRPr="00A37E72">
        <w:t>raining by Regional Area</w:t>
      </w:r>
    </w:p>
    <w:p w:rsidR="004978BF" w:rsidRDefault="004978BF" w:rsidP="00AB5C86">
      <w:pPr>
        <w:rPr>
          <w:rFonts w:cs="Arial"/>
        </w:rPr>
      </w:pPr>
      <w:r>
        <w:rPr>
          <w:rFonts w:cs="Arial"/>
        </w:rPr>
        <w:t>When reporting government subsidised students by</w:t>
      </w:r>
      <w:r w:rsidR="003E180C">
        <w:rPr>
          <w:rFonts w:cs="Arial"/>
        </w:rPr>
        <w:t xml:space="preserve"> the</w:t>
      </w:r>
      <w:r>
        <w:rPr>
          <w:rFonts w:cs="Arial"/>
        </w:rPr>
        <w:t xml:space="preserve"> area where they live</w:t>
      </w:r>
      <w:r w:rsidR="00372EA7">
        <w:rPr>
          <w:rFonts w:cs="Arial"/>
        </w:rPr>
        <w:t xml:space="preserve"> as opposed to the area they undertake the training was delivered as shown above</w:t>
      </w:r>
      <w:r>
        <w:rPr>
          <w:rFonts w:cs="Arial"/>
        </w:rPr>
        <w:t xml:space="preserve">, </w:t>
      </w:r>
      <w:r w:rsidR="00320016">
        <w:rPr>
          <w:rFonts w:cs="Arial"/>
        </w:rPr>
        <w:t xml:space="preserve">student </w:t>
      </w:r>
      <w:r>
        <w:rPr>
          <w:rFonts w:cs="Arial"/>
        </w:rPr>
        <w:t>number</w:t>
      </w:r>
      <w:r w:rsidR="00320016">
        <w:rPr>
          <w:rFonts w:cs="Arial"/>
        </w:rPr>
        <w:t>s</w:t>
      </w:r>
      <w:r>
        <w:rPr>
          <w:rFonts w:cs="Arial"/>
        </w:rPr>
        <w:t xml:space="preserve"> in eac</w:t>
      </w:r>
      <w:r w:rsidRPr="00A37E72">
        <w:rPr>
          <w:rFonts w:cs="Arial"/>
        </w:rPr>
        <w:t xml:space="preserve">h </w:t>
      </w:r>
      <w:r>
        <w:rPr>
          <w:rFonts w:cs="Arial"/>
        </w:rPr>
        <w:t xml:space="preserve">of the four department’s </w:t>
      </w:r>
      <w:r w:rsidRPr="00A37E72">
        <w:rPr>
          <w:rFonts w:cs="Arial"/>
        </w:rPr>
        <w:t>region</w:t>
      </w:r>
      <w:r>
        <w:rPr>
          <w:rFonts w:cs="Arial"/>
        </w:rPr>
        <w:t>s</w:t>
      </w:r>
      <w:r w:rsidRPr="00A37E72">
        <w:rPr>
          <w:rFonts w:cs="Arial"/>
        </w:rPr>
        <w:t xml:space="preserve"> follow the state-wide trend</w:t>
      </w:r>
      <w:r>
        <w:rPr>
          <w:rFonts w:cs="Arial"/>
        </w:rPr>
        <w:t xml:space="preserve">, i.e. student numbers </w:t>
      </w:r>
      <w:r w:rsidRPr="00A37E72">
        <w:rPr>
          <w:rFonts w:cs="Arial"/>
        </w:rPr>
        <w:t>were lower in Q</w:t>
      </w:r>
      <w:r>
        <w:rPr>
          <w:rFonts w:cs="Arial"/>
        </w:rPr>
        <w:t>3</w:t>
      </w:r>
      <w:r w:rsidRPr="00A37E72">
        <w:rPr>
          <w:rFonts w:cs="Arial"/>
        </w:rPr>
        <w:t xml:space="preserve"> 2013 compared to Q</w:t>
      </w:r>
      <w:r>
        <w:rPr>
          <w:rFonts w:cs="Arial"/>
        </w:rPr>
        <w:t>3</w:t>
      </w:r>
      <w:r w:rsidRPr="00A37E72">
        <w:rPr>
          <w:rFonts w:cs="Arial"/>
        </w:rPr>
        <w:t xml:space="preserve"> 2012, but higher than Q</w:t>
      </w:r>
      <w:r>
        <w:rPr>
          <w:rFonts w:cs="Arial"/>
        </w:rPr>
        <w:t>3</w:t>
      </w:r>
      <w:r w:rsidR="00372EA7">
        <w:rPr>
          <w:rFonts w:cs="Arial"/>
        </w:rPr>
        <w:t xml:space="preserve"> 2011. But w</w:t>
      </w:r>
      <w:r w:rsidRPr="00A37E72">
        <w:rPr>
          <w:rFonts w:cs="Arial"/>
        </w:rPr>
        <w:t xml:space="preserve">hen </w:t>
      </w:r>
      <w:r w:rsidR="00AB5C86">
        <w:rPr>
          <w:rFonts w:cs="Arial"/>
        </w:rPr>
        <w:t>student</w:t>
      </w:r>
      <w:r w:rsidR="00306BD0">
        <w:rPr>
          <w:rFonts w:cs="Arial"/>
        </w:rPr>
        <w:t xml:space="preserve"> numbers </w:t>
      </w:r>
      <w:r w:rsidR="003E180C">
        <w:rPr>
          <w:rFonts w:cs="Arial"/>
        </w:rPr>
        <w:t xml:space="preserve">are </w:t>
      </w:r>
      <w:r w:rsidRPr="00A37E72">
        <w:rPr>
          <w:rFonts w:cs="Arial"/>
        </w:rPr>
        <w:t xml:space="preserve">disaggregated into nine regional areas, the results show </w:t>
      </w:r>
      <w:r w:rsidR="00AB5C86">
        <w:rPr>
          <w:rFonts w:cs="Arial"/>
        </w:rPr>
        <w:t>that Gippsland is the only regional area with student numbers in Q3 2013 lower than Q3 2011.</w:t>
      </w:r>
    </w:p>
    <w:p w:rsidR="001B3B1D" w:rsidRDefault="001B3B1D" w:rsidP="00AB5C86">
      <w:pPr>
        <w:rPr>
          <w:rFonts w:cs="Arial"/>
        </w:rPr>
      </w:pPr>
      <w:r>
        <w:rPr>
          <w:rFonts w:cs="Arial"/>
        </w:rPr>
        <w:t xml:space="preserve">This data shows that while the Eastern metropolitan and Barwon south western areas had lower levels of training activity by </w:t>
      </w:r>
      <w:r w:rsidR="00736BBD">
        <w:rPr>
          <w:rFonts w:cs="Arial"/>
        </w:rPr>
        <w:t xml:space="preserve">the </w:t>
      </w:r>
      <w:r>
        <w:rPr>
          <w:rFonts w:cs="Arial"/>
        </w:rPr>
        <w:t>delivery location, the number of local residents who accessed government subsidised training actually increased</w:t>
      </w:r>
      <w:r w:rsidR="003E180C">
        <w:rPr>
          <w:rFonts w:cs="Arial"/>
        </w:rPr>
        <w:t xml:space="preserve"> between Q3 201</w:t>
      </w:r>
      <w:r w:rsidR="00EC42C1">
        <w:rPr>
          <w:rFonts w:cs="Arial"/>
        </w:rPr>
        <w:t>1</w:t>
      </w:r>
      <w:r w:rsidR="003E180C">
        <w:rPr>
          <w:rFonts w:cs="Arial"/>
        </w:rPr>
        <w:t xml:space="preserve"> </w:t>
      </w:r>
      <w:r w:rsidR="00937142">
        <w:rPr>
          <w:rFonts w:cs="Arial"/>
        </w:rPr>
        <w:t>and</w:t>
      </w:r>
      <w:r w:rsidR="003E180C">
        <w:rPr>
          <w:rFonts w:cs="Arial"/>
        </w:rPr>
        <w:t xml:space="preserve"> Q3 201</w:t>
      </w:r>
      <w:r w:rsidR="00EC42C1">
        <w:rPr>
          <w:rFonts w:cs="Arial"/>
        </w:rPr>
        <w:t>3</w:t>
      </w:r>
      <w:r w:rsidR="00736BBD">
        <w:rPr>
          <w:rFonts w:cs="Arial"/>
        </w:rPr>
        <w:t xml:space="preserve"> in these areas</w:t>
      </w:r>
      <w:r>
        <w:rPr>
          <w:rFonts w:cs="Arial"/>
        </w:rPr>
        <w:t>.</w:t>
      </w:r>
    </w:p>
    <w:p w:rsidR="00A47AB4" w:rsidRDefault="00E32331" w:rsidP="00A47AB4">
      <w:pPr>
        <w:pStyle w:val="Caption"/>
      </w:pPr>
      <w:r>
        <w:t>Students undertaking government subsidised training by regional area of residence of student</w:t>
      </w:r>
      <w:r w:rsidR="00A47AB4" w:rsidRPr="00A83459">
        <w:t>, Q</w:t>
      </w:r>
      <w:r w:rsidR="00A47AB4">
        <w:t>3 2011-</w:t>
      </w:r>
      <w:r w:rsidR="00A47AB4" w:rsidRPr="00A83459">
        <w:t xml:space="preserve"> 2013</w:t>
      </w:r>
    </w:p>
    <w:p w:rsidR="00A47AB4" w:rsidRDefault="005C0406">
      <w:pPr>
        <w:spacing w:after="0" w:line="240" w:lineRule="auto"/>
        <w:jc w:val="left"/>
        <w:rPr>
          <w:rFonts w:cs="Arial"/>
        </w:rPr>
      </w:pPr>
      <w:r>
        <w:rPr>
          <w:rFonts w:cs="Arial"/>
          <w:noProof/>
          <w:lang w:eastAsia="en-AU"/>
        </w:rPr>
        <w:drawing>
          <wp:inline distT="0" distB="0" distL="0" distR="0" wp14:anchorId="5FB6A708" wp14:editId="7D32CAC6">
            <wp:extent cx="5547600" cy="2952000"/>
            <wp:effectExtent l="0" t="0" r="0" b="0"/>
            <wp:docPr id="6" name="Picture 6" descr="This chart describes the number of students who undertook government subsidised training by area where they live in Q3 2011, Q3 2012 and Q3 2013. Area is defined by none regional areas. " title="Students undertaking government subsidised training by regional area of residence of student, Q3 2011-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600" cy="2952000"/>
                    </a:xfrm>
                    <a:prstGeom prst="rect">
                      <a:avLst/>
                    </a:prstGeom>
                    <a:noFill/>
                  </pic:spPr>
                </pic:pic>
              </a:graphicData>
            </a:graphic>
          </wp:inline>
        </w:drawing>
      </w:r>
    </w:p>
    <w:p w:rsidR="001B3B1D" w:rsidRDefault="001B3B1D">
      <w:pPr>
        <w:spacing w:after="0" w:line="240" w:lineRule="auto"/>
        <w:jc w:val="left"/>
        <w:rPr>
          <w:rFonts w:cs="Arial"/>
        </w:rPr>
      </w:pPr>
    </w:p>
    <w:p w:rsidR="00AB5C86" w:rsidRDefault="00320016" w:rsidP="00AB5C86">
      <w:pPr>
        <w:rPr>
          <w:rFonts w:cs="Arial"/>
        </w:rPr>
      </w:pPr>
      <w:r>
        <w:rPr>
          <w:rFonts w:cs="Arial"/>
        </w:rPr>
        <w:t xml:space="preserve">The estimated </w:t>
      </w:r>
      <w:r w:rsidR="00AB5C86">
        <w:rPr>
          <w:rFonts w:cs="Arial"/>
        </w:rPr>
        <w:t>participation rate</w:t>
      </w:r>
      <w:r w:rsidR="00B465B1">
        <w:rPr>
          <w:rStyle w:val="FootnoteReference"/>
        </w:rPr>
        <w:footnoteReference w:id="2"/>
      </w:r>
      <w:r w:rsidR="00AB5C86">
        <w:rPr>
          <w:rFonts w:cs="Arial"/>
        </w:rPr>
        <w:t xml:space="preserve"> of </w:t>
      </w:r>
      <w:r>
        <w:rPr>
          <w:rFonts w:cs="Arial"/>
        </w:rPr>
        <w:t xml:space="preserve">students aged 15-64 in government subsidised training shows that in Q3 2013, </w:t>
      </w:r>
      <w:r w:rsidR="00470E76">
        <w:rPr>
          <w:rFonts w:cs="Arial"/>
        </w:rPr>
        <w:t xml:space="preserve">the </w:t>
      </w:r>
      <w:r>
        <w:rPr>
          <w:rFonts w:cs="Arial"/>
        </w:rPr>
        <w:t>Hume regional area had the highest participation rate, followed by Barwon South West</w:t>
      </w:r>
      <w:r w:rsidR="003E3882">
        <w:rPr>
          <w:rFonts w:cs="Arial"/>
        </w:rPr>
        <w:t>. The lowest participation rate in government subsidised training was in the Eastern Metropolitan regional area.</w:t>
      </w:r>
      <w:r w:rsidR="0021038E">
        <w:rPr>
          <w:rFonts w:cs="Arial"/>
        </w:rPr>
        <w:t xml:space="preserve"> </w:t>
      </w:r>
    </w:p>
    <w:p w:rsidR="00320016" w:rsidRPr="000F39CF" w:rsidRDefault="00320016" w:rsidP="00AB5C86">
      <w:pPr>
        <w:rPr>
          <w:rFonts w:cs="Arial"/>
          <w:szCs w:val="19"/>
        </w:rPr>
      </w:pPr>
    </w:p>
    <w:p w:rsidR="004978BF" w:rsidRDefault="00320016" w:rsidP="004978BF">
      <w:pPr>
        <w:pStyle w:val="Caption"/>
      </w:pPr>
      <w:r>
        <w:t>Estimated participation rate</w:t>
      </w:r>
      <w:r w:rsidR="003E180C" w:rsidRPr="003E180C">
        <w:rPr>
          <w:vertAlign w:val="superscript"/>
        </w:rPr>
        <w:t>2</w:t>
      </w:r>
      <w:r>
        <w:t xml:space="preserve"> of students aged 15-64 in g</w:t>
      </w:r>
      <w:r w:rsidR="004978BF" w:rsidRPr="00A83459">
        <w:t xml:space="preserve">overnment subsidised </w:t>
      </w:r>
      <w:r>
        <w:t>training</w:t>
      </w:r>
      <w:r w:rsidR="004978BF" w:rsidRPr="00A83459">
        <w:t xml:space="preserve"> by regional area, Q</w:t>
      </w:r>
      <w:r w:rsidR="004978BF">
        <w:t xml:space="preserve">3 </w:t>
      </w:r>
      <w:r w:rsidR="004978BF" w:rsidRPr="00A83459">
        <w:t>2013</w:t>
      </w:r>
    </w:p>
    <w:p w:rsidR="00320016" w:rsidRDefault="00320016" w:rsidP="00320016">
      <w:r>
        <w:rPr>
          <w:noProof/>
          <w:lang w:eastAsia="en-AU"/>
        </w:rPr>
        <w:drawing>
          <wp:inline distT="0" distB="0" distL="0" distR="0" wp14:anchorId="209A0B36" wp14:editId="50ACE511">
            <wp:extent cx="5554800" cy="2462400"/>
            <wp:effectExtent l="0" t="0" r="8255" b="0"/>
            <wp:docPr id="231" name="Picture 231" descr="This chart presents the particiaption rate of students aged 15-64 in government subsidised training by nine regional area in Q3 2013." title="Estimated participation rate2 of students aged 15-64 in government subsidised training by regional area,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4800" cy="2462400"/>
                    </a:xfrm>
                    <a:prstGeom prst="rect">
                      <a:avLst/>
                    </a:prstGeom>
                    <a:noFill/>
                  </pic:spPr>
                </pic:pic>
              </a:graphicData>
            </a:graphic>
          </wp:inline>
        </w:drawing>
      </w:r>
    </w:p>
    <w:p w:rsidR="00320016" w:rsidRPr="00320016" w:rsidRDefault="00320016" w:rsidP="00320016"/>
    <w:p w:rsidR="00EC0DB9" w:rsidRPr="00EC0DB9" w:rsidRDefault="004C7A16" w:rsidP="00F90D71">
      <w:pPr>
        <w:rPr>
          <w:rFonts w:cs="Arial"/>
          <w:b/>
          <w:bCs/>
          <w:color w:val="76923C" w:themeColor="accent3" w:themeShade="BF"/>
          <w:szCs w:val="19"/>
        </w:rPr>
      </w:pPr>
      <w:r>
        <w:rPr>
          <w:rFonts w:cs="Arial"/>
          <w:b/>
          <w:bCs/>
          <w:color w:val="76923C" w:themeColor="accent3" w:themeShade="BF"/>
          <w:szCs w:val="19"/>
        </w:rPr>
        <w:lastRenderedPageBreak/>
        <w:t xml:space="preserve">Alignment of </w:t>
      </w:r>
      <w:r w:rsidR="00372EA7">
        <w:rPr>
          <w:rFonts w:cs="Arial"/>
          <w:b/>
          <w:bCs/>
          <w:color w:val="76923C" w:themeColor="accent3" w:themeShade="BF"/>
          <w:szCs w:val="19"/>
        </w:rPr>
        <w:t>Government I</w:t>
      </w:r>
      <w:r w:rsidR="0033099B">
        <w:rPr>
          <w:rFonts w:cs="Arial"/>
          <w:b/>
          <w:bCs/>
          <w:color w:val="76923C" w:themeColor="accent3" w:themeShade="BF"/>
          <w:szCs w:val="19"/>
        </w:rPr>
        <w:t xml:space="preserve">nvestment </w:t>
      </w:r>
      <w:r w:rsidR="00AF59CF">
        <w:rPr>
          <w:rFonts w:cs="Arial"/>
          <w:b/>
          <w:bCs/>
          <w:color w:val="76923C" w:themeColor="accent3" w:themeShade="BF"/>
          <w:szCs w:val="19"/>
        </w:rPr>
        <w:t>in</w:t>
      </w:r>
      <w:r w:rsidR="00892373" w:rsidRPr="00892373">
        <w:rPr>
          <w:rFonts w:cs="Arial"/>
          <w:b/>
          <w:bCs/>
          <w:color w:val="76923C" w:themeColor="accent3" w:themeShade="BF"/>
          <w:szCs w:val="19"/>
        </w:rPr>
        <w:t xml:space="preserve"> Training to</w:t>
      </w:r>
      <w:r w:rsidR="00783017">
        <w:rPr>
          <w:rFonts w:cs="Arial"/>
          <w:b/>
          <w:bCs/>
          <w:color w:val="76923C" w:themeColor="accent3" w:themeShade="BF"/>
          <w:szCs w:val="19"/>
        </w:rPr>
        <w:t xml:space="preserve"> </w:t>
      </w:r>
      <w:r w:rsidR="00892373" w:rsidRPr="00892373">
        <w:rPr>
          <w:rFonts w:cs="Arial"/>
          <w:b/>
          <w:bCs/>
          <w:color w:val="76923C" w:themeColor="accent3" w:themeShade="BF"/>
          <w:szCs w:val="19"/>
        </w:rPr>
        <w:t xml:space="preserve">Industry Skills Needs </w:t>
      </w:r>
    </w:p>
    <w:p w:rsidR="009B51C6" w:rsidRDefault="009B51C6" w:rsidP="009B51C6">
      <w:pPr>
        <w:rPr>
          <w:rFonts w:cs="Arial"/>
        </w:rPr>
      </w:pPr>
      <w:r w:rsidRPr="009554C8">
        <w:rPr>
          <w:rFonts w:cs="Arial"/>
        </w:rPr>
        <w:t xml:space="preserve">Under </w:t>
      </w:r>
      <w:r w:rsidRPr="00D06F82">
        <w:rPr>
          <w:rFonts w:cs="Arial"/>
          <w:i/>
        </w:rPr>
        <w:t>RVT</w:t>
      </w:r>
      <w:r>
        <w:rPr>
          <w:rFonts w:cs="Arial"/>
        </w:rPr>
        <w:t xml:space="preserve"> </w:t>
      </w:r>
      <w:r w:rsidR="003E180C">
        <w:rPr>
          <w:rFonts w:cs="Arial"/>
        </w:rPr>
        <w:t xml:space="preserve">the Government </w:t>
      </w:r>
      <w:r>
        <w:rPr>
          <w:rFonts w:cs="Arial"/>
        </w:rPr>
        <w:t xml:space="preserve">subsidises for training have been set to strengthen </w:t>
      </w:r>
      <w:r w:rsidR="003E180C">
        <w:rPr>
          <w:rFonts w:cs="Arial"/>
        </w:rPr>
        <w:t>public</w:t>
      </w:r>
      <w:r>
        <w:rPr>
          <w:rFonts w:cs="Arial"/>
        </w:rPr>
        <w:t xml:space="preserve"> investment in training in specialised skills, training to address skills in shortage and training related to areas of employment opportunity</w:t>
      </w:r>
      <w:r w:rsidRPr="009554C8">
        <w:rPr>
          <w:rFonts w:cs="Arial"/>
        </w:rPr>
        <w:t xml:space="preserve">. </w:t>
      </w:r>
      <w:r>
        <w:rPr>
          <w:rFonts w:cs="Arial"/>
        </w:rPr>
        <w:t xml:space="preserve">The reforms also assessed </w:t>
      </w:r>
      <w:r w:rsidRPr="009554C8">
        <w:rPr>
          <w:rFonts w:cs="Arial"/>
        </w:rPr>
        <w:t>the extent to which government investment is required to stimulate delivery of, and participation in, this training to meet industry needs</w:t>
      </w:r>
      <w:r>
        <w:rPr>
          <w:rFonts w:cs="Arial"/>
        </w:rPr>
        <w:t xml:space="preserve">. </w:t>
      </w:r>
      <w:r w:rsidRPr="009554C8">
        <w:rPr>
          <w:rFonts w:cs="Arial"/>
        </w:rPr>
        <w:t xml:space="preserve">Overall, the highest subsidy levels have been </w:t>
      </w:r>
      <w:r w:rsidR="003E180C">
        <w:rPr>
          <w:rFonts w:cs="Arial"/>
        </w:rPr>
        <w:t>allocated</w:t>
      </w:r>
      <w:r w:rsidRPr="009554C8">
        <w:rPr>
          <w:rFonts w:cs="Arial"/>
        </w:rPr>
        <w:t xml:space="preserve"> to courses where contribution to the economy is assessed as high, and where government subsidy is seen as essential in enabling delivery and participation in training.</w:t>
      </w:r>
    </w:p>
    <w:p w:rsidR="00C73DBE" w:rsidRPr="003E3882" w:rsidRDefault="00C73DBE" w:rsidP="00C73DBE">
      <w:pPr>
        <w:rPr>
          <w:rFonts w:cs="Arial"/>
        </w:rPr>
      </w:pPr>
      <w:r w:rsidRPr="003E3882">
        <w:rPr>
          <w:rFonts w:cs="Arial"/>
        </w:rPr>
        <w:t xml:space="preserve">There has been a marked shift in course commencement patterns since the </w:t>
      </w:r>
      <w:r w:rsidR="003E180C">
        <w:rPr>
          <w:rFonts w:cs="Arial"/>
        </w:rPr>
        <w:t xml:space="preserve">RVT </w:t>
      </w:r>
      <w:r w:rsidRPr="003E3882">
        <w:rPr>
          <w:rFonts w:cs="Arial"/>
        </w:rPr>
        <w:t>reforms were introduced in July 2012. Data from Q</w:t>
      </w:r>
      <w:r w:rsidR="003E3882" w:rsidRPr="003E3882">
        <w:rPr>
          <w:rFonts w:cs="Arial"/>
        </w:rPr>
        <w:t>3</w:t>
      </w:r>
      <w:r w:rsidRPr="003E3882">
        <w:rPr>
          <w:rFonts w:cs="Arial"/>
        </w:rPr>
        <w:t xml:space="preserve"> 2013 show that </w:t>
      </w:r>
      <w:r w:rsidR="003E3882" w:rsidRPr="003E3882">
        <w:rPr>
          <w:rFonts w:cs="Arial"/>
        </w:rPr>
        <w:t>about 70</w:t>
      </w:r>
      <w:r w:rsidRPr="003E3882">
        <w:rPr>
          <w:rFonts w:cs="Arial"/>
        </w:rPr>
        <w:t xml:space="preserve"> per cent of all government subsidised course </w:t>
      </w:r>
      <w:r w:rsidR="00372EA7">
        <w:rPr>
          <w:rFonts w:cs="Arial"/>
        </w:rPr>
        <w:t>commencements</w:t>
      </w:r>
      <w:r w:rsidRPr="003E3882">
        <w:rPr>
          <w:rFonts w:cs="Arial"/>
        </w:rPr>
        <w:t xml:space="preserve"> were within subsidy bands A and B</w:t>
      </w:r>
      <w:r w:rsidR="00372EA7">
        <w:rPr>
          <w:rFonts w:cs="Arial"/>
        </w:rPr>
        <w:t>, which attract the highest level of subsidy</w:t>
      </w:r>
      <w:r w:rsidRPr="003E3882">
        <w:rPr>
          <w:rFonts w:cs="Arial"/>
        </w:rPr>
        <w:t>. Course commencements within subsidy bands D and E were 9 per cent in Q</w:t>
      </w:r>
      <w:r w:rsidR="003E3882" w:rsidRPr="003E3882">
        <w:rPr>
          <w:rFonts w:cs="Arial"/>
        </w:rPr>
        <w:t>3</w:t>
      </w:r>
      <w:r w:rsidRPr="003E3882">
        <w:rPr>
          <w:rFonts w:cs="Arial"/>
        </w:rPr>
        <w:t xml:space="preserve"> 2013. </w:t>
      </w:r>
    </w:p>
    <w:p w:rsidR="00C73DBE" w:rsidRPr="00E03EE1" w:rsidRDefault="00C73DBE">
      <w:pPr>
        <w:spacing w:after="0" w:line="240" w:lineRule="auto"/>
        <w:jc w:val="left"/>
        <w:rPr>
          <w:rFonts w:cs="Arial"/>
          <w:b/>
          <w:bCs/>
          <w:color w:val="76923C" w:themeColor="accent3" w:themeShade="BF"/>
          <w:sz w:val="18"/>
          <w:szCs w:val="16"/>
          <w:highlight w:val="yellow"/>
        </w:rPr>
      </w:pPr>
    </w:p>
    <w:p w:rsidR="004D7D6F" w:rsidRPr="003E3882" w:rsidRDefault="004D7D6F" w:rsidP="00C73DBE">
      <w:pPr>
        <w:pStyle w:val="Caption"/>
        <w:jc w:val="left"/>
        <w:rPr>
          <w:rFonts w:cs="Arial"/>
          <w:color w:val="auto"/>
        </w:rPr>
      </w:pPr>
      <w:r w:rsidRPr="003E3882">
        <w:rPr>
          <w:rFonts w:cs="Arial"/>
        </w:rPr>
        <w:t>Government subsidised commencing course enrolments: proportion</w:t>
      </w:r>
      <w:r w:rsidR="005C0406">
        <w:rPr>
          <w:rFonts w:cs="Arial"/>
        </w:rPr>
        <w:t>**</w:t>
      </w:r>
      <w:r w:rsidRPr="003E3882">
        <w:rPr>
          <w:rFonts w:cs="Arial"/>
        </w:rPr>
        <w:t xml:space="preserve"> of commencing enrolments by subsidy band, Pre-July 2012</w:t>
      </w:r>
      <w:r w:rsidR="005C0406">
        <w:rPr>
          <w:rFonts w:cs="Arial"/>
        </w:rPr>
        <w:t>, Q2 2013</w:t>
      </w:r>
      <w:r w:rsidR="003E3882">
        <w:rPr>
          <w:rFonts w:cs="Arial"/>
        </w:rPr>
        <w:t xml:space="preserve"> and </w:t>
      </w:r>
      <w:r w:rsidRPr="003E3882">
        <w:rPr>
          <w:rFonts w:cs="Arial"/>
        </w:rPr>
        <w:t>Q</w:t>
      </w:r>
      <w:r w:rsidR="003E3882">
        <w:rPr>
          <w:rFonts w:cs="Arial"/>
        </w:rPr>
        <w:t>3</w:t>
      </w:r>
      <w:r w:rsidRPr="003E3882">
        <w:rPr>
          <w:rFonts w:cs="Arial"/>
        </w:rPr>
        <w:t xml:space="preserve"> 2013 </w:t>
      </w:r>
    </w:p>
    <w:p w:rsidR="004D7D6F" w:rsidRPr="00E03EE1" w:rsidRDefault="00CB7FC7" w:rsidP="004D7D6F">
      <w:pPr>
        <w:rPr>
          <w:rFonts w:cs="Arial"/>
          <w:sz w:val="16"/>
          <w:szCs w:val="16"/>
          <w:highlight w:val="yellow"/>
        </w:rPr>
      </w:pPr>
      <w:r>
        <w:rPr>
          <w:rFonts w:cs="Arial"/>
          <w:noProof/>
          <w:sz w:val="16"/>
          <w:szCs w:val="16"/>
          <w:lang w:eastAsia="en-AU"/>
        </w:rPr>
        <w:drawing>
          <wp:inline distT="0" distB="0" distL="0" distR="0" wp14:anchorId="13DC9DD6" wp14:editId="119FDA5C">
            <wp:extent cx="4910400" cy="2181600"/>
            <wp:effectExtent l="0" t="0" r="0" b="9525"/>
            <wp:docPr id="20" name="Picture 20" descr="This chart presents the percentage of government subsidised commencing course enrolments in each subsidy band in pre-July 2012, Q2 2013 and Q3 2013." title="Government subsidised commencing course enrolments: proportion** of commencing enrolments by subsidy band, Pre-July 2012, Q2 2013 and Q3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0400" cy="2181600"/>
                    </a:xfrm>
                    <a:prstGeom prst="rect">
                      <a:avLst/>
                    </a:prstGeom>
                    <a:noFill/>
                  </pic:spPr>
                </pic:pic>
              </a:graphicData>
            </a:graphic>
          </wp:inline>
        </w:drawing>
      </w:r>
    </w:p>
    <w:p w:rsidR="005C0406" w:rsidRPr="009554C8" w:rsidRDefault="00A05095" w:rsidP="00A05095">
      <w:pPr>
        <w:rPr>
          <w:rFonts w:cs="Arial"/>
          <w:sz w:val="16"/>
          <w:szCs w:val="16"/>
        </w:rPr>
      </w:pPr>
      <w:r w:rsidRPr="003E3882">
        <w:rPr>
          <w:rFonts w:cs="Arial"/>
          <w:sz w:val="16"/>
          <w:szCs w:val="16"/>
        </w:rPr>
        <w:t>*Pre-July 2012 refers to January to June 2012.</w:t>
      </w:r>
      <w:r w:rsidR="005C0406">
        <w:rPr>
          <w:rFonts w:cs="Arial"/>
          <w:sz w:val="16"/>
          <w:szCs w:val="16"/>
        </w:rPr>
        <w:t xml:space="preserve">  ** Due to rounding the sum may not add up to 100 per cent.</w:t>
      </w:r>
    </w:p>
    <w:p w:rsidR="005C0406" w:rsidRPr="0033099B" w:rsidRDefault="005C0406" w:rsidP="005C0406">
      <w:pPr>
        <w:rPr>
          <w:rFonts w:cs="Arial"/>
        </w:rPr>
      </w:pPr>
      <w:r w:rsidRPr="0033099B">
        <w:rPr>
          <w:rFonts w:cs="Arial"/>
        </w:rPr>
        <w:t xml:space="preserve">It has been </w:t>
      </w:r>
      <w:r>
        <w:rPr>
          <w:rFonts w:cs="Arial"/>
        </w:rPr>
        <w:t>fifteen</w:t>
      </w:r>
      <w:r w:rsidRPr="0033099B">
        <w:rPr>
          <w:rFonts w:cs="Arial"/>
        </w:rPr>
        <w:t xml:space="preserve"> months of market operation under the new market settings announced in 2012.</w:t>
      </w:r>
      <w:r>
        <w:rPr>
          <w:rFonts w:cs="Arial"/>
        </w:rPr>
        <w:t xml:space="preserve"> </w:t>
      </w:r>
      <w:r w:rsidRPr="0033099B">
        <w:rPr>
          <w:rFonts w:cs="Arial"/>
        </w:rPr>
        <w:t xml:space="preserve">There is early evidence that the introduction of subsidy bands, which saw twenty per cent of Government funded courses either retaining or attracting higher subsidy levels than before and reductions in areas that were experiencing unprecedented growth, has resulted in an adjustment to training demand and with it, a rebalancing of Government investment in 2013. </w:t>
      </w:r>
      <w:r>
        <w:rPr>
          <w:rFonts w:cs="Arial"/>
        </w:rPr>
        <w:t xml:space="preserve">Such adjustments are broadly aligned with key labour market requirements. </w:t>
      </w:r>
    </w:p>
    <w:p w:rsidR="005C0406" w:rsidRDefault="005C0406" w:rsidP="0021038E">
      <w:pPr>
        <w:spacing w:after="0" w:line="240" w:lineRule="auto"/>
        <w:jc w:val="left"/>
        <w:rPr>
          <w:rFonts w:cs="Arial"/>
        </w:rPr>
      </w:pPr>
    </w:p>
    <w:p w:rsidR="00AF7FE7" w:rsidRPr="00FD4F31" w:rsidRDefault="00AF7FE7" w:rsidP="0021038E">
      <w:pPr>
        <w:spacing w:after="0" w:line="240" w:lineRule="auto"/>
        <w:jc w:val="left"/>
        <w:rPr>
          <w:rFonts w:cs="Arial"/>
        </w:rPr>
      </w:pPr>
      <w:r>
        <w:rPr>
          <w:rFonts w:cs="Arial"/>
        </w:rPr>
        <w:t xml:space="preserve">In Q3 2013 there were 39,800 government subsidised apprenticeship enrolments, which represents a 5 per cent decline on Q3 2012 and 7% on Q3 2011. </w:t>
      </w:r>
      <w:r w:rsidR="00125A62">
        <w:rPr>
          <w:rFonts w:cs="Arial"/>
        </w:rPr>
        <w:t xml:space="preserve">In Q3 2013 there were 48,500 government subsidised enrolments in traineeships which was down on Q3 2012 by 39 per cent and 23 per cent on Q3 2011. </w:t>
      </w:r>
    </w:p>
    <w:p w:rsidR="0033099B" w:rsidRPr="00CB5276" w:rsidRDefault="00AF59CF" w:rsidP="00AB2D09">
      <w:pPr>
        <w:pStyle w:val="ListParagraph"/>
        <w:numPr>
          <w:ilvl w:val="0"/>
          <w:numId w:val="26"/>
        </w:numPr>
        <w:spacing w:after="120"/>
        <w:ind w:left="714" w:hanging="357"/>
        <w:rPr>
          <w:rFonts w:ascii="Arial" w:hAnsi="Arial" w:cs="Arial"/>
          <w:sz w:val="19"/>
          <w:szCs w:val="19"/>
        </w:rPr>
      </w:pPr>
      <w:r w:rsidRPr="00FD4F31">
        <w:rPr>
          <w:rFonts w:ascii="Arial" w:hAnsi="Arial" w:cs="Arial"/>
          <w:sz w:val="19"/>
          <w:szCs w:val="19"/>
        </w:rPr>
        <w:t>D</w:t>
      </w:r>
      <w:r w:rsidR="0033099B" w:rsidRPr="00FD4F31">
        <w:rPr>
          <w:rFonts w:ascii="Arial" w:hAnsi="Arial" w:cs="Arial"/>
          <w:sz w:val="19"/>
          <w:szCs w:val="19"/>
        </w:rPr>
        <w:t xml:space="preserve">emand for courses that experienced historically high levels of enrolments in 2012 </w:t>
      </w:r>
      <w:r w:rsidRPr="00FD4F31">
        <w:rPr>
          <w:rFonts w:ascii="Arial" w:hAnsi="Arial" w:cs="Arial"/>
          <w:sz w:val="19"/>
          <w:szCs w:val="19"/>
        </w:rPr>
        <w:t xml:space="preserve">are adjusting </w:t>
      </w:r>
      <w:r w:rsidR="0033099B" w:rsidRPr="00FD4F31">
        <w:rPr>
          <w:rFonts w:ascii="Arial" w:hAnsi="Arial" w:cs="Arial"/>
          <w:sz w:val="19"/>
          <w:szCs w:val="19"/>
        </w:rPr>
        <w:t>to levels more consistent with</w:t>
      </w:r>
      <w:r w:rsidR="00423B9C">
        <w:rPr>
          <w:rFonts w:ascii="Arial" w:hAnsi="Arial" w:cs="Arial"/>
          <w:sz w:val="19"/>
          <w:szCs w:val="19"/>
        </w:rPr>
        <w:t xml:space="preserve"> labour market requirements</w:t>
      </w:r>
      <w:r w:rsidR="009B51C6" w:rsidRPr="00FD4F31">
        <w:rPr>
          <w:rFonts w:ascii="Arial" w:hAnsi="Arial" w:cs="Arial"/>
          <w:sz w:val="19"/>
          <w:szCs w:val="19"/>
        </w:rPr>
        <w:t xml:space="preserve">. In particular the </w:t>
      </w:r>
      <w:r w:rsidR="0022400D" w:rsidRPr="00FD4F31">
        <w:rPr>
          <w:rFonts w:ascii="Arial" w:hAnsi="Arial" w:cs="Arial"/>
          <w:sz w:val="19"/>
          <w:szCs w:val="19"/>
        </w:rPr>
        <w:t>dampening</w:t>
      </w:r>
      <w:r w:rsidR="009B51C6" w:rsidRPr="00FD4F31">
        <w:rPr>
          <w:rFonts w:ascii="Arial" w:hAnsi="Arial" w:cs="Arial"/>
          <w:sz w:val="19"/>
          <w:szCs w:val="19"/>
        </w:rPr>
        <w:t xml:space="preserve"> in traineeship enrolments is attributable to a number of factors including Commonwealth government incentives</w:t>
      </w:r>
      <w:r w:rsidR="009B51C6" w:rsidRPr="00FD4F31">
        <w:rPr>
          <w:rFonts w:ascii="Arial" w:hAnsi="Arial" w:cs="Arial"/>
          <w:sz w:val="19"/>
          <w:szCs w:val="19"/>
          <w:vertAlign w:val="superscript"/>
        </w:rPr>
        <w:footnoteReference w:id="3"/>
      </w:r>
      <w:r w:rsidR="00244765" w:rsidRPr="00FD4F31">
        <w:rPr>
          <w:rFonts w:ascii="Arial" w:hAnsi="Arial" w:cs="Arial"/>
          <w:sz w:val="19"/>
          <w:szCs w:val="19"/>
        </w:rPr>
        <w:t>, State G</w:t>
      </w:r>
      <w:r w:rsidR="009B51C6" w:rsidRPr="00FD4F31">
        <w:rPr>
          <w:rFonts w:ascii="Arial" w:hAnsi="Arial" w:cs="Arial"/>
          <w:sz w:val="19"/>
          <w:szCs w:val="19"/>
        </w:rPr>
        <w:t>overnment subsidy levels and correction to high levels</w:t>
      </w:r>
      <w:r w:rsidR="009B51C6" w:rsidRPr="00CB5276">
        <w:rPr>
          <w:rFonts w:ascii="Arial" w:hAnsi="Arial" w:cs="Arial"/>
          <w:sz w:val="19"/>
          <w:szCs w:val="19"/>
        </w:rPr>
        <w:t xml:space="preserve"> of enrolments in some Traineeship courses which had unprecedented high level of enrolments in 2012. </w:t>
      </w:r>
    </w:p>
    <w:p w:rsidR="009B51C6" w:rsidRPr="0082367D" w:rsidRDefault="0082367D" w:rsidP="00AB2D09">
      <w:pPr>
        <w:pStyle w:val="ListParagraph"/>
        <w:numPr>
          <w:ilvl w:val="0"/>
          <w:numId w:val="26"/>
        </w:numPr>
        <w:spacing w:after="120"/>
        <w:ind w:left="714" w:hanging="357"/>
        <w:rPr>
          <w:rFonts w:ascii="Arial" w:hAnsi="Arial" w:cs="Arial"/>
          <w:sz w:val="19"/>
          <w:szCs w:val="19"/>
        </w:rPr>
      </w:pPr>
      <w:r w:rsidRPr="0082367D">
        <w:rPr>
          <w:rFonts w:ascii="Arial" w:hAnsi="Arial" w:cs="Arial"/>
          <w:sz w:val="19"/>
          <w:szCs w:val="19"/>
        </w:rPr>
        <w:t>D</w:t>
      </w:r>
      <w:r w:rsidR="00E06C85" w:rsidRPr="0082367D">
        <w:rPr>
          <w:rFonts w:ascii="Arial" w:hAnsi="Arial" w:cs="Arial"/>
          <w:sz w:val="19"/>
          <w:szCs w:val="19"/>
        </w:rPr>
        <w:t>ecline</w:t>
      </w:r>
      <w:r w:rsidR="0022400D" w:rsidRPr="0082367D">
        <w:rPr>
          <w:rFonts w:ascii="Arial" w:hAnsi="Arial" w:cs="Arial"/>
          <w:sz w:val="19"/>
          <w:szCs w:val="19"/>
        </w:rPr>
        <w:t xml:space="preserve"> in a</w:t>
      </w:r>
      <w:r w:rsidR="009B51C6" w:rsidRPr="0082367D">
        <w:rPr>
          <w:rFonts w:ascii="Arial" w:hAnsi="Arial" w:cs="Arial"/>
          <w:sz w:val="19"/>
          <w:szCs w:val="19"/>
        </w:rPr>
        <w:t xml:space="preserve">pprenticeship training in Victoria </w:t>
      </w:r>
      <w:r w:rsidR="004C7A16" w:rsidRPr="0082367D">
        <w:rPr>
          <w:rFonts w:ascii="Arial" w:hAnsi="Arial" w:cs="Arial"/>
          <w:sz w:val="19"/>
          <w:szCs w:val="19"/>
        </w:rPr>
        <w:t>is</w:t>
      </w:r>
      <w:r w:rsidR="009B51C6" w:rsidRPr="0082367D">
        <w:rPr>
          <w:rFonts w:ascii="Arial" w:hAnsi="Arial" w:cs="Arial"/>
          <w:sz w:val="19"/>
          <w:szCs w:val="19"/>
        </w:rPr>
        <w:t xml:space="preserve"> </w:t>
      </w:r>
      <w:r w:rsidRPr="0082367D">
        <w:rPr>
          <w:rFonts w:ascii="Arial" w:hAnsi="Arial" w:cs="Arial"/>
          <w:sz w:val="19"/>
          <w:szCs w:val="19"/>
        </w:rPr>
        <w:t xml:space="preserve">broadly </w:t>
      </w:r>
      <w:r w:rsidR="00E06C85" w:rsidRPr="0082367D">
        <w:rPr>
          <w:rFonts w:ascii="Arial" w:hAnsi="Arial" w:cs="Arial"/>
          <w:sz w:val="19"/>
          <w:szCs w:val="19"/>
        </w:rPr>
        <w:t xml:space="preserve">consistent with national trends. While the level of Government subsidy levels for Apprenticeship training has been maintained or increased, </w:t>
      </w:r>
      <w:r w:rsidR="00CB5276">
        <w:rPr>
          <w:rFonts w:ascii="Arial" w:hAnsi="Arial" w:cs="Arial"/>
          <w:sz w:val="19"/>
          <w:szCs w:val="19"/>
        </w:rPr>
        <w:t>sub</w:t>
      </w:r>
      <w:r w:rsidR="00C54B09">
        <w:rPr>
          <w:rFonts w:ascii="Arial" w:hAnsi="Arial" w:cs="Arial"/>
          <w:sz w:val="19"/>
          <w:szCs w:val="19"/>
        </w:rPr>
        <w:t>dued</w:t>
      </w:r>
      <w:r w:rsidR="00E06C85" w:rsidRPr="0082367D">
        <w:rPr>
          <w:rFonts w:ascii="Arial" w:hAnsi="Arial" w:cs="Arial"/>
          <w:sz w:val="19"/>
          <w:szCs w:val="19"/>
        </w:rPr>
        <w:t xml:space="preserve"> business conditions impacting on the construction industry in particul</w:t>
      </w:r>
      <w:r w:rsidR="0022400D" w:rsidRPr="0082367D">
        <w:rPr>
          <w:rFonts w:ascii="Arial" w:hAnsi="Arial" w:cs="Arial"/>
          <w:sz w:val="19"/>
          <w:szCs w:val="19"/>
        </w:rPr>
        <w:t>ar, has impacted on demand for a</w:t>
      </w:r>
      <w:r w:rsidR="00E06C85" w:rsidRPr="0082367D">
        <w:rPr>
          <w:rFonts w:ascii="Arial" w:hAnsi="Arial" w:cs="Arial"/>
          <w:sz w:val="19"/>
          <w:szCs w:val="19"/>
        </w:rPr>
        <w:t>pprentices.</w:t>
      </w:r>
    </w:p>
    <w:p w:rsidR="009B51C6" w:rsidRPr="0082367D" w:rsidRDefault="00134B3D" w:rsidP="00E90E8A">
      <w:pPr>
        <w:spacing w:after="120"/>
        <w:rPr>
          <w:rFonts w:cs="Arial"/>
          <w:szCs w:val="19"/>
        </w:rPr>
      </w:pPr>
      <w:r w:rsidRPr="0082367D">
        <w:rPr>
          <w:rFonts w:cs="Arial"/>
          <w:szCs w:val="19"/>
        </w:rPr>
        <w:t>The Q</w:t>
      </w:r>
      <w:r w:rsidR="0082367D" w:rsidRPr="0082367D">
        <w:rPr>
          <w:rFonts w:cs="Arial"/>
          <w:szCs w:val="19"/>
        </w:rPr>
        <w:t>3</w:t>
      </w:r>
      <w:r w:rsidRPr="0082367D">
        <w:rPr>
          <w:rFonts w:cs="Arial"/>
          <w:szCs w:val="19"/>
        </w:rPr>
        <w:t xml:space="preserve"> 2013 results show substantial growth continuing for government subsidised Foundation courses. There were </w:t>
      </w:r>
      <w:r w:rsidR="0082367D" w:rsidRPr="0082367D">
        <w:rPr>
          <w:rFonts w:cs="Arial"/>
          <w:szCs w:val="19"/>
        </w:rPr>
        <w:t>136</w:t>
      </w:r>
      <w:r w:rsidRPr="0082367D">
        <w:rPr>
          <w:rFonts w:cs="Arial"/>
          <w:szCs w:val="19"/>
        </w:rPr>
        <w:t>,</w:t>
      </w:r>
      <w:r w:rsidR="0082367D" w:rsidRPr="0082367D">
        <w:rPr>
          <w:rFonts w:cs="Arial"/>
          <w:szCs w:val="19"/>
        </w:rPr>
        <w:t>2</w:t>
      </w:r>
      <w:r w:rsidRPr="0082367D">
        <w:rPr>
          <w:rFonts w:cs="Arial"/>
          <w:szCs w:val="19"/>
        </w:rPr>
        <w:t>00 government subsidised enrolments in Foundation courses in Q</w:t>
      </w:r>
      <w:r w:rsidR="0082367D" w:rsidRPr="0082367D">
        <w:rPr>
          <w:rFonts w:cs="Arial"/>
          <w:szCs w:val="19"/>
        </w:rPr>
        <w:t>3</w:t>
      </w:r>
      <w:r w:rsidRPr="0082367D">
        <w:rPr>
          <w:rFonts w:cs="Arial"/>
          <w:szCs w:val="19"/>
        </w:rPr>
        <w:t xml:space="preserve"> 2013, this was up by 3</w:t>
      </w:r>
      <w:r w:rsidR="0082367D" w:rsidRPr="0082367D">
        <w:rPr>
          <w:rFonts w:cs="Arial"/>
          <w:szCs w:val="19"/>
        </w:rPr>
        <w:t>6</w:t>
      </w:r>
      <w:r w:rsidRPr="0082367D">
        <w:rPr>
          <w:rFonts w:cs="Arial"/>
          <w:szCs w:val="19"/>
        </w:rPr>
        <w:t xml:space="preserve"> per cent on Q</w:t>
      </w:r>
      <w:r w:rsidR="0082367D" w:rsidRPr="0082367D">
        <w:rPr>
          <w:rFonts w:cs="Arial"/>
          <w:szCs w:val="19"/>
        </w:rPr>
        <w:t>3</w:t>
      </w:r>
      <w:r w:rsidRPr="0082367D">
        <w:rPr>
          <w:rFonts w:cs="Arial"/>
          <w:szCs w:val="19"/>
        </w:rPr>
        <w:t xml:space="preserve"> 2012 and </w:t>
      </w:r>
      <w:r w:rsidR="0082367D" w:rsidRPr="0082367D">
        <w:rPr>
          <w:rFonts w:cs="Arial"/>
          <w:szCs w:val="19"/>
        </w:rPr>
        <w:t>209</w:t>
      </w:r>
      <w:r w:rsidRPr="0082367D">
        <w:rPr>
          <w:rFonts w:cs="Arial"/>
          <w:szCs w:val="19"/>
        </w:rPr>
        <w:t xml:space="preserve"> per cent in Q</w:t>
      </w:r>
      <w:r w:rsidR="0082367D" w:rsidRPr="0082367D">
        <w:rPr>
          <w:rFonts w:cs="Arial"/>
          <w:szCs w:val="19"/>
        </w:rPr>
        <w:t>3</w:t>
      </w:r>
      <w:r w:rsidRPr="0082367D">
        <w:rPr>
          <w:rFonts w:cs="Arial"/>
          <w:szCs w:val="19"/>
        </w:rPr>
        <w:t xml:space="preserve"> 2011.</w:t>
      </w:r>
    </w:p>
    <w:p w:rsidR="00016659" w:rsidRPr="001F29E3" w:rsidRDefault="00016659" w:rsidP="00A9260A">
      <w:pPr>
        <w:pStyle w:val="Heading2"/>
      </w:pPr>
      <w:bookmarkStart w:id="26" w:name="_Toc372613420"/>
      <w:bookmarkStart w:id="27" w:name="_Ref338067046"/>
      <w:bookmarkStart w:id="28" w:name="_Toc349899123"/>
      <w:bookmarkStart w:id="29" w:name="_Ref350270707"/>
      <w:bookmarkStart w:id="30" w:name="_Ref350271386"/>
      <w:r w:rsidRPr="001F29E3">
        <w:lastRenderedPageBreak/>
        <w:t>The Policy Context of Vocational Training</w:t>
      </w:r>
      <w:r w:rsidR="00C20C8B">
        <w:t xml:space="preserve"> in Victoria</w:t>
      </w:r>
      <w:bookmarkEnd w:id="26"/>
    </w:p>
    <w:p w:rsidR="00016659" w:rsidRPr="001F29E3" w:rsidRDefault="00016659" w:rsidP="00016659">
      <w:pPr>
        <w:spacing w:line="240" w:lineRule="auto"/>
        <w:rPr>
          <w:rFonts w:cs="Arial"/>
          <w:bCs/>
          <w:iCs/>
        </w:rPr>
      </w:pPr>
    </w:p>
    <w:p w:rsidR="00C65FDE" w:rsidRPr="00F271F7" w:rsidRDefault="00B574F2" w:rsidP="00F271F7">
      <w:pPr>
        <w:pStyle w:val="Heading3"/>
      </w:pPr>
      <w:r>
        <w:t>Reforms to Vocational Training</w:t>
      </w:r>
    </w:p>
    <w:p w:rsidR="004C7A16" w:rsidRPr="00681D4F" w:rsidRDefault="004C7A16" w:rsidP="004C7A16">
      <w:pPr>
        <w:spacing w:line="240" w:lineRule="auto"/>
        <w:rPr>
          <w:rFonts w:cs="Arial"/>
          <w:bCs/>
          <w:iCs/>
        </w:rPr>
      </w:pPr>
      <w:r w:rsidRPr="00E90DC6">
        <w:rPr>
          <w:rFonts w:cs="Arial"/>
          <w:bCs/>
          <w:iCs/>
        </w:rPr>
        <w:t xml:space="preserve">The </w:t>
      </w:r>
      <w:r>
        <w:rPr>
          <w:rFonts w:cs="Arial"/>
          <w:bCs/>
          <w:iCs/>
        </w:rPr>
        <w:t xml:space="preserve">introduction of the </w:t>
      </w:r>
      <w:r w:rsidRPr="009945B0">
        <w:rPr>
          <w:rFonts w:cs="Arial"/>
          <w:bCs/>
          <w:i/>
          <w:iCs/>
        </w:rPr>
        <w:t>Victorian Training Guarantee</w:t>
      </w:r>
      <w:r>
        <w:rPr>
          <w:rFonts w:cs="Arial"/>
          <w:bCs/>
          <w:iCs/>
        </w:rPr>
        <w:t xml:space="preserve"> (</w:t>
      </w:r>
      <w:r w:rsidRPr="00E90DC6">
        <w:rPr>
          <w:rFonts w:cs="Arial"/>
          <w:bCs/>
          <w:iCs/>
        </w:rPr>
        <w:t>VTG</w:t>
      </w:r>
      <w:r>
        <w:rPr>
          <w:rFonts w:cs="Arial"/>
          <w:bCs/>
          <w:iCs/>
        </w:rPr>
        <w:t>) in 200</w:t>
      </w:r>
      <w:r w:rsidR="002C4D3A">
        <w:rPr>
          <w:rFonts w:cs="Arial"/>
          <w:bCs/>
          <w:iCs/>
        </w:rPr>
        <w:t>8</w:t>
      </w:r>
      <w:r w:rsidRPr="00E90DC6">
        <w:rPr>
          <w:rFonts w:cs="Arial"/>
          <w:bCs/>
          <w:iCs/>
        </w:rPr>
        <w:t xml:space="preserve"> resulted in s</w:t>
      </w:r>
      <w:r w:rsidR="00134B3D">
        <w:rPr>
          <w:rFonts w:cs="Arial"/>
          <w:bCs/>
          <w:iCs/>
        </w:rPr>
        <w:t>ignificant growth in government subsidised</w:t>
      </w:r>
      <w:r w:rsidRPr="00E90DC6">
        <w:rPr>
          <w:rFonts w:cs="Arial"/>
          <w:bCs/>
          <w:iCs/>
        </w:rPr>
        <w:t xml:space="preserve"> </w:t>
      </w:r>
      <w:r w:rsidR="000F764C">
        <w:rPr>
          <w:rFonts w:cs="Arial"/>
          <w:bCs/>
          <w:iCs/>
        </w:rPr>
        <w:t xml:space="preserve">training </w:t>
      </w:r>
      <w:r w:rsidRPr="00E90DC6">
        <w:rPr>
          <w:rFonts w:cs="Arial"/>
          <w:bCs/>
          <w:iCs/>
        </w:rPr>
        <w:t>activity</w:t>
      </w:r>
      <w:r>
        <w:rPr>
          <w:rFonts w:cs="Arial"/>
          <w:bCs/>
          <w:iCs/>
        </w:rPr>
        <w:t xml:space="preserve">; however this was not necessarily always in </w:t>
      </w:r>
      <w:r w:rsidRPr="00E90DC6">
        <w:rPr>
          <w:rFonts w:cs="Arial"/>
          <w:bCs/>
          <w:iCs/>
        </w:rPr>
        <w:t xml:space="preserve">areas of industry and economic need. In response, the Victorian Government released the </w:t>
      </w:r>
      <w:r w:rsidRPr="00E90DC6">
        <w:rPr>
          <w:rFonts w:cs="Arial"/>
          <w:bCs/>
          <w:i/>
          <w:iCs/>
        </w:rPr>
        <w:t xml:space="preserve">Refocusing Vocational Training </w:t>
      </w:r>
      <w:r w:rsidR="009945B0">
        <w:rPr>
          <w:rFonts w:cs="Arial"/>
          <w:bCs/>
          <w:i/>
          <w:iCs/>
        </w:rPr>
        <w:t xml:space="preserve">(RVT) </w:t>
      </w:r>
      <w:r w:rsidRPr="00E90DC6">
        <w:rPr>
          <w:rFonts w:cs="Arial"/>
          <w:bCs/>
          <w:i/>
          <w:iCs/>
        </w:rPr>
        <w:t>in Victoria</w:t>
      </w:r>
      <w:r w:rsidRPr="00E90DC6">
        <w:rPr>
          <w:rFonts w:cs="Arial"/>
          <w:bCs/>
          <w:iCs/>
        </w:rPr>
        <w:t xml:space="preserve"> reform package in May 2012. The individual entitlement to a subsidised training place was retained and strengthened to ensure that businesses and students continued to be able to choose what and where they studied. The reform package also made sure that the cost of access remained sustainable and subsidies focused on areas of greatest public value. </w:t>
      </w:r>
      <w:proofErr w:type="gramStart"/>
      <w:r w:rsidRPr="00E90DC6">
        <w:rPr>
          <w:rFonts w:cs="Arial"/>
          <w:bCs/>
          <w:iCs/>
        </w:rPr>
        <w:t>The public valu</w:t>
      </w:r>
      <w:r w:rsidR="00C54B09">
        <w:rPr>
          <w:rFonts w:cs="Arial"/>
          <w:bCs/>
          <w:iCs/>
        </w:rPr>
        <w:t>e of each course being</w:t>
      </w:r>
      <w:r w:rsidRPr="00E90DC6">
        <w:rPr>
          <w:rFonts w:cs="Arial"/>
          <w:bCs/>
          <w:iCs/>
        </w:rPr>
        <w:t xml:space="preserve"> assessed on the basis of its value to the economy in terms of jobs or productivity and the extent to which an incentive is needed to stimulate delivery of training by providers and participation by enough students to meet industry needs.</w:t>
      </w:r>
      <w:proofErr w:type="gramEnd"/>
    </w:p>
    <w:p w:rsidR="00C65FDE" w:rsidRDefault="00C65FDE" w:rsidP="00C65FDE">
      <w:pPr>
        <w:spacing w:line="240" w:lineRule="auto"/>
        <w:rPr>
          <w:rFonts w:cs="Arial"/>
          <w:bCs/>
          <w:iCs/>
        </w:rPr>
      </w:pPr>
      <w:r w:rsidRPr="00C65FDE">
        <w:rPr>
          <w:rFonts w:cs="Arial"/>
          <w:bCs/>
          <w:iCs/>
        </w:rPr>
        <w:t>The movement of training uptake in response to subsidy bands introduced in July 2012 is further supported by Government reforms designed to provide V</w:t>
      </w:r>
      <w:r w:rsidR="00B8093D">
        <w:rPr>
          <w:rFonts w:cs="Arial"/>
          <w:bCs/>
          <w:iCs/>
        </w:rPr>
        <w:t xml:space="preserve">ocational </w:t>
      </w:r>
      <w:r w:rsidR="009945B0">
        <w:rPr>
          <w:rFonts w:cs="Arial"/>
          <w:bCs/>
          <w:iCs/>
        </w:rPr>
        <w:t xml:space="preserve">Education and </w:t>
      </w:r>
      <w:r w:rsidR="00B8093D">
        <w:rPr>
          <w:rFonts w:cs="Arial"/>
          <w:bCs/>
          <w:iCs/>
        </w:rPr>
        <w:t>Training (V</w:t>
      </w:r>
      <w:r w:rsidR="009945B0">
        <w:rPr>
          <w:rFonts w:cs="Arial"/>
          <w:bCs/>
          <w:iCs/>
        </w:rPr>
        <w:t>E</w:t>
      </w:r>
      <w:r w:rsidR="00B8093D">
        <w:rPr>
          <w:rFonts w:cs="Arial"/>
          <w:bCs/>
          <w:iCs/>
        </w:rPr>
        <w:t>T)</w:t>
      </w:r>
      <w:r w:rsidRPr="00C65FDE">
        <w:rPr>
          <w:rFonts w:cs="Arial"/>
          <w:bCs/>
          <w:iCs/>
        </w:rPr>
        <w:t xml:space="preserve"> customers with better information about employment options and related training requirements and providing training providers, industry groups and regional stakeholders with timely information about industry skill requirements and training market responses. The impact of these reforms in particular will deepen as V</w:t>
      </w:r>
      <w:r w:rsidR="009945B0">
        <w:rPr>
          <w:rFonts w:cs="Arial"/>
          <w:bCs/>
          <w:iCs/>
        </w:rPr>
        <w:t>E</w:t>
      </w:r>
      <w:r w:rsidRPr="00C65FDE">
        <w:rPr>
          <w:rFonts w:cs="Arial"/>
          <w:bCs/>
          <w:iCs/>
        </w:rPr>
        <w:t xml:space="preserve">T customers, RTOs and stakeholders of the training market continue to respond to the market signals that underpin the RVT policy settings. </w:t>
      </w:r>
    </w:p>
    <w:p w:rsidR="00F271F7" w:rsidRPr="00F271F7" w:rsidRDefault="00F271F7" w:rsidP="00F271F7">
      <w:pPr>
        <w:pStyle w:val="Heading3"/>
      </w:pPr>
      <w:r w:rsidRPr="00F271F7">
        <w:t>Strengthening of Contract Management and Market Monitoring</w:t>
      </w:r>
    </w:p>
    <w:p w:rsidR="005908C5" w:rsidRPr="00E90DC6" w:rsidRDefault="005908C5" w:rsidP="005908C5">
      <w:pPr>
        <w:spacing w:line="240" w:lineRule="auto"/>
        <w:rPr>
          <w:rFonts w:cs="Arial"/>
          <w:bCs/>
          <w:iCs/>
        </w:rPr>
      </w:pPr>
      <w:r w:rsidRPr="00E90DC6">
        <w:rPr>
          <w:rFonts w:cs="Arial"/>
          <w:bCs/>
          <w:iCs/>
        </w:rPr>
        <w:t xml:space="preserve">The reform package has led to stronger contract management. Providers seeking to offer government-subsidised training have to meet tough contract standards and there is now a framework which sets out expectations of training providers’ behaviour and contract compliance in a single document. The Victorian Registration and Qualifications Authority </w:t>
      </w:r>
      <w:proofErr w:type="gramStart"/>
      <w:r w:rsidRPr="00E90DC6">
        <w:rPr>
          <w:rFonts w:cs="Arial"/>
          <w:bCs/>
          <w:iCs/>
        </w:rPr>
        <w:t>undertakes</w:t>
      </w:r>
      <w:proofErr w:type="gramEnd"/>
      <w:r w:rsidRPr="00E90DC6">
        <w:rPr>
          <w:rFonts w:cs="Arial"/>
          <w:bCs/>
          <w:iCs/>
        </w:rPr>
        <w:t xml:space="preserve"> inspection and enforcement of standards and has strong regulatory powers.</w:t>
      </w:r>
    </w:p>
    <w:p w:rsidR="00CC57B5" w:rsidRDefault="00CC57B5" w:rsidP="0007240D">
      <w:pPr>
        <w:spacing w:line="240" w:lineRule="auto"/>
        <w:rPr>
          <w:rFonts w:cs="Arial"/>
          <w:bCs/>
          <w:iCs/>
        </w:rPr>
      </w:pPr>
      <w:r w:rsidRPr="00CC57B5">
        <w:rPr>
          <w:rFonts w:cs="Arial"/>
          <w:bCs/>
          <w:iCs/>
        </w:rPr>
        <w:t>The Market Monitoring Unit (MMU) was established under RVT to monitor market trends in government subsidised training in Victoria.</w:t>
      </w:r>
      <w:r>
        <w:rPr>
          <w:rFonts w:cs="Arial"/>
          <w:bCs/>
          <w:iCs/>
        </w:rPr>
        <w:t xml:space="preserve"> </w:t>
      </w:r>
      <w:r w:rsidR="005B51DD" w:rsidRPr="00E90DC6">
        <w:rPr>
          <w:rFonts w:cs="Arial"/>
          <w:bCs/>
          <w:iCs/>
        </w:rPr>
        <w:t>The Unit is monitoring the efficiency, effectiveness and integrity of the Government’s subsidised training market.</w:t>
      </w:r>
      <w:r>
        <w:rPr>
          <w:rFonts w:cs="Arial"/>
          <w:bCs/>
          <w:iCs/>
        </w:rPr>
        <w:t xml:space="preserve"> </w:t>
      </w:r>
    </w:p>
    <w:p w:rsidR="00CC57B5" w:rsidRDefault="00CC57B5" w:rsidP="0007240D">
      <w:pPr>
        <w:spacing w:line="240" w:lineRule="auto"/>
        <w:rPr>
          <w:rFonts w:cs="Arial"/>
          <w:bCs/>
          <w:iCs/>
        </w:rPr>
      </w:pPr>
      <w:r w:rsidRPr="00CC57B5">
        <w:rPr>
          <w:rFonts w:cs="Arial"/>
          <w:bCs/>
          <w:iCs/>
        </w:rPr>
        <w:t>The MMU has been monitoring the levels of and changes in training activity, and the levels of prices charged for training, both at an aggregate level and for particular market segments. In terms of prices, the MMU’s analysis indicates that there has been a spread of fee rates in 2013, as would be expected given that providers are able to set fees at a level that they believe reflects the cost and quality of their training. However, a particular concern arising through this analysis has been the prevalence of low fee rates, particularly when they occur in areas of high growth, with the MMU having further investigated these areas to determine if subsidy levels are appropriate.</w:t>
      </w:r>
    </w:p>
    <w:p w:rsidR="005908C5" w:rsidRPr="005908C5" w:rsidRDefault="005908C5" w:rsidP="005908C5">
      <w:pPr>
        <w:pStyle w:val="Heading3"/>
      </w:pPr>
      <w:r w:rsidRPr="005908C5">
        <w:t>New Opportunities for Industry Leadership</w:t>
      </w:r>
    </w:p>
    <w:p w:rsidR="0007240D" w:rsidRDefault="009B40E0" w:rsidP="0007240D">
      <w:pPr>
        <w:spacing w:line="240" w:lineRule="auto"/>
        <w:rPr>
          <w:rFonts w:cs="Arial"/>
          <w:bCs/>
          <w:iCs/>
        </w:rPr>
      </w:pPr>
      <w:r w:rsidRPr="00E90DC6">
        <w:rPr>
          <w:rFonts w:cs="Arial"/>
          <w:bCs/>
          <w:iCs/>
        </w:rPr>
        <w:t xml:space="preserve">A new Industry Participation Model has been </w:t>
      </w:r>
      <w:r w:rsidR="007936E9">
        <w:rPr>
          <w:rFonts w:cs="Arial"/>
          <w:bCs/>
          <w:iCs/>
        </w:rPr>
        <w:t>implemented</w:t>
      </w:r>
      <w:r w:rsidRPr="00E90DC6">
        <w:rPr>
          <w:rFonts w:cs="Arial"/>
          <w:bCs/>
          <w:iCs/>
        </w:rPr>
        <w:t xml:space="preserve">, which enables direct engagement with industry to ensure the training market is aligned with changes in industry need. </w:t>
      </w:r>
      <w:r w:rsidR="0007240D" w:rsidRPr="0007240D">
        <w:rPr>
          <w:rFonts w:cs="Arial"/>
          <w:bCs/>
          <w:iCs/>
        </w:rPr>
        <w:t xml:space="preserve">The Industry Participation Model is specifically designed to strengthen the role of industry in shaping training market products, services and outcomes. </w:t>
      </w:r>
      <w:r w:rsidR="00A54E5D">
        <w:rPr>
          <w:rFonts w:cs="Arial"/>
          <w:bCs/>
          <w:iCs/>
        </w:rPr>
        <w:t>The Department</w:t>
      </w:r>
      <w:r w:rsidR="0007240D" w:rsidRPr="0007240D">
        <w:rPr>
          <w:rFonts w:cs="Arial"/>
          <w:bCs/>
          <w:iCs/>
        </w:rPr>
        <w:t xml:space="preserve"> provides industry bodies and employers with channels and tools to communicate their needs and levels of satisfaction to RTOs, peers, potential </w:t>
      </w:r>
      <w:r w:rsidR="002C4D3A">
        <w:rPr>
          <w:rFonts w:cs="Arial"/>
          <w:bCs/>
          <w:iCs/>
        </w:rPr>
        <w:t>VET</w:t>
      </w:r>
      <w:r w:rsidR="0007240D" w:rsidRPr="0007240D">
        <w:rPr>
          <w:rFonts w:cs="Arial"/>
          <w:bCs/>
          <w:iCs/>
        </w:rPr>
        <w:t xml:space="preserve"> students and Government.</w:t>
      </w:r>
    </w:p>
    <w:p w:rsidR="005B51DD" w:rsidRPr="00E90DC6" w:rsidRDefault="005B51DD" w:rsidP="005B51DD">
      <w:pPr>
        <w:spacing w:line="240" w:lineRule="auto"/>
        <w:rPr>
          <w:rFonts w:cs="Arial"/>
          <w:bCs/>
          <w:iCs/>
        </w:rPr>
      </w:pPr>
      <w:r w:rsidRPr="00E90DC6">
        <w:rPr>
          <w:rFonts w:cs="Arial"/>
          <w:bCs/>
          <w:iCs/>
        </w:rPr>
        <w:t xml:space="preserve">The </w:t>
      </w:r>
      <w:r w:rsidRPr="00E90DC6">
        <w:rPr>
          <w:rFonts w:cs="Arial"/>
          <w:bCs/>
          <w:i/>
          <w:iCs/>
        </w:rPr>
        <w:t>Victorian Skills Gateway</w:t>
      </w:r>
      <w:r w:rsidRPr="00E90DC6">
        <w:rPr>
          <w:rFonts w:cs="Arial"/>
          <w:bCs/>
          <w:iCs/>
        </w:rPr>
        <w:t xml:space="preserve"> website provides high quality accessible information so </w:t>
      </w:r>
      <w:r>
        <w:rPr>
          <w:rFonts w:cs="Arial"/>
          <w:bCs/>
          <w:iCs/>
        </w:rPr>
        <w:t>potential students, employers and industry group</w:t>
      </w:r>
      <w:r w:rsidR="00184951">
        <w:rPr>
          <w:rFonts w:cs="Arial"/>
          <w:bCs/>
          <w:iCs/>
        </w:rPr>
        <w:t>s</w:t>
      </w:r>
      <w:r w:rsidRPr="00E90DC6">
        <w:rPr>
          <w:rFonts w:cs="Arial"/>
          <w:bCs/>
          <w:iCs/>
        </w:rPr>
        <w:t xml:space="preserve"> can make informed decisions about their training choices. The website includes advice about courses, training providers, possible employment opportunities, and government assistance with the cost of training.</w:t>
      </w:r>
    </w:p>
    <w:p w:rsidR="0007240D" w:rsidRPr="0007240D" w:rsidRDefault="00A54E5D" w:rsidP="0007240D">
      <w:pPr>
        <w:spacing w:line="240" w:lineRule="auto"/>
        <w:rPr>
          <w:rFonts w:cs="Arial"/>
          <w:bCs/>
          <w:iCs/>
        </w:rPr>
      </w:pPr>
      <w:r>
        <w:rPr>
          <w:rFonts w:cs="Arial"/>
          <w:bCs/>
          <w:iCs/>
        </w:rPr>
        <w:t>The Department</w:t>
      </w:r>
      <w:r w:rsidR="0007240D" w:rsidRPr="0007240D">
        <w:rPr>
          <w:rFonts w:cs="Arial"/>
          <w:bCs/>
          <w:iCs/>
        </w:rPr>
        <w:t xml:space="preserve"> provide</w:t>
      </w:r>
      <w:r w:rsidR="00184951">
        <w:rPr>
          <w:rFonts w:cs="Arial"/>
          <w:bCs/>
          <w:iCs/>
        </w:rPr>
        <w:t>s</w:t>
      </w:r>
      <w:r w:rsidR="0007240D" w:rsidRPr="0007240D">
        <w:rPr>
          <w:rFonts w:cs="Arial"/>
          <w:bCs/>
          <w:iCs/>
        </w:rPr>
        <w:t xml:space="preserve"> the following opportunities to speak directly to Government about what is and isn’t working in the training system and shape sustainable solutions. </w:t>
      </w:r>
    </w:p>
    <w:p w:rsidR="0007240D" w:rsidRPr="009B74C5" w:rsidRDefault="0007240D" w:rsidP="009B74C5">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t>Industry Roundtables – Monthly industry roundtables with the Min</w:t>
      </w:r>
      <w:r w:rsidR="002248DA">
        <w:rPr>
          <w:rFonts w:ascii="Arial" w:hAnsi="Arial" w:cs="Arial"/>
          <w:bCs/>
          <w:iCs/>
          <w:sz w:val="19"/>
          <w:szCs w:val="19"/>
        </w:rPr>
        <w:t xml:space="preserve">ister to discuss the needs of </w:t>
      </w:r>
      <w:r w:rsidRPr="009B74C5">
        <w:rPr>
          <w:rFonts w:ascii="Arial" w:hAnsi="Arial" w:cs="Arial"/>
          <w:bCs/>
          <w:iCs/>
          <w:sz w:val="19"/>
          <w:szCs w:val="19"/>
        </w:rPr>
        <w:t xml:space="preserve">specific industries and or regions. </w:t>
      </w:r>
    </w:p>
    <w:p w:rsidR="0007240D" w:rsidRPr="009B74C5" w:rsidRDefault="0007240D" w:rsidP="009B74C5">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t>Industry Skills Consultative Committee (ISCC) – 12 senior members of industry, co-chaired by the Minister and an industry member. The ISCC meets 3 – 4 times a year to identify and address systemic issues hampering the responsiveness of the V</w:t>
      </w:r>
      <w:r w:rsidR="002C4D3A">
        <w:rPr>
          <w:rFonts w:ascii="Arial" w:hAnsi="Arial" w:cs="Arial"/>
          <w:bCs/>
          <w:iCs/>
          <w:sz w:val="19"/>
          <w:szCs w:val="19"/>
        </w:rPr>
        <w:t>E</w:t>
      </w:r>
      <w:r w:rsidRPr="009B74C5">
        <w:rPr>
          <w:rFonts w:ascii="Arial" w:hAnsi="Arial" w:cs="Arial"/>
          <w:bCs/>
          <w:iCs/>
          <w:sz w:val="19"/>
          <w:szCs w:val="19"/>
        </w:rPr>
        <w:t xml:space="preserve">T system.  </w:t>
      </w:r>
    </w:p>
    <w:p w:rsidR="0007240D" w:rsidRPr="009B74C5" w:rsidRDefault="0007240D" w:rsidP="009B74C5">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t xml:space="preserve">Issues based ISCC taskforces – the ISCC will auspice issues based taskforces to provide recommendations to Government on appropriate solutions for systemic issues </w:t>
      </w:r>
    </w:p>
    <w:p w:rsidR="0007240D" w:rsidRPr="002248DA" w:rsidRDefault="0007240D" w:rsidP="002248DA">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t xml:space="preserve">DEECD Industry Skills Portfolio </w:t>
      </w:r>
      <w:r w:rsidR="00407CB0" w:rsidRPr="009B74C5">
        <w:rPr>
          <w:rFonts w:ascii="Arial" w:hAnsi="Arial" w:cs="Arial"/>
          <w:bCs/>
          <w:iCs/>
          <w:sz w:val="19"/>
          <w:szCs w:val="19"/>
        </w:rPr>
        <w:t xml:space="preserve">Teams </w:t>
      </w:r>
      <w:r w:rsidRPr="009B74C5">
        <w:rPr>
          <w:rFonts w:ascii="Arial" w:hAnsi="Arial" w:cs="Arial"/>
          <w:bCs/>
          <w:iCs/>
          <w:sz w:val="19"/>
          <w:szCs w:val="19"/>
        </w:rPr>
        <w:t>focus</w:t>
      </w:r>
      <w:r w:rsidR="005D45A1">
        <w:rPr>
          <w:rFonts w:ascii="Arial" w:hAnsi="Arial" w:cs="Arial"/>
          <w:bCs/>
          <w:iCs/>
          <w:sz w:val="19"/>
          <w:szCs w:val="19"/>
        </w:rPr>
        <w:t xml:space="preserve"> on annual </w:t>
      </w:r>
      <w:r w:rsidRPr="009B74C5">
        <w:rPr>
          <w:rFonts w:ascii="Arial" w:hAnsi="Arial" w:cs="Arial"/>
          <w:bCs/>
          <w:iCs/>
          <w:sz w:val="19"/>
          <w:szCs w:val="19"/>
        </w:rPr>
        <w:t>industry/sector</w:t>
      </w:r>
      <w:r w:rsidR="005D45A1">
        <w:rPr>
          <w:rFonts w:ascii="Arial" w:hAnsi="Arial" w:cs="Arial"/>
          <w:bCs/>
          <w:iCs/>
          <w:sz w:val="19"/>
          <w:szCs w:val="19"/>
        </w:rPr>
        <w:t xml:space="preserve"> consultations.</w:t>
      </w:r>
      <w:r w:rsidRPr="002248DA">
        <w:rPr>
          <w:rFonts w:ascii="Arial" w:hAnsi="Arial" w:cs="Arial"/>
          <w:bCs/>
          <w:iCs/>
          <w:sz w:val="19"/>
          <w:szCs w:val="19"/>
        </w:rPr>
        <w:t xml:space="preserve"> </w:t>
      </w:r>
    </w:p>
    <w:p w:rsidR="0007240D" w:rsidRPr="009B74C5" w:rsidRDefault="0007240D" w:rsidP="009B74C5">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lastRenderedPageBreak/>
        <w:t>Regional Market Facilitation Managers –</w:t>
      </w:r>
      <w:r w:rsidR="005D45A1">
        <w:rPr>
          <w:rFonts w:ascii="Arial" w:hAnsi="Arial" w:cs="Arial"/>
          <w:bCs/>
          <w:iCs/>
          <w:sz w:val="19"/>
          <w:szCs w:val="19"/>
        </w:rPr>
        <w:t xml:space="preserve"> ten </w:t>
      </w:r>
      <w:r w:rsidRPr="009B74C5">
        <w:rPr>
          <w:rFonts w:ascii="Arial" w:hAnsi="Arial" w:cs="Arial"/>
          <w:bCs/>
          <w:iCs/>
          <w:sz w:val="19"/>
          <w:szCs w:val="19"/>
        </w:rPr>
        <w:t>located across metropolitan and non-metropolitan Victoria, talking directly to employers and V</w:t>
      </w:r>
      <w:r w:rsidR="002C4D3A">
        <w:rPr>
          <w:rFonts w:ascii="Arial" w:hAnsi="Arial" w:cs="Arial"/>
          <w:bCs/>
          <w:iCs/>
          <w:sz w:val="19"/>
          <w:szCs w:val="19"/>
        </w:rPr>
        <w:t>E</w:t>
      </w:r>
      <w:r w:rsidRPr="009B74C5">
        <w:rPr>
          <w:rFonts w:ascii="Arial" w:hAnsi="Arial" w:cs="Arial"/>
          <w:bCs/>
          <w:iCs/>
          <w:sz w:val="19"/>
          <w:szCs w:val="19"/>
        </w:rPr>
        <w:t xml:space="preserve">T stakeholders in the region to address their training issues and gather intelligence about training needs and system barriers. </w:t>
      </w:r>
    </w:p>
    <w:p w:rsidR="0007240D" w:rsidRPr="009B74C5" w:rsidRDefault="0007240D" w:rsidP="009B74C5">
      <w:pPr>
        <w:pStyle w:val="ListParagraph"/>
        <w:numPr>
          <w:ilvl w:val="0"/>
          <w:numId w:val="30"/>
        </w:numPr>
        <w:spacing w:after="84" w:line="220" w:lineRule="exact"/>
        <w:ind w:left="1060" w:hanging="703"/>
        <w:rPr>
          <w:rFonts w:ascii="Arial" w:hAnsi="Arial" w:cs="Arial"/>
          <w:bCs/>
          <w:iCs/>
          <w:sz w:val="19"/>
          <w:szCs w:val="19"/>
        </w:rPr>
      </w:pPr>
      <w:r w:rsidRPr="009B74C5">
        <w:rPr>
          <w:rFonts w:ascii="Arial" w:hAnsi="Arial" w:cs="Arial"/>
          <w:bCs/>
          <w:iCs/>
          <w:sz w:val="19"/>
          <w:szCs w:val="19"/>
        </w:rPr>
        <w:t>Industry in Transition and Specialist Training Initiative – fund</w:t>
      </w:r>
      <w:r w:rsidR="005D45A1">
        <w:rPr>
          <w:rFonts w:ascii="Arial" w:hAnsi="Arial" w:cs="Arial"/>
          <w:bCs/>
          <w:iCs/>
          <w:sz w:val="19"/>
          <w:szCs w:val="19"/>
        </w:rPr>
        <w:t>s</w:t>
      </w:r>
      <w:r w:rsidRPr="009B74C5">
        <w:rPr>
          <w:rFonts w:ascii="Arial" w:hAnsi="Arial" w:cs="Arial"/>
          <w:bCs/>
          <w:iCs/>
          <w:sz w:val="19"/>
          <w:szCs w:val="19"/>
        </w:rPr>
        <w:t xml:space="preserve"> projects that improve training market responsiveness and outcomes. </w:t>
      </w:r>
    </w:p>
    <w:p w:rsidR="00E71623" w:rsidRDefault="00E71623" w:rsidP="007936E9">
      <w:pPr>
        <w:spacing w:line="240" w:lineRule="auto"/>
        <w:jc w:val="left"/>
        <w:rPr>
          <w:rFonts w:cs="Arial"/>
          <w:bCs/>
          <w:iCs/>
        </w:rPr>
      </w:pPr>
    </w:p>
    <w:p w:rsidR="00E71623" w:rsidRPr="00E71623" w:rsidRDefault="00E71623" w:rsidP="00E71623">
      <w:pPr>
        <w:pStyle w:val="Heading3"/>
      </w:pPr>
      <w:r w:rsidRPr="00E71623">
        <w:t>Modernising TAFE</w:t>
      </w:r>
    </w:p>
    <w:p w:rsidR="007936E9" w:rsidRDefault="007936E9" w:rsidP="00234AF0">
      <w:pPr>
        <w:spacing w:line="240" w:lineRule="auto"/>
        <w:jc w:val="left"/>
        <w:rPr>
          <w:rFonts w:cs="Arial"/>
          <w:bCs/>
          <w:iCs/>
        </w:rPr>
      </w:pPr>
      <w:r w:rsidRPr="007936E9">
        <w:rPr>
          <w:rFonts w:cs="Arial"/>
          <w:bCs/>
          <w:iCs/>
        </w:rPr>
        <w:t xml:space="preserve">In addition to a focus on improving outcomes for students and industry, </w:t>
      </w:r>
      <w:r w:rsidR="002E1A81">
        <w:rPr>
          <w:rFonts w:cs="Arial"/>
          <w:bCs/>
          <w:iCs/>
        </w:rPr>
        <w:t>RVT</w:t>
      </w:r>
      <w:r w:rsidRPr="007936E9">
        <w:rPr>
          <w:rFonts w:cs="Arial"/>
          <w:bCs/>
          <w:iCs/>
        </w:rPr>
        <w:t xml:space="preserve"> in Victoria recognised that a modern vocational training system requires a network of </w:t>
      </w:r>
      <w:r>
        <w:rPr>
          <w:rFonts w:cs="Arial"/>
          <w:bCs/>
          <w:iCs/>
        </w:rPr>
        <w:t>w</w:t>
      </w:r>
      <w:r w:rsidRPr="007936E9">
        <w:rPr>
          <w:rFonts w:cs="Arial"/>
          <w:bCs/>
          <w:iCs/>
        </w:rPr>
        <w:t>ell</w:t>
      </w:r>
      <w:r>
        <w:rPr>
          <w:rFonts w:cs="Arial"/>
          <w:bCs/>
          <w:iCs/>
        </w:rPr>
        <w:t>-</w:t>
      </w:r>
      <w:r w:rsidRPr="007936E9">
        <w:rPr>
          <w:rFonts w:cs="Arial"/>
          <w:bCs/>
          <w:iCs/>
        </w:rPr>
        <w:t>functioning and modern TAFE institutes delivering in their areas of strength alongside other providers.</w:t>
      </w:r>
      <w:r>
        <w:rPr>
          <w:rFonts w:cs="Arial"/>
          <w:bCs/>
          <w:iCs/>
        </w:rPr>
        <w:t xml:space="preserve"> </w:t>
      </w:r>
      <w:r w:rsidRPr="007936E9">
        <w:rPr>
          <w:rFonts w:cs="Arial"/>
          <w:bCs/>
          <w:iCs/>
        </w:rPr>
        <w:t xml:space="preserve">As part of the </w:t>
      </w:r>
      <w:r w:rsidR="00E75F75">
        <w:rPr>
          <w:rFonts w:cs="Arial"/>
          <w:bCs/>
          <w:iCs/>
        </w:rPr>
        <w:t>RVT</w:t>
      </w:r>
      <w:r w:rsidRPr="007936E9">
        <w:rPr>
          <w:rFonts w:cs="Arial"/>
          <w:bCs/>
          <w:iCs/>
        </w:rPr>
        <w:t xml:space="preserve"> in Victoria reforms, the Government established an independent TAFE Reform Panel, to advise on ways to foster a strong, sustainable TAFE sector in an open</w:t>
      </w:r>
      <w:r>
        <w:rPr>
          <w:rFonts w:cs="Arial"/>
          <w:bCs/>
          <w:iCs/>
        </w:rPr>
        <w:t xml:space="preserve"> </w:t>
      </w:r>
      <w:r w:rsidRPr="007936E9">
        <w:rPr>
          <w:rFonts w:cs="Arial"/>
          <w:bCs/>
          <w:iCs/>
        </w:rPr>
        <w:t>and competitive training market.</w:t>
      </w:r>
      <w:r>
        <w:rPr>
          <w:rFonts w:cs="Arial"/>
          <w:bCs/>
          <w:iCs/>
        </w:rPr>
        <w:t xml:space="preserve"> </w:t>
      </w:r>
      <w:r w:rsidRPr="007936E9">
        <w:rPr>
          <w:rFonts w:cs="Arial"/>
          <w:bCs/>
          <w:iCs/>
        </w:rPr>
        <w:t xml:space="preserve">The TAFE Reform Panel’s final report: </w:t>
      </w:r>
      <w:r w:rsidR="00234AF0" w:rsidRPr="00234AF0">
        <w:rPr>
          <w:rFonts w:cs="Arial"/>
          <w:bCs/>
          <w:i/>
          <w:iCs/>
        </w:rPr>
        <w:t>A strong and sustainable Victorian TAFE sector</w:t>
      </w:r>
      <w:r w:rsidRPr="007936E9">
        <w:rPr>
          <w:rFonts w:cs="Arial"/>
          <w:bCs/>
          <w:iCs/>
        </w:rPr>
        <w:t xml:space="preserve"> provides findings and 19 recommendations relating specifically to the state’s 14 TAFE institutes and four dual-sector universities.</w:t>
      </w:r>
      <w:r>
        <w:rPr>
          <w:rFonts w:cs="Arial"/>
          <w:bCs/>
          <w:iCs/>
        </w:rPr>
        <w:t xml:space="preserve"> </w:t>
      </w:r>
      <w:r w:rsidRPr="007936E9">
        <w:rPr>
          <w:rFonts w:cs="Arial"/>
          <w:bCs/>
          <w:iCs/>
        </w:rPr>
        <w:t xml:space="preserve">The Government has responded to these recommendations in </w:t>
      </w:r>
      <w:r w:rsidRPr="00E75F75">
        <w:rPr>
          <w:rFonts w:cs="Arial"/>
          <w:bCs/>
          <w:i/>
          <w:iCs/>
        </w:rPr>
        <w:t xml:space="preserve">Next Steps for </w:t>
      </w:r>
      <w:r w:rsidR="00E75F75" w:rsidRPr="00E75F75">
        <w:rPr>
          <w:rFonts w:cs="Arial"/>
          <w:bCs/>
          <w:i/>
          <w:iCs/>
        </w:rPr>
        <w:t>RVT</w:t>
      </w:r>
      <w:r w:rsidRPr="00E75F75">
        <w:rPr>
          <w:rFonts w:cs="Arial"/>
          <w:bCs/>
          <w:i/>
          <w:iCs/>
        </w:rPr>
        <w:t xml:space="preserve"> in Victoria – Supporting a Modern Workforce</w:t>
      </w:r>
      <w:r w:rsidRPr="007936E9">
        <w:rPr>
          <w:rFonts w:cs="Arial"/>
          <w:bCs/>
          <w:iCs/>
        </w:rPr>
        <w:t>.</w:t>
      </w:r>
    </w:p>
    <w:p w:rsidR="00E75F75" w:rsidRDefault="00E75F75" w:rsidP="007936E9">
      <w:pPr>
        <w:spacing w:line="240" w:lineRule="auto"/>
        <w:jc w:val="left"/>
        <w:rPr>
          <w:rFonts w:cs="Arial"/>
          <w:bCs/>
          <w:iCs/>
        </w:rPr>
      </w:pPr>
      <w:r>
        <w:rPr>
          <w:rFonts w:cs="Arial"/>
          <w:bCs/>
          <w:iCs/>
        </w:rPr>
        <w:t>To strengthen Vi</w:t>
      </w:r>
      <w:r w:rsidR="00564A0D">
        <w:rPr>
          <w:rFonts w:cs="Arial"/>
          <w:bCs/>
          <w:iCs/>
        </w:rPr>
        <w:t>ctorian</w:t>
      </w:r>
      <w:r>
        <w:rPr>
          <w:rFonts w:cs="Arial"/>
          <w:bCs/>
          <w:iCs/>
        </w:rPr>
        <w:t xml:space="preserve"> TAFEs and encourage </w:t>
      </w:r>
      <w:r w:rsidR="00564A0D">
        <w:rPr>
          <w:rFonts w:cs="Arial"/>
          <w:bCs/>
          <w:iCs/>
        </w:rPr>
        <w:t>innovation</w:t>
      </w:r>
      <w:r>
        <w:rPr>
          <w:rFonts w:cs="Arial"/>
          <w:bCs/>
          <w:iCs/>
        </w:rPr>
        <w:t xml:space="preserve"> in training delivery, the Government </w:t>
      </w:r>
      <w:r w:rsidR="00564A0D">
        <w:rPr>
          <w:rFonts w:cs="Arial"/>
          <w:bCs/>
          <w:iCs/>
        </w:rPr>
        <w:t>is</w:t>
      </w:r>
      <w:r>
        <w:rPr>
          <w:rFonts w:cs="Arial"/>
          <w:bCs/>
          <w:iCs/>
        </w:rPr>
        <w:t>:</w:t>
      </w:r>
    </w:p>
    <w:p w:rsidR="00E75F75" w:rsidRPr="009A6A74" w:rsidRDefault="00E75F75"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Providing $200 million for business transformation;</w:t>
      </w:r>
    </w:p>
    <w:p w:rsidR="00E75F75" w:rsidRPr="009A6A74" w:rsidRDefault="00E75F75"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Modernising constitutions and commercial objectives;</w:t>
      </w:r>
    </w:p>
    <w:p w:rsidR="00E75F75" w:rsidRPr="009A6A74" w:rsidRDefault="00E75F75"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Giving TAFEs greater control of assets;</w:t>
      </w:r>
    </w:p>
    <w:p w:rsidR="00E75F75" w:rsidRPr="009A6A74" w:rsidRDefault="00E75F75"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Reducing regulatory burden;</w:t>
      </w:r>
    </w:p>
    <w:p w:rsidR="00E75F75" w:rsidRPr="009A6A74" w:rsidRDefault="00E75F75"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 xml:space="preserve">Allowing TAFEs </w:t>
      </w:r>
      <w:r w:rsidR="00564A0D" w:rsidRPr="009A6A74">
        <w:rPr>
          <w:rFonts w:ascii="Arial" w:hAnsi="Arial" w:cs="Arial"/>
          <w:bCs/>
          <w:iCs/>
          <w:sz w:val="19"/>
          <w:szCs w:val="19"/>
        </w:rPr>
        <w:t>own</w:t>
      </w:r>
      <w:r w:rsidRPr="009A6A74">
        <w:rPr>
          <w:rFonts w:ascii="Arial" w:hAnsi="Arial" w:cs="Arial"/>
          <w:bCs/>
          <w:iCs/>
          <w:sz w:val="19"/>
          <w:szCs w:val="19"/>
        </w:rPr>
        <w:t xml:space="preserve"> control over work pla</w:t>
      </w:r>
      <w:r w:rsidR="00564A0D" w:rsidRPr="009A6A74">
        <w:rPr>
          <w:rFonts w:ascii="Arial" w:hAnsi="Arial" w:cs="Arial"/>
          <w:bCs/>
          <w:iCs/>
          <w:sz w:val="19"/>
          <w:szCs w:val="19"/>
        </w:rPr>
        <w:t>ce relations</w:t>
      </w:r>
      <w:r w:rsidRPr="009A6A74">
        <w:rPr>
          <w:rFonts w:ascii="Arial" w:hAnsi="Arial" w:cs="Arial"/>
          <w:bCs/>
          <w:iCs/>
          <w:sz w:val="19"/>
          <w:szCs w:val="19"/>
        </w:rPr>
        <w:t>;</w:t>
      </w:r>
    </w:p>
    <w:p w:rsidR="009A6A74" w:rsidRPr="009A6A74" w:rsidRDefault="009A6A74"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Removing the restrictions on TAFE being registered as Group Training Organisations;</w:t>
      </w:r>
    </w:p>
    <w:p w:rsidR="009A6A74" w:rsidRPr="009A6A74" w:rsidRDefault="009A6A74" w:rsidP="009A6A74">
      <w:pPr>
        <w:pStyle w:val="ListParagraph"/>
        <w:numPr>
          <w:ilvl w:val="0"/>
          <w:numId w:val="30"/>
        </w:numPr>
        <w:spacing w:after="84" w:line="220" w:lineRule="exact"/>
        <w:rPr>
          <w:rFonts w:ascii="Arial" w:hAnsi="Arial" w:cs="Arial"/>
          <w:bCs/>
          <w:iCs/>
          <w:sz w:val="19"/>
          <w:szCs w:val="19"/>
        </w:rPr>
      </w:pPr>
      <w:r w:rsidRPr="009A6A74">
        <w:rPr>
          <w:rFonts w:ascii="Arial" w:hAnsi="Arial" w:cs="Arial"/>
          <w:bCs/>
          <w:iCs/>
          <w:sz w:val="19"/>
          <w:szCs w:val="19"/>
        </w:rPr>
        <w:t>Reclassifying TAFE dual-sector.</w:t>
      </w:r>
    </w:p>
    <w:p w:rsidR="00E75F75" w:rsidRDefault="00E75F75" w:rsidP="007936E9">
      <w:pPr>
        <w:spacing w:line="240" w:lineRule="auto"/>
        <w:jc w:val="left"/>
        <w:rPr>
          <w:rFonts w:cs="Arial"/>
          <w:bCs/>
          <w:iCs/>
        </w:rPr>
      </w:pPr>
      <w:r>
        <w:rPr>
          <w:rFonts w:cs="Arial"/>
          <w:bCs/>
          <w:iCs/>
        </w:rPr>
        <w:t xml:space="preserve"> </w:t>
      </w:r>
    </w:p>
    <w:p w:rsidR="005C0406" w:rsidRDefault="005C0406">
      <w:pPr>
        <w:spacing w:after="0" w:line="240" w:lineRule="auto"/>
        <w:jc w:val="left"/>
        <w:rPr>
          <w:rFonts w:cs="Arial"/>
          <w:bCs/>
          <w:iCs/>
          <w:color w:val="76923C" w:themeColor="accent3" w:themeShade="BF"/>
          <w:sz w:val="28"/>
          <w:szCs w:val="28"/>
        </w:rPr>
      </w:pPr>
      <w:bookmarkStart w:id="31" w:name="_Toc37261342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7"/>
      <w:bookmarkEnd w:id="28"/>
      <w:bookmarkEnd w:id="29"/>
      <w:bookmarkEnd w:id="30"/>
      <w:r>
        <w:br w:type="page"/>
      </w:r>
    </w:p>
    <w:p w:rsidR="0027062C" w:rsidRPr="001F29E3" w:rsidRDefault="00AD136B" w:rsidP="007B3AB1">
      <w:pPr>
        <w:pStyle w:val="Heading2"/>
      </w:pPr>
      <w:r w:rsidRPr="007B3AB1">
        <w:lastRenderedPageBreak/>
        <w:t>Notes about the data</w:t>
      </w:r>
      <w:bookmarkEnd w:id="31"/>
    </w:p>
    <w:p w:rsidR="00AD136B" w:rsidRDefault="00AD136B" w:rsidP="00351166">
      <w:pPr>
        <w:rPr>
          <w:rFonts w:cs="Arial"/>
        </w:rPr>
      </w:pPr>
    </w:p>
    <w:p w:rsidR="00351166" w:rsidRPr="001F29E3" w:rsidRDefault="00AD136B" w:rsidP="00351166">
      <w:pPr>
        <w:rPr>
          <w:rFonts w:cs="Arial"/>
        </w:rPr>
      </w:pPr>
      <w:r>
        <w:rPr>
          <w:rFonts w:cs="Arial"/>
        </w:rPr>
        <w:t>Th</w:t>
      </w:r>
      <w:r w:rsidR="001C124F">
        <w:rPr>
          <w:rFonts w:cs="Arial"/>
        </w:rPr>
        <w:t>is</w:t>
      </w:r>
      <w:r>
        <w:rPr>
          <w:rFonts w:cs="Arial"/>
        </w:rPr>
        <w:t xml:space="preserve"> Report includes key metrics, such as </w:t>
      </w:r>
      <w:r w:rsidR="00351166" w:rsidRPr="001F29E3">
        <w:rPr>
          <w:rFonts w:cs="Arial"/>
        </w:rPr>
        <w:t>t</w:t>
      </w:r>
      <w:r>
        <w:rPr>
          <w:rFonts w:cs="Arial"/>
        </w:rPr>
        <w:t>r</w:t>
      </w:r>
      <w:r w:rsidR="00351166" w:rsidRPr="001F29E3">
        <w:rPr>
          <w:rFonts w:cs="Arial"/>
        </w:rPr>
        <w:t>aining delivery by funding source, qualification level</w:t>
      </w:r>
      <w:r w:rsidR="00B91AF9">
        <w:rPr>
          <w:rFonts w:cs="Arial"/>
        </w:rPr>
        <w:t>,</w:t>
      </w:r>
      <w:r w:rsidR="00351166" w:rsidRPr="001F29E3">
        <w:rPr>
          <w:rFonts w:cs="Arial"/>
        </w:rPr>
        <w:t xml:space="preserve"> </w:t>
      </w:r>
      <w:r w:rsidR="00126689">
        <w:rPr>
          <w:rFonts w:cs="Arial"/>
        </w:rPr>
        <w:t>age of learners</w:t>
      </w:r>
      <w:r w:rsidR="00351166" w:rsidRPr="001F29E3">
        <w:rPr>
          <w:rFonts w:cs="Arial"/>
        </w:rPr>
        <w:t>, learners</w:t>
      </w:r>
      <w:r w:rsidR="00B91AF9">
        <w:rPr>
          <w:rFonts w:cs="Arial"/>
        </w:rPr>
        <w:t xml:space="preserve"> facing barriers to participation</w:t>
      </w:r>
      <w:r w:rsidR="00351166" w:rsidRPr="001F29E3">
        <w:rPr>
          <w:rFonts w:cs="Arial"/>
        </w:rPr>
        <w:t xml:space="preserve"> and region</w:t>
      </w:r>
      <w:r w:rsidR="00126689">
        <w:rPr>
          <w:rFonts w:cs="Arial"/>
        </w:rPr>
        <w:t>al activity</w:t>
      </w:r>
      <w:r w:rsidR="00351166" w:rsidRPr="001F29E3">
        <w:rPr>
          <w:rFonts w:cs="Arial"/>
        </w:rPr>
        <w:t>. An analysis of the responsiveness of training delivery to specific occupational needs</w:t>
      </w:r>
      <w:r w:rsidR="00126689">
        <w:rPr>
          <w:rFonts w:cs="Arial"/>
        </w:rPr>
        <w:t xml:space="preserve"> and</w:t>
      </w:r>
      <w:r w:rsidR="00351166" w:rsidRPr="001F29E3">
        <w:rPr>
          <w:rFonts w:cs="Arial"/>
        </w:rPr>
        <w:t xml:space="preserve"> industry are also provided.</w:t>
      </w:r>
    </w:p>
    <w:p w:rsidR="00351166" w:rsidRPr="005721E0" w:rsidRDefault="00351166" w:rsidP="00497C8C">
      <w:r w:rsidRPr="001F29E3">
        <w:t xml:space="preserve">The main source of </w:t>
      </w:r>
      <w:r w:rsidR="00221A72" w:rsidRPr="001F29E3">
        <w:t>v</w:t>
      </w:r>
      <w:r w:rsidR="004F0806" w:rsidRPr="001F29E3">
        <w:t xml:space="preserve">ocational </w:t>
      </w:r>
      <w:r w:rsidR="00221A72" w:rsidRPr="001F29E3">
        <w:t>t</w:t>
      </w:r>
      <w:r w:rsidR="004F0806" w:rsidRPr="001F29E3">
        <w:t>raining</w:t>
      </w:r>
      <w:r w:rsidR="00B03850" w:rsidRPr="001F29E3">
        <w:t xml:space="preserve"> </w:t>
      </w:r>
      <w:r w:rsidRPr="001F29E3">
        <w:t>statistics in this publication is the training activity database referred to as S</w:t>
      </w:r>
      <w:r w:rsidR="00530325">
        <w:t xml:space="preserve">kills </w:t>
      </w:r>
      <w:r w:rsidRPr="001F29E3">
        <w:t>V</w:t>
      </w:r>
      <w:r w:rsidR="00530325">
        <w:t xml:space="preserve">ictoria </w:t>
      </w:r>
      <w:r w:rsidRPr="001F29E3">
        <w:t>T</w:t>
      </w:r>
      <w:r w:rsidR="00530325">
        <w:t xml:space="preserve">raining </w:t>
      </w:r>
      <w:r w:rsidRPr="001F29E3">
        <w:t>S</w:t>
      </w:r>
      <w:r w:rsidR="00530325">
        <w:t>ystem (SVTS)</w:t>
      </w:r>
      <w:r w:rsidRPr="001F29E3">
        <w:t>. All government subsidised providers are required to submit their data using SVTS at least once a month in accordance with the Australian Vocational Education &amp; Training Management Information Statistical Standard (A</w:t>
      </w:r>
      <w:r w:rsidR="00B03850" w:rsidRPr="001F29E3">
        <w:t>VET</w:t>
      </w:r>
      <w:r w:rsidRPr="001F29E3">
        <w:t>MISS).</w:t>
      </w:r>
      <w:r w:rsidR="002C240D" w:rsidRPr="001F29E3">
        <w:t xml:space="preserve"> </w:t>
      </w:r>
      <w:r w:rsidRPr="001F29E3">
        <w:t xml:space="preserve">For TAFE </w:t>
      </w:r>
      <w:r w:rsidR="00927DE0" w:rsidRPr="001F29E3">
        <w:t>I</w:t>
      </w:r>
      <w:r w:rsidRPr="001F29E3">
        <w:t xml:space="preserve">nstitutes, there is an additional regulatory requirement that </w:t>
      </w:r>
      <w:r w:rsidRPr="005721E0">
        <w:t xml:space="preserve">they also submit their </w:t>
      </w:r>
      <w:r w:rsidR="001B2568" w:rsidRPr="005721E0">
        <w:t>f</w:t>
      </w:r>
      <w:r w:rsidR="00362E51" w:rsidRPr="005721E0">
        <w:t xml:space="preserve">ee for </w:t>
      </w:r>
      <w:r w:rsidR="001B2568" w:rsidRPr="005721E0">
        <w:t>s</w:t>
      </w:r>
      <w:r w:rsidR="00362E51" w:rsidRPr="005721E0">
        <w:t>ervice</w:t>
      </w:r>
      <w:r w:rsidRPr="005721E0">
        <w:t xml:space="preserve"> data.</w:t>
      </w:r>
    </w:p>
    <w:p w:rsidR="000866DB" w:rsidRPr="00530325" w:rsidRDefault="00530325" w:rsidP="00497C8C">
      <w:pPr>
        <w:rPr>
          <w:rFonts w:cs="Arial"/>
        </w:rPr>
      </w:pPr>
      <w:r w:rsidRPr="00530325">
        <w:rPr>
          <w:rFonts w:cs="Arial"/>
        </w:rPr>
        <w:t>For comparative purpose, t</w:t>
      </w:r>
      <w:r w:rsidR="005721E0" w:rsidRPr="00530325">
        <w:rPr>
          <w:rFonts w:cs="Arial"/>
        </w:rPr>
        <w:t>his report includes most recent historical data o</w:t>
      </w:r>
      <w:r w:rsidRPr="00530325">
        <w:rPr>
          <w:rFonts w:cs="Arial"/>
        </w:rPr>
        <w:t>n</w:t>
      </w:r>
      <w:r w:rsidR="005721E0" w:rsidRPr="00530325">
        <w:rPr>
          <w:rFonts w:cs="Arial"/>
        </w:rPr>
        <w:t xml:space="preserve"> training activity </w:t>
      </w:r>
      <w:r w:rsidRPr="00530325">
        <w:rPr>
          <w:rFonts w:cs="Arial"/>
        </w:rPr>
        <w:t xml:space="preserve">over the </w:t>
      </w:r>
      <w:r w:rsidR="005721E0" w:rsidRPr="00530325">
        <w:rPr>
          <w:rFonts w:cs="Arial"/>
        </w:rPr>
        <w:t>same period</w:t>
      </w:r>
      <w:r w:rsidR="00F22876">
        <w:rPr>
          <w:rFonts w:cs="Arial"/>
        </w:rPr>
        <w:t>, i.e. Quarter 3,</w:t>
      </w:r>
      <w:r w:rsidR="005721E0" w:rsidRPr="00530325">
        <w:rPr>
          <w:rFonts w:cs="Arial"/>
        </w:rPr>
        <w:t xml:space="preserve"> in 2011 and 2012. </w:t>
      </w:r>
      <w:r w:rsidR="005721E0" w:rsidRPr="00530325">
        <w:t xml:space="preserve">Full </w:t>
      </w:r>
      <w:r w:rsidR="000866DB" w:rsidRPr="00530325">
        <w:t xml:space="preserve">year </w:t>
      </w:r>
      <w:r w:rsidR="000B6438" w:rsidRPr="00530325">
        <w:t>data</w:t>
      </w:r>
      <w:r w:rsidR="000866DB" w:rsidRPr="00530325">
        <w:t xml:space="preserve"> </w:t>
      </w:r>
      <w:r w:rsidR="00497C8C" w:rsidRPr="00530325">
        <w:t xml:space="preserve">between </w:t>
      </w:r>
      <w:r w:rsidR="000866DB" w:rsidRPr="00530325">
        <w:t xml:space="preserve">2008 </w:t>
      </w:r>
      <w:r w:rsidR="00497C8C" w:rsidRPr="00530325">
        <w:t xml:space="preserve">and </w:t>
      </w:r>
      <w:r w:rsidR="000866DB" w:rsidRPr="00530325">
        <w:t>2012 are included to show longer term trends.</w:t>
      </w:r>
    </w:p>
    <w:p w:rsidR="00351166" w:rsidRDefault="00336495" w:rsidP="00497C8C">
      <w:r>
        <w:t xml:space="preserve">Data included in the report are </w:t>
      </w:r>
      <w:r w:rsidR="008C3A1C" w:rsidRPr="006C60FB">
        <w:t xml:space="preserve">a snapshot in time and based on data as reported to </w:t>
      </w:r>
      <w:r w:rsidR="002C240D" w:rsidRPr="006C60FB">
        <w:t>Higher Education and Skills Group (HESG) in the Department</w:t>
      </w:r>
      <w:r w:rsidR="008C3A1C" w:rsidRPr="006C60FB">
        <w:t xml:space="preserve"> by training providers</w:t>
      </w:r>
      <w:r w:rsidR="000B6438" w:rsidRPr="006C60FB">
        <w:t>.</w:t>
      </w:r>
      <w:r>
        <w:t xml:space="preserve"> </w:t>
      </w:r>
      <w:r w:rsidR="008C3A1C" w:rsidRPr="006C60FB">
        <w:t xml:space="preserve">Caution should be exercised when comparing </w:t>
      </w:r>
      <w:r w:rsidR="005721E0" w:rsidRPr="006C60FB">
        <w:t xml:space="preserve">current </w:t>
      </w:r>
      <w:r>
        <w:t xml:space="preserve">year </w:t>
      </w:r>
      <w:r w:rsidR="005721E0" w:rsidRPr="006C60FB">
        <w:t xml:space="preserve">data </w:t>
      </w:r>
      <w:r w:rsidR="008C3A1C" w:rsidRPr="006C60FB">
        <w:t xml:space="preserve">against </w:t>
      </w:r>
      <w:r w:rsidR="005721E0" w:rsidRPr="006C60FB">
        <w:t xml:space="preserve">figures over </w:t>
      </w:r>
      <w:r w:rsidR="008C3A1C" w:rsidRPr="006C60FB">
        <w:t>the same period in previous year</w:t>
      </w:r>
      <w:r w:rsidR="00853684" w:rsidRPr="006C60FB">
        <w:t>s</w:t>
      </w:r>
      <w:r w:rsidR="008C3A1C" w:rsidRPr="006C60FB">
        <w:t xml:space="preserve">. This is due to the way training providers upload their VET activity data which is not necessarily undertaken in a uniform manner while the training year is still in progress. In addition, adjustments are required to be made to VET activity data by providers after the end of a reporting period due to students withdrawing from modules or entire courses. </w:t>
      </w:r>
      <w:r w:rsidR="000B6438" w:rsidRPr="006C60FB">
        <w:t xml:space="preserve">In some limited cases some providers may not have </w:t>
      </w:r>
      <w:r w:rsidR="005721E0" w:rsidRPr="006C60FB">
        <w:t xml:space="preserve">fully </w:t>
      </w:r>
      <w:r w:rsidR="000B6438" w:rsidRPr="006C60FB">
        <w:t xml:space="preserve">submitted their </w:t>
      </w:r>
      <w:r w:rsidR="005721E0" w:rsidRPr="006C60FB">
        <w:t xml:space="preserve">data by end of </w:t>
      </w:r>
      <w:r w:rsidR="00B91AF9">
        <w:t>third</w:t>
      </w:r>
      <w:r w:rsidR="005721E0" w:rsidRPr="006C60FB">
        <w:t xml:space="preserve"> quarter </w:t>
      </w:r>
      <w:r w:rsidR="000B6438" w:rsidRPr="006C60FB">
        <w:t xml:space="preserve">which could </w:t>
      </w:r>
      <w:r w:rsidR="0053783C">
        <w:t xml:space="preserve">marginally </w:t>
      </w:r>
      <w:r w:rsidR="000B6438" w:rsidRPr="006C60FB">
        <w:t>impact on the overall state result.</w:t>
      </w:r>
      <w:r w:rsidR="006C60FB">
        <w:t xml:space="preserve"> </w:t>
      </w:r>
      <w:r w:rsidR="008C3A1C" w:rsidRPr="001F29E3">
        <w:t xml:space="preserve">Therefore, owing to the preliminary nature of VET data while the year is underway, figures </w:t>
      </w:r>
      <w:r w:rsidR="006C60FB">
        <w:t xml:space="preserve">reported for the end of </w:t>
      </w:r>
      <w:r w:rsidR="00B91AF9">
        <w:t>third</w:t>
      </w:r>
      <w:r w:rsidR="006C60FB">
        <w:t xml:space="preserve"> quarter in 2013 </w:t>
      </w:r>
      <w:r w:rsidR="008C3A1C" w:rsidRPr="001F29E3">
        <w:t xml:space="preserve">should be treated as being indicative only. </w:t>
      </w:r>
    </w:p>
    <w:p w:rsidR="00BC596A" w:rsidRPr="001F29E3" w:rsidRDefault="008A70A1" w:rsidP="008A70A1">
      <w:pPr>
        <w:pBdr>
          <w:top w:val="single" w:sz="4" w:space="1" w:color="auto"/>
          <w:left w:val="single" w:sz="4" w:space="4" w:color="auto"/>
          <w:bottom w:val="single" w:sz="4" w:space="1" w:color="auto"/>
          <w:right w:val="single" w:sz="4" w:space="4" w:color="auto"/>
        </w:pBdr>
        <w:shd w:val="clear" w:color="auto" w:fill="EAF1DD" w:themeFill="accent3" w:themeFillTint="33"/>
      </w:pPr>
      <w:r>
        <w:t>I</w:t>
      </w:r>
      <w:r w:rsidR="00BC596A">
        <w:t xml:space="preserve">n some limited cases training activity data can be impacted by system issues, for example </w:t>
      </w:r>
      <w:r>
        <w:t>some</w:t>
      </w:r>
      <w:r w:rsidR="00BC596A" w:rsidRPr="00BC596A">
        <w:t xml:space="preserve"> TAFE institutes have informed the Department that they have been unable to report all their enrolments for the </w:t>
      </w:r>
      <w:r w:rsidR="00BC596A">
        <w:t xml:space="preserve">previous reporting </w:t>
      </w:r>
      <w:r w:rsidR="00BC596A" w:rsidRPr="00BC596A">
        <w:t xml:space="preserve">period due to a backlog arising from the implementation of a new student management system. </w:t>
      </w:r>
      <w:r w:rsidR="00DD3AC7">
        <w:t xml:space="preserve">It is therefore important to note that the </w:t>
      </w:r>
      <w:r w:rsidR="00B91AF9">
        <w:t>Quarter 3</w:t>
      </w:r>
      <w:r w:rsidR="00DD3AC7">
        <w:t xml:space="preserve"> 2013 data may be an undercount of the actual enrolments. </w:t>
      </w:r>
      <w:r w:rsidR="00D04314">
        <w:t xml:space="preserve">It is anticipated that these enrolments will be included in the full year report for 2013 to be </w:t>
      </w:r>
      <w:r w:rsidR="0082367D">
        <w:t>published</w:t>
      </w:r>
      <w:r w:rsidR="00D04314">
        <w:t xml:space="preserve"> in early 2014.</w:t>
      </w:r>
    </w:p>
    <w:p w:rsidR="00FD4F31" w:rsidRDefault="00FD4F31" w:rsidP="00336495">
      <w:pPr>
        <w:rPr>
          <w:rFonts w:cs="Arial"/>
        </w:rPr>
      </w:pPr>
      <w:r w:rsidRPr="00FD4F31">
        <w:rPr>
          <w:rFonts w:cs="Arial"/>
        </w:rPr>
        <w:t>Due to an unusually high spike in government subsidised training activity that occurred in 2012, just prior to changes to subsidy arrangements that came into effect in July of that year, this report includes comparisons of Q3 2013 with Q3 2011 and Q3 2012. This follows a similar approach used in the Q2 2013 report, to avoid any potentially misleading comparisons of quarterly training activity data for 2013 with just 2012.</w:t>
      </w:r>
    </w:p>
    <w:p w:rsidR="00336495" w:rsidRDefault="005F166A" w:rsidP="00336495">
      <w:pPr>
        <w:rPr>
          <w:highlight w:val="cyan"/>
        </w:rPr>
      </w:pPr>
      <w:r w:rsidRPr="001F29E3">
        <w:t xml:space="preserve">The </w:t>
      </w:r>
      <w:r w:rsidR="006C60FB">
        <w:t>Q</w:t>
      </w:r>
      <w:r w:rsidR="00B91AF9">
        <w:t>3</w:t>
      </w:r>
      <w:r w:rsidR="006C60FB">
        <w:t xml:space="preserve"> </w:t>
      </w:r>
      <w:r w:rsidR="008C3A1C" w:rsidRPr="001F29E3">
        <w:t xml:space="preserve">2013 </w:t>
      </w:r>
      <w:r w:rsidRPr="001F29E3">
        <w:t xml:space="preserve">data </w:t>
      </w:r>
      <w:r w:rsidR="00D118DC">
        <w:t xml:space="preserve">were </w:t>
      </w:r>
      <w:r w:rsidR="00351166" w:rsidRPr="001F29E3">
        <w:t xml:space="preserve">extracted from SVTS as at </w:t>
      </w:r>
      <w:r w:rsidR="00377638">
        <w:t>17</w:t>
      </w:r>
      <w:r w:rsidR="00351166" w:rsidRPr="001F29E3">
        <w:t xml:space="preserve"> </w:t>
      </w:r>
      <w:r w:rsidR="00377638">
        <w:t>October</w:t>
      </w:r>
      <w:r w:rsidR="008C3A1C" w:rsidRPr="001F29E3">
        <w:t xml:space="preserve"> </w:t>
      </w:r>
      <w:r w:rsidR="00351166" w:rsidRPr="001F29E3">
        <w:t>2013.</w:t>
      </w:r>
      <w:r w:rsidR="002C240D" w:rsidRPr="001F29E3">
        <w:t xml:space="preserve"> </w:t>
      </w:r>
      <w:r w:rsidR="006C60FB" w:rsidRPr="00336495">
        <w:t xml:space="preserve">Annual data included in this report may differ from data released by the </w:t>
      </w:r>
      <w:r w:rsidR="00E377FE" w:rsidRPr="001F29E3">
        <w:t>National Centre for Vocational Education and Research (NCVER)</w:t>
      </w:r>
      <w:r w:rsidR="006C60FB" w:rsidRPr="00336495">
        <w:t xml:space="preserve"> due to use of different definitional rules</w:t>
      </w:r>
      <w:r w:rsidR="00E377FE">
        <w:t xml:space="preserve"> and data being</w:t>
      </w:r>
      <w:r w:rsidR="00E377FE" w:rsidRPr="001F29E3">
        <w:t xml:space="preserve"> revised slightly prior to submission to</w:t>
      </w:r>
      <w:r w:rsidR="00E377FE" w:rsidRPr="00E377FE">
        <w:t xml:space="preserve"> </w:t>
      </w:r>
      <w:r w:rsidR="00E377FE" w:rsidRPr="00336495">
        <w:t>NCVER</w:t>
      </w:r>
      <w:r w:rsidR="00E377FE" w:rsidRPr="001F29E3">
        <w:t>.</w:t>
      </w:r>
    </w:p>
    <w:p w:rsidR="00336495" w:rsidRPr="001F29E3" w:rsidRDefault="00336495" w:rsidP="00336495">
      <w:r w:rsidRPr="00336495">
        <w:t>Annual data included in this report may differ to those in previous publications as the DEECD is continuously updating classifications to improve data quality and consistency across years.</w:t>
      </w:r>
      <w:r w:rsidR="00BC596A">
        <w:t xml:space="preserve"> For example t</w:t>
      </w:r>
      <w:r w:rsidR="00BC596A" w:rsidRPr="00BC596A">
        <w:t xml:space="preserve">he apportionment of enrolments between the apprentice/trainee categories </w:t>
      </w:r>
      <w:r w:rsidR="00BC596A">
        <w:t xml:space="preserve">is marginally different to what was reported previously, this is a </w:t>
      </w:r>
      <w:r w:rsidR="00BC596A" w:rsidRPr="00BC596A">
        <w:t>result of a correction to the classification of some courses.</w:t>
      </w:r>
    </w:p>
    <w:p w:rsidR="00083B2E" w:rsidRDefault="000530F2" w:rsidP="00497C8C">
      <w:r>
        <w:t>Data</w:t>
      </w:r>
      <w:r w:rsidR="00083B2E">
        <w:t xml:space="preserve"> shown in the tables are rounded to the nearest 100 when the </w:t>
      </w:r>
      <w:r>
        <w:t xml:space="preserve">figures are </w:t>
      </w:r>
      <w:r w:rsidR="00083B2E">
        <w:t>greater than 1,000</w:t>
      </w:r>
      <w:r>
        <w:t>;</w:t>
      </w:r>
      <w:r w:rsidR="00083B2E">
        <w:t xml:space="preserve"> to the nearest 50 when </w:t>
      </w:r>
      <w:r w:rsidR="007F0A64">
        <w:t>they are</w:t>
      </w:r>
      <w:r w:rsidR="00083B2E">
        <w:t xml:space="preserve"> between 100 and 1,000</w:t>
      </w:r>
      <w:r>
        <w:t>;</w:t>
      </w:r>
      <w:r w:rsidR="00083B2E">
        <w:t xml:space="preserve"> and to the nearest 10 when </w:t>
      </w:r>
      <w:r w:rsidR="007F0A64">
        <w:t>they are</w:t>
      </w:r>
      <w:r w:rsidR="00083B2E">
        <w:t xml:space="preserve"> less than 100.</w:t>
      </w:r>
      <w:r w:rsidR="007F0A64">
        <w:t xml:space="preserve"> The percentage change</w:t>
      </w:r>
      <w:r w:rsidR="009C6A30">
        <w:t>s</w:t>
      </w:r>
      <w:r w:rsidR="007F0A64">
        <w:t xml:space="preserve"> between </w:t>
      </w:r>
      <w:r w:rsidR="009D3C68">
        <w:t>Q</w:t>
      </w:r>
      <w:r w:rsidR="00377638">
        <w:t>3</w:t>
      </w:r>
      <w:r w:rsidR="009D3C68">
        <w:t xml:space="preserve"> 2</w:t>
      </w:r>
      <w:r w:rsidR="009C6A30">
        <w:t>011 &amp; Q</w:t>
      </w:r>
      <w:r w:rsidR="00377638">
        <w:t>3</w:t>
      </w:r>
      <w:r w:rsidR="009C6A30">
        <w:t xml:space="preserve"> 2013, and </w:t>
      </w:r>
      <w:r w:rsidR="007F0A64">
        <w:t>Q</w:t>
      </w:r>
      <w:r w:rsidR="00377638">
        <w:t>3</w:t>
      </w:r>
      <w:r w:rsidR="007F0A64">
        <w:t xml:space="preserve"> 2012 </w:t>
      </w:r>
      <w:r w:rsidR="009C6A30">
        <w:t>&amp;</w:t>
      </w:r>
      <w:r w:rsidR="007F0A64">
        <w:t xml:space="preserve"> Q</w:t>
      </w:r>
      <w:r w:rsidR="00377638">
        <w:t>3</w:t>
      </w:r>
      <w:r w:rsidR="007F0A64">
        <w:t xml:space="preserve"> 2013 </w:t>
      </w:r>
      <w:r w:rsidR="009C6A30">
        <w:t>are</w:t>
      </w:r>
      <w:r w:rsidR="007F0A64">
        <w:t xml:space="preserve"> calculat</w:t>
      </w:r>
      <w:r>
        <w:t xml:space="preserve">ed based on the </w:t>
      </w:r>
      <w:r w:rsidR="00FD4F31">
        <w:t>unrounded</w:t>
      </w:r>
      <w:r>
        <w:t xml:space="preserve"> data</w:t>
      </w:r>
      <w:r w:rsidR="007F0A64">
        <w:t>.</w:t>
      </w:r>
    </w:p>
    <w:p w:rsidR="00351166" w:rsidRPr="001F29E3" w:rsidRDefault="00351166" w:rsidP="00A9260A">
      <w:pPr>
        <w:pStyle w:val="Heading2"/>
      </w:pPr>
      <w:bookmarkStart w:id="32" w:name="_Toc348117718"/>
      <w:bookmarkStart w:id="33" w:name="_Toc348439964"/>
      <w:bookmarkStart w:id="34" w:name="_Toc348440163"/>
      <w:bookmarkStart w:id="35" w:name="_Toc349184175"/>
      <w:bookmarkStart w:id="36" w:name="_Toc349184324"/>
      <w:bookmarkStart w:id="37" w:name="_Toc349184514"/>
      <w:bookmarkStart w:id="38" w:name="_Toc372613422"/>
      <w:r w:rsidRPr="001F29E3">
        <w:t>Reporting scope</w:t>
      </w:r>
      <w:bookmarkEnd w:id="32"/>
      <w:bookmarkEnd w:id="33"/>
      <w:bookmarkEnd w:id="34"/>
      <w:bookmarkEnd w:id="35"/>
      <w:bookmarkEnd w:id="36"/>
      <w:bookmarkEnd w:id="37"/>
      <w:bookmarkEnd w:id="38"/>
    </w:p>
    <w:p w:rsidR="00351166" w:rsidRPr="001F29E3" w:rsidRDefault="00351166" w:rsidP="00497C8C">
      <w:r w:rsidRPr="001F29E3">
        <w:t>This report include</w:t>
      </w:r>
      <w:r w:rsidR="00416B67" w:rsidRPr="001F29E3">
        <w:t>s</w:t>
      </w:r>
      <w:r w:rsidRPr="001F29E3">
        <w:t xml:space="preserve"> government subsidised activities in all sectors at all qualification levels, and domestic fee</w:t>
      </w:r>
      <w:r w:rsidR="001B2568" w:rsidRPr="001F29E3">
        <w:t xml:space="preserve"> </w:t>
      </w:r>
      <w:r w:rsidRPr="001F29E3">
        <w:t>for</w:t>
      </w:r>
      <w:r w:rsidR="001B2568" w:rsidRPr="001F29E3">
        <w:t xml:space="preserve"> </w:t>
      </w:r>
      <w:r w:rsidRPr="001F29E3">
        <w:t>service activities in the TAFE sector at Australian Qualification Framework (</w:t>
      </w:r>
      <w:r w:rsidR="00CC0C50" w:rsidRPr="001F29E3">
        <w:t>Certificate</w:t>
      </w:r>
      <w:r w:rsidRPr="001F29E3">
        <w:t xml:space="preserve"> I and above).</w:t>
      </w:r>
    </w:p>
    <w:p w:rsidR="00351166" w:rsidRPr="001F29E3" w:rsidRDefault="00362E51" w:rsidP="00497C8C">
      <w:r w:rsidRPr="001F29E3">
        <w:t xml:space="preserve">Fee for </w:t>
      </w:r>
      <w:r w:rsidR="001B2568" w:rsidRPr="001F29E3">
        <w:t>s</w:t>
      </w:r>
      <w:r w:rsidRPr="001F29E3">
        <w:t>ervice</w:t>
      </w:r>
      <w:r w:rsidR="00351166" w:rsidRPr="001F29E3">
        <w:t xml:space="preserve"> activities below </w:t>
      </w:r>
      <w:r w:rsidR="00CC0C50" w:rsidRPr="001F29E3">
        <w:t>Certificate</w:t>
      </w:r>
      <w:r w:rsidR="00351166" w:rsidRPr="001F29E3">
        <w:t xml:space="preserve"> I in the </w:t>
      </w:r>
      <w:r w:rsidR="00B3005F" w:rsidRPr="001F29E3">
        <w:t xml:space="preserve">domestic </w:t>
      </w:r>
      <w:r w:rsidR="00351166" w:rsidRPr="001F29E3">
        <w:t>TAFE sector are not included</w:t>
      </w:r>
      <w:r w:rsidR="00D70D05" w:rsidRPr="001F29E3">
        <w:t>, such as short courses</w:t>
      </w:r>
      <w:r w:rsidR="00351166" w:rsidRPr="001F29E3">
        <w:t xml:space="preserve">. </w:t>
      </w:r>
      <w:r w:rsidRPr="001F29E3">
        <w:t xml:space="preserve">Fee for </w:t>
      </w:r>
      <w:r w:rsidR="001B2568" w:rsidRPr="001F29E3">
        <w:t>s</w:t>
      </w:r>
      <w:r w:rsidRPr="001F29E3">
        <w:t>ervice</w:t>
      </w:r>
      <w:r w:rsidR="00351166" w:rsidRPr="001F29E3">
        <w:t xml:space="preserve"> activities that took place in the </w:t>
      </w:r>
      <w:r w:rsidR="001B2568" w:rsidRPr="001F29E3">
        <w:t>p</w:t>
      </w:r>
      <w:r w:rsidR="00351166" w:rsidRPr="001F29E3">
        <w:t>rivate RTO and Adult Community Education sectors are also outside the scope.</w:t>
      </w:r>
      <w:r w:rsidR="00B3005F" w:rsidRPr="001F29E3">
        <w:t xml:space="preserve"> </w:t>
      </w:r>
    </w:p>
    <w:p w:rsidR="00C91269" w:rsidRDefault="000866DB" w:rsidP="0082367D">
      <w:pPr>
        <w:rPr>
          <w:color w:val="76923C" w:themeColor="accent3" w:themeShade="BF"/>
          <w:spacing w:val="-12"/>
          <w:sz w:val="46"/>
          <w:szCs w:val="46"/>
        </w:rPr>
      </w:pPr>
      <w:r w:rsidRPr="001F29E3">
        <w:t xml:space="preserve">Since </w:t>
      </w:r>
      <w:r w:rsidR="00471FC1" w:rsidRPr="001F29E3">
        <w:t xml:space="preserve">2012, the scope of reporting of government subsidised training changed. ZC - Corrections delivery contracted directly with TAFE </w:t>
      </w:r>
      <w:r w:rsidR="00927DE0" w:rsidRPr="001F29E3">
        <w:t>I</w:t>
      </w:r>
      <w:r w:rsidR="00471FC1" w:rsidRPr="001F29E3">
        <w:t xml:space="preserve">nstitutes and ZP - Corrections funding through private prisons </w:t>
      </w:r>
      <w:r w:rsidRPr="001F29E3">
        <w:t xml:space="preserve">have been </w:t>
      </w:r>
      <w:r w:rsidR="00471FC1" w:rsidRPr="001F29E3">
        <w:t xml:space="preserve">allocated to </w:t>
      </w:r>
      <w:r w:rsidR="001B2568" w:rsidRPr="001F29E3">
        <w:t>f</w:t>
      </w:r>
      <w:r w:rsidR="00362E51" w:rsidRPr="001F29E3">
        <w:t xml:space="preserve">ee for </w:t>
      </w:r>
      <w:r w:rsidR="001B2568" w:rsidRPr="001F29E3">
        <w:t>s</w:t>
      </w:r>
      <w:r w:rsidR="00362E51" w:rsidRPr="001F29E3">
        <w:t>ervice</w:t>
      </w:r>
      <w:r w:rsidR="00471FC1" w:rsidRPr="001F29E3">
        <w:t xml:space="preserve"> funding. Prior to 2012, these funded enrolments were allocated to government subsidised training.</w:t>
      </w:r>
      <w:bookmarkStart w:id="39" w:name="_Toc316542830"/>
      <w:bookmarkStart w:id="40" w:name="_Toc316629591"/>
      <w:bookmarkStart w:id="41" w:name="_Toc317173953"/>
      <w:bookmarkStart w:id="42" w:name="_Toc317174102"/>
      <w:bookmarkStart w:id="43" w:name="_Toc322454241"/>
      <w:bookmarkStart w:id="44" w:name="_Toc317173960"/>
      <w:bookmarkStart w:id="45" w:name="_Toc317174109"/>
      <w:r w:rsidR="00C91269">
        <w:br w:type="page"/>
      </w:r>
    </w:p>
    <w:p w:rsidR="00B377BB" w:rsidRDefault="00B377BB" w:rsidP="00B377BB">
      <w:pPr>
        <w:pStyle w:val="Heading1"/>
      </w:pPr>
      <w:bookmarkStart w:id="46" w:name="_Toc372613423"/>
      <w:r>
        <w:lastRenderedPageBreak/>
        <w:t>Vocational Training Summary</w:t>
      </w:r>
      <w:bookmarkEnd w:id="46"/>
    </w:p>
    <w:p w:rsidR="00EB0A1A" w:rsidRPr="001F29E3" w:rsidRDefault="0055106F" w:rsidP="00BB1E91">
      <w:pPr>
        <w:pStyle w:val="Heading2"/>
      </w:pPr>
      <w:bookmarkStart w:id="47" w:name="_Toc372613424"/>
      <w:r w:rsidRPr="001F29E3">
        <w:t>Vocational Training</w:t>
      </w:r>
      <w:r w:rsidR="00E32275" w:rsidRPr="001F29E3">
        <w:t xml:space="preserve"> by</w:t>
      </w:r>
      <w:r w:rsidRPr="001F29E3" w:rsidDel="00B03850">
        <w:t xml:space="preserve"> </w:t>
      </w:r>
      <w:r w:rsidR="00EB0A1A" w:rsidRPr="001F29E3">
        <w:t>Funding</w:t>
      </w:r>
      <w:r w:rsidR="00E32275" w:rsidRPr="001F29E3">
        <w:t xml:space="preserve"> Type</w:t>
      </w:r>
      <w:bookmarkEnd w:id="47"/>
    </w:p>
    <w:p w:rsidR="00B377BB" w:rsidRDefault="00B377BB" w:rsidP="007D276C"/>
    <w:p w:rsidR="00F72324" w:rsidRDefault="005E4EE6" w:rsidP="00D17AF1">
      <w:r w:rsidRPr="001F29E3">
        <w:t xml:space="preserve">This section provides an overview of training activity measured in terms of </w:t>
      </w:r>
      <w:r w:rsidR="00D37D95">
        <w:t xml:space="preserve">course </w:t>
      </w:r>
      <w:r w:rsidRPr="001F29E3">
        <w:t>enrolments, student contact hours and student numbers.</w:t>
      </w:r>
      <w:r w:rsidR="00F72324" w:rsidRPr="001F29E3">
        <w:t xml:space="preserve"> </w:t>
      </w:r>
    </w:p>
    <w:p w:rsidR="00757289" w:rsidRPr="001F29E3" w:rsidRDefault="00757289" w:rsidP="00F72324">
      <w:pPr>
        <w:rPr>
          <w:rFonts w:cs="Arial"/>
        </w:rPr>
      </w:pPr>
    </w:p>
    <w:tbl>
      <w:tblPr>
        <w:tblW w:w="4999" w:type="pct"/>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tblCellMar>
          <w:left w:w="0" w:type="dxa"/>
          <w:right w:w="0" w:type="dxa"/>
        </w:tblCellMar>
        <w:tblLook w:val="01E0" w:firstRow="1" w:lastRow="1" w:firstColumn="1" w:lastColumn="1" w:noHBand="0" w:noVBand="0"/>
      </w:tblPr>
      <w:tblGrid>
        <w:gridCol w:w="9086"/>
      </w:tblGrid>
      <w:tr w:rsidR="00757289" w:rsidRPr="001F29E3" w:rsidTr="00C40CAA">
        <w:trPr>
          <w:trHeight w:val="1782"/>
        </w:trPr>
        <w:tc>
          <w:tcPr>
            <w:tcW w:w="5000" w:type="pct"/>
          </w:tcPr>
          <w:p w:rsidR="00757289" w:rsidRPr="00581A9A" w:rsidRDefault="00757289" w:rsidP="00757289">
            <w:pPr>
              <w:pStyle w:val="Heading3"/>
            </w:pPr>
            <w:r w:rsidRPr="00581A9A">
              <w:t>Key Points</w:t>
            </w:r>
          </w:p>
          <w:p w:rsidR="00757289" w:rsidRPr="00581A9A" w:rsidRDefault="00757289" w:rsidP="00757289">
            <w:pPr>
              <w:pStyle w:val="ListBullet"/>
              <w:numPr>
                <w:ilvl w:val="0"/>
                <w:numId w:val="0"/>
              </w:numPr>
              <w:ind w:right="113"/>
              <w:rPr>
                <w:rFonts w:cs="Arial"/>
              </w:rPr>
            </w:pPr>
            <w:r w:rsidRPr="00581A9A">
              <w:rPr>
                <w:rFonts w:cs="Arial"/>
              </w:rPr>
              <w:t>The Q</w:t>
            </w:r>
            <w:r w:rsidR="00581A9A" w:rsidRPr="00581A9A">
              <w:rPr>
                <w:rFonts w:cs="Arial"/>
              </w:rPr>
              <w:t>3</w:t>
            </w:r>
            <w:r w:rsidRPr="00581A9A">
              <w:rPr>
                <w:rFonts w:cs="Arial"/>
              </w:rPr>
              <w:t xml:space="preserve"> 2013 data show</w:t>
            </w:r>
            <w:r w:rsidR="004E497D" w:rsidRPr="00581A9A">
              <w:rPr>
                <w:rFonts w:cs="Arial"/>
              </w:rPr>
              <w:t>s</w:t>
            </w:r>
            <w:r w:rsidRPr="00581A9A">
              <w:rPr>
                <w:rFonts w:cs="Arial"/>
              </w:rPr>
              <w:t xml:space="preserve"> that: </w:t>
            </w:r>
          </w:p>
          <w:p w:rsidR="00757289" w:rsidRPr="00581A9A" w:rsidRDefault="00C40CAA" w:rsidP="00757289">
            <w:pPr>
              <w:pStyle w:val="ListBullet"/>
              <w:numPr>
                <w:ilvl w:val="0"/>
                <w:numId w:val="13"/>
              </w:numPr>
              <w:ind w:left="397" w:right="113" w:hanging="284"/>
              <w:rPr>
                <w:rFonts w:cs="Arial"/>
              </w:rPr>
            </w:pPr>
            <w:r w:rsidRPr="00581A9A">
              <w:rPr>
                <w:rFonts w:cs="Arial"/>
              </w:rPr>
              <w:t>There</w:t>
            </w:r>
            <w:r w:rsidR="00757289" w:rsidRPr="00581A9A">
              <w:rPr>
                <w:rFonts w:cs="Arial"/>
              </w:rPr>
              <w:t xml:space="preserve"> were </w:t>
            </w:r>
            <w:r w:rsidR="00581A9A" w:rsidRPr="00581A9A">
              <w:rPr>
                <w:rFonts w:cs="Arial"/>
              </w:rPr>
              <w:t>529</w:t>
            </w:r>
            <w:r w:rsidR="00757289" w:rsidRPr="00581A9A">
              <w:rPr>
                <w:rFonts w:cs="Arial"/>
              </w:rPr>
              <w:t>,</w:t>
            </w:r>
            <w:r w:rsidR="00581A9A" w:rsidRPr="00581A9A">
              <w:rPr>
                <w:rFonts w:cs="Arial"/>
              </w:rPr>
              <w:t>9</w:t>
            </w:r>
            <w:r w:rsidR="00757289" w:rsidRPr="00581A9A">
              <w:rPr>
                <w:rFonts w:cs="Arial"/>
              </w:rPr>
              <w:t>00 government subsidised course enrolments, 1</w:t>
            </w:r>
            <w:r w:rsidR="00581A9A" w:rsidRPr="00581A9A">
              <w:rPr>
                <w:rFonts w:cs="Arial"/>
              </w:rPr>
              <w:t>60.3</w:t>
            </w:r>
            <w:r w:rsidR="00757289" w:rsidRPr="00581A9A">
              <w:rPr>
                <w:rFonts w:cs="Arial"/>
              </w:rPr>
              <w:t xml:space="preserve"> million government subsidised student contact hours and 3</w:t>
            </w:r>
            <w:r w:rsidR="00581A9A" w:rsidRPr="00581A9A">
              <w:rPr>
                <w:rFonts w:cs="Arial"/>
              </w:rPr>
              <w:t>96</w:t>
            </w:r>
            <w:r w:rsidR="00757289" w:rsidRPr="00581A9A">
              <w:rPr>
                <w:rFonts w:cs="Arial"/>
              </w:rPr>
              <w:t>,</w:t>
            </w:r>
            <w:r w:rsidR="00581A9A" w:rsidRPr="00581A9A">
              <w:rPr>
                <w:rFonts w:cs="Arial"/>
              </w:rPr>
              <w:t>9</w:t>
            </w:r>
            <w:r w:rsidR="00757289" w:rsidRPr="00581A9A">
              <w:rPr>
                <w:rFonts w:cs="Arial"/>
              </w:rPr>
              <w:t xml:space="preserve">00 government subsidised students. </w:t>
            </w:r>
          </w:p>
          <w:p w:rsidR="00757289" w:rsidRPr="004E0FA0" w:rsidRDefault="00757289" w:rsidP="00581A9A">
            <w:pPr>
              <w:pStyle w:val="ListBullet"/>
              <w:numPr>
                <w:ilvl w:val="0"/>
                <w:numId w:val="13"/>
              </w:numPr>
              <w:ind w:left="397" w:right="113" w:hanging="284"/>
              <w:rPr>
                <w:rFonts w:cs="Arial"/>
              </w:rPr>
            </w:pPr>
            <w:r w:rsidRPr="00581A9A">
              <w:rPr>
                <w:rFonts w:cs="Arial"/>
              </w:rPr>
              <w:t xml:space="preserve">TAFE domestic fee for service activity </w:t>
            </w:r>
            <w:r w:rsidR="00C40CAA" w:rsidRPr="00581A9A">
              <w:rPr>
                <w:rFonts w:cs="Arial"/>
              </w:rPr>
              <w:t xml:space="preserve">at Australian Qualification Framework (AQF) Level 1 and above recorded </w:t>
            </w:r>
            <w:r w:rsidR="00581A9A" w:rsidRPr="00581A9A">
              <w:rPr>
                <w:rFonts w:cs="Arial"/>
              </w:rPr>
              <w:t>88</w:t>
            </w:r>
            <w:r w:rsidRPr="00581A9A">
              <w:rPr>
                <w:rFonts w:cs="Arial"/>
              </w:rPr>
              <w:t>,</w:t>
            </w:r>
            <w:r w:rsidR="00581A9A" w:rsidRPr="00581A9A">
              <w:rPr>
                <w:rFonts w:cs="Arial"/>
              </w:rPr>
              <w:t>4</w:t>
            </w:r>
            <w:r w:rsidRPr="00581A9A">
              <w:rPr>
                <w:rFonts w:cs="Arial"/>
              </w:rPr>
              <w:t>00 enrolments, 1</w:t>
            </w:r>
            <w:r w:rsidR="00581A9A" w:rsidRPr="00581A9A">
              <w:rPr>
                <w:rFonts w:cs="Arial"/>
              </w:rPr>
              <w:t>6</w:t>
            </w:r>
            <w:r w:rsidRPr="00581A9A">
              <w:rPr>
                <w:rFonts w:cs="Arial"/>
              </w:rPr>
              <w:t>.</w:t>
            </w:r>
            <w:r w:rsidR="00581A9A" w:rsidRPr="00581A9A">
              <w:rPr>
                <w:rFonts w:cs="Arial"/>
              </w:rPr>
              <w:t>7</w:t>
            </w:r>
            <w:r w:rsidRPr="00581A9A">
              <w:rPr>
                <w:rFonts w:cs="Arial"/>
              </w:rPr>
              <w:t xml:space="preserve"> million student contact hours and </w:t>
            </w:r>
            <w:r w:rsidR="00581A9A" w:rsidRPr="00581A9A">
              <w:rPr>
                <w:rFonts w:cs="Arial"/>
              </w:rPr>
              <w:t>74</w:t>
            </w:r>
            <w:r w:rsidRPr="00581A9A">
              <w:rPr>
                <w:rFonts w:cs="Arial"/>
              </w:rPr>
              <w:t>,</w:t>
            </w:r>
            <w:r w:rsidR="00581A9A" w:rsidRPr="00581A9A">
              <w:rPr>
                <w:rFonts w:cs="Arial"/>
              </w:rPr>
              <w:t>9</w:t>
            </w:r>
            <w:r w:rsidRPr="00581A9A">
              <w:rPr>
                <w:rFonts w:cs="Arial"/>
              </w:rPr>
              <w:t>00 students.</w:t>
            </w:r>
          </w:p>
        </w:tc>
      </w:tr>
    </w:tbl>
    <w:p w:rsidR="00A903CB" w:rsidRDefault="00A903CB" w:rsidP="00A903CB"/>
    <w:p w:rsidR="005E4EE6" w:rsidRPr="001F29E3" w:rsidRDefault="005E4EE6" w:rsidP="00CB5563">
      <w:pPr>
        <w:pStyle w:val="Caption"/>
        <w:spacing w:after="0"/>
      </w:pPr>
      <w:proofErr w:type="gramStart"/>
      <w:r w:rsidRPr="001F29E3">
        <w:t>Table 1.</w:t>
      </w:r>
      <w:proofErr w:type="gramEnd"/>
      <w:r w:rsidR="008825B1">
        <w:fldChar w:fldCharType="begin"/>
      </w:r>
      <w:r w:rsidR="008825B1">
        <w:instrText xml:space="preserve"> SEQ Table \* ARABIC \s 1 </w:instrText>
      </w:r>
      <w:r w:rsidR="008825B1">
        <w:fldChar w:fldCharType="separate"/>
      </w:r>
      <w:r w:rsidR="00EB10C4">
        <w:rPr>
          <w:noProof/>
        </w:rPr>
        <w:t>1</w:t>
      </w:r>
      <w:r w:rsidR="008825B1">
        <w:rPr>
          <w:noProof/>
        </w:rPr>
        <w:fldChar w:fldCharType="end"/>
      </w:r>
      <w:r w:rsidR="00C45AD9">
        <w:rPr>
          <w:noProof/>
        </w:rPr>
        <w:t>.1</w:t>
      </w:r>
      <w:r w:rsidRPr="001F29E3">
        <w:t xml:space="preserve">: </w:t>
      </w:r>
      <w:r w:rsidR="0025400C">
        <w:t>Enrolments in v</w:t>
      </w:r>
      <w:r w:rsidR="0055106F" w:rsidRPr="001F29E3">
        <w:t xml:space="preserve">ocational </w:t>
      </w:r>
      <w:r w:rsidR="00221A72" w:rsidRPr="001F29E3">
        <w:t>t</w:t>
      </w:r>
      <w:r w:rsidR="0055106F" w:rsidRPr="001F29E3">
        <w:t>raining</w:t>
      </w:r>
      <w:r w:rsidRPr="001F29E3">
        <w:t xml:space="preserve"> by funding type, 2008–2012</w:t>
      </w:r>
    </w:p>
    <w:tbl>
      <w:tblPr>
        <w:tblW w:w="9400" w:type="dxa"/>
        <w:tblInd w:w="108" w:type="dxa"/>
        <w:tblLook w:val="04A0" w:firstRow="1" w:lastRow="0" w:firstColumn="1" w:lastColumn="0" w:noHBand="0" w:noVBand="1"/>
      </w:tblPr>
      <w:tblGrid>
        <w:gridCol w:w="2835"/>
        <w:gridCol w:w="965"/>
        <w:gridCol w:w="1120"/>
        <w:gridCol w:w="1120"/>
        <w:gridCol w:w="1120"/>
        <w:gridCol w:w="1120"/>
        <w:gridCol w:w="1120"/>
      </w:tblGrid>
      <w:tr w:rsidR="00A903CB" w:rsidRPr="00A903CB" w:rsidTr="005C5C90">
        <w:trPr>
          <w:trHeight w:val="762"/>
        </w:trPr>
        <w:tc>
          <w:tcPr>
            <w:tcW w:w="2835" w:type="dxa"/>
            <w:tcBorders>
              <w:left w:val="single" w:sz="4" w:space="0" w:color="5E8A00"/>
              <w:bottom w:val="single" w:sz="4" w:space="0" w:color="5E8A00"/>
            </w:tcBorders>
            <w:shd w:val="clear" w:color="000000" w:fill="5E8A00"/>
            <w:noWrap/>
            <w:vAlign w:val="center"/>
            <w:hideMark/>
          </w:tcPr>
          <w:p w:rsidR="00A903CB" w:rsidRPr="00A903CB" w:rsidRDefault="00A903CB" w:rsidP="00F034AF">
            <w:pPr>
              <w:spacing w:after="0" w:line="240" w:lineRule="auto"/>
              <w:ind w:firstLineChars="100" w:firstLine="201"/>
              <w:jc w:val="left"/>
              <w:rPr>
                <w:rFonts w:cs="Arial"/>
                <w:b/>
                <w:bCs/>
                <w:color w:val="FFFFFF"/>
                <w:sz w:val="20"/>
                <w:szCs w:val="20"/>
                <w:lang w:eastAsia="en-AU"/>
              </w:rPr>
            </w:pPr>
            <w:r w:rsidRPr="00A903CB">
              <w:rPr>
                <w:rFonts w:cs="Arial"/>
                <w:b/>
                <w:bCs/>
                <w:color w:val="FFFFFF"/>
                <w:sz w:val="20"/>
                <w:szCs w:val="20"/>
                <w:lang w:eastAsia="en-AU"/>
              </w:rPr>
              <w:t> </w:t>
            </w:r>
          </w:p>
        </w:tc>
        <w:tc>
          <w:tcPr>
            <w:tcW w:w="965" w:type="dxa"/>
            <w:tcBorders>
              <w:bottom w:val="single" w:sz="4" w:space="0" w:color="5E8A00"/>
            </w:tcBorders>
            <w:shd w:val="clear" w:color="000000" w:fill="5E8A00"/>
            <w:vAlign w:val="center"/>
            <w:hideMark/>
          </w:tcPr>
          <w:p w:rsidR="00A903CB" w:rsidRPr="00A903CB" w:rsidRDefault="00A903CB" w:rsidP="00F034AF">
            <w:pPr>
              <w:spacing w:after="0" w:line="240" w:lineRule="auto"/>
              <w:ind w:firstLineChars="100" w:firstLine="181"/>
              <w:jc w:val="right"/>
              <w:rPr>
                <w:rFonts w:cs="Arial"/>
                <w:b/>
                <w:bCs/>
                <w:color w:val="FFFFFF"/>
                <w:sz w:val="18"/>
                <w:szCs w:val="18"/>
                <w:lang w:eastAsia="en-AU"/>
              </w:rPr>
            </w:pPr>
            <w:r w:rsidRPr="00A903CB">
              <w:rPr>
                <w:rFonts w:cs="Arial"/>
                <w:b/>
                <w:bCs/>
                <w:color w:val="FFFFFF"/>
                <w:sz w:val="18"/>
                <w:szCs w:val="18"/>
                <w:lang w:eastAsia="en-AU"/>
              </w:rPr>
              <w:t>2008</w:t>
            </w:r>
          </w:p>
        </w:tc>
        <w:tc>
          <w:tcPr>
            <w:tcW w:w="1120" w:type="dxa"/>
            <w:tcBorders>
              <w:bottom w:val="single" w:sz="4" w:space="0" w:color="5E8A00"/>
            </w:tcBorders>
            <w:shd w:val="clear" w:color="000000" w:fill="5E8A00"/>
            <w:vAlign w:val="center"/>
            <w:hideMark/>
          </w:tcPr>
          <w:p w:rsidR="00A903CB" w:rsidRPr="00A903CB" w:rsidRDefault="00A903CB" w:rsidP="00F034AF">
            <w:pPr>
              <w:spacing w:after="0" w:line="240" w:lineRule="auto"/>
              <w:ind w:firstLineChars="100" w:firstLine="181"/>
              <w:jc w:val="right"/>
              <w:rPr>
                <w:rFonts w:cs="Arial"/>
                <w:b/>
                <w:bCs/>
                <w:color w:val="FFFFFF"/>
                <w:sz w:val="18"/>
                <w:szCs w:val="18"/>
                <w:lang w:eastAsia="en-AU"/>
              </w:rPr>
            </w:pPr>
            <w:r w:rsidRPr="00A903CB">
              <w:rPr>
                <w:rFonts w:cs="Arial"/>
                <w:b/>
                <w:bCs/>
                <w:color w:val="FFFFFF"/>
                <w:sz w:val="18"/>
                <w:szCs w:val="18"/>
                <w:lang w:eastAsia="en-AU"/>
              </w:rPr>
              <w:t>2009</w:t>
            </w:r>
          </w:p>
        </w:tc>
        <w:tc>
          <w:tcPr>
            <w:tcW w:w="1120" w:type="dxa"/>
            <w:tcBorders>
              <w:bottom w:val="single" w:sz="4" w:space="0" w:color="5E8A00"/>
            </w:tcBorders>
            <w:shd w:val="clear" w:color="000000" w:fill="5E8A00"/>
            <w:vAlign w:val="center"/>
            <w:hideMark/>
          </w:tcPr>
          <w:p w:rsidR="00A903CB" w:rsidRPr="00A903CB" w:rsidRDefault="00A903CB" w:rsidP="00F034AF">
            <w:pPr>
              <w:spacing w:after="0" w:line="240" w:lineRule="auto"/>
              <w:ind w:firstLineChars="100" w:firstLine="181"/>
              <w:jc w:val="right"/>
              <w:rPr>
                <w:rFonts w:cs="Arial"/>
                <w:b/>
                <w:bCs/>
                <w:color w:val="FFFFFF"/>
                <w:sz w:val="18"/>
                <w:szCs w:val="18"/>
                <w:lang w:eastAsia="en-AU"/>
              </w:rPr>
            </w:pPr>
            <w:r w:rsidRPr="00A903CB">
              <w:rPr>
                <w:rFonts w:cs="Arial"/>
                <w:b/>
                <w:bCs/>
                <w:color w:val="FFFFFF"/>
                <w:sz w:val="18"/>
                <w:szCs w:val="18"/>
                <w:lang w:eastAsia="en-AU"/>
              </w:rPr>
              <w:t>2010</w:t>
            </w:r>
          </w:p>
        </w:tc>
        <w:tc>
          <w:tcPr>
            <w:tcW w:w="1120" w:type="dxa"/>
            <w:tcBorders>
              <w:bottom w:val="single" w:sz="4" w:space="0" w:color="5E8A00"/>
            </w:tcBorders>
            <w:shd w:val="clear" w:color="000000" w:fill="5E8A00"/>
            <w:vAlign w:val="center"/>
            <w:hideMark/>
          </w:tcPr>
          <w:p w:rsidR="00A903CB" w:rsidRPr="00A903CB" w:rsidRDefault="00A903CB" w:rsidP="00F034AF">
            <w:pPr>
              <w:spacing w:after="0" w:line="240" w:lineRule="auto"/>
              <w:ind w:firstLineChars="100" w:firstLine="181"/>
              <w:jc w:val="right"/>
              <w:rPr>
                <w:rFonts w:cs="Arial"/>
                <w:b/>
                <w:bCs/>
                <w:color w:val="FFFFFF"/>
                <w:sz w:val="18"/>
                <w:szCs w:val="18"/>
                <w:lang w:eastAsia="en-AU"/>
              </w:rPr>
            </w:pPr>
            <w:r w:rsidRPr="00A903CB">
              <w:rPr>
                <w:rFonts w:cs="Arial"/>
                <w:b/>
                <w:bCs/>
                <w:color w:val="FFFFFF"/>
                <w:sz w:val="18"/>
                <w:szCs w:val="18"/>
                <w:lang w:eastAsia="en-AU"/>
              </w:rPr>
              <w:t>2011</w:t>
            </w:r>
          </w:p>
        </w:tc>
        <w:tc>
          <w:tcPr>
            <w:tcW w:w="1120" w:type="dxa"/>
            <w:tcBorders>
              <w:bottom w:val="single" w:sz="4" w:space="0" w:color="5E8A00"/>
            </w:tcBorders>
            <w:shd w:val="clear" w:color="000000" w:fill="5E8A00"/>
            <w:vAlign w:val="center"/>
            <w:hideMark/>
          </w:tcPr>
          <w:p w:rsidR="00A903CB" w:rsidRPr="00A903CB" w:rsidRDefault="00A903CB" w:rsidP="00F034AF">
            <w:pPr>
              <w:spacing w:after="0" w:line="240" w:lineRule="auto"/>
              <w:ind w:firstLineChars="100" w:firstLine="181"/>
              <w:jc w:val="right"/>
              <w:rPr>
                <w:rFonts w:cs="Arial"/>
                <w:b/>
                <w:bCs/>
                <w:color w:val="FFFFFF"/>
                <w:sz w:val="18"/>
                <w:szCs w:val="18"/>
                <w:lang w:eastAsia="en-AU"/>
              </w:rPr>
            </w:pPr>
            <w:r w:rsidRPr="00A903CB">
              <w:rPr>
                <w:rFonts w:cs="Arial"/>
                <w:b/>
                <w:bCs/>
                <w:color w:val="FFFFFF"/>
                <w:sz w:val="18"/>
                <w:szCs w:val="18"/>
                <w:lang w:eastAsia="en-AU"/>
              </w:rPr>
              <w:t>2012</w:t>
            </w:r>
          </w:p>
        </w:tc>
        <w:tc>
          <w:tcPr>
            <w:tcW w:w="1120" w:type="dxa"/>
            <w:tcBorders>
              <w:bottom w:val="single" w:sz="4" w:space="0" w:color="5E8A00"/>
              <w:right w:val="single" w:sz="4" w:space="0" w:color="5E8A00"/>
            </w:tcBorders>
            <w:shd w:val="clear" w:color="000000" w:fill="5E8A00"/>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change</w:t>
            </w:r>
            <w:r w:rsidRPr="00A903CB">
              <w:rPr>
                <w:rFonts w:cs="Arial"/>
                <w:b/>
                <w:bCs/>
                <w:color w:val="FFFFFF"/>
                <w:sz w:val="18"/>
                <w:szCs w:val="18"/>
                <w:lang w:eastAsia="en-AU"/>
              </w:rPr>
              <w:br/>
              <w:t>2008-2012</w:t>
            </w:r>
          </w:p>
        </w:tc>
      </w:tr>
      <w:tr w:rsidR="00A903CB" w:rsidRPr="00A903CB" w:rsidTr="0069078C">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bottom"/>
            <w:hideMark/>
          </w:tcPr>
          <w:p w:rsidR="00A903CB" w:rsidRPr="00A903CB" w:rsidRDefault="0069078C" w:rsidP="00A903CB">
            <w:pPr>
              <w:spacing w:after="0" w:line="240" w:lineRule="auto"/>
              <w:jc w:val="left"/>
              <w:rPr>
                <w:rFonts w:cs="Arial"/>
                <w:color w:val="3E5B00"/>
                <w:sz w:val="18"/>
                <w:szCs w:val="18"/>
                <w:lang w:eastAsia="en-AU"/>
              </w:rPr>
            </w:pPr>
            <w:r>
              <w:rPr>
                <w:rFonts w:cs="Arial"/>
                <w:color w:val="3E5B00"/>
                <w:sz w:val="18"/>
                <w:szCs w:val="18"/>
                <w:lang w:eastAsia="en-AU"/>
              </w:rPr>
              <w:t>Government sub</w:t>
            </w:r>
            <w:r w:rsidR="00A903CB" w:rsidRPr="00A903CB">
              <w:rPr>
                <w:rFonts w:cs="Arial"/>
                <w:color w:val="3E5B00"/>
                <w:sz w:val="18"/>
                <w:szCs w:val="18"/>
                <w:lang w:eastAsia="en-AU"/>
              </w:rPr>
              <w:t>sidised</w:t>
            </w:r>
          </w:p>
        </w:tc>
        <w:tc>
          <w:tcPr>
            <w:tcW w:w="965"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381,300 </w:t>
            </w:r>
          </w:p>
        </w:tc>
        <w:tc>
          <w:tcPr>
            <w:tcW w:w="1120"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376,800 </w:t>
            </w:r>
          </w:p>
        </w:tc>
        <w:tc>
          <w:tcPr>
            <w:tcW w:w="1120"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426,900 </w:t>
            </w:r>
          </w:p>
        </w:tc>
        <w:tc>
          <w:tcPr>
            <w:tcW w:w="1120"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548,700 </w:t>
            </w:r>
          </w:p>
        </w:tc>
        <w:tc>
          <w:tcPr>
            <w:tcW w:w="1120"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670,400 </w:t>
            </w:r>
          </w:p>
        </w:tc>
        <w:tc>
          <w:tcPr>
            <w:tcW w:w="1120" w:type="dxa"/>
            <w:tcBorders>
              <w:top w:val="nil"/>
              <w:left w:val="nil"/>
              <w:bottom w:val="single" w:sz="4" w:space="0" w:color="5E8A00"/>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76%</w:t>
            </w:r>
          </w:p>
        </w:tc>
      </w:tr>
      <w:tr w:rsidR="00A903CB" w:rsidRPr="00A903CB" w:rsidTr="005C5C90">
        <w:trPr>
          <w:trHeight w:hRule="exact" w:val="284"/>
        </w:trPr>
        <w:tc>
          <w:tcPr>
            <w:tcW w:w="2835" w:type="dxa"/>
            <w:tcBorders>
              <w:top w:val="nil"/>
              <w:left w:val="single" w:sz="4" w:space="0" w:color="5E8A00"/>
              <w:right w:val="single" w:sz="4" w:space="0" w:color="5E8A00"/>
            </w:tcBorders>
            <w:shd w:val="clear" w:color="000000" w:fill="FFFFFF"/>
            <w:noWrap/>
            <w:vAlign w:val="bottom"/>
            <w:hideMark/>
          </w:tcPr>
          <w:p w:rsidR="00A903CB" w:rsidRPr="00A903CB" w:rsidRDefault="00A903CB" w:rsidP="00A903CB">
            <w:pPr>
              <w:spacing w:after="0" w:line="240" w:lineRule="auto"/>
              <w:jc w:val="left"/>
              <w:rPr>
                <w:rFonts w:cs="Arial"/>
                <w:color w:val="3E5B00"/>
                <w:sz w:val="18"/>
                <w:szCs w:val="18"/>
                <w:lang w:eastAsia="en-AU"/>
              </w:rPr>
            </w:pPr>
            <w:r w:rsidRPr="00A903CB">
              <w:rPr>
                <w:rFonts w:cs="Arial"/>
                <w:color w:val="3E5B00"/>
                <w:sz w:val="18"/>
                <w:szCs w:val="18"/>
                <w:lang w:eastAsia="en-AU"/>
              </w:rPr>
              <w:t>TAFE domestic fee for service*</w:t>
            </w:r>
          </w:p>
        </w:tc>
        <w:tc>
          <w:tcPr>
            <w:tcW w:w="965"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89,400 </w:t>
            </w:r>
          </w:p>
        </w:tc>
        <w:tc>
          <w:tcPr>
            <w:tcW w:w="1120"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100,800 </w:t>
            </w:r>
          </w:p>
        </w:tc>
        <w:tc>
          <w:tcPr>
            <w:tcW w:w="1120"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103,700 </w:t>
            </w:r>
          </w:p>
        </w:tc>
        <w:tc>
          <w:tcPr>
            <w:tcW w:w="1120"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102,200 </w:t>
            </w:r>
          </w:p>
        </w:tc>
        <w:tc>
          <w:tcPr>
            <w:tcW w:w="1120"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 xml:space="preserve">124,900 </w:t>
            </w:r>
          </w:p>
        </w:tc>
        <w:tc>
          <w:tcPr>
            <w:tcW w:w="1120" w:type="dxa"/>
            <w:tcBorders>
              <w:top w:val="nil"/>
              <w:left w:val="nil"/>
              <w:right w:val="single" w:sz="4" w:space="0" w:color="5E8A00"/>
            </w:tcBorders>
            <w:shd w:val="clear" w:color="auto" w:fill="auto"/>
            <w:noWrap/>
            <w:vAlign w:val="center"/>
            <w:hideMark/>
          </w:tcPr>
          <w:p w:rsidR="00A903CB" w:rsidRPr="00A903CB" w:rsidRDefault="00A903CB" w:rsidP="00A903CB">
            <w:pPr>
              <w:spacing w:after="0" w:line="240" w:lineRule="auto"/>
              <w:jc w:val="right"/>
              <w:rPr>
                <w:rFonts w:cs="Arial"/>
                <w:sz w:val="18"/>
                <w:szCs w:val="18"/>
                <w:lang w:eastAsia="en-AU"/>
              </w:rPr>
            </w:pPr>
            <w:r w:rsidRPr="00A903CB">
              <w:rPr>
                <w:rFonts w:cs="Arial"/>
                <w:sz w:val="18"/>
                <w:szCs w:val="18"/>
                <w:lang w:eastAsia="en-AU"/>
              </w:rPr>
              <w:t>40%</w:t>
            </w:r>
          </w:p>
        </w:tc>
      </w:tr>
      <w:tr w:rsidR="00A903CB" w:rsidRPr="00A903CB" w:rsidTr="005C5C90">
        <w:trPr>
          <w:trHeight w:hRule="exact" w:val="284"/>
        </w:trPr>
        <w:tc>
          <w:tcPr>
            <w:tcW w:w="2835" w:type="dxa"/>
            <w:tcBorders>
              <w:left w:val="single" w:sz="4" w:space="0" w:color="5E8A00"/>
              <w:bottom w:val="nil"/>
            </w:tcBorders>
            <w:shd w:val="clear" w:color="000000" w:fill="5E8A00"/>
            <w:noWrap/>
            <w:vAlign w:val="bottom"/>
            <w:hideMark/>
          </w:tcPr>
          <w:p w:rsidR="00A903CB" w:rsidRPr="00A903CB" w:rsidRDefault="00A903CB" w:rsidP="00A903CB">
            <w:pPr>
              <w:spacing w:after="0" w:line="240" w:lineRule="auto"/>
              <w:jc w:val="left"/>
              <w:rPr>
                <w:rFonts w:cs="Arial"/>
                <w:b/>
                <w:bCs/>
                <w:color w:val="FFFFFF"/>
                <w:sz w:val="18"/>
                <w:szCs w:val="18"/>
                <w:lang w:eastAsia="en-AU"/>
              </w:rPr>
            </w:pPr>
            <w:r w:rsidRPr="00A903CB">
              <w:rPr>
                <w:rFonts w:cs="Arial"/>
                <w:b/>
                <w:bCs/>
                <w:color w:val="FFFFFF"/>
                <w:sz w:val="18"/>
                <w:szCs w:val="18"/>
                <w:lang w:eastAsia="en-AU"/>
              </w:rPr>
              <w:t>Total</w:t>
            </w:r>
          </w:p>
        </w:tc>
        <w:tc>
          <w:tcPr>
            <w:tcW w:w="965" w:type="dxa"/>
            <w:tcBorders>
              <w:bottom w:val="nil"/>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xml:space="preserve">470,700 </w:t>
            </w:r>
          </w:p>
        </w:tc>
        <w:tc>
          <w:tcPr>
            <w:tcW w:w="1120" w:type="dxa"/>
            <w:tcBorders>
              <w:bottom w:val="nil"/>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xml:space="preserve">477,600 </w:t>
            </w:r>
          </w:p>
        </w:tc>
        <w:tc>
          <w:tcPr>
            <w:tcW w:w="1120" w:type="dxa"/>
            <w:tcBorders>
              <w:bottom w:val="nil"/>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xml:space="preserve">530,600 </w:t>
            </w:r>
          </w:p>
        </w:tc>
        <w:tc>
          <w:tcPr>
            <w:tcW w:w="1120" w:type="dxa"/>
            <w:tcBorders>
              <w:bottom w:val="nil"/>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xml:space="preserve">650,900 </w:t>
            </w:r>
          </w:p>
        </w:tc>
        <w:tc>
          <w:tcPr>
            <w:tcW w:w="1120" w:type="dxa"/>
            <w:tcBorders>
              <w:bottom w:val="nil"/>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 xml:space="preserve">795,300 </w:t>
            </w:r>
          </w:p>
        </w:tc>
        <w:tc>
          <w:tcPr>
            <w:tcW w:w="1120" w:type="dxa"/>
            <w:tcBorders>
              <w:bottom w:val="single" w:sz="4" w:space="0" w:color="5E8A00"/>
              <w:right w:val="single" w:sz="4" w:space="0" w:color="5E8A00"/>
            </w:tcBorders>
            <w:shd w:val="clear" w:color="000000" w:fill="5E8A00"/>
            <w:noWrap/>
            <w:vAlign w:val="center"/>
            <w:hideMark/>
          </w:tcPr>
          <w:p w:rsidR="00A903CB" w:rsidRPr="00A903CB" w:rsidRDefault="00A903CB" w:rsidP="00A903CB">
            <w:pPr>
              <w:spacing w:after="0" w:line="240" w:lineRule="auto"/>
              <w:jc w:val="right"/>
              <w:rPr>
                <w:rFonts w:cs="Arial"/>
                <w:b/>
                <w:bCs/>
                <w:color w:val="FFFFFF"/>
                <w:sz w:val="18"/>
                <w:szCs w:val="18"/>
                <w:lang w:eastAsia="en-AU"/>
              </w:rPr>
            </w:pPr>
            <w:r w:rsidRPr="00A903CB">
              <w:rPr>
                <w:rFonts w:cs="Arial"/>
                <w:b/>
                <w:bCs/>
                <w:color w:val="FFFFFF"/>
                <w:sz w:val="18"/>
                <w:szCs w:val="18"/>
                <w:lang w:eastAsia="en-AU"/>
              </w:rPr>
              <w:t>69%</w:t>
            </w:r>
          </w:p>
        </w:tc>
      </w:tr>
    </w:tbl>
    <w:p w:rsidR="00DB72B4" w:rsidRPr="001F29E3" w:rsidRDefault="008F0BCF" w:rsidP="00DB72B4">
      <w:pPr>
        <w:spacing w:after="0" w:line="240" w:lineRule="auto"/>
        <w:rPr>
          <w:rFonts w:cs="Arial"/>
          <w:sz w:val="16"/>
          <w:szCs w:val="16"/>
        </w:rPr>
      </w:pPr>
      <w:r>
        <w:rPr>
          <w:rFonts w:cs="Arial"/>
          <w:sz w:val="16"/>
          <w:szCs w:val="16"/>
        </w:rPr>
        <w:t xml:space="preserve">* </w:t>
      </w:r>
      <w:r w:rsidR="00DB72B4" w:rsidRPr="001F29E3">
        <w:rPr>
          <w:rFonts w:cs="Arial"/>
          <w:sz w:val="16"/>
          <w:szCs w:val="16"/>
        </w:rPr>
        <w:t>Fee for Service figures are TAFE on-shore domestic AQF</w:t>
      </w:r>
      <w:r w:rsidR="00891A33">
        <w:rPr>
          <w:rFonts w:cs="Arial"/>
          <w:sz w:val="16"/>
          <w:szCs w:val="16"/>
        </w:rPr>
        <w:t xml:space="preserve"> Level </w:t>
      </w:r>
      <w:r w:rsidR="00DB72B4" w:rsidRPr="001F29E3">
        <w:rPr>
          <w:rFonts w:cs="Arial"/>
          <w:sz w:val="16"/>
          <w:szCs w:val="16"/>
        </w:rPr>
        <w:t>1</w:t>
      </w:r>
      <w:r w:rsidR="00891A33">
        <w:rPr>
          <w:rFonts w:cs="Arial"/>
          <w:sz w:val="16"/>
          <w:szCs w:val="16"/>
        </w:rPr>
        <w:t xml:space="preserve"> and above</w:t>
      </w:r>
      <w:r w:rsidR="00DB72B4" w:rsidRPr="001F29E3">
        <w:rPr>
          <w:rFonts w:cs="Arial"/>
          <w:sz w:val="16"/>
          <w:szCs w:val="16"/>
        </w:rPr>
        <w:t>.</w:t>
      </w:r>
    </w:p>
    <w:p w:rsidR="00494F1F" w:rsidRDefault="00494F1F" w:rsidP="00064D9F">
      <w:pPr>
        <w:pStyle w:val="Caption"/>
        <w:rPr>
          <w:rFonts w:cs="Arial"/>
        </w:rPr>
      </w:pPr>
    </w:p>
    <w:p w:rsidR="00064D9F" w:rsidRPr="001F29E3" w:rsidRDefault="00064D9F" w:rsidP="00CB5563">
      <w:pPr>
        <w:pStyle w:val="Caption"/>
        <w:spacing w:after="0"/>
        <w:rPr>
          <w:rFonts w:cs="Arial"/>
        </w:rPr>
      </w:pPr>
      <w:proofErr w:type="gramStart"/>
      <w:r w:rsidRPr="001F29E3">
        <w:rPr>
          <w:rFonts w:cs="Arial"/>
        </w:rPr>
        <w:t>Table 1.</w:t>
      </w:r>
      <w:r w:rsidR="00C45AD9">
        <w:rPr>
          <w:rFonts w:cs="Arial"/>
        </w:rPr>
        <w:t>1.</w:t>
      </w:r>
      <w:proofErr w:type="gramEnd"/>
      <w:r w:rsidRPr="001F29E3">
        <w:rPr>
          <w:rFonts w:cs="Arial"/>
        </w:rPr>
        <w:fldChar w:fldCharType="begin"/>
      </w:r>
      <w:r w:rsidRPr="001F29E3">
        <w:rPr>
          <w:rFonts w:cs="Arial"/>
        </w:rPr>
        <w:instrText xml:space="preserve"> SEQ Table \* ARABIC \s 1 </w:instrText>
      </w:r>
      <w:r w:rsidRPr="001F29E3">
        <w:rPr>
          <w:rFonts w:cs="Arial"/>
        </w:rPr>
        <w:fldChar w:fldCharType="separate"/>
      </w:r>
      <w:r w:rsidR="00EB10C4">
        <w:rPr>
          <w:rFonts w:cs="Arial"/>
          <w:noProof/>
        </w:rPr>
        <w:t>2</w:t>
      </w:r>
      <w:r w:rsidRPr="001F29E3">
        <w:rPr>
          <w:rFonts w:cs="Arial"/>
          <w:noProof/>
        </w:rPr>
        <w:fldChar w:fldCharType="end"/>
      </w:r>
      <w:r w:rsidRPr="001F29E3">
        <w:rPr>
          <w:rFonts w:cs="Arial"/>
        </w:rPr>
        <w:t xml:space="preserve">: </w:t>
      </w:r>
      <w:r w:rsidR="0025400C">
        <w:t>Enrolments in v</w:t>
      </w:r>
      <w:r w:rsidR="0025400C" w:rsidRPr="001F29E3">
        <w:t>ocational training by funding type</w:t>
      </w:r>
      <w:r w:rsidRPr="001F29E3">
        <w:rPr>
          <w:rFonts w:cs="Arial"/>
        </w:rPr>
        <w:t xml:space="preserve">, </w:t>
      </w:r>
      <w:r w:rsidR="00A6569A">
        <w:rPr>
          <w:rFonts w:cs="Arial"/>
        </w:rPr>
        <w:t>Q</w:t>
      </w:r>
      <w:r w:rsidR="00377638">
        <w:rPr>
          <w:rFonts w:cs="Arial"/>
        </w:rPr>
        <w:t>3</w:t>
      </w:r>
      <w:r w:rsidR="00A6569A">
        <w:rPr>
          <w:rFonts w:cs="Arial"/>
        </w:rPr>
        <w:t xml:space="preserve"> 2011, </w:t>
      </w:r>
      <w:r w:rsidR="00A6569A" w:rsidRPr="001F29E3">
        <w:rPr>
          <w:rFonts w:cs="Arial"/>
        </w:rPr>
        <w:t>Q</w:t>
      </w:r>
      <w:r w:rsidR="00377638">
        <w:rPr>
          <w:rFonts w:cs="Arial"/>
        </w:rPr>
        <w:t>3</w:t>
      </w:r>
      <w:r w:rsidR="00A6569A" w:rsidRPr="001F29E3">
        <w:rPr>
          <w:rFonts w:cs="Arial"/>
        </w:rPr>
        <w:t xml:space="preserve"> 2012 and Q</w:t>
      </w:r>
      <w:r w:rsidR="00377638">
        <w:rPr>
          <w:rFonts w:cs="Arial"/>
        </w:rPr>
        <w:t>3</w:t>
      </w:r>
      <w:r w:rsidR="00A6569A" w:rsidRPr="001F29E3">
        <w:rPr>
          <w:rFonts w:cs="Arial"/>
        </w:rPr>
        <w:t xml:space="preserve"> 2013</w:t>
      </w:r>
    </w:p>
    <w:tbl>
      <w:tblPr>
        <w:tblW w:w="8685" w:type="dxa"/>
        <w:tblInd w:w="108" w:type="dxa"/>
        <w:tblLayout w:type="fixed"/>
        <w:tblLook w:val="04A0" w:firstRow="1" w:lastRow="0" w:firstColumn="1" w:lastColumn="0" w:noHBand="0" w:noVBand="1"/>
      </w:tblPr>
      <w:tblGrid>
        <w:gridCol w:w="2961"/>
        <w:gridCol w:w="1117"/>
        <w:gridCol w:w="1117"/>
        <w:gridCol w:w="1117"/>
        <w:gridCol w:w="1103"/>
        <w:gridCol w:w="1270"/>
      </w:tblGrid>
      <w:tr w:rsidR="00377638" w:rsidRPr="00377638" w:rsidTr="00377638">
        <w:trPr>
          <w:trHeight w:hRule="exact" w:val="760"/>
        </w:trPr>
        <w:tc>
          <w:tcPr>
            <w:tcW w:w="2961"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377638" w:rsidRPr="00377638" w:rsidRDefault="00377638" w:rsidP="00377638">
            <w:pPr>
              <w:spacing w:after="0" w:line="240" w:lineRule="auto"/>
              <w:ind w:left="72" w:firstLineChars="100" w:firstLine="181"/>
              <w:jc w:val="left"/>
              <w:rPr>
                <w:rFonts w:cs="Arial"/>
                <w:b/>
                <w:bCs/>
                <w:color w:val="FFFFFF"/>
                <w:sz w:val="18"/>
                <w:szCs w:val="18"/>
                <w:lang w:eastAsia="en-AU"/>
              </w:rPr>
            </w:pPr>
            <w:r w:rsidRPr="00377638">
              <w:rPr>
                <w:rFonts w:cs="Arial"/>
                <w:b/>
                <w:bCs/>
                <w:color w:val="FFFFFF"/>
                <w:sz w:val="18"/>
                <w:szCs w:val="18"/>
                <w:lang w:eastAsia="en-AU"/>
              </w:rPr>
              <w:t> </w:t>
            </w:r>
          </w:p>
        </w:tc>
        <w:tc>
          <w:tcPr>
            <w:tcW w:w="1117" w:type="dxa"/>
            <w:tcBorders>
              <w:top w:val="single" w:sz="4" w:space="0" w:color="5E8A00"/>
              <w:left w:val="nil"/>
              <w:bottom w:val="single" w:sz="4" w:space="0" w:color="5E8A00"/>
              <w:right w:val="single" w:sz="4" w:space="0" w:color="5E8A00"/>
            </w:tcBorders>
            <w:shd w:val="clear" w:color="000000" w:fill="5E8A00"/>
            <w:vAlign w:val="center"/>
            <w:hideMark/>
          </w:tcPr>
          <w:p w:rsidR="00377638" w:rsidRPr="00377638" w:rsidRDefault="00377638" w:rsidP="00377638">
            <w:pPr>
              <w:spacing w:after="0" w:line="240" w:lineRule="auto"/>
              <w:ind w:firstLineChars="100" w:firstLine="181"/>
              <w:jc w:val="right"/>
              <w:rPr>
                <w:rFonts w:cs="Arial"/>
                <w:b/>
                <w:bCs/>
                <w:color w:val="FFFFFF"/>
                <w:sz w:val="18"/>
                <w:szCs w:val="18"/>
                <w:lang w:eastAsia="en-AU"/>
              </w:rPr>
            </w:pPr>
            <w:r w:rsidRPr="00377638">
              <w:rPr>
                <w:rFonts w:cs="Arial"/>
                <w:b/>
                <w:bCs/>
                <w:color w:val="FFFFFF"/>
                <w:sz w:val="18"/>
                <w:szCs w:val="18"/>
                <w:lang w:eastAsia="en-AU"/>
              </w:rPr>
              <w:t>Q3 2011</w:t>
            </w:r>
          </w:p>
        </w:tc>
        <w:tc>
          <w:tcPr>
            <w:tcW w:w="1117" w:type="dxa"/>
            <w:tcBorders>
              <w:top w:val="single" w:sz="4" w:space="0" w:color="5E8A00"/>
              <w:left w:val="nil"/>
              <w:bottom w:val="single" w:sz="4" w:space="0" w:color="5E8A00"/>
              <w:right w:val="single" w:sz="4" w:space="0" w:color="5E8A00"/>
            </w:tcBorders>
            <w:shd w:val="clear" w:color="000000" w:fill="5E8A00"/>
            <w:vAlign w:val="center"/>
            <w:hideMark/>
          </w:tcPr>
          <w:p w:rsidR="00377638" w:rsidRPr="00377638" w:rsidRDefault="00377638" w:rsidP="00377638">
            <w:pPr>
              <w:spacing w:after="0" w:line="240" w:lineRule="auto"/>
              <w:ind w:firstLineChars="100" w:firstLine="181"/>
              <w:jc w:val="right"/>
              <w:rPr>
                <w:rFonts w:cs="Arial"/>
                <w:b/>
                <w:bCs/>
                <w:color w:val="FFFFFF"/>
                <w:sz w:val="18"/>
                <w:szCs w:val="18"/>
                <w:lang w:eastAsia="en-AU"/>
              </w:rPr>
            </w:pPr>
            <w:r w:rsidRPr="00377638">
              <w:rPr>
                <w:rFonts w:cs="Arial"/>
                <w:b/>
                <w:bCs/>
                <w:color w:val="FFFFFF"/>
                <w:sz w:val="18"/>
                <w:szCs w:val="18"/>
                <w:lang w:eastAsia="en-AU"/>
              </w:rPr>
              <w:t>Q3 2012</w:t>
            </w:r>
          </w:p>
        </w:tc>
        <w:tc>
          <w:tcPr>
            <w:tcW w:w="1117" w:type="dxa"/>
            <w:tcBorders>
              <w:top w:val="single" w:sz="4" w:space="0" w:color="5E8A00"/>
              <w:left w:val="nil"/>
              <w:bottom w:val="single" w:sz="4" w:space="0" w:color="5E8A00"/>
              <w:right w:val="single" w:sz="4" w:space="0" w:color="5E8A00"/>
            </w:tcBorders>
            <w:shd w:val="clear" w:color="000000" w:fill="5E8A00"/>
            <w:vAlign w:val="center"/>
            <w:hideMark/>
          </w:tcPr>
          <w:p w:rsidR="00377638" w:rsidRPr="00377638" w:rsidRDefault="00377638" w:rsidP="00377638">
            <w:pPr>
              <w:spacing w:after="0" w:line="240" w:lineRule="auto"/>
              <w:ind w:firstLineChars="100" w:firstLine="181"/>
              <w:jc w:val="right"/>
              <w:rPr>
                <w:rFonts w:cs="Arial"/>
                <w:b/>
                <w:bCs/>
                <w:color w:val="FFFFFF"/>
                <w:sz w:val="18"/>
                <w:szCs w:val="18"/>
                <w:lang w:eastAsia="en-AU"/>
              </w:rPr>
            </w:pPr>
            <w:r w:rsidRPr="00377638">
              <w:rPr>
                <w:rFonts w:cs="Arial"/>
                <w:b/>
                <w:bCs/>
                <w:color w:val="FFFFFF"/>
                <w:sz w:val="18"/>
                <w:szCs w:val="18"/>
                <w:lang w:eastAsia="en-AU"/>
              </w:rPr>
              <w:t>Q3 2013</w:t>
            </w:r>
          </w:p>
        </w:tc>
        <w:tc>
          <w:tcPr>
            <w:tcW w:w="1103" w:type="dxa"/>
            <w:tcBorders>
              <w:top w:val="single" w:sz="4" w:space="0" w:color="5E8A00"/>
              <w:left w:val="nil"/>
              <w:bottom w:val="single" w:sz="4" w:space="0" w:color="5E8A00"/>
              <w:right w:val="single" w:sz="4" w:space="0" w:color="5E8A00"/>
            </w:tcBorders>
            <w:shd w:val="clear" w:color="000000" w:fill="5E8A00"/>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 change</w:t>
            </w:r>
            <w:r w:rsidRPr="00377638">
              <w:rPr>
                <w:rFonts w:cs="Arial"/>
                <w:b/>
                <w:bCs/>
                <w:color w:val="FFFFFF"/>
                <w:sz w:val="18"/>
                <w:szCs w:val="18"/>
                <w:lang w:eastAsia="en-AU"/>
              </w:rPr>
              <w:br/>
              <w:t>Q3 2011-Q3 2013 </w:t>
            </w:r>
          </w:p>
        </w:tc>
        <w:tc>
          <w:tcPr>
            <w:tcW w:w="1270" w:type="dxa"/>
            <w:tcBorders>
              <w:top w:val="single" w:sz="4" w:space="0" w:color="5E8A00"/>
              <w:left w:val="nil"/>
              <w:bottom w:val="single" w:sz="4" w:space="0" w:color="5E8A00"/>
              <w:right w:val="single" w:sz="4" w:space="0" w:color="5E8A00"/>
            </w:tcBorders>
            <w:shd w:val="clear" w:color="000000" w:fill="5E8A00"/>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 change</w:t>
            </w:r>
            <w:r w:rsidRPr="00377638">
              <w:rPr>
                <w:rFonts w:cs="Arial"/>
                <w:b/>
                <w:bCs/>
                <w:color w:val="FFFFFF"/>
                <w:sz w:val="18"/>
                <w:szCs w:val="18"/>
                <w:lang w:eastAsia="en-AU"/>
              </w:rPr>
              <w:br/>
              <w:t>Q3 2012-Q3 2013 </w:t>
            </w:r>
          </w:p>
        </w:tc>
      </w:tr>
      <w:tr w:rsidR="00377638" w:rsidRPr="00377638" w:rsidTr="00377638">
        <w:trPr>
          <w:trHeight w:hRule="exact" w:val="284"/>
        </w:trPr>
        <w:tc>
          <w:tcPr>
            <w:tcW w:w="2961" w:type="dxa"/>
            <w:tcBorders>
              <w:top w:val="nil"/>
              <w:left w:val="single" w:sz="4" w:space="0" w:color="5E8A00"/>
              <w:bottom w:val="single" w:sz="4" w:space="0" w:color="5E8A00"/>
              <w:right w:val="single" w:sz="4" w:space="0" w:color="5E8A00"/>
            </w:tcBorders>
            <w:shd w:val="clear" w:color="000000" w:fill="FFFFFF"/>
            <w:noWrap/>
            <w:vAlign w:val="bottom"/>
            <w:hideMark/>
          </w:tcPr>
          <w:p w:rsidR="00377638" w:rsidRPr="00377638" w:rsidRDefault="00377638" w:rsidP="00377638">
            <w:pPr>
              <w:spacing w:after="0" w:line="240" w:lineRule="auto"/>
              <w:jc w:val="left"/>
              <w:rPr>
                <w:rFonts w:cs="Arial"/>
                <w:color w:val="3E5B00"/>
                <w:sz w:val="18"/>
                <w:szCs w:val="18"/>
                <w:lang w:eastAsia="en-AU"/>
              </w:rPr>
            </w:pPr>
            <w:r w:rsidRPr="00377638">
              <w:rPr>
                <w:rFonts w:cs="Arial"/>
                <w:color w:val="3E5B00"/>
                <w:sz w:val="18"/>
                <w:szCs w:val="18"/>
                <w:lang w:eastAsia="en-AU"/>
              </w:rPr>
              <w:t>Government subsidised</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436,800 </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579,700 </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529,900 </w:t>
            </w:r>
          </w:p>
        </w:tc>
        <w:tc>
          <w:tcPr>
            <w:tcW w:w="1103"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21%</w:t>
            </w:r>
          </w:p>
        </w:tc>
        <w:tc>
          <w:tcPr>
            <w:tcW w:w="1270"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-9%</w:t>
            </w:r>
          </w:p>
        </w:tc>
      </w:tr>
      <w:tr w:rsidR="00377638" w:rsidRPr="00377638" w:rsidTr="00377638">
        <w:trPr>
          <w:trHeight w:hRule="exact" w:val="284"/>
        </w:trPr>
        <w:tc>
          <w:tcPr>
            <w:tcW w:w="2961" w:type="dxa"/>
            <w:tcBorders>
              <w:top w:val="nil"/>
              <w:left w:val="single" w:sz="4" w:space="0" w:color="5E8A00"/>
              <w:bottom w:val="single" w:sz="4" w:space="0" w:color="5E8A00"/>
              <w:right w:val="single" w:sz="4" w:space="0" w:color="5E8A00"/>
            </w:tcBorders>
            <w:shd w:val="clear" w:color="000000" w:fill="FFFFFF"/>
            <w:noWrap/>
            <w:vAlign w:val="bottom"/>
            <w:hideMark/>
          </w:tcPr>
          <w:p w:rsidR="00377638" w:rsidRPr="00377638" w:rsidRDefault="00377638" w:rsidP="00377638">
            <w:pPr>
              <w:spacing w:after="0" w:line="240" w:lineRule="auto"/>
              <w:jc w:val="left"/>
              <w:rPr>
                <w:rFonts w:cs="Arial"/>
                <w:color w:val="3E5B00"/>
                <w:sz w:val="18"/>
                <w:szCs w:val="18"/>
                <w:lang w:eastAsia="en-AU"/>
              </w:rPr>
            </w:pPr>
            <w:r w:rsidRPr="00377638">
              <w:rPr>
                <w:rFonts w:cs="Arial"/>
                <w:color w:val="3E5B00"/>
                <w:sz w:val="18"/>
                <w:szCs w:val="18"/>
                <w:lang w:eastAsia="en-AU"/>
              </w:rPr>
              <w:t>TAFE domestic fee for service*</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83,100 </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99,900 </w:t>
            </w:r>
          </w:p>
        </w:tc>
        <w:tc>
          <w:tcPr>
            <w:tcW w:w="1117"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 xml:space="preserve">88,400 </w:t>
            </w:r>
          </w:p>
        </w:tc>
        <w:tc>
          <w:tcPr>
            <w:tcW w:w="1103"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6%</w:t>
            </w:r>
          </w:p>
        </w:tc>
        <w:tc>
          <w:tcPr>
            <w:tcW w:w="1270" w:type="dxa"/>
            <w:tcBorders>
              <w:top w:val="nil"/>
              <w:left w:val="nil"/>
              <w:bottom w:val="single" w:sz="4" w:space="0" w:color="5E8A00"/>
              <w:right w:val="single" w:sz="4" w:space="0" w:color="5E8A00"/>
            </w:tcBorders>
            <w:shd w:val="clear" w:color="auto" w:fill="auto"/>
            <w:noWrap/>
            <w:vAlign w:val="center"/>
            <w:hideMark/>
          </w:tcPr>
          <w:p w:rsidR="00377638" w:rsidRPr="00377638" w:rsidRDefault="00377638" w:rsidP="00377638">
            <w:pPr>
              <w:spacing w:after="0" w:line="240" w:lineRule="auto"/>
              <w:jc w:val="right"/>
              <w:rPr>
                <w:rFonts w:cs="Arial"/>
                <w:sz w:val="18"/>
                <w:szCs w:val="18"/>
                <w:lang w:eastAsia="en-AU"/>
              </w:rPr>
            </w:pPr>
            <w:r w:rsidRPr="00377638">
              <w:rPr>
                <w:rFonts w:cs="Arial"/>
                <w:sz w:val="18"/>
                <w:szCs w:val="18"/>
                <w:lang w:eastAsia="en-AU"/>
              </w:rPr>
              <w:t>-12%</w:t>
            </w:r>
          </w:p>
        </w:tc>
      </w:tr>
      <w:tr w:rsidR="00377638" w:rsidRPr="00377638" w:rsidTr="00377638">
        <w:trPr>
          <w:trHeight w:hRule="exact" w:val="284"/>
        </w:trPr>
        <w:tc>
          <w:tcPr>
            <w:tcW w:w="2961" w:type="dxa"/>
            <w:tcBorders>
              <w:top w:val="nil"/>
              <w:left w:val="single" w:sz="4" w:space="0" w:color="5E8A00"/>
              <w:bottom w:val="nil"/>
              <w:right w:val="single" w:sz="4" w:space="0" w:color="5E8A00"/>
            </w:tcBorders>
            <w:shd w:val="clear" w:color="000000" w:fill="5E8A00"/>
            <w:noWrap/>
            <w:vAlign w:val="bottom"/>
            <w:hideMark/>
          </w:tcPr>
          <w:p w:rsidR="00377638" w:rsidRPr="00377638" w:rsidRDefault="00377638" w:rsidP="00377638">
            <w:pPr>
              <w:spacing w:after="0" w:line="240" w:lineRule="auto"/>
              <w:jc w:val="left"/>
              <w:rPr>
                <w:rFonts w:cs="Arial"/>
                <w:b/>
                <w:bCs/>
                <w:color w:val="FFFFFF"/>
                <w:sz w:val="18"/>
                <w:szCs w:val="18"/>
                <w:lang w:eastAsia="en-AU"/>
              </w:rPr>
            </w:pPr>
            <w:r w:rsidRPr="00377638">
              <w:rPr>
                <w:rFonts w:cs="Arial"/>
                <w:b/>
                <w:bCs/>
                <w:color w:val="FFFFFF"/>
                <w:sz w:val="18"/>
                <w:szCs w:val="18"/>
                <w:lang w:eastAsia="en-AU"/>
              </w:rPr>
              <w:t>Total</w:t>
            </w:r>
          </w:p>
        </w:tc>
        <w:tc>
          <w:tcPr>
            <w:tcW w:w="1117" w:type="dxa"/>
            <w:tcBorders>
              <w:top w:val="nil"/>
              <w:left w:val="nil"/>
              <w:bottom w:val="nil"/>
              <w:right w:val="single" w:sz="4" w:space="0" w:color="5E8A00"/>
            </w:tcBorders>
            <w:shd w:val="clear" w:color="000000" w:fill="5E8A00"/>
            <w:noWrap/>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 xml:space="preserve">520,000 </w:t>
            </w:r>
          </w:p>
        </w:tc>
        <w:tc>
          <w:tcPr>
            <w:tcW w:w="1117" w:type="dxa"/>
            <w:tcBorders>
              <w:top w:val="nil"/>
              <w:left w:val="nil"/>
              <w:bottom w:val="nil"/>
              <w:right w:val="single" w:sz="4" w:space="0" w:color="5E8A00"/>
            </w:tcBorders>
            <w:shd w:val="clear" w:color="000000" w:fill="5E8A00"/>
            <w:noWrap/>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 xml:space="preserve">679,600 </w:t>
            </w:r>
          </w:p>
        </w:tc>
        <w:tc>
          <w:tcPr>
            <w:tcW w:w="1117" w:type="dxa"/>
            <w:tcBorders>
              <w:top w:val="nil"/>
              <w:left w:val="nil"/>
              <w:bottom w:val="nil"/>
              <w:right w:val="single" w:sz="4" w:space="0" w:color="5E8A00"/>
            </w:tcBorders>
            <w:shd w:val="clear" w:color="000000" w:fill="5E8A00"/>
            <w:noWrap/>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 xml:space="preserve">618,400 </w:t>
            </w:r>
          </w:p>
        </w:tc>
        <w:tc>
          <w:tcPr>
            <w:tcW w:w="1103" w:type="dxa"/>
            <w:tcBorders>
              <w:top w:val="nil"/>
              <w:left w:val="nil"/>
              <w:bottom w:val="single" w:sz="4" w:space="0" w:color="5E8A00"/>
              <w:right w:val="single" w:sz="4" w:space="0" w:color="5E8A00"/>
            </w:tcBorders>
            <w:shd w:val="clear" w:color="000000" w:fill="5E8A00"/>
            <w:noWrap/>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19%</w:t>
            </w:r>
          </w:p>
        </w:tc>
        <w:tc>
          <w:tcPr>
            <w:tcW w:w="1270" w:type="dxa"/>
            <w:tcBorders>
              <w:top w:val="nil"/>
              <w:left w:val="nil"/>
              <w:bottom w:val="single" w:sz="4" w:space="0" w:color="5E8A00"/>
              <w:right w:val="single" w:sz="4" w:space="0" w:color="5E8A00"/>
            </w:tcBorders>
            <w:shd w:val="clear" w:color="000000" w:fill="5E8A00"/>
            <w:noWrap/>
            <w:vAlign w:val="center"/>
            <w:hideMark/>
          </w:tcPr>
          <w:p w:rsidR="00377638" w:rsidRPr="00377638" w:rsidRDefault="00377638" w:rsidP="00377638">
            <w:pPr>
              <w:spacing w:after="0" w:line="240" w:lineRule="auto"/>
              <w:jc w:val="right"/>
              <w:rPr>
                <w:rFonts w:cs="Arial"/>
                <w:b/>
                <w:bCs/>
                <w:color w:val="FFFFFF"/>
                <w:sz w:val="18"/>
                <w:szCs w:val="18"/>
                <w:lang w:eastAsia="en-AU"/>
              </w:rPr>
            </w:pPr>
            <w:r w:rsidRPr="00377638">
              <w:rPr>
                <w:rFonts w:cs="Arial"/>
                <w:b/>
                <w:bCs/>
                <w:color w:val="FFFFFF"/>
                <w:sz w:val="18"/>
                <w:szCs w:val="18"/>
                <w:lang w:eastAsia="en-AU"/>
              </w:rPr>
              <w:t>-9%</w:t>
            </w:r>
          </w:p>
        </w:tc>
      </w:tr>
    </w:tbl>
    <w:p w:rsidR="00494F1F" w:rsidRPr="00AE3D9A" w:rsidRDefault="008F0BCF" w:rsidP="00494F1F">
      <w:pPr>
        <w:spacing w:after="0" w:line="240" w:lineRule="auto"/>
        <w:rPr>
          <w:rFonts w:cs="Arial"/>
          <w:sz w:val="16"/>
          <w:szCs w:val="16"/>
        </w:rPr>
      </w:pPr>
      <w:r w:rsidRPr="00AE3D9A">
        <w:rPr>
          <w:rFonts w:cs="Arial"/>
          <w:sz w:val="16"/>
          <w:szCs w:val="16"/>
        </w:rPr>
        <w:t>*</w:t>
      </w:r>
      <w:r w:rsidR="00494F1F" w:rsidRPr="00AE3D9A">
        <w:rPr>
          <w:rFonts w:cs="Arial"/>
          <w:sz w:val="16"/>
          <w:szCs w:val="16"/>
        </w:rPr>
        <w:t>Fee for Service figures are TAFE on-shore domestic AQF Level 1 and above.</w:t>
      </w:r>
    </w:p>
    <w:p w:rsidR="0069078C" w:rsidRDefault="0069078C">
      <w:pPr>
        <w:spacing w:after="0" w:line="240" w:lineRule="auto"/>
        <w:jc w:val="left"/>
        <w:rPr>
          <w:rFonts w:cs="Arial"/>
          <w:b/>
          <w:bCs/>
          <w:color w:val="76923C" w:themeColor="accent3" w:themeShade="BF"/>
          <w:sz w:val="18"/>
          <w:szCs w:val="16"/>
        </w:rPr>
      </w:pPr>
    </w:p>
    <w:p w:rsidR="004E497D" w:rsidRDefault="004E497D">
      <w:pPr>
        <w:spacing w:after="0" w:line="240" w:lineRule="auto"/>
        <w:jc w:val="left"/>
        <w:rPr>
          <w:rFonts w:cs="Arial"/>
          <w:b/>
          <w:bCs/>
          <w:color w:val="76923C" w:themeColor="accent3" w:themeShade="BF"/>
          <w:sz w:val="18"/>
          <w:szCs w:val="16"/>
        </w:rPr>
      </w:pPr>
    </w:p>
    <w:p w:rsidR="00BA7D97" w:rsidRDefault="00584D28" w:rsidP="00A9260A">
      <w:pPr>
        <w:pStyle w:val="Caption"/>
        <w:rPr>
          <w:rFonts w:cs="Arial"/>
        </w:rPr>
      </w:pPr>
      <w:proofErr w:type="gramStart"/>
      <w:r w:rsidRPr="001F29E3">
        <w:rPr>
          <w:rFonts w:cs="Arial"/>
        </w:rPr>
        <w:t>Figure 1.</w:t>
      </w:r>
      <w:proofErr w:type="gramEnd"/>
      <w:r w:rsidR="00963271" w:rsidRPr="001F29E3">
        <w:rPr>
          <w:rFonts w:cs="Arial"/>
        </w:rPr>
        <w:fldChar w:fldCharType="begin"/>
      </w:r>
      <w:r w:rsidR="00963271" w:rsidRPr="001F29E3">
        <w:rPr>
          <w:rFonts w:cs="Arial"/>
        </w:rPr>
        <w:instrText xml:space="preserve"> SEQ Graph \* ARABIC \s 1 </w:instrText>
      </w:r>
      <w:r w:rsidR="00963271" w:rsidRPr="001F29E3">
        <w:rPr>
          <w:rFonts w:cs="Arial"/>
        </w:rPr>
        <w:fldChar w:fldCharType="separate"/>
      </w:r>
      <w:r w:rsidR="00EB10C4">
        <w:rPr>
          <w:rFonts w:cs="Arial"/>
          <w:noProof/>
        </w:rPr>
        <w:t>1</w:t>
      </w:r>
      <w:r w:rsidR="00963271" w:rsidRPr="001F29E3">
        <w:rPr>
          <w:rFonts w:cs="Arial"/>
          <w:noProof/>
        </w:rPr>
        <w:fldChar w:fldCharType="end"/>
      </w:r>
      <w:r w:rsidRPr="001F29E3">
        <w:rPr>
          <w:rFonts w:cs="Arial"/>
        </w:rPr>
        <w:t xml:space="preserve">: </w:t>
      </w:r>
      <w:r w:rsidR="0025400C">
        <w:t>Enrolments in v</w:t>
      </w:r>
      <w:r w:rsidR="0025400C" w:rsidRPr="001F29E3">
        <w:t>ocational training by funding type</w:t>
      </w:r>
      <w:r w:rsidRPr="001F29E3">
        <w:rPr>
          <w:rFonts w:cs="Arial"/>
        </w:rPr>
        <w:t>, 2008–2012</w:t>
      </w:r>
      <w:r w:rsidR="00171CC7" w:rsidRPr="001F29E3">
        <w:rPr>
          <w:rFonts w:cs="Arial"/>
        </w:rPr>
        <w:t xml:space="preserve">, </w:t>
      </w:r>
      <w:r w:rsidR="00E86237">
        <w:rPr>
          <w:rFonts w:cs="Arial"/>
        </w:rPr>
        <w:t>Q</w:t>
      </w:r>
      <w:r w:rsidR="00CE334B">
        <w:rPr>
          <w:rFonts w:cs="Arial"/>
        </w:rPr>
        <w:t>3</w:t>
      </w:r>
      <w:r w:rsidR="00E86237">
        <w:rPr>
          <w:rFonts w:cs="Arial"/>
        </w:rPr>
        <w:t xml:space="preserve"> 2011, </w:t>
      </w:r>
      <w:r w:rsidR="00171CC7" w:rsidRPr="001F29E3">
        <w:rPr>
          <w:rFonts w:cs="Arial"/>
        </w:rPr>
        <w:t>Q</w:t>
      </w:r>
      <w:r w:rsidR="00CE334B">
        <w:rPr>
          <w:rFonts w:cs="Arial"/>
        </w:rPr>
        <w:t>3</w:t>
      </w:r>
      <w:r w:rsidR="00171CC7" w:rsidRPr="001F29E3">
        <w:rPr>
          <w:rFonts w:cs="Arial"/>
        </w:rPr>
        <w:t xml:space="preserve"> 2012 and Q</w:t>
      </w:r>
      <w:r w:rsidR="00CE334B">
        <w:rPr>
          <w:rFonts w:cs="Arial"/>
        </w:rPr>
        <w:t>3</w:t>
      </w:r>
      <w:r w:rsidR="00171CC7" w:rsidRPr="001F29E3">
        <w:rPr>
          <w:rFonts w:cs="Arial"/>
        </w:rPr>
        <w:t xml:space="preserve"> 2013</w:t>
      </w:r>
    </w:p>
    <w:p w:rsidR="000D0334" w:rsidRDefault="000D0334" w:rsidP="000D0334">
      <w:r>
        <w:rPr>
          <w:noProof/>
          <w:lang w:eastAsia="en-AU"/>
        </w:rPr>
        <w:drawing>
          <wp:inline distT="0" distB="0" distL="0" distR="0" wp14:anchorId="04F4C666" wp14:editId="3D6BF3AC">
            <wp:extent cx="5505450" cy="2962910"/>
            <wp:effectExtent l="0" t="0" r="0" b="0"/>
            <wp:docPr id="21" name="Picture 21" descr="This chart presents the number of government subsidised and TAFE fee for service course enrolments from 2008 to 2012, and in Q3 2011, Q3 2012 and Q3 2013. " title="Figure 1.1: Enrolments in vocational training by funding type, 2008–2012,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962910"/>
                    </a:xfrm>
                    <a:prstGeom prst="rect">
                      <a:avLst/>
                    </a:prstGeom>
                    <a:noFill/>
                  </pic:spPr>
                </pic:pic>
              </a:graphicData>
            </a:graphic>
          </wp:inline>
        </w:drawing>
      </w:r>
    </w:p>
    <w:p w:rsidR="00CE334B" w:rsidRPr="00CE334B" w:rsidRDefault="00CE334B" w:rsidP="00CE334B"/>
    <w:p w:rsidR="005E4EE6" w:rsidRPr="001F29E3" w:rsidRDefault="005E4EE6" w:rsidP="00CB5563">
      <w:pPr>
        <w:pStyle w:val="Caption"/>
        <w:spacing w:after="0"/>
        <w:rPr>
          <w:rFonts w:cs="Arial"/>
        </w:rPr>
      </w:pPr>
      <w:r w:rsidRPr="001F29E3">
        <w:rPr>
          <w:rFonts w:cs="Arial"/>
        </w:rPr>
        <w:t>Table 1.</w:t>
      </w:r>
      <w:r w:rsidR="00164517">
        <w:rPr>
          <w:rFonts w:cs="Arial"/>
        </w:rPr>
        <w:t>2.1</w:t>
      </w:r>
      <w:r w:rsidRPr="001F29E3">
        <w:rPr>
          <w:rFonts w:cs="Arial"/>
        </w:rPr>
        <w:t xml:space="preserve">: </w:t>
      </w:r>
      <w:r w:rsidR="009B6E7F" w:rsidRPr="001F29E3">
        <w:rPr>
          <w:rFonts w:cs="Arial"/>
        </w:rPr>
        <w:t>S</w:t>
      </w:r>
      <w:r w:rsidRPr="001F29E3">
        <w:rPr>
          <w:rFonts w:cs="Arial"/>
        </w:rPr>
        <w:t>tudent contact hours</w:t>
      </w:r>
      <w:r w:rsidR="002E0440" w:rsidRPr="001F29E3">
        <w:rPr>
          <w:rStyle w:val="FootnoteReference"/>
          <w:rFonts w:cs="Arial"/>
        </w:rPr>
        <w:footnoteReference w:id="4"/>
      </w:r>
      <w:r w:rsidRPr="001F29E3">
        <w:rPr>
          <w:rFonts w:cs="Arial"/>
        </w:rPr>
        <w:t xml:space="preserve"> (millions)</w:t>
      </w:r>
      <w:r w:rsidR="009B6E7F" w:rsidRPr="001F29E3">
        <w:rPr>
          <w:rFonts w:cs="Arial"/>
        </w:rPr>
        <w:t xml:space="preserve"> by funding type</w:t>
      </w:r>
      <w:r w:rsidRPr="001F29E3">
        <w:rPr>
          <w:rFonts w:cs="Arial"/>
        </w:rPr>
        <w:t>, 2008–2012</w:t>
      </w:r>
    </w:p>
    <w:tbl>
      <w:tblPr>
        <w:tblW w:w="9820" w:type="dxa"/>
        <w:tblInd w:w="108" w:type="dxa"/>
        <w:tblLook w:val="04A0" w:firstRow="1" w:lastRow="0" w:firstColumn="1" w:lastColumn="0" w:noHBand="0" w:noVBand="1"/>
      </w:tblPr>
      <w:tblGrid>
        <w:gridCol w:w="3100"/>
        <w:gridCol w:w="1120"/>
        <w:gridCol w:w="1120"/>
        <w:gridCol w:w="1120"/>
        <w:gridCol w:w="1120"/>
        <w:gridCol w:w="1120"/>
        <w:gridCol w:w="1120"/>
      </w:tblGrid>
      <w:tr w:rsidR="00A6569A" w:rsidRPr="00A6569A" w:rsidTr="005C5C90">
        <w:trPr>
          <w:trHeight w:hRule="exact" w:val="760"/>
        </w:trPr>
        <w:tc>
          <w:tcPr>
            <w:tcW w:w="3100" w:type="dxa"/>
            <w:tcBorders>
              <w:left w:val="single" w:sz="4" w:space="0" w:color="5E8A00"/>
              <w:bottom w:val="single" w:sz="4" w:space="0" w:color="5E8A00"/>
            </w:tcBorders>
            <w:shd w:val="clear" w:color="000000" w:fill="5E8A00"/>
            <w:noWrap/>
            <w:vAlign w:val="center"/>
            <w:hideMark/>
          </w:tcPr>
          <w:p w:rsidR="00A6569A" w:rsidRPr="00A6569A" w:rsidRDefault="00A6569A" w:rsidP="00F034AF">
            <w:pPr>
              <w:spacing w:after="0" w:line="240" w:lineRule="auto"/>
              <w:ind w:firstLineChars="100" w:firstLine="201"/>
              <w:jc w:val="left"/>
              <w:rPr>
                <w:rFonts w:cs="Arial"/>
                <w:b/>
                <w:bCs/>
                <w:color w:val="FFFFFF"/>
                <w:sz w:val="20"/>
                <w:szCs w:val="20"/>
                <w:lang w:eastAsia="en-AU"/>
              </w:rPr>
            </w:pPr>
            <w:r w:rsidRPr="00A6569A">
              <w:rPr>
                <w:rFonts w:cs="Arial"/>
                <w:b/>
                <w:bCs/>
                <w:color w:val="FFFFFF"/>
                <w:sz w:val="20"/>
                <w:szCs w:val="20"/>
                <w:lang w:eastAsia="en-AU"/>
              </w:rPr>
              <w:t> </w:t>
            </w:r>
          </w:p>
        </w:tc>
        <w:tc>
          <w:tcPr>
            <w:tcW w:w="1120" w:type="dxa"/>
            <w:tcBorders>
              <w:bottom w:val="single" w:sz="4" w:space="0" w:color="5E8A00"/>
            </w:tcBorders>
            <w:shd w:val="clear" w:color="000000" w:fill="5E8A00"/>
            <w:vAlign w:val="center"/>
            <w:hideMark/>
          </w:tcPr>
          <w:p w:rsidR="00A6569A" w:rsidRPr="00A6569A" w:rsidRDefault="00A6569A" w:rsidP="00F034AF">
            <w:pPr>
              <w:spacing w:after="0" w:line="240" w:lineRule="auto"/>
              <w:ind w:firstLineChars="100" w:firstLine="181"/>
              <w:jc w:val="right"/>
              <w:rPr>
                <w:rFonts w:cs="Arial"/>
                <w:b/>
                <w:bCs/>
                <w:color w:val="FFFFFF"/>
                <w:sz w:val="18"/>
                <w:szCs w:val="18"/>
                <w:lang w:eastAsia="en-AU"/>
              </w:rPr>
            </w:pPr>
            <w:r w:rsidRPr="00A6569A">
              <w:rPr>
                <w:rFonts w:cs="Arial"/>
                <w:b/>
                <w:bCs/>
                <w:color w:val="FFFFFF"/>
                <w:sz w:val="18"/>
                <w:szCs w:val="18"/>
                <w:lang w:eastAsia="en-AU"/>
              </w:rPr>
              <w:t>2008</w:t>
            </w:r>
          </w:p>
        </w:tc>
        <w:tc>
          <w:tcPr>
            <w:tcW w:w="1120" w:type="dxa"/>
            <w:tcBorders>
              <w:bottom w:val="single" w:sz="4" w:space="0" w:color="5E8A00"/>
            </w:tcBorders>
            <w:shd w:val="clear" w:color="000000" w:fill="5E8A00"/>
            <w:vAlign w:val="center"/>
            <w:hideMark/>
          </w:tcPr>
          <w:p w:rsidR="00A6569A" w:rsidRPr="00A6569A" w:rsidRDefault="00A6569A" w:rsidP="00F034AF">
            <w:pPr>
              <w:spacing w:after="0" w:line="240" w:lineRule="auto"/>
              <w:ind w:firstLineChars="100" w:firstLine="181"/>
              <w:jc w:val="right"/>
              <w:rPr>
                <w:rFonts w:cs="Arial"/>
                <w:b/>
                <w:bCs/>
                <w:color w:val="FFFFFF"/>
                <w:sz w:val="18"/>
                <w:szCs w:val="18"/>
                <w:lang w:eastAsia="en-AU"/>
              </w:rPr>
            </w:pPr>
            <w:r w:rsidRPr="00A6569A">
              <w:rPr>
                <w:rFonts w:cs="Arial"/>
                <w:b/>
                <w:bCs/>
                <w:color w:val="FFFFFF"/>
                <w:sz w:val="18"/>
                <w:szCs w:val="18"/>
                <w:lang w:eastAsia="en-AU"/>
              </w:rPr>
              <w:t>2009</w:t>
            </w:r>
          </w:p>
        </w:tc>
        <w:tc>
          <w:tcPr>
            <w:tcW w:w="1120" w:type="dxa"/>
            <w:tcBorders>
              <w:bottom w:val="single" w:sz="4" w:space="0" w:color="5E8A00"/>
            </w:tcBorders>
            <w:shd w:val="clear" w:color="000000" w:fill="5E8A00"/>
            <w:vAlign w:val="center"/>
            <w:hideMark/>
          </w:tcPr>
          <w:p w:rsidR="00A6569A" w:rsidRPr="00A6569A" w:rsidRDefault="00A6569A" w:rsidP="00F034AF">
            <w:pPr>
              <w:spacing w:after="0" w:line="240" w:lineRule="auto"/>
              <w:ind w:firstLineChars="100" w:firstLine="181"/>
              <w:jc w:val="right"/>
              <w:rPr>
                <w:rFonts w:cs="Arial"/>
                <w:b/>
                <w:bCs/>
                <w:color w:val="FFFFFF"/>
                <w:sz w:val="18"/>
                <w:szCs w:val="18"/>
                <w:lang w:eastAsia="en-AU"/>
              </w:rPr>
            </w:pPr>
            <w:r w:rsidRPr="00A6569A">
              <w:rPr>
                <w:rFonts w:cs="Arial"/>
                <w:b/>
                <w:bCs/>
                <w:color w:val="FFFFFF"/>
                <w:sz w:val="18"/>
                <w:szCs w:val="18"/>
                <w:lang w:eastAsia="en-AU"/>
              </w:rPr>
              <w:t>2010</w:t>
            </w:r>
          </w:p>
        </w:tc>
        <w:tc>
          <w:tcPr>
            <w:tcW w:w="1120" w:type="dxa"/>
            <w:tcBorders>
              <w:bottom w:val="single" w:sz="4" w:space="0" w:color="5E8A00"/>
            </w:tcBorders>
            <w:shd w:val="clear" w:color="000000" w:fill="5E8A00"/>
            <w:vAlign w:val="center"/>
            <w:hideMark/>
          </w:tcPr>
          <w:p w:rsidR="00A6569A" w:rsidRPr="00A6569A" w:rsidRDefault="00A6569A" w:rsidP="00F034AF">
            <w:pPr>
              <w:spacing w:after="0" w:line="240" w:lineRule="auto"/>
              <w:ind w:firstLineChars="100" w:firstLine="181"/>
              <w:jc w:val="right"/>
              <w:rPr>
                <w:rFonts w:cs="Arial"/>
                <w:b/>
                <w:bCs/>
                <w:color w:val="FFFFFF"/>
                <w:sz w:val="18"/>
                <w:szCs w:val="18"/>
                <w:lang w:eastAsia="en-AU"/>
              </w:rPr>
            </w:pPr>
            <w:r w:rsidRPr="00A6569A">
              <w:rPr>
                <w:rFonts w:cs="Arial"/>
                <w:b/>
                <w:bCs/>
                <w:color w:val="FFFFFF"/>
                <w:sz w:val="18"/>
                <w:szCs w:val="18"/>
                <w:lang w:eastAsia="en-AU"/>
              </w:rPr>
              <w:t>2011</w:t>
            </w:r>
          </w:p>
        </w:tc>
        <w:tc>
          <w:tcPr>
            <w:tcW w:w="1120" w:type="dxa"/>
            <w:tcBorders>
              <w:bottom w:val="single" w:sz="4" w:space="0" w:color="5E8A00"/>
            </w:tcBorders>
            <w:shd w:val="clear" w:color="000000" w:fill="5E8A00"/>
            <w:vAlign w:val="center"/>
            <w:hideMark/>
          </w:tcPr>
          <w:p w:rsidR="00A6569A" w:rsidRPr="00A6569A" w:rsidRDefault="00A6569A" w:rsidP="00F034AF">
            <w:pPr>
              <w:spacing w:after="0" w:line="240" w:lineRule="auto"/>
              <w:ind w:firstLineChars="100" w:firstLine="181"/>
              <w:jc w:val="right"/>
              <w:rPr>
                <w:rFonts w:cs="Arial"/>
                <w:b/>
                <w:bCs/>
                <w:color w:val="FFFFFF"/>
                <w:sz w:val="18"/>
                <w:szCs w:val="18"/>
                <w:lang w:eastAsia="en-AU"/>
              </w:rPr>
            </w:pPr>
            <w:r w:rsidRPr="00A6569A">
              <w:rPr>
                <w:rFonts w:cs="Arial"/>
                <w:b/>
                <w:bCs/>
                <w:color w:val="FFFFFF"/>
                <w:sz w:val="18"/>
                <w:szCs w:val="18"/>
                <w:lang w:eastAsia="en-AU"/>
              </w:rPr>
              <w:t>2012</w:t>
            </w:r>
          </w:p>
        </w:tc>
        <w:tc>
          <w:tcPr>
            <w:tcW w:w="1120" w:type="dxa"/>
            <w:tcBorders>
              <w:bottom w:val="single" w:sz="4" w:space="0" w:color="5E8A00"/>
              <w:right w:val="single" w:sz="4" w:space="0" w:color="5E8A00"/>
            </w:tcBorders>
            <w:shd w:val="clear" w:color="000000" w:fill="5E8A00"/>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change</w:t>
            </w:r>
            <w:r w:rsidRPr="00A6569A">
              <w:rPr>
                <w:rFonts w:cs="Arial"/>
                <w:b/>
                <w:bCs/>
                <w:color w:val="FFFFFF"/>
                <w:sz w:val="18"/>
                <w:szCs w:val="18"/>
                <w:lang w:eastAsia="en-AU"/>
              </w:rPr>
              <w:br/>
              <w:t>2008-2012</w:t>
            </w:r>
          </w:p>
        </w:tc>
      </w:tr>
      <w:tr w:rsidR="00A6569A" w:rsidRPr="00A6569A" w:rsidTr="0037793E">
        <w:trPr>
          <w:trHeight w:hRule="exact" w:val="284"/>
        </w:trPr>
        <w:tc>
          <w:tcPr>
            <w:tcW w:w="3100" w:type="dxa"/>
            <w:tcBorders>
              <w:top w:val="nil"/>
              <w:left w:val="single" w:sz="4" w:space="0" w:color="5E8A00"/>
              <w:bottom w:val="single" w:sz="4" w:space="0" w:color="5E8A00"/>
              <w:right w:val="single" w:sz="4" w:space="0" w:color="5E8A00"/>
            </w:tcBorders>
            <w:shd w:val="clear" w:color="000000" w:fill="FFFFFF"/>
            <w:noWrap/>
            <w:vAlign w:val="center"/>
            <w:hideMark/>
          </w:tcPr>
          <w:p w:rsidR="00A6569A" w:rsidRPr="00A6569A" w:rsidRDefault="00A6569A" w:rsidP="00A6569A">
            <w:pPr>
              <w:spacing w:after="0" w:line="240" w:lineRule="auto"/>
              <w:jc w:val="left"/>
              <w:rPr>
                <w:rFonts w:cs="Arial"/>
                <w:color w:val="3E5B00"/>
                <w:sz w:val="18"/>
                <w:szCs w:val="18"/>
                <w:lang w:eastAsia="en-AU"/>
              </w:rPr>
            </w:pPr>
            <w:r w:rsidRPr="00A6569A">
              <w:rPr>
                <w:rFonts w:cs="Arial"/>
                <w:color w:val="3E5B00"/>
                <w:sz w:val="18"/>
                <w:szCs w:val="18"/>
                <w:lang w:eastAsia="en-AU"/>
              </w:rPr>
              <w:t>Government subsidised</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87.4 </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95.6 </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112.4 </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146.9 </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188.8 </w:t>
            </w:r>
          </w:p>
        </w:tc>
        <w:tc>
          <w:tcPr>
            <w:tcW w:w="1120" w:type="dxa"/>
            <w:tcBorders>
              <w:top w:val="nil"/>
              <w:left w:val="nil"/>
              <w:bottom w:val="single" w:sz="4" w:space="0" w:color="5E8A00"/>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116%</w:t>
            </w:r>
          </w:p>
        </w:tc>
      </w:tr>
      <w:tr w:rsidR="00A6569A" w:rsidRPr="00A6569A" w:rsidTr="005C5C90">
        <w:trPr>
          <w:trHeight w:hRule="exact" w:val="284"/>
        </w:trPr>
        <w:tc>
          <w:tcPr>
            <w:tcW w:w="3100" w:type="dxa"/>
            <w:tcBorders>
              <w:top w:val="nil"/>
              <w:left w:val="single" w:sz="4" w:space="0" w:color="5E8A00"/>
              <w:right w:val="single" w:sz="4" w:space="0" w:color="5E8A00"/>
            </w:tcBorders>
            <w:shd w:val="clear" w:color="000000" w:fill="FFFFFF"/>
            <w:noWrap/>
            <w:vAlign w:val="center"/>
            <w:hideMark/>
          </w:tcPr>
          <w:p w:rsidR="00A6569A" w:rsidRPr="00A6569A" w:rsidRDefault="00A6569A" w:rsidP="00A6569A">
            <w:pPr>
              <w:spacing w:after="0" w:line="240" w:lineRule="auto"/>
              <w:jc w:val="left"/>
              <w:rPr>
                <w:rFonts w:cs="Arial"/>
                <w:color w:val="3E5B00"/>
                <w:sz w:val="18"/>
                <w:szCs w:val="18"/>
                <w:lang w:eastAsia="en-AU"/>
              </w:rPr>
            </w:pPr>
            <w:r w:rsidRPr="00A6569A">
              <w:rPr>
                <w:rFonts w:cs="Arial"/>
                <w:color w:val="3E5B00"/>
                <w:sz w:val="18"/>
                <w:szCs w:val="18"/>
                <w:lang w:eastAsia="en-AU"/>
              </w:rPr>
              <w:t>TAFE domestic fee for service*</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17.1 </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20.4 </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19.4 </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18.5 </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 xml:space="preserve">21.9 </w:t>
            </w:r>
          </w:p>
        </w:tc>
        <w:tc>
          <w:tcPr>
            <w:tcW w:w="1120" w:type="dxa"/>
            <w:tcBorders>
              <w:top w:val="nil"/>
              <w:left w:val="nil"/>
              <w:right w:val="single" w:sz="4" w:space="0" w:color="5E8A00"/>
            </w:tcBorders>
            <w:shd w:val="clear" w:color="auto" w:fill="auto"/>
            <w:noWrap/>
            <w:vAlign w:val="center"/>
            <w:hideMark/>
          </w:tcPr>
          <w:p w:rsidR="00A6569A" w:rsidRPr="00A6569A" w:rsidRDefault="00A6569A" w:rsidP="00A6569A">
            <w:pPr>
              <w:spacing w:after="0" w:line="240" w:lineRule="auto"/>
              <w:jc w:val="right"/>
              <w:rPr>
                <w:rFonts w:cs="Arial"/>
                <w:sz w:val="18"/>
                <w:szCs w:val="18"/>
                <w:lang w:eastAsia="en-AU"/>
              </w:rPr>
            </w:pPr>
            <w:r w:rsidRPr="00A6569A">
              <w:rPr>
                <w:rFonts w:cs="Arial"/>
                <w:sz w:val="18"/>
                <w:szCs w:val="18"/>
                <w:lang w:eastAsia="en-AU"/>
              </w:rPr>
              <w:t>28%</w:t>
            </w:r>
          </w:p>
        </w:tc>
      </w:tr>
      <w:tr w:rsidR="00A6569A" w:rsidRPr="00A6569A" w:rsidTr="005C5C90">
        <w:trPr>
          <w:trHeight w:hRule="exact" w:val="284"/>
        </w:trPr>
        <w:tc>
          <w:tcPr>
            <w:tcW w:w="3100" w:type="dxa"/>
            <w:tcBorders>
              <w:left w:val="single" w:sz="4" w:space="0" w:color="5E8A00"/>
              <w:bottom w:val="nil"/>
            </w:tcBorders>
            <w:shd w:val="clear" w:color="000000" w:fill="5E8A00"/>
            <w:noWrap/>
            <w:vAlign w:val="center"/>
            <w:hideMark/>
          </w:tcPr>
          <w:p w:rsidR="00A6569A" w:rsidRPr="00A6569A" w:rsidRDefault="00A6569A" w:rsidP="00A6569A">
            <w:pPr>
              <w:spacing w:after="0" w:line="240" w:lineRule="auto"/>
              <w:jc w:val="left"/>
              <w:rPr>
                <w:rFonts w:cs="Arial"/>
                <w:b/>
                <w:bCs/>
                <w:color w:val="FFFFFF"/>
                <w:sz w:val="18"/>
                <w:szCs w:val="18"/>
                <w:lang w:eastAsia="en-AU"/>
              </w:rPr>
            </w:pPr>
            <w:r w:rsidRPr="00A6569A">
              <w:rPr>
                <w:rFonts w:cs="Arial"/>
                <w:b/>
                <w:bCs/>
                <w:color w:val="FFFFFF"/>
                <w:sz w:val="18"/>
                <w:szCs w:val="18"/>
                <w:lang w:eastAsia="en-AU"/>
              </w:rPr>
              <w:t>Total</w:t>
            </w:r>
          </w:p>
        </w:tc>
        <w:tc>
          <w:tcPr>
            <w:tcW w:w="1120" w:type="dxa"/>
            <w:tcBorders>
              <w:bottom w:val="nil"/>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xml:space="preserve">104.5 </w:t>
            </w:r>
          </w:p>
        </w:tc>
        <w:tc>
          <w:tcPr>
            <w:tcW w:w="1120" w:type="dxa"/>
            <w:tcBorders>
              <w:bottom w:val="nil"/>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xml:space="preserve">116.0 </w:t>
            </w:r>
          </w:p>
        </w:tc>
        <w:tc>
          <w:tcPr>
            <w:tcW w:w="1120" w:type="dxa"/>
            <w:tcBorders>
              <w:bottom w:val="nil"/>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xml:space="preserve">131.8 </w:t>
            </w:r>
          </w:p>
        </w:tc>
        <w:tc>
          <w:tcPr>
            <w:tcW w:w="1120" w:type="dxa"/>
            <w:tcBorders>
              <w:bottom w:val="nil"/>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xml:space="preserve">165.5 </w:t>
            </w:r>
          </w:p>
        </w:tc>
        <w:tc>
          <w:tcPr>
            <w:tcW w:w="1120" w:type="dxa"/>
            <w:tcBorders>
              <w:bottom w:val="nil"/>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 xml:space="preserve">210.7 </w:t>
            </w:r>
          </w:p>
        </w:tc>
        <w:tc>
          <w:tcPr>
            <w:tcW w:w="1120" w:type="dxa"/>
            <w:tcBorders>
              <w:bottom w:val="single" w:sz="4" w:space="0" w:color="5E8A00"/>
              <w:right w:val="single" w:sz="4" w:space="0" w:color="5E8A00"/>
            </w:tcBorders>
            <w:shd w:val="clear" w:color="000000" w:fill="5E8A00"/>
            <w:noWrap/>
            <w:vAlign w:val="center"/>
            <w:hideMark/>
          </w:tcPr>
          <w:p w:rsidR="00A6569A" w:rsidRPr="00A6569A" w:rsidRDefault="00A6569A" w:rsidP="00A6569A">
            <w:pPr>
              <w:spacing w:after="0" w:line="240" w:lineRule="auto"/>
              <w:jc w:val="right"/>
              <w:rPr>
                <w:rFonts w:cs="Arial"/>
                <w:b/>
                <w:bCs/>
                <w:color w:val="FFFFFF"/>
                <w:sz w:val="18"/>
                <w:szCs w:val="18"/>
                <w:lang w:eastAsia="en-AU"/>
              </w:rPr>
            </w:pPr>
            <w:r w:rsidRPr="00A6569A">
              <w:rPr>
                <w:rFonts w:cs="Arial"/>
                <w:b/>
                <w:bCs/>
                <w:color w:val="FFFFFF"/>
                <w:sz w:val="18"/>
                <w:szCs w:val="18"/>
                <w:lang w:eastAsia="en-AU"/>
              </w:rPr>
              <w:t>102%</w:t>
            </w:r>
          </w:p>
        </w:tc>
      </w:tr>
    </w:tbl>
    <w:p w:rsidR="00891A33" w:rsidRPr="00AE3D9A" w:rsidRDefault="008F0BCF" w:rsidP="00891A33">
      <w:pPr>
        <w:spacing w:after="0" w:line="240" w:lineRule="auto"/>
        <w:rPr>
          <w:rFonts w:cs="Arial"/>
          <w:sz w:val="16"/>
          <w:szCs w:val="16"/>
        </w:rPr>
      </w:pPr>
      <w:r w:rsidRPr="00AE3D9A">
        <w:rPr>
          <w:rFonts w:cs="Arial"/>
          <w:sz w:val="16"/>
          <w:szCs w:val="16"/>
        </w:rPr>
        <w:t>*</w:t>
      </w:r>
      <w:r w:rsidR="00891A33" w:rsidRPr="00AE3D9A">
        <w:rPr>
          <w:rFonts w:cs="Arial"/>
          <w:sz w:val="16"/>
          <w:szCs w:val="16"/>
        </w:rPr>
        <w:t>Fee for Service figures are TAFE on-shore domestic AQF Level 1 and above.</w:t>
      </w:r>
    </w:p>
    <w:p w:rsidR="009B6E7F" w:rsidRDefault="009B6E7F" w:rsidP="005E4EE6">
      <w:pPr>
        <w:rPr>
          <w:rFonts w:cs="Arial"/>
        </w:rPr>
      </w:pPr>
    </w:p>
    <w:p w:rsidR="00164517" w:rsidRDefault="00164517" w:rsidP="00CB5563">
      <w:pPr>
        <w:pStyle w:val="Caption"/>
        <w:spacing w:after="0"/>
        <w:rPr>
          <w:rFonts w:cs="Arial"/>
        </w:rPr>
      </w:pPr>
      <w:r w:rsidRPr="001F29E3">
        <w:rPr>
          <w:rFonts w:cs="Arial"/>
        </w:rPr>
        <w:t>Table 1.</w:t>
      </w:r>
      <w:r>
        <w:rPr>
          <w:rFonts w:cs="Arial"/>
        </w:rPr>
        <w:t>2.2</w:t>
      </w:r>
      <w:r w:rsidRPr="001F29E3">
        <w:rPr>
          <w:rFonts w:cs="Arial"/>
        </w:rPr>
        <w:t xml:space="preserve">: Student contact hours (millions) by funding type, </w:t>
      </w:r>
      <w:r w:rsidR="00A6569A">
        <w:rPr>
          <w:rFonts w:cs="Arial"/>
        </w:rPr>
        <w:t>Q</w:t>
      </w:r>
      <w:r w:rsidR="00CE334B">
        <w:rPr>
          <w:rFonts w:cs="Arial"/>
        </w:rPr>
        <w:t>3</w:t>
      </w:r>
      <w:r w:rsidR="00A6569A">
        <w:rPr>
          <w:rFonts w:cs="Arial"/>
        </w:rPr>
        <w:t xml:space="preserve"> 2011, </w:t>
      </w:r>
      <w:r w:rsidR="00A6569A" w:rsidRPr="001F29E3">
        <w:rPr>
          <w:rFonts w:cs="Arial"/>
        </w:rPr>
        <w:t>Q</w:t>
      </w:r>
      <w:r w:rsidR="00CE334B">
        <w:rPr>
          <w:rFonts w:cs="Arial"/>
        </w:rPr>
        <w:t>3</w:t>
      </w:r>
      <w:r w:rsidR="00A6569A" w:rsidRPr="001F29E3">
        <w:rPr>
          <w:rFonts w:cs="Arial"/>
        </w:rPr>
        <w:t xml:space="preserve"> 2012 and Q</w:t>
      </w:r>
      <w:r w:rsidR="00CE334B">
        <w:rPr>
          <w:rFonts w:cs="Arial"/>
        </w:rPr>
        <w:t>3</w:t>
      </w:r>
      <w:r w:rsidR="00A6569A" w:rsidRPr="001F29E3">
        <w:rPr>
          <w:rFonts w:cs="Arial"/>
        </w:rPr>
        <w:t xml:space="preserve"> 2013</w:t>
      </w:r>
    </w:p>
    <w:tbl>
      <w:tblPr>
        <w:tblW w:w="8789" w:type="dxa"/>
        <w:tblInd w:w="108" w:type="dxa"/>
        <w:tblLook w:val="04A0" w:firstRow="1" w:lastRow="0" w:firstColumn="1" w:lastColumn="0" w:noHBand="0" w:noVBand="1"/>
      </w:tblPr>
      <w:tblGrid>
        <w:gridCol w:w="3119"/>
        <w:gridCol w:w="1134"/>
        <w:gridCol w:w="1134"/>
        <w:gridCol w:w="1134"/>
        <w:gridCol w:w="1134"/>
        <w:gridCol w:w="1134"/>
      </w:tblGrid>
      <w:tr w:rsidR="00CE334B" w:rsidRPr="00CE334B" w:rsidTr="00CE334B">
        <w:trPr>
          <w:trHeight w:hRule="exact" w:val="760"/>
        </w:trPr>
        <w:tc>
          <w:tcPr>
            <w:tcW w:w="3119"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E334B" w:rsidRPr="00CE334B" w:rsidRDefault="00CE334B" w:rsidP="00CE334B">
            <w:pPr>
              <w:spacing w:after="0" w:line="240" w:lineRule="auto"/>
              <w:ind w:firstLineChars="100" w:firstLine="201"/>
              <w:jc w:val="left"/>
              <w:rPr>
                <w:rFonts w:cs="Arial"/>
                <w:b/>
                <w:bCs/>
                <w:color w:val="FFFFFF"/>
                <w:sz w:val="20"/>
                <w:szCs w:val="20"/>
                <w:lang w:eastAsia="en-AU"/>
              </w:rPr>
            </w:pPr>
            <w:r w:rsidRPr="00CE334B">
              <w:rPr>
                <w:rFonts w:cs="Arial"/>
                <w:b/>
                <w:bCs/>
                <w:color w:val="FFFFFF"/>
                <w:sz w:val="20"/>
                <w:szCs w:val="20"/>
                <w:lang w:eastAsia="en-AU"/>
              </w:rPr>
              <w:t> </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CE334B" w:rsidRPr="00CE334B" w:rsidRDefault="00CE334B" w:rsidP="00CE334B">
            <w:pPr>
              <w:spacing w:after="0" w:line="240" w:lineRule="auto"/>
              <w:ind w:firstLineChars="100" w:firstLine="181"/>
              <w:jc w:val="right"/>
              <w:rPr>
                <w:rFonts w:cs="Arial"/>
                <w:b/>
                <w:bCs/>
                <w:color w:val="FFFFFF"/>
                <w:sz w:val="18"/>
                <w:szCs w:val="18"/>
                <w:lang w:eastAsia="en-AU"/>
              </w:rPr>
            </w:pPr>
            <w:r w:rsidRPr="00CE334B">
              <w:rPr>
                <w:rFonts w:cs="Arial"/>
                <w:b/>
                <w:bCs/>
                <w:color w:val="FFFFFF"/>
                <w:sz w:val="18"/>
                <w:szCs w:val="18"/>
                <w:lang w:eastAsia="en-AU"/>
              </w:rPr>
              <w:t>Q3 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CE334B" w:rsidRPr="00CE334B" w:rsidRDefault="00CE334B" w:rsidP="00CE334B">
            <w:pPr>
              <w:spacing w:after="0" w:line="240" w:lineRule="auto"/>
              <w:ind w:firstLineChars="100" w:firstLine="181"/>
              <w:jc w:val="right"/>
              <w:rPr>
                <w:rFonts w:cs="Arial"/>
                <w:b/>
                <w:bCs/>
                <w:color w:val="FFFFFF"/>
                <w:sz w:val="18"/>
                <w:szCs w:val="18"/>
                <w:lang w:eastAsia="en-AU"/>
              </w:rPr>
            </w:pPr>
            <w:r w:rsidRPr="00CE334B">
              <w:rPr>
                <w:rFonts w:cs="Arial"/>
                <w:b/>
                <w:bCs/>
                <w:color w:val="FFFFFF"/>
                <w:sz w:val="18"/>
                <w:szCs w:val="18"/>
                <w:lang w:eastAsia="en-AU"/>
              </w:rPr>
              <w:t>Q3 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CE334B" w:rsidRPr="00CE334B" w:rsidRDefault="00CE334B" w:rsidP="00CE334B">
            <w:pPr>
              <w:spacing w:after="0" w:line="240" w:lineRule="auto"/>
              <w:ind w:firstLineChars="100" w:firstLine="181"/>
              <w:jc w:val="right"/>
              <w:rPr>
                <w:rFonts w:cs="Arial"/>
                <w:b/>
                <w:bCs/>
                <w:color w:val="FFFFFF"/>
                <w:sz w:val="18"/>
                <w:szCs w:val="18"/>
                <w:lang w:eastAsia="en-AU"/>
              </w:rPr>
            </w:pPr>
            <w:r w:rsidRPr="00CE334B">
              <w:rPr>
                <w:rFonts w:cs="Arial"/>
                <w:b/>
                <w:bCs/>
                <w:color w:val="FFFFFF"/>
                <w:sz w:val="18"/>
                <w:szCs w:val="18"/>
                <w:lang w:eastAsia="en-AU"/>
              </w:rPr>
              <w:t>Q3 2013</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 change</w:t>
            </w:r>
            <w:r w:rsidRPr="00CE334B">
              <w:rPr>
                <w:rFonts w:cs="Arial"/>
                <w:b/>
                <w:bCs/>
                <w:color w:val="FFFFFF"/>
                <w:sz w:val="18"/>
                <w:szCs w:val="18"/>
                <w:lang w:eastAsia="en-AU"/>
              </w:rPr>
              <w:br/>
              <w:t>Q3 2011-Q3 2013 </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 change</w:t>
            </w:r>
            <w:r w:rsidRPr="00CE334B">
              <w:rPr>
                <w:rFonts w:cs="Arial"/>
                <w:b/>
                <w:bCs/>
                <w:color w:val="FFFFFF"/>
                <w:sz w:val="18"/>
                <w:szCs w:val="18"/>
                <w:lang w:eastAsia="en-AU"/>
              </w:rPr>
              <w:br/>
              <w:t>Q3 2012-Q3 2013 </w:t>
            </w:r>
          </w:p>
        </w:tc>
      </w:tr>
      <w:tr w:rsidR="00CE334B" w:rsidRPr="00CE334B" w:rsidTr="00CE334B">
        <w:trPr>
          <w:trHeight w:hRule="exact" w:val="284"/>
        </w:trPr>
        <w:tc>
          <w:tcPr>
            <w:tcW w:w="3119" w:type="dxa"/>
            <w:tcBorders>
              <w:top w:val="nil"/>
              <w:left w:val="single" w:sz="4" w:space="0" w:color="5E8A00"/>
              <w:bottom w:val="single" w:sz="4" w:space="0" w:color="5E8A00"/>
              <w:right w:val="single" w:sz="4" w:space="0" w:color="5E8A00"/>
            </w:tcBorders>
            <w:shd w:val="clear" w:color="000000" w:fill="FFFFFF"/>
            <w:noWrap/>
            <w:vAlign w:val="bottom"/>
            <w:hideMark/>
          </w:tcPr>
          <w:p w:rsidR="00CE334B" w:rsidRPr="00CE334B" w:rsidRDefault="00CE334B" w:rsidP="00CE334B">
            <w:pPr>
              <w:spacing w:after="0" w:line="240" w:lineRule="auto"/>
              <w:jc w:val="left"/>
              <w:rPr>
                <w:rFonts w:cs="Arial"/>
                <w:color w:val="3E5B00"/>
                <w:sz w:val="18"/>
                <w:szCs w:val="18"/>
                <w:lang w:eastAsia="en-AU"/>
              </w:rPr>
            </w:pPr>
            <w:r w:rsidRPr="00CE334B">
              <w:rPr>
                <w:rFonts w:cs="Arial"/>
                <w:color w:val="3E5B00"/>
                <w:sz w:val="18"/>
                <w:szCs w:val="18"/>
                <w:lang w:eastAsia="en-AU"/>
              </w:rPr>
              <w:t>Government subsidised</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132.7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175.4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160.3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21%</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-9%</w:t>
            </w:r>
          </w:p>
        </w:tc>
      </w:tr>
      <w:tr w:rsidR="00CE334B" w:rsidRPr="00CE334B" w:rsidTr="00CE334B">
        <w:trPr>
          <w:trHeight w:hRule="exact" w:val="284"/>
        </w:trPr>
        <w:tc>
          <w:tcPr>
            <w:tcW w:w="3119" w:type="dxa"/>
            <w:tcBorders>
              <w:top w:val="nil"/>
              <w:left w:val="single" w:sz="4" w:space="0" w:color="5E8A00"/>
              <w:bottom w:val="single" w:sz="4" w:space="0" w:color="5E8A00"/>
              <w:right w:val="single" w:sz="4" w:space="0" w:color="5E8A00"/>
            </w:tcBorders>
            <w:shd w:val="clear" w:color="000000" w:fill="FFFFFF"/>
            <w:noWrap/>
            <w:vAlign w:val="bottom"/>
            <w:hideMark/>
          </w:tcPr>
          <w:p w:rsidR="00CE334B" w:rsidRPr="00CE334B" w:rsidRDefault="00CE334B" w:rsidP="00CE334B">
            <w:pPr>
              <w:spacing w:after="0" w:line="240" w:lineRule="auto"/>
              <w:jc w:val="left"/>
              <w:rPr>
                <w:rFonts w:cs="Arial"/>
                <w:color w:val="3E5B00"/>
                <w:sz w:val="18"/>
                <w:szCs w:val="18"/>
                <w:lang w:eastAsia="en-AU"/>
              </w:rPr>
            </w:pPr>
            <w:r w:rsidRPr="00CE334B">
              <w:rPr>
                <w:rFonts w:cs="Arial"/>
                <w:color w:val="3E5B00"/>
                <w:sz w:val="18"/>
                <w:szCs w:val="18"/>
                <w:lang w:eastAsia="en-AU"/>
              </w:rPr>
              <w:t>TAFE domestic fee for service*</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16.5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18.5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 xml:space="preserve">16.7 </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1%</w:t>
            </w:r>
          </w:p>
        </w:tc>
        <w:tc>
          <w:tcPr>
            <w:tcW w:w="1134" w:type="dxa"/>
            <w:tcBorders>
              <w:top w:val="nil"/>
              <w:left w:val="nil"/>
              <w:bottom w:val="single" w:sz="4" w:space="0" w:color="5E8A00"/>
              <w:right w:val="single" w:sz="4" w:space="0" w:color="5E8A00"/>
            </w:tcBorders>
            <w:shd w:val="clear" w:color="auto" w:fill="auto"/>
            <w:noWrap/>
            <w:vAlign w:val="center"/>
            <w:hideMark/>
          </w:tcPr>
          <w:p w:rsidR="00CE334B" w:rsidRPr="00CE334B" w:rsidRDefault="00CE334B" w:rsidP="00CE334B">
            <w:pPr>
              <w:spacing w:after="0" w:line="240" w:lineRule="auto"/>
              <w:jc w:val="right"/>
              <w:rPr>
                <w:rFonts w:cs="Arial"/>
                <w:sz w:val="18"/>
                <w:szCs w:val="18"/>
                <w:lang w:eastAsia="en-AU"/>
              </w:rPr>
            </w:pPr>
            <w:r w:rsidRPr="00CE334B">
              <w:rPr>
                <w:rFonts w:cs="Arial"/>
                <w:sz w:val="18"/>
                <w:szCs w:val="18"/>
                <w:lang w:eastAsia="en-AU"/>
              </w:rPr>
              <w:t>-10%</w:t>
            </w:r>
          </w:p>
        </w:tc>
      </w:tr>
      <w:tr w:rsidR="00CE334B" w:rsidRPr="00CE334B" w:rsidTr="00CE334B">
        <w:trPr>
          <w:trHeight w:hRule="exact" w:val="284"/>
        </w:trPr>
        <w:tc>
          <w:tcPr>
            <w:tcW w:w="3119" w:type="dxa"/>
            <w:tcBorders>
              <w:top w:val="nil"/>
              <w:left w:val="single" w:sz="4" w:space="0" w:color="5E8A00"/>
              <w:bottom w:val="nil"/>
              <w:right w:val="single" w:sz="4" w:space="0" w:color="5E8A00"/>
            </w:tcBorders>
            <w:shd w:val="clear" w:color="000000" w:fill="5E8A00"/>
            <w:noWrap/>
            <w:vAlign w:val="bottom"/>
            <w:hideMark/>
          </w:tcPr>
          <w:p w:rsidR="00CE334B" w:rsidRPr="00CE334B" w:rsidRDefault="00CE334B" w:rsidP="00CE334B">
            <w:pPr>
              <w:spacing w:after="0" w:line="240" w:lineRule="auto"/>
              <w:jc w:val="left"/>
              <w:rPr>
                <w:rFonts w:cs="Arial"/>
                <w:b/>
                <w:bCs/>
                <w:color w:val="FFFFFF"/>
                <w:sz w:val="18"/>
                <w:szCs w:val="18"/>
                <w:lang w:eastAsia="en-AU"/>
              </w:rPr>
            </w:pPr>
            <w:r w:rsidRPr="00CE334B">
              <w:rPr>
                <w:rFonts w:cs="Arial"/>
                <w:b/>
                <w:bCs/>
                <w:color w:val="FFFFFF"/>
                <w:sz w:val="18"/>
                <w:szCs w:val="18"/>
                <w:lang w:eastAsia="en-AU"/>
              </w:rPr>
              <w:t>Total</w:t>
            </w:r>
          </w:p>
        </w:tc>
        <w:tc>
          <w:tcPr>
            <w:tcW w:w="1134" w:type="dxa"/>
            <w:tcBorders>
              <w:top w:val="nil"/>
              <w:left w:val="nil"/>
              <w:bottom w:val="nil"/>
              <w:right w:val="single" w:sz="4" w:space="0" w:color="5E8A00"/>
            </w:tcBorders>
            <w:shd w:val="clear" w:color="000000" w:fill="5E8A00"/>
            <w:noWrap/>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 xml:space="preserve">149.2 </w:t>
            </w:r>
          </w:p>
        </w:tc>
        <w:tc>
          <w:tcPr>
            <w:tcW w:w="1134" w:type="dxa"/>
            <w:tcBorders>
              <w:top w:val="nil"/>
              <w:left w:val="nil"/>
              <w:bottom w:val="nil"/>
              <w:right w:val="single" w:sz="4" w:space="0" w:color="5E8A00"/>
            </w:tcBorders>
            <w:shd w:val="clear" w:color="000000" w:fill="5E8A00"/>
            <w:noWrap/>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 xml:space="preserve">194.0 </w:t>
            </w:r>
          </w:p>
        </w:tc>
        <w:tc>
          <w:tcPr>
            <w:tcW w:w="1134" w:type="dxa"/>
            <w:tcBorders>
              <w:top w:val="nil"/>
              <w:left w:val="nil"/>
              <w:bottom w:val="nil"/>
              <w:right w:val="single" w:sz="4" w:space="0" w:color="5E8A00"/>
            </w:tcBorders>
            <w:shd w:val="clear" w:color="000000" w:fill="5E8A00"/>
            <w:noWrap/>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 xml:space="preserve">177.0 </w:t>
            </w:r>
          </w:p>
        </w:tc>
        <w:tc>
          <w:tcPr>
            <w:tcW w:w="1134" w:type="dxa"/>
            <w:tcBorders>
              <w:top w:val="nil"/>
              <w:left w:val="nil"/>
              <w:bottom w:val="single" w:sz="4" w:space="0" w:color="5E8A00"/>
              <w:right w:val="single" w:sz="4" w:space="0" w:color="5E8A00"/>
            </w:tcBorders>
            <w:shd w:val="clear" w:color="000000" w:fill="5E8A00"/>
            <w:noWrap/>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19%</w:t>
            </w:r>
          </w:p>
        </w:tc>
        <w:tc>
          <w:tcPr>
            <w:tcW w:w="1134" w:type="dxa"/>
            <w:tcBorders>
              <w:top w:val="nil"/>
              <w:left w:val="nil"/>
              <w:bottom w:val="single" w:sz="4" w:space="0" w:color="5E8A00"/>
              <w:right w:val="single" w:sz="4" w:space="0" w:color="5E8A00"/>
            </w:tcBorders>
            <w:shd w:val="clear" w:color="000000" w:fill="5E8A00"/>
            <w:noWrap/>
            <w:vAlign w:val="center"/>
            <w:hideMark/>
          </w:tcPr>
          <w:p w:rsidR="00CE334B" w:rsidRPr="00CE334B" w:rsidRDefault="00CE334B" w:rsidP="00CE334B">
            <w:pPr>
              <w:spacing w:after="0" w:line="240" w:lineRule="auto"/>
              <w:jc w:val="right"/>
              <w:rPr>
                <w:rFonts w:cs="Arial"/>
                <w:b/>
                <w:bCs/>
                <w:color w:val="FFFFFF"/>
                <w:sz w:val="18"/>
                <w:szCs w:val="18"/>
                <w:lang w:eastAsia="en-AU"/>
              </w:rPr>
            </w:pPr>
            <w:r w:rsidRPr="00CE334B">
              <w:rPr>
                <w:rFonts w:cs="Arial"/>
                <w:b/>
                <w:bCs/>
                <w:color w:val="FFFFFF"/>
                <w:sz w:val="18"/>
                <w:szCs w:val="18"/>
                <w:lang w:eastAsia="en-AU"/>
              </w:rPr>
              <w:t>-9%</w:t>
            </w:r>
          </w:p>
        </w:tc>
      </w:tr>
    </w:tbl>
    <w:p w:rsidR="00164517" w:rsidRPr="00AE3D9A" w:rsidRDefault="008F0BCF" w:rsidP="00164517">
      <w:pPr>
        <w:spacing w:after="0" w:line="240" w:lineRule="auto"/>
        <w:rPr>
          <w:rFonts w:cs="Arial"/>
          <w:sz w:val="16"/>
          <w:szCs w:val="16"/>
        </w:rPr>
      </w:pPr>
      <w:r w:rsidRPr="00AE3D9A">
        <w:rPr>
          <w:rFonts w:cs="Arial"/>
          <w:sz w:val="16"/>
          <w:szCs w:val="16"/>
        </w:rPr>
        <w:t>*</w:t>
      </w:r>
      <w:r w:rsidR="00164517" w:rsidRPr="00AE3D9A">
        <w:rPr>
          <w:rFonts w:cs="Arial"/>
          <w:sz w:val="16"/>
          <w:szCs w:val="16"/>
        </w:rPr>
        <w:t>Fee for Service figures are TAFE on-shore domestic AQF Level 1 and above.</w:t>
      </w:r>
    </w:p>
    <w:p w:rsidR="00164517" w:rsidRDefault="00164517" w:rsidP="00A9260A">
      <w:pPr>
        <w:pStyle w:val="Caption"/>
        <w:rPr>
          <w:rFonts w:cs="Arial"/>
        </w:rPr>
      </w:pPr>
    </w:p>
    <w:p w:rsidR="005E4EE6" w:rsidRPr="00736BBD" w:rsidRDefault="009B6E7F" w:rsidP="00736BBD">
      <w:pPr>
        <w:pStyle w:val="Caption"/>
        <w:spacing w:after="0"/>
      </w:pPr>
      <w:proofErr w:type="gramStart"/>
      <w:r w:rsidRPr="00736BBD">
        <w:t>Figure 1.</w:t>
      </w:r>
      <w:proofErr w:type="gramEnd"/>
      <w:r w:rsidR="008825B1">
        <w:fldChar w:fldCharType="begin"/>
      </w:r>
      <w:r w:rsidR="008825B1">
        <w:instrText xml:space="preserve"> SEQ Graph \* ARABIC \s 1 </w:instrText>
      </w:r>
      <w:r w:rsidR="008825B1">
        <w:fldChar w:fldCharType="separate"/>
      </w:r>
      <w:r w:rsidR="00EB10C4">
        <w:rPr>
          <w:noProof/>
        </w:rPr>
        <w:t>2</w:t>
      </w:r>
      <w:r w:rsidR="008825B1">
        <w:rPr>
          <w:noProof/>
        </w:rPr>
        <w:fldChar w:fldCharType="end"/>
      </w:r>
      <w:r w:rsidRPr="00736BBD">
        <w:t xml:space="preserve">: </w:t>
      </w:r>
      <w:r w:rsidR="00171CC7" w:rsidRPr="00736BBD">
        <w:t>s</w:t>
      </w:r>
      <w:r w:rsidRPr="00736BBD">
        <w:t>tudent contact hours (millions)</w:t>
      </w:r>
      <w:r w:rsidR="00171CC7" w:rsidRPr="00736BBD">
        <w:t xml:space="preserve"> by funding type</w:t>
      </w:r>
      <w:r w:rsidRPr="00736BBD">
        <w:t>, 2008–2012</w:t>
      </w:r>
      <w:r w:rsidR="00171CC7" w:rsidRPr="00736BBD">
        <w:t xml:space="preserve">, </w:t>
      </w:r>
      <w:r w:rsidR="00086BD6" w:rsidRPr="00736BBD">
        <w:t>Q</w:t>
      </w:r>
      <w:r w:rsidR="000D0334" w:rsidRPr="00736BBD">
        <w:t>3</w:t>
      </w:r>
      <w:r w:rsidR="00086BD6" w:rsidRPr="00736BBD">
        <w:t xml:space="preserve"> 2011, </w:t>
      </w:r>
      <w:r w:rsidR="00171CC7" w:rsidRPr="00736BBD">
        <w:t>Q</w:t>
      </w:r>
      <w:r w:rsidR="000D0334" w:rsidRPr="00736BBD">
        <w:t>3</w:t>
      </w:r>
      <w:r w:rsidR="00171CC7" w:rsidRPr="00736BBD">
        <w:t xml:space="preserve"> 2012 and Q</w:t>
      </w:r>
      <w:r w:rsidR="000D0334" w:rsidRPr="00736BBD">
        <w:t>3</w:t>
      </w:r>
      <w:r w:rsidR="00171CC7" w:rsidRPr="00736BBD">
        <w:t xml:space="preserve"> 2013</w:t>
      </w:r>
    </w:p>
    <w:p w:rsidR="000D0334" w:rsidRDefault="000D0334" w:rsidP="000D0334">
      <w:r>
        <w:rPr>
          <w:noProof/>
          <w:lang w:eastAsia="en-AU"/>
        </w:rPr>
        <w:drawing>
          <wp:inline distT="0" distB="0" distL="0" distR="0" wp14:anchorId="716FE54C" wp14:editId="6CBC9050">
            <wp:extent cx="5712460" cy="3243580"/>
            <wp:effectExtent l="0" t="0" r="0" b="0"/>
            <wp:docPr id="18" name="Picture 18" descr="This chart presents the number of government subsidised student coutact hours (in millions) from 2008 to 2012, and in Q3 2011, Q3 2012 and Q3 2013. " title="Figure 1.2: student contact hours (millions) by funding type, 2008–2012,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3243580"/>
                    </a:xfrm>
                    <a:prstGeom prst="rect">
                      <a:avLst/>
                    </a:prstGeom>
                    <a:noFill/>
                  </pic:spPr>
                </pic:pic>
              </a:graphicData>
            </a:graphic>
          </wp:inline>
        </w:drawing>
      </w:r>
    </w:p>
    <w:p w:rsidR="000D0334" w:rsidRPr="000D0334" w:rsidRDefault="000D0334" w:rsidP="000D0334"/>
    <w:p w:rsidR="00D17AF1" w:rsidRDefault="00D17AF1">
      <w:pPr>
        <w:spacing w:after="0" w:line="240" w:lineRule="auto"/>
        <w:jc w:val="left"/>
        <w:rPr>
          <w:rFonts w:cs="Arial"/>
          <w:b/>
          <w:bCs/>
          <w:color w:val="76923C" w:themeColor="accent3" w:themeShade="BF"/>
          <w:sz w:val="18"/>
          <w:szCs w:val="16"/>
        </w:rPr>
      </w:pPr>
      <w:r>
        <w:rPr>
          <w:rFonts w:cs="Arial"/>
        </w:rPr>
        <w:br w:type="page"/>
      </w:r>
    </w:p>
    <w:p w:rsidR="005E4EE6" w:rsidRPr="001F29E3" w:rsidRDefault="005E4EE6" w:rsidP="00CB5563">
      <w:pPr>
        <w:pStyle w:val="Caption"/>
        <w:spacing w:after="0"/>
        <w:rPr>
          <w:rFonts w:cs="Arial"/>
        </w:rPr>
      </w:pPr>
      <w:r w:rsidRPr="001F29E3">
        <w:rPr>
          <w:rFonts w:cs="Arial"/>
        </w:rPr>
        <w:lastRenderedPageBreak/>
        <w:t>Table 1.</w:t>
      </w:r>
      <w:r w:rsidR="001C1188">
        <w:rPr>
          <w:rFonts w:cs="Arial"/>
        </w:rPr>
        <w:t>3.1</w:t>
      </w:r>
      <w:r w:rsidRPr="001F29E3">
        <w:rPr>
          <w:rFonts w:cs="Arial"/>
        </w:rPr>
        <w:t xml:space="preserve">: </w:t>
      </w:r>
      <w:r w:rsidR="00171CC7" w:rsidRPr="001F29E3">
        <w:rPr>
          <w:rFonts w:cs="Arial"/>
        </w:rPr>
        <w:t>Number of students by funding type, 2008–2012</w:t>
      </w:r>
    </w:p>
    <w:tbl>
      <w:tblPr>
        <w:tblW w:w="9820" w:type="dxa"/>
        <w:tblInd w:w="108" w:type="dxa"/>
        <w:tblLook w:val="04A0" w:firstRow="1" w:lastRow="0" w:firstColumn="1" w:lastColumn="0" w:noHBand="0" w:noVBand="1"/>
      </w:tblPr>
      <w:tblGrid>
        <w:gridCol w:w="3100"/>
        <w:gridCol w:w="1120"/>
        <w:gridCol w:w="1120"/>
        <w:gridCol w:w="1120"/>
        <w:gridCol w:w="1120"/>
        <w:gridCol w:w="1120"/>
        <w:gridCol w:w="1120"/>
      </w:tblGrid>
      <w:tr w:rsidR="0037793E" w:rsidRPr="0037793E" w:rsidTr="00F87EB1">
        <w:trPr>
          <w:trHeight w:hRule="exact" w:val="760"/>
        </w:trPr>
        <w:tc>
          <w:tcPr>
            <w:tcW w:w="3100" w:type="dxa"/>
            <w:tcBorders>
              <w:left w:val="single" w:sz="4" w:space="0" w:color="5E8A00"/>
              <w:bottom w:val="single" w:sz="4" w:space="0" w:color="5E8A00"/>
              <w:right w:val="single" w:sz="4" w:space="0" w:color="5E8A00"/>
            </w:tcBorders>
            <w:shd w:val="clear" w:color="000000" w:fill="5E8A00"/>
            <w:noWrap/>
            <w:vAlign w:val="center"/>
            <w:hideMark/>
          </w:tcPr>
          <w:p w:rsidR="0037793E" w:rsidRPr="0037793E" w:rsidRDefault="0037793E" w:rsidP="00F034AF">
            <w:pPr>
              <w:spacing w:after="0" w:line="240" w:lineRule="auto"/>
              <w:ind w:firstLineChars="100" w:firstLine="181"/>
              <w:jc w:val="left"/>
              <w:rPr>
                <w:rFonts w:cs="Arial"/>
                <w:b/>
                <w:bCs/>
                <w:color w:val="FFFFFF"/>
                <w:sz w:val="18"/>
                <w:szCs w:val="18"/>
                <w:lang w:eastAsia="en-AU"/>
              </w:rPr>
            </w:pPr>
            <w:r w:rsidRPr="0037793E">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F034AF">
            <w:pPr>
              <w:spacing w:after="0" w:line="240" w:lineRule="auto"/>
              <w:ind w:firstLineChars="100" w:firstLine="181"/>
              <w:jc w:val="right"/>
              <w:rPr>
                <w:rFonts w:cs="Arial"/>
                <w:b/>
                <w:bCs/>
                <w:color w:val="FFFFFF"/>
                <w:sz w:val="18"/>
                <w:szCs w:val="18"/>
                <w:lang w:eastAsia="en-AU"/>
              </w:rPr>
            </w:pPr>
            <w:r w:rsidRPr="0037793E">
              <w:rPr>
                <w:rFonts w:cs="Arial"/>
                <w:b/>
                <w:bCs/>
                <w:color w:val="FFFFFF"/>
                <w:sz w:val="18"/>
                <w:szCs w:val="18"/>
                <w:lang w:eastAsia="en-AU"/>
              </w:rPr>
              <w:t>2008</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F034AF">
            <w:pPr>
              <w:spacing w:after="0" w:line="240" w:lineRule="auto"/>
              <w:ind w:firstLineChars="100" w:firstLine="181"/>
              <w:jc w:val="right"/>
              <w:rPr>
                <w:rFonts w:cs="Arial"/>
                <w:b/>
                <w:bCs/>
                <w:color w:val="FFFFFF"/>
                <w:sz w:val="18"/>
                <w:szCs w:val="18"/>
                <w:lang w:eastAsia="en-AU"/>
              </w:rPr>
            </w:pPr>
            <w:r w:rsidRPr="0037793E">
              <w:rPr>
                <w:rFonts w:cs="Arial"/>
                <w:b/>
                <w:bCs/>
                <w:color w:val="FFFFFF"/>
                <w:sz w:val="18"/>
                <w:szCs w:val="18"/>
                <w:lang w:eastAsia="en-AU"/>
              </w:rPr>
              <w:t>2009</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F034AF">
            <w:pPr>
              <w:spacing w:after="0" w:line="240" w:lineRule="auto"/>
              <w:ind w:firstLineChars="100" w:firstLine="181"/>
              <w:jc w:val="right"/>
              <w:rPr>
                <w:rFonts w:cs="Arial"/>
                <w:b/>
                <w:bCs/>
                <w:color w:val="FFFFFF"/>
                <w:sz w:val="18"/>
                <w:szCs w:val="18"/>
                <w:lang w:eastAsia="en-AU"/>
              </w:rPr>
            </w:pPr>
            <w:r w:rsidRPr="0037793E">
              <w:rPr>
                <w:rFonts w:cs="Arial"/>
                <w:b/>
                <w:bCs/>
                <w:color w:val="FFFFFF"/>
                <w:sz w:val="18"/>
                <w:szCs w:val="18"/>
                <w:lang w:eastAsia="en-AU"/>
              </w:rPr>
              <w:t>2010</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F034AF">
            <w:pPr>
              <w:spacing w:after="0" w:line="240" w:lineRule="auto"/>
              <w:ind w:firstLineChars="100" w:firstLine="181"/>
              <w:jc w:val="right"/>
              <w:rPr>
                <w:rFonts w:cs="Arial"/>
                <w:b/>
                <w:bCs/>
                <w:color w:val="FFFFFF"/>
                <w:sz w:val="18"/>
                <w:szCs w:val="18"/>
                <w:lang w:eastAsia="en-AU"/>
              </w:rPr>
            </w:pPr>
            <w:r w:rsidRPr="0037793E">
              <w:rPr>
                <w:rFonts w:cs="Arial"/>
                <w:b/>
                <w:bCs/>
                <w:color w:val="FFFFFF"/>
                <w:sz w:val="18"/>
                <w:szCs w:val="18"/>
                <w:lang w:eastAsia="en-AU"/>
              </w:rPr>
              <w:t>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F034AF">
            <w:pPr>
              <w:spacing w:after="0" w:line="240" w:lineRule="auto"/>
              <w:ind w:firstLineChars="100" w:firstLine="181"/>
              <w:jc w:val="right"/>
              <w:rPr>
                <w:rFonts w:cs="Arial"/>
                <w:b/>
                <w:bCs/>
                <w:color w:val="FFFFFF"/>
                <w:sz w:val="18"/>
                <w:szCs w:val="18"/>
                <w:lang w:eastAsia="en-AU"/>
              </w:rPr>
            </w:pPr>
            <w:r w:rsidRPr="0037793E">
              <w:rPr>
                <w:rFonts w:cs="Arial"/>
                <w:b/>
                <w:bCs/>
                <w:color w:val="FFFFFF"/>
                <w:sz w:val="18"/>
                <w:szCs w:val="18"/>
                <w:lang w:eastAsia="en-AU"/>
              </w:rPr>
              <w:t>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change</w:t>
            </w:r>
            <w:r w:rsidRPr="0037793E">
              <w:rPr>
                <w:rFonts w:cs="Arial"/>
                <w:b/>
                <w:bCs/>
                <w:color w:val="FFFFFF"/>
                <w:sz w:val="18"/>
                <w:szCs w:val="18"/>
                <w:lang w:eastAsia="en-AU"/>
              </w:rPr>
              <w:br/>
              <w:t>2008-2012</w:t>
            </w:r>
          </w:p>
        </w:tc>
      </w:tr>
      <w:tr w:rsidR="0037793E" w:rsidRPr="0037793E" w:rsidTr="0037793E">
        <w:trPr>
          <w:trHeight w:hRule="exact" w:val="284"/>
        </w:trPr>
        <w:tc>
          <w:tcPr>
            <w:tcW w:w="3100" w:type="dxa"/>
            <w:tcBorders>
              <w:top w:val="nil"/>
              <w:left w:val="single" w:sz="4" w:space="0" w:color="5E8A00"/>
              <w:bottom w:val="single" w:sz="4" w:space="0" w:color="5E8A00"/>
              <w:right w:val="single" w:sz="4" w:space="0" w:color="5E8A00"/>
            </w:tcBorders>
            <w:shd w:val="clear" w:color="000000" w:fill="FFFFFF"/>
            <w:noWrap/>
            <w:vAlign w:val="center"/>
            <w:hideMark/>
          </w:tcPr>
          <w:p w:rsidR="0037793E" w:rsidRPr="0037793E" w:rsidRDefault="0037793E" w:rsidP="0037793E">
            <w:pPr>
              <w:spacing w:after="0" w:line="240" w:lineRule="auto"/>
              <w:jc w:val="left"/>
              <w:rPr>
                <w:rFonts w:cs="Arial"/>
                <w:color w:val="3E5B00"/>
                <w:sz w:val="18"/>
                <w:szCs w:val="18"/>
                <w:lang w:eastAsia="en-AU"/>
              </w:rPr>
            </w:pPr>
            <w:r w:rsidRPr="0037793E">
              <w:rPr>
                <w:rFonts w:cs="Arial"/>
                <w:color w:val="3E5B00"/>
                <w:sz w:val="18"/>
                <w:szCs w:val="18"/>
                <w:lang w:eastAsia="en-AU"/>
              </w:rPr>
              <w:t>Government subsidised</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294,700 </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299,600 </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339,200 </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430,300 </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509,800 </w:t>
            </w:r>
          </w:p>
        </w:tc>
        <w:tc>
          <w:tcPr>
            <w:tcW w:w="1120" w:type="dxa"/>
            <w:tcBorders>
              <w:top w:val="nil"/>
              <w:left w:val="nil"/>
              <w:bottom w:val="single" w:sz="4" w:space="0" w:color="5E8A00"/>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73%</w:t>
            </w:r>
          </w:p>
        </w:tc>
      </w:tr>
      <w:tr w:rsidR="0037793E" w:rsidRPr="0037793E" w:rsidTr="00F87EB1">
        <w:trPr>
          <w:trHeight w:hRule="exact" w:val="284"/>
        </w:trPr>
        <w:tc>
          <w:tcPr>
            <w:tcW w:w="3100" w:type="dxa"/>
            <w:tcBorders>
              <w:top w:val="nil"/>
              <w:left w:val="single" w:sz="4" w:space="0" w:color="5E8A00"/>
              <w:right w:val="single" w:sz="4" w:space="0" w:color="5E8A00"/>
            </w:tcBorders>
            <w:shd w:val="clear" w:color="000000" w:fill="FFFFFF"/>
            <w:noWrap/>
            <w:vAlign w:val="center"/>
            <w:hideMark/>
          </w:tcPr>
          <w:p w:rsidR="0037793E" w:rsidRPr="0037793E" w:rsidRDefault="0037793E" w:rsidP="0037793E">
            <w:pPr>
              <w:spacing w:after="0" w:line="240" w:lineRule="auto"/>
              <w:jc w:val="left"/>
              <w:rPr>
                <w:rFonts w:cs="Arial"/>
                <w:color w:val="3E5B00"/>
                <w:sz w:val="18"/>
                <w:szCs w:val="18"/>
                <w:lang w:eastAsia="en-AU"/>
              </w:rPr>
            </w:pPr>
            <w:r w:rsidRPr="0037793E">
              <w:rPr>
                <w:rFonts w:cs="Arial"/>
                <w:color w:val="3E5B00"/>
                <w:sz w:val="18"/>
                <w:szCs w:val="18"/>
                <w:lang w:eastAsia="en-AU"/>
              </w:rPr>
              <w:t>TAFE domestic fee for service*</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80,400 </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93,100 </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96,000 </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94,200 </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 xml:space="preserve">105,200 </w:t>
            </w:r>
          </w:p>
        </w:tc>
        <w:tc>
          <w:tcPr>
            <w:tcW w:w="1120" w:type="dxa"/>
            <w:tcBorders>
              <w:top w:val="nil"/>
              <w:left w:val="nil"/>
              <w:right w:val="single" w:sz="4" w:space="0" w:color="5E8A00"/>
            </w:tcBorders>
            <w:shd w:val="clear" w:color="auto" w:fill="auto"/>
            <w:noWrap/>
            <w:vAlign w:val="center"/>
            <w:hideMark/>
          </w:tcPr>
          <w:p w:rsidR="0037793E" w:rsidRPr="0037793E" w:rsidRDefault="0037793E" w:rsidP="0037793E">
            <w:pPr>
              <w:spacing w:after="0" w:line="240" w:lineRule="auto"/>
              <w:jc w:val="right"/>
              <w:rPr>
                <w:rFonts w:cs="Arial"/>
                <w:sz w:val="18"/>
                <w:szCs w:val="18"/>
                <w:lang w:eastAsia="en-AU"/>
              </w:rPr>
            </w:pPr>
            <w:r w:rsidRPr="0037793E">
              <w:rPr>
                <w:rFonts w:cs="Arial"/>
                <w:sz w:val="18"/>
                <w:szCs w:val="18"/>
                <w:lang w:eastAsia="en-AU"/>
              </w:rPr>
              <w:t>31%</w:t>
            </w:r>
          </w:p>
        </w:tc>
      </w:tr>
      <w:tr w:rsidR="0037793E" w:rsidRPr="0037793E" w:rsidTr="00F87EB1">
        <w:trPr>
          <w:trHeight w:hRule="exact" w:val="284"/>
        </w:trPr>
        <w:tc>
          <w:tcPr>
            <w:tcW w:w="3100" w:type="dxa"/>
            <w:tcBorders>
              <w:left w:val="single" w:sz="4" w:space="0" w:color="5E8A00"/>
              <w:bottom w:val="single" w:sz="4" w:space="0" w:color="5E8A00"/>
            </w:tcBorders>
            <w:shd w:val="clear" w:color="000000" w:fill="5E8A00"/>
            <w:noWrap/>
            <w:vAlign w:val="center"/>
            <w:hideMark/>
          </w:tcPr>
          <w:p w:rsidR="0037793E" w:rsidRPr="0037793E" w:rsidRDefault="0037793E" w:rsidP="0037793E">
            <w:pPr>
              <w:spacing w:after="0" w:line="240" w:lineRule="auto"/>
              <w:jc w:val="left"/>
              <w:rPr>
                <w:rFonts w:cs="Arial"/>
                <w:b/>
                <w:bCs/>
                <w:color w:val="FFFFFF"/>
                <w:sz w:val="18"/>
                <w:szCs w:val="18"/>
                <w:lang w:eastAsia="en-AU"/>
              </w:rPr>
            </w:pPr>
            <w:r w:rsidRPr="0037793E">
              <w:rPr>
                <w:rFonts w:cs="Arial"/>
                <w:b/>
                <w:bCs/>
                <w:color w:val="FFFFFF"/>
                <w:sz w:val="18"/>
                <w:szCs w:val="18"/>
                <w:lang w:eastAsia="en-AU"/>
              </w:rPr>
              <w:t>Total**</w:t>
            </w:r>
          </w:p>
        </w:tc>
        <w:tc>
          <w:tcPr>
            <w:tcW w:w="1120" w:type="dxa"/>
            <w:tcBorders>
              <w:bottom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xml:space="preserve">366,700 </w:t>
            </w:r>
          </w:p>
        </w:tc>
        <w:tc>
          <w:tcPr>
            <w:tcW w:w="1120" w:type="dxa"/>
            <w:tcBorders>
              <w:bottom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xml:space="preserve">381,300 </w:t>
            </w:r>
          </w:p>
        </w:tc>
        <w:tc>
          <w:tcPr>
            <w:tcW w:w="1120" w:type="dxa"/>
            <w:tcBorders>
              <w:bottom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xml:space="preserve">422,500 </w:t>
            </w:r>
          </w:p>
        </w:tc>
        <w:tc>
          <w:tcPr>
            <w:tcW w:w="1120" w:type="dxa"/>
            <w:tcBorders>
              <w:bottom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xml:space="preserve">512,900 </w:t>
            </w:r>
          </w:p>
        </w:tc>
        <w:tc>
          <w:tcPr>
            <w:tcW w:w="1120" w:type="dxa"/>
            <w:tcBorders>
              <w:bottom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 xml:space="preserve">603,200 </w:t>
            </w:r>
          </w:p>
        </w:tc>
        <w:tc>
          <w:tcPr>
            <w:tcW w:w="1120" w:type="dxa"/>
            <w:tcBorders>
              <w:bottom w:val="single" w:sz="4" w:space="0" w:color="5E8A00"/>
              <w:right w:val="single" w:sz="4" w:space="0" w:color="5E8A00"/>
            </w:tcBorders>
            <w:shd w:val="clear" w:color="000000" w:fill="5E8A00"/>
            <w:noWrap/>
            <w:vAlign w:val="center"/>
            <w:hideMark/>
          </w:tcPr>
          <w:p w:rsidR="0037793E" w:rsidRPr="0037793E" w:rsidRDefault="0037793E" w:rsidP="0037793E">
            <w:pPr>
              <w:spacing w:after="0" w:line="240" w:lineRule="auto"/>
              <w:jc w:val="right"/>
              <w:rPr>
                <w:rFonts w:cs="Arial"/>
                <w:b/>
                <w:bCs/>
                <w:color w:val="FFFFFF"/>
                <w:sz w:val="18"/>
                <w:szCs w:val="18"/>
                <w:lang w:eastAsia="en-AU"/>
              </w:rPr>
            </w:pPr>
            <w:r w:rsidRPr="0037793E">
              <w:rPr>
                <w:rFonts w:cs="Arial"/>
                <w:b/>
                <w:bCs/>
                <w:color w:val="FFFFFF"/>
                <w:sz w:val="18"/>
                <w:szCs w:val="18"/>
                <w:lang w:eastAsia="en-AU"/>
              </w:rPr>
              <w:t>64%</w:t>
            </w:r>
          </w:p>
        </w:tc>
      </w:tr>
    </w:tbl>
    <w:p w:rsidR="00891A33" w:rsidRPr="001F29E3" w:rsidRDefault="00AE3D9A" w:rsidP="00891A33">
      <w:pPr>
        <w:spacing w:after="0" w:line="240" w:lineRule="auto"/>
        <w:rPr>
          <w:rFonts w:cs="Arial"/>
          <w:sz w:val="16"/>
          <w:szCs w:val="16"/>
        </w:rPr>
      </w:pPr>
      <w:r>
        <w:rPr>
          <w:rFonts w:cs="Arial"/>
          <w:sz w:val="16"/>
          <w:szCs w:val="16"/>
        </w:rPr>
        <w:t>*</w:t>
      </w:r>
      <w:r w:rsidR="00891A33" w:rsidRPr="001F29E3">
        <w:rPr>
          <w:rFonts w:cs="Arial"/>
          <w:sz w:val="16"/>
          <w:szCs w:val="16"/>
        </w:rPr>
        <w:t>Fee for Service figures are TAFE on-shore domestic AQF</w:t>
      </w:r>
      <w:r w:rsidR="00891A33">
        <w:rPr>
          <w:rFonts w:cs="Arial"/>
          <w:sz w:val="16"/>
          <w:szCs w:val="16"/>
        </w:rPr>
        <w:t xml:space="preserve"> Level </w:t>
      </w:r>
      <w:r w:rsidR="00891A33" w:rsidRPr="001F29E3">
        <w:rPr>
          <w:rFonts w:cs="Arial"/>
          <w:sz w:val="16"/>
          <w:szCs w:val="16"/>
        </w:rPr>
        <w:t>1</w:t>
      </w:r>
      <w:r w:rsidR="00891A33">
        <w:rPr>
          <w:rFonts w:cs="Arial"/>
          <w:sz w:val="16"/>
          <w:szCs w:val="16"/>
        </w:rPr>
        <w:t xml:space="preserve"> and above</w:t>
      </w:r>
      <w:r w:rsidR="00891A33" w:rsidRPr="001F29E3">
        <w:rPr>
          <w:rFonts w:cs="Arial"/>
          <w:sz w:val="16"/>
          <w:szCs w:val="16"/>
        </w:rPr>
        <w:t>.</w:t>
      </w:r>
    </w:p>
    <w:p w:rsidR="005E4EE6" w:rsidRDefault="005E4EE6" w:rsidP="00DB72B4">
      <w:pPr>
        <w:spacing w:line="240" w:lineRule="auto"/>
        <w:rPr>
          <w:rFonts w:cs="Arial"/>
          <w:sz w:val="16"/>
          <w:szCs w:val="16"/>
        </w:rPr>
      </w:pPr>
      <w:r w:rsidRPr="001F29E3">
        <w:rPr>
          <w:rFonts w:cs="Arial"/>
          <w:sz w:val="16"/>
          <w:szCs w:val="16"/>
        </w:rPr>
        <w:t>*</w:t>
      </w:r>
      <w:r w:rsidR="00AE3D9A">
        <w:rPr>
          <w:rFonts w:cs="Arial"/>
          <w:sz w:val="16"/>
          <w:szCs w:val="16"/>
        </w:rPr>
        <w:t>*</w:t>
      </w:r>
      <w:r w:rsidRPr="001F29E3">
        <w:rPr>
          <w:rFonts w:cs="Arial"/>
          <w:sz w:val="16"/>
          <w:szCs w:val="16"/>
        </w:rPr>
        <w:t xml:space="preserve">TAFE students whose enrolments are made up of </w:t>
      </w:r>
      <w:r w:rsidR="00452EAA" w:rsidRPr="001F29E3">
        <w:rPr>
          <w:rFonts w:cs="Arial"/>
          <w:sz w:val="16"/>
          <w:szCs w:val="16"/>
        </w:rPr>
        <w:t xml:space="preserve">a combination of </w:t>
      </w:r>
      <w:r w:rsidRPr="001F29E3">
        <w:rPr>
          <w:rFonts w:cs="Arial"/>
          <w:sz w:val="16"/>
          <w:szCs w:val="16"/>
        </w:rPr>
        <w:t>government subsidies and self-funding have been counted in both funding categories. The total, however, has eliminated the duplicate</w:t>
      </w:r>
      <w:r w:rsidR="00452EAA" w:rsidRPr="001F29E3">
        <w:rPr>
          <w:rFonts w:cs="Arial"/>
          <w:sz w:val="16"/>
          <w:szCs w:val="16"/>
        </w:rPr>
        <w:t>s</w:t>
      </w:r>
      <w:r w:rsidRPr="001F29E3">
        <w:rPr>
          <w:rFonts w:cs="Arial"/>
          <w:sz w:val="16"/>
          <w:szCs w:val="16"/>
        </w:rPr>
        <w:t>.</w:t>
      </w:r>
    </w:p>
    <w:p w:rsidR="006F5E43" w:rsidRDefault="006F5E43" w:rsidP="00DB72B4">
      <w:pPr>
        <w:spacing w:line="240" w:lineRule="auto"/>
        <w:rPr>
          <w:rFonts w:cs="Arial"/>
          <w:sz w:val="16"/>
          <w:szCs w:val="16"/>
        </w:rPr>
      </w:pPr>
    </w:p>
    <w:p w:rsidR="001C1188" w:rsidRDefault="001C1188" w:rsidP="00CB5563">
      <w:pPr>
        <w:pStyle w:val="Caption"/>
        <w:spacing w:after="0"/>
        <w:rPr>
          <w:rFonts w:cs="Arial"/>
        </w:rPr>
      </w:pPr>
      <w:r w:rsidRPr="001F29E3">
        <w:rPr>
          <w:rFonts w:cs="Arial"/>
        </w:rPr>
        <w:t>Table 1.</w:t>
      </w:r>
      <w:r>
        <w:rPr>
          <w:rFonts w:cs="Arial"/>
        </w:rPr>
        <w:t>3.2</w:t>
      </w:r>
      <w:r w:rsidRPr="001F29E3">
        <w:rPr>
          <w:rFonts w:cs="Arial"/>
        </w:rPr>
        <w:t xml:space="preserve">: Number of students by funding type, </w:t>
      </w:r>
      <w:r>
        <w:rPr>
          <w:rFonts w:cs="Arial"/>
        </w:rPr>
        <w:t>Q</w:t>
      </w:r>
      <w:r w:rsidR="000D0334">
        <w:rPr>
          <w:rFonts w:cs="Arial"/>
        </w:rPr>
        <w:t>3</w:t>
      </w:r>
      <w:r>
        <w:rPr>
          <w:rFonts w:cs="Arial"/>
        </w:rPr>
        <w:t xml:space="preserve"> 2011, </w:t>
      </w:r>
      <w:r w:rsidRPr="001F29E3">
        <w:rPr>
          <w:rFonts w:cs="Arial"/>
        </w:rPr>
        <w:t>Q</w:t>
      </w:r>
      <w:r w:rsidR="000D0334">
        <w:rPr>
          <w:rFonts w:cs="Arial"/>
        </w:rPr>
        <w:t>3</w:t>
      </w:r>
      <w:r w:rsidRPr="001F29E3">
        <w:rPr>
          <w:rFonts w:cs="Arial"/>
        </w:rPr>
        <w:t xml:space="preserve"> 2012 and Q</w:t>
      </w:r>
      <w:r w:rsidR="000D0334">
        <w:rPr>
          <w:rFonts w:cs="Arial"/>
        </w:rPr>
        <w:t>3</w:t>
      </w:r>
      <w:r w:rsidRPr="001F29E3">
        <w:rPr>
          <w:rFonts w:cs="Arial"/>
        </w:rPr>
        <w:t xml:space="preserve"> 2013</w:t>
      </w:r>
    </w:p>
    <w:tbl>
      <w:tblPr>
        <w:tblW w:w="8931" w:type="dxa"/>
        <w:tblInd w:w="108" w:type="dxa"/>
        <w:tblLayout w:type="fixed"/>
        <w:tblLook w:val="04A0" w:firstRow="1" w:lastRow="0" w:firstColumn="1" w:lastColumn="0" w:noHBand="0" w:noVBand="1"/>
      </w:tblPr>
      <w:tblGrid>
        <w:gridCol w:w="3119"/>
        <w:gridCol w:w="1134"/>
        <w:gridCol w:w="1134"/>
        <w:gridCol w:w="1134"/>
        <w:gridCol w:w="1205"/>
        <w:gridCol w:w="1205"/>
      </w:tblGrid>
      <w:tr w:rsidR="000D0334" w:rsidRPr="000D0334" w:rsidTr="000D0334">
        <w:trPr>
          <w:trHeight w:val="762"/>
        </w:trPr>
        <w:tc>
          <w:tcPr>
            <w:tcW w:w="3119"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ind w:firstLineChars="100" w:firstLine="181"/>
              <w:jc w:val="left"/>
              <w:rPr>
                <w:rFonts w:cs="Arial"/>
                <w:b/>
                <w:bCs/>
                <w:color w:val="FFFFFF"/>
                <w:sz w:val="18"/>
                <w:szCs w:val="18"/>
                <w:lang w:eastAsia="en-AU"/>
              </w:rPr>
            </w:pPr>
            <w:r w:rsidRPr="000D0334">
              <w:rPr>
                <w:rFonts w:cs="Arial"/>
                <w:b/>
                <w:bCs/>
                <w:color w:val="FFFFFF"/>
                <w:sz w:val="18"/>
                <w:szCs w:val="18"/>
                <w:lang w:eastAsia="en-AU"/>
              </w:rPr>
              <w:t> </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0D0334" w:rsidRPr="000D0334" w:rsidRDefault="000D0334" w:rsidP="000D0334">
            <w:pPr>
              <w:spacing w:after="0" w:line="240" w:lineRule="auto"/>
              <w:ind w:firstLineChars="100" w:firstLine="181"/>
              <w:jc w:val="right"/>
              <w:rPr>
                <w:rFonts w:cs="Arial"/>
                <w:b/>
                <w:bCs/>
                <w:color w:val="FFFFFF"/>
                <w:sz w:val="18"/>
                <w:szCs w:val="18"/>
                <w:lang w:eastAsia="en-AU"/>
              </w:rPr>
            </w:pPr>
            <w:r w:rsidRPr="000D0334">
              <w:rPr>
                <w:rFonts w:cs="Arial"/>
                <w:b/>
                <w:bCs/>
                <w:color w:val="FFFFFF"/>
                <w:sz w:val="18"/>
                <w:szCs w:val="18"/>
                <w:lang w:eastAsia="en-AU"/>
              </w:rPr>
              <w:t>Q3 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0D0334" w:rsidRPr="000D0334" w:rsidRDefault="000D0334" w:rsidP="000D0334">
            <w:pPr>
              <w:spacing w:after="0" w:line="240" w:lineRule="auto"/>
              <w:ind w:firstLineChars="100" w:firstLine="181"/>
              <w:jc w:val="right"/>
              <w:rPr>
                <w:rFonts w:cs="Arial"/>
                <w:b/>
                <w:bCs/>
                <w:color w:val="FFFFFF"/>
                <w:sz w:val="18"/>
                <w:szCs w:val="18"/>
                <w:lang w:eastAsia="en-AU"/>
              </w:rPr>
            </w:pPr>
            <w:r w:rsidRPr="000D0334">
              <w:rPr>
                <w:rFonts w:cs="Arial"/>
                <w:b/>
                <w:bCs/>
                <w:color w:val="FFFFFF"/>
                <w:sz w:val="18"/>
                <w:szCs w:val="18"/>
                <w:lang w:eastAsia="en-AU"/>
              </w:rPr>
              <w:t>Q3 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0D0334" w:rsidRPr="000D0334" w:rsidRDefault="000D0334" w:rsidP="000D0334">
            <w:pPr>
              <w:spacing w:after="0" w:line="240" w:lineRule="auto"/>
              <w:ind w:firstLineChars="100" w:firstLine="181"/>
              <w:jc w:val="right"/>
              <w:rPr>
                <w:rFonts w:cs="Arial"/>
                <w:b/>
                <w:bCs/>
                <w:color w:val="FFFFFF"/>
                <w:sz w:val="18"/>
                <w:szCs w:val="18"/>
                <w:lang w:eastAsia="en-AU"/>
              </w:rPr>
            </w:pPr>
            <w:r w:rsidRPr="000D0334">
              <w:rPr>
                <w:rFonts w:cs="Arial"/>
                <w:b/>
                <w:bCs/>
                <w:color w:val="FFFFFF"/>
                <w:sz w:val="18"/>
                <w:szCs w:val="18"/>
                <w:lang w:eastAsia="en-AU"/>
              </w:rPr>
              <w:t>Q3 2013</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 change</w:t>
            </w:r>
            <w:r w:rsidRPr="000D0334">
              <w:rPr>
                <w:rFonts w:cs="Arial"/>
                <w:b/>
                <w:bCs/>
                <w:color w:val="FFFFFF"/>
                <w:sz w:val="18"/>
                <w:szCs w:val="18"/>
                <w:lang w:eastAsia="en-AU"/>
              </w:rPr>
              <w:br/>
              <w:t>Q3 2011-Q3 2013 </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 change</w:t>
            </w:r>
            <w:r w:rsidRPr="000D0334">
              <w:rPr>
                <w:rFonts w:cs="Arial"/>
                <w:b/>
                <w:bCs/>
                <w:color w:val="FFFFFF"/>
                <w:sz w:val="18"/>
                <w:szCs w:val="18"/>
                <w:lang w:eastAsia="en-AU"/>
              </w:rPr>
              <w:br/>
              <w:t>Q3 2012-Q3 2013</w:t>
            </w:r>
          </w:p>
        </w:tc>
      </w:tr>
      <w:tr w:rsidR="000D0334" w:rsidRPr="000D0334" w:rsidTr="000D0334">
        <w:trPr>
          <w:trHeight w:val="342"/>
        </w:trPr>
        <w:tc>
          <w:tcPr>
            <w:tcW w:w="3119" w:type="dxa"/>
            <w:tcBorders>
              <w:top w:val="nil"/>
              <w:left w:val="single" w:sz="4" w:space="0" w:color="5E8A00"/>
              <w:bottom w:val="single" w:sz="4" w:space="0" w:color="5E8A00"/>
              <w:right w:val="single" w:sz="4" w:space="0" w:color="5E8A00"/>
            </w:tcBorders>
            <w:shd w:val="clear" w:color="000000" w:fill="FFFFFF"/>
            <w:noWrap/>
            <w:vAlign w:val="bottom"/>
            <w:hideMark/>
          </w:tcPr>
          <w:p w:rsidR="000D0334" w:rsidRPr="000D0334" w:rsidRDefault="000D0334" w:rsidP="000D0334">
            <w:pPr>
              <w:spacing w:after="0" w:line="240" w:lineRule="auto"/>
              <w:jc w:val="left"/>
              <w:rPr>
                <w:rFonts w:cs="Arial"/>
                <w:color w:val="3E5B00"/>
                <w:sz w:val="18"/>
                <w:szCs w:val="18"/>
                <w:lang w:eastAsia="en-AU"/>
              </w:rPr>
            </w:pPr>
            <w:r w:rsidRPr="000D0334">
              <w:rPr>
                <w:rFonts w:cs="Arial"/>
                <w:color w:val="3E5B00"/>
                <w:sz w:val="18"/>
                <w:szCs w:val="18"/>
                <w:lang w:eastAsia="en-AU"/>
              </w:rPr>
              <w:t>Government subsidised</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350,500 </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442,500 </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396,900 </w:t>
            </w:r>
          </w:p>
        </w:tc>
        <w:tc>
          <w:tcPr>
            <w:tcW w:w="1205"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13%</w:t>
            </w:r>
          </w:p>
        </w:tc>
        <w:tc>
          <w:tcPr>
            <w:tcW w:w="1205"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-10%</w:t>
            </w:r>
          </w:p>
        </w:tc>
      </w:tr>
      <w:tr w:rsidR="000D0334" w:rsidRPr="000D0334" w:rsidTr="000D0334">
        <w:trPr>
          <w:trHeight w:val="342"/>
        </w:trPr>
        <w:tc>
          <w:tcPr>
            <w:tcW w:w="3119" w:type="dxa"/>
            <w:tcBorders>
              <w:top w:val="nil"/>
              <w:left w:val="single" w:sz="4" w:space="0" w:color="5E8A00"/>
              <w:bottom w:val="single" w:sz="4" w:space="0" w:color="5E8A00"/>
              <w:right w:val="single" w:sz="4" w:space="0" w:color="5E8A00"/>
            </w:tcBorders>
            <w:shd w:val="clear" w:color="000000" w:fill="FFFFFF"/>
            <w:noWrap/>
            <w:vAlign w:val="bottom"/>
            <w:hideMark/>
          </w:tcPr>
          <w:p w:rsidR="000D0334" w:rsidRPr="000D0334" w:rsidRDefault="000D0334" w:rsidP="000D0334">
            <w:pPr>
              <w:spacing w:after="0" w:line="240" w:lineRule="auto"/>
              <w:jc w:val="left"/>
              <w:rPr>
                <w:rFonts w:cs="Arial"/>
                <w:color w:val="3E5B00"/>
                <w:sz w:val="18"/>
                <w:szCs w:val="18"/>
                <w:lang w:eastAsia="en-AU"/>
              </w:rPr>
            </w:pPr>
            <w:r w:rsidRPr="000D0334">
              <w:rPr>
                <w:rFonts w:cs="Arial"/>
                <w:color w:val="3E5B00"/>
                <w:sz w:val="18"/>
                <w:szCs w:val="18"/>
                <w:lang w:eastAsia="en-AU"/>
              </w:rPr>
              <w:t>TAFE domestic fee for service*</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77,400 </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85,100 </w:t>
            </w:r>
          </w:p>
        </w:tc>
        <w:tc>
          <w:tcPr>
            <w:tcW w:w="1134"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 xml:space="preserve">74,900 </w:t>
            </w:r>
          </w:p>
        </w:tc>
        <w:tc>
          <w:tcPr>
            <w:tcW w:w="1205"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-3%</w:t>
            </w:r>
          </w:p>
        </w:tc>
        <w:tc>
          <w:tcPr>
            <w:tcW w:w="1205" w:type="dxa"/>
            <w:tcBorders>
              <w:top w:val="nil"/>
              <w:left w:val="nil"/>
              <w:bottom w:val="single" w:sz="4" w:space="0" w:color="5E8A00"/>
              <w:right w:val="single" w:sz="4" w:space="0" w:color="5E8A00"/>
            </w:tcBorders>
            <w:shd w:val="clear" w:color="auto" w:fill="auto"/>
            <w:noWrap/>
            <w:vAlign w:val="center"/>
            <w:hideMark/>
          </w:tcPr>
          <w:p w:rsidR="000D0334" w:rsidRPr="000D0334" w:rsidRDefault="000D0334" w:rsidP="000D0334">
            <w:pPr>
              <w:spacing w:after="0" w:line="240" w:lineRule="auto"/>
              <w:jc w:val="right"/>
              <w:rPr>
                <w:rFonts w:cs="Arial"/>
                <w:sz w:val="18"/>
                <w:szCs w:val="18"/>
                <w:lang w:eastAsia="en-AU"/>
              </w:rPr>
            </w:pPr>
            <w:r w:rsidRPr="000D0334">
              <w:rPr>
                <w:rFonts w:cs="Arial"/>
                <w:sz w:val="18"/>
                <w:szCs w:val="18"/>
                <w:lang w:eastAsia="en-AU"/>
              </w:rPr>
              <w:t>-12%</w:t>
            </w:r>
          </w:p>
        </w:tc>
      </w:tr>
      <w:tr w:rsidR="000D0334" w:rsidRPr="000D0334" w:rsidTr="000D0334">
        <w:trPr>
          <w:trHeight w:val="342"/>
        </w:trPr>
        <w:tc>
          <w:tcPr>
            <w:tcW w:w="3119" w:type="dxa"/>
            <w:tcBorders>
              <w:top w:val="nil"/>
              <w:left w:val="single" w:sz="4" w:space="0" w:color="5E8A00"/>
              <w:bottom w:val="single" w:sz="4" w:space="0" w:color="5E8A00"/>
              <w:right w:val="single" w:sz="4" w:space="0" w:color="5E8A00"/>
            </w:tcBorders>
            <w:shd w:val="clear" w:color="000000" w:fill="5E8A00"/>
            <w:noWrap/>
            <w:vAlign w:val="bottom"/>
            <w:hideMark/>
          </w:tcPr>
          <w:p w:rsidR="000D0334" w:rsidRPr="000D0334" w:rsidRDefault="000D0334" w:rsidP="000D0334">
            <w:pPr>
              <w:spacing w:after="0" w:line="240" w:lineRule="auto"/>
              <w:jc w:val="left"/>
              <w:rPr>
                <w:rFonts w:cs="Arial"/>
                <w:b/>
                <w:bCs/>
                <w:color w:val="FFFFFF"/>
                <w:sz w:val="18"/>
                <w:szCs w:val="18"/>
                <w:lang w:eastAsia="en-AU"/>
              </w:rPr>
            </w:pPr>
            <w:r w:rsidRPr="000D0334">
              <w:rPr>
                <w:rFonts w:cs="Arial"/>
                <w:b/>
                <w:bCs/>
                <w:color w:val="FFFFFF"/>
                <w:sz w:val="18"/>
                <w:szCs w:val="18"/>
                <w:lang w:eastAsia="en-AU"/>
              </w:rPr>
              <w:t>Total**</w:t>
            </w:r>
          </w:p>
        </w:tc>
        <w:tc>
          <w:tcPr>
            <w:tcW w:w="1134" w:type="dxa"/>
            <w:tcBorders>
              <w:top w:val="nil"/>
              <w:left w:val="nil"/>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 xml:space="preserve">418,700 </w:t>
            </w:r>
          </w:p>
        </w:tc>
        <w:tc>
          <w:tcPr>
            <w:tcW w:w="1134" w:type="dxa"/>
            <w:tcBorders>
              <w:top w:val="nil"/>
              <w:left w:val="nil"/>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 xml:space="preserve">518,000 </w:t>
            </w:r>
          </w:p>
        </w:tc>
        <w:tc>
          <w:tcPr>
            <w:tcW w:w="1134" w:type="dxa"/>
            <w:tcBorders>
              <w:top w:val="nil"/>
              <w:left w:val="nil"/>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 xml:space="preserve">462,000 </w:t>
            </w:r>
          </w:p>
        </w:tc>
        <w:tc>
          <w:tcPr>
            <w:tcW w:w="1205" w:type="dxa"/>
            <w:tcBorders>
              <w:top w:val="nil"/>
              <w:left w:val="nil"/>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10%</w:t>
            </w:r>
          </w:p>
        </w:tc>
        <w:tc>
          <w:tcPr>
            <w:tcW w:w="1205" w:type="dxa"/>
            <w:tcBorders>
              <w:top w:val="nil"/>
              <w:left w:val="nil"/>
              <w:bottom w:val="single" w:sz="4" w:space="0" w:color="5E8A00"/>
              <w:right w:val="single" w:sz="4" w:space="0" w:color="5E8A00"/>
            </w:tcBorders>
            <w:shd w:val="clear" w:color="000000" w:fill="5E8A00"/>
            <w:noWrap/>
            <w:vAlign w:val="center"/>
            <w:hideMark/>
          </w:tcPr>
          <w:p w:rsidR="000D0334" w:rsidRPr="000D0334" w:rsidRDefault="000D0334" w:rsidP="000D0334">
            <w:pPr>
              <w:spacing w:after="0" w:line="240" w:lineRule="auto"/>
              <w:jc w:val="right"/>
              <w:rPr>
                <w:rFonts w:cs="Arial"/>
                <w:b/>
                <w:bCs/>
                <w:color w:val="FFFFFF"/>
                <w:sz w:val="18"/>
                <w:szCs w:val="18"/>
                <w:lang w:eastAsia="en-AU"/>
              </w:rPr>
            </w:pPr>
            <w:r w:rsidRPr="000D0334">
              <w:rPr>
                <w:rFonts w:cs="Arial"/>
                <w:b/>
                <w:bCs/>
                <w:color w:val="FFFFFF"/>
                <w:sz w:val="18"/>
                <w:szCs w:val="18"/>
                <w:lang w:eastAsia="en-AU"/>
              </w:rPr>
              <w:t>-11%</w:t>
            </w:r>
          </w:p>
        </w:tc>
      </w:tr>
    </w:tbl>
    <w:p w:rsidR="001C1188" w:rsidRPr="00AE3D9A" w:rsidRDefault="00AE3D9A" w:rsidP="00AE3D9A">
      <w:pPr>
        <w:spacing w:after="0" w:line="240" w:lineRule="auto"/>
        <w:rPr>
          <w:rFonts w:cs="Arial"/>
          <w:sz w:val="16"/>
          <w:szCs w:val="16"/>
        </w:rPr>
      </w:pPr>
      <w:r w:rsidRPr="00AE3D9A">
        <w:rPr>
          <w:rFonts w:cs="Arial"/>
          <w:sz w:val="16"/>
          <w:szCs w:val="16"/>
        </w:rPr>
        <w:t>*</w:t>
      </w:r>
      <w:r w:rsidR="001C1188" w:rsidRPr="00AE3D9A">
        <w:rPr>
          <w:rFonts w:cs="Arial"/>
          <w:sz w:val="16"/>
          <w:szCs w:val="16"/>
        </w:rPr>
        <w:t>Fee for Service figures are TAFE on-shore domestic AQF Level 1 and above.</w:t>
      </w:r>
    </w:p>
    <w:p w:rsidR="001C1188" w:rsidRPr="00AE3D9A" w:rsidRDefault="001C1188" w:rsidP="00AE3D9A">
      <w:pPr>
        <w:spacing w:after="0" w:line="240" w:lineRule="auto"/>
        <w:rPr>
          <w:rFonts w:cs="Arial"/>
          <w:sz w:val="16"/>
          <w:szCs w:val="16"/>
        </w:rPr>
      </w:pPr>
      <w:r w:rsidRPr="00AE3D9A">
        <w:rPr>
          <w:rFonts w:cs="Arial"/>
          <w:sz w:val="16"/>
          <w:szCs w:val="16"/>
        </w:rPr>
        <w:t>*</w:t>
      </w:r>
      <w:r w:rsidR="00AE3D9A" w:rsidRPr="00AE3D9A">
        <w:rPr>
          <w:rFonts w:cs="Arial"/>
          <w:sz w:val="16"/>
          <w:szCs w:val="16"/>
        </w:rPr>
        <w:t>*</w:t>
      </w:r>
      <w:r w:rsidRPr="00AE3D9A">
        <w:rPr>
          <w:rFonts w:cs="Arial"/>
          <w:sz w:val="16"/>
          <w:szCs w:val="16"/>
        </w:rPr>
        <w:t>TAFE students whose enrolments are made up of a combination of government subsidies and self-funding have been counted in both funding categories. The total, however, has eliminated the duplicates.</w:t>
      </w:r>
    </w:p>
    <w:p w:rsidR="005B235C" w:rsidRDefault="005B235C" w:rsidP="005E4EE6">
      <w:pPr>
        <w:rPr>
          <w:rFonts w:cs="Arial"/>
          <w:sz w:val="16"/>
          <w:szCs w:val="16"/>
        </w:rPr>
      </w:pPr>
    </w:p>
    <w:p w:rsidR="00171CC7" w:rsidRDefault="00171CC7" w:rsidP="00A9260A">
      <w:pPr>
        <w:pStyle w:val="Caption"/>
        <w:rPr>
          <w:rFonts w:cs="Arial"/>
        </w:rPr>
      </w:pPr>
      <w:proofErr w:type="gramStart"/>
      <w:r w:rsidRPr="001F29E3">
        <w:rPr>
          <w:rFonts w:cs="Arial"/>
        </w:rPr>
        <w:t>Figure 1.</w:t>
      </w:r>
      <w:proofErr w:type="gramEnd"/>
      <w:r w:rsidR="00963271" w:rsidRPr="001F29E3">
        <w:rPr>
          <w:rFonts w:cs="Arial"/>
        </w:rPr>
        <w:fldChar w:fldCharType="begin"/>
      </w:r>
      <w:r w:rsidR="00963271" w:rsidRPr="001F29E3">
        <w:rPr>
          <w:rFonts w:cs="Arial"/>
        </w:rPr>
        <w:instrText xml:space="preserve"> SEQ Graph \* ARABIC \s 1 </w:instrText>
      </w:r>
      <w:r w:rsidR="00963271" w:rsidRPr="001F29E3">
        <w:rPr>
          <w:rFonts w:cs="Arial"/>
        </w:rPr>
        <w:fldChar w:fldCharType="separate"/>
      </w:r>
      <w:r w:rsidR="00EB10C4">
        <w:rPr>
          <w:rFonts w:cs="Arial"/>
          <w:noProof/>
        </w:rPr>
        <w:t>3</w:t>
      </w:r>
      <w:r w:rsidR="00963271" w:rsidRPr="001F29E3">
        <w:rPr>
          <w:rFonts w:cs="Arial"/>
          <w:noProof/>
        </w:rPr>
        <w:fldChar w:fldCharType="end"/>
      </w:r>
      <w:r w:rsidRPr="001F29E3">
        <w:rPr>
          <w:rFonts w:cs="Arial"/>
        </w:rPr>
        <w:t xml:space="preserve">: Number of students by funding type, 2008–2012, </w:t>
      </w:r>
      <w:r w:rsidR="00604C80">
        <w:rPr>
          <w:rFonts w:cs="Arial"/>
        </w:rPr>
        <w:t>Q</w:t>
      </w:r>
      <w:r w:rsidR="00D93A1F">
        <w:rPr>
          <w:rFonts w:cs="Arial"/>
        </w:rPr>
        <w:t>3</w:t>
      </w:r>
      <w:r w:rsidR="00604C80">
        <w:rPr>
          <w:rFonts w:cs="Arial"/>
        </w:rPr>
        <w:t xml:space="preserve"> 2011, </w:t>
      </w:r>
      <w:r w:rsidRPr="001F29E3">
        <w:rPr>
          <w:rFonts w:cs="Arial"/>
        </w:rPr>
        <w:t>Q</w:t>
      </w:r>
      <w:r w:rsidR="00D93A1F">
        <w:rPr>
          <w:rFonts w:cs="Arial"/>
        </w:rPr>
        <w:t>3</w:t>
      </w:r>
      <w:r w:rsidRPr="001F29E3">
        <w:rPr>
          <w:rFonts w:cs="Arial"/>
        </w:rPr>
        <w:t xml:space="preserve"> 2012 and Q</w:t>
      </w:r>
      <w:r w:rsidR="00D93A1F">
        <w:rPr>
          <w:rFonts w:cs="Arial"/>
        </w:rPr>
        <w:t>3</w:t>
      </w:r>
      <w:r w:rsidRPr="001F29E3">
        <w:rPr>
          <w:rFonts w:cs="Arial"/>
        </w:rPr>
        <w:t xml:space="preserve"> 2013</w:t>
      </w:r>
    </w:p>
    <w:p w:rsidR="00EB0A1A" w:rsidRPr="001F29E3" w:rsidRDefault="00D93A1F" w:rsidP="00BC23CB">
      <w:pPr>
        <w:rPr>
          <w:rFonts w:cs="Arial"/>
        </w:rPr>
      </w:pPr>
      <w:r>
        <w:rPr>
          <w:noProof/>
          <w:lang w:eastAsia="en-AU"/>
        </w:rPr>
        <w:drawing>
          <wp:inline distT="0" distB="0" distL="0" distR="0" wp14:anchorId="18F94912" wp14:editId="2E7502B2">
            <wp:extent cx="5560060" cy="3145790"/>
            <wp:effectExtent l="0" t="0" r="0" b="0"/>
            <wp:docPr id="23" name="Picture 23" descr="This chart presents the number of students undertaking government subsidised training from 2008 to 2012, and in Q3 2011, Q3 2012 and Q3 2013. " title="Figure 1.3: Number of students by funding type, 2008–2012,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0060" cy="3145790"/>
                    </a:xfrm>
                    <a:prstGeom prst="rect">
                      <a:avLst/>
                    </a:prstGeom>
                    <a:noFill/>
                  </pic:spPr>
                </pic:pic>
              </a:graphicData>
            </a:graphic>
          </wp:inline>
        </w:drawing>
      </w:r>
      <w:r w:rsidR="00D70D05" w:rsidRPr="001F29E3" w:rsidDel="00B03850">
        <w:rPr>
          <w:rFonts w:cs="Arial"/>
        </w:rPr>
        <w:t xml:space="preserve"> </w:t>
      </w:r>
    </w:p>
    <w:p w:rsidR="0069078C" w:rsidRDefault="0069078C">
      <w:pPr>
        <w:spacing w:after="0" w:line="240" w:lineRule="auto"/>
        <w:jc w:val="left"/>
        <w:rPr>
          <w:rFonts w:cs="Arial"/>
          <w:b/>
          <w:bCs/>
          <w:color w:val="76923C" w:themeColor="accent3" w:themeShade="BF"/>
          <w:szCs w:val="19"/>
        </w:rPr>
      </w:pPr>
      <w:r>
        <w:br w:type="page"/>
      </w:r>
    </w:p>
    <w:p w:rsidR="00351166" w:rsidRPr="001F29E3" w:rsidRDefault="00351166" w:rsidP="00A9260A">
      <w:pPr>
        <w:pStyle w:val="Heading2"/>
      </w:pPr>
      <w:bookmarkStart w:id="48" w:name="_Toc372613425"/>
      <w:r w:rsidRPr="001F29E3">
        <w:lastRenderedPageBreak/>
        <w:t>Qualification Levels</w:t>
      </w:r>
      <w:bookmarkEnd w:id="39"/>
      <w:bookmarkEnd w:id="40"/>
      <w:bookmarkEnd w:id="41"/>
      <w:bookmarkEnd w:id="42"/>
      <w:bookmarkEnd w:id="43"/>
      <w:bookmarkEnd w:id="48"/>
    </w:p>
    <w:p w:rsidR="00351166" w:rsidRPr="007D276C" w:rsidRDefault="00351166" w:rsidP="00351166">
      <w:pPr>
        <w:rPr>
          <w:rFonts w:cs="Arial"/>
          <w:bCs/>
          <w:szCs w:val="19"/>
        </w:rPr>
      </w:pPr>
    </w:p>
    <w:p w:rsidR="00351166" w:rsidRPr="00BE366B" w:rsidRDefault="00BE366B" w:rsidP="00351166">
      <w:pPr>
        <w:rPr>
          <w:rFonts w:cs="Arial"/>
        </w:rPr>
      </w:pPr>
      <w:r w:rsidRPr="00BE366B">
        <w:rPr>
          <w:rFonts w:cs="Arial"/>
        </w:rPr>
        <w:t>Lowe</w:t>
      </w:r>
      <w:r w:rsidR="0052721E">
        <w:rPr>
          <w:rFonts w:cs="Arial"/>
        </w:rPr>
        <w:t>r level qualifications such as C</w:t>
      </w:r>
      <w:r w:rsidRPr="00BE366B">
        <w:rPr>
          <w:rFonts w:cs="Arial"/>
        </w:rPr>
        <w:t>ertificate I and II, provide literacy, numeracy, and work preparation skills to people without post-school qualifications so that they have the opportunity to go on to further study or find employment</w:t>
      </w:r>
      <w:r w:rsidR="00351166" w:rsidRPr="00BE366B">
        <w:rPr>
          <w:rFonts w:cs="Arial"/>
        </w:rPr>
        <w:t>.</w:t>
      </w:r>
      <w:r w:rsidR="002C240D" w:rsidRPr="00BE366B">
        <w:rPr>
          <w:rFonts w:cs="Arial"/>
        </w:rPr>
        <w:t xml:space="preserve"> </w:t>
      </w:r>
    </w:p>
    <w:p w:rsidR="00351166" w:rsidRPr="00BE366B" w:rsidRDefault="00351166" w:rsidP="00351166">
      <w:pPr>
        <w:rPr>
          <w:rFonts w:cs="Arial"/>
        </w:rPr>
      </w:pPr>
      <w:r w:rsidRPr="00BE366B">
        <w:rPr>
          <w:rFonts w:cs="Arial"/>
        </w:rPr>
        <w:t xml:space="preserve">Mid-level skills are essential to the Victorian economy and help drive economic activity across the </w:t>
      </w:r>
      <w:r w:rsidR="00283290">
        <w:rPr>
          <w:rFonts w:cs="Arial"/>
        </w:rPr>
        <w:t>s</w:t>
      </w:r>
      <w:r w:rsidRPr="00BE366B">
        <w:rPr>
          <w:rFonts w:cs="Arial"/>
        </w:rPr>
        <w:t xml:space="preserve">tate. A significant proportion of apprenticeships and traineeships entail attainment of a mid-level qualification and are crucial to many key industries. Apprenticeships and traineeships are undertaken as a contract between the apprentice/trainee and an employer. While undertaking on-the-job learning, the apprentice/trainee receives </w:t>
      </w:r>
      <w:r w:rsidR="0013272D" w:rsidRPr="00BE366B">
        <w:rPr>
          <w:rFonts w:cs="Arial"/>
        </w:rPr>
        <w:t>complementary</w:t>
      </w:r>
      <w:r w:rsidRPr="00BE366B">
        <w:rPr>
          <w:rFonts w:cs="Arial"/>
        </w:rPr>
        <w:t xml:space="preserve"> training through a </w:t>
      </w:r>
      <w:r w:rsidR="00221A72" w:rsidRPr="00BE366B">
        <w:rPr>
          <w:rFonts w:cs="Arial"/>
          <w:color w:val="000000"/>
        </w:rPr>
        <w:t>v</w:t>
      </w:r>
      <w:r w:rsidR="0055106F" w:rsidRPr="00BE366B">
        <w:rPr>
          <w:rFonts w:cs="Arial"/>
          <w:color w:val="000000"/>
        </w:rPr>
        <w:t xml:space="preserve">ocational </w:t>
      </w:r>
      <w:r w:rsidR="00221A72" w:rsidRPr="00BE366B">
        <w:rPr>
          <w:rFonts w:cs="Arial"/>
          <w:color w:val="000000"/>
        </w:rPr>
        <w:t>t</w:t>
      </w:r>
      <w:r w:rsidR="0055106F" w:rsidRPr="00BE366B">
        <w:rPr>
          <w:rFonts w:cs="Arial"/>
          <w:color w:val="000000"/>
        </w:rPr>
        <w:t>raining</w:t>
      </w:r>
      <w:r w:rsidRPr="00BE366B">
        <w:rPr>
          <w:rFonts w:cs="Arial"/>
        </w:rPr>
        <w:t xml:space="preserve"> provider.</w:t>
      </w:r>
    </w:p>
    <w:p w:rsidR="00351166" w:rsidRPr="001F29E3" w:rsidRDefault="00351166" w:rsidP="00351166">
      <w:pPr>
        <w:rPr>
          <w:rFonts w:cs="Arial"/>
        </w:rPr>
      </w:pPr>
    </w:p>
    <w:p w:rsidR="00351166" w:rsidRDefault="00351166" w:rsidP="00A9260A">
      <w:pPr>
        <w:pStyle w:val="Heading3"/>
      </w:pPr>
      <w:r w:rsidRPr="001F29E3">
        <w:t>Government Subsidised Enrolments</w:t>
      </w:r>
    </w:p>
    <w:p w:rsidR="006C51CF" w:rsidRPr="001F29E3" w:rsidRDefault="006C51CF" w:rsidP="006C51CF">
      <w:pPr>
        <w:rPr>
          <w:rFonts w:cs="Arial"/>
        </w:rPr>
      </w:pPr>
    </w:p>
    <w:tbl>
      <w:tblPr>
        <w:tblStyle w:val="TableGrid"/>
        <w:tblW w:w="9288" w:type="dxa"/>
        <w:tblInd w:w="108" w:type="dxa"/>
        <w:tblLook w:val="04A0" w:firstRow="1" w:lastRow="0" w:firstColumn="1" w:lastColumn="0" w:noHBand="0" w:noVBand="1"/>
        <w:tblCaption w:val="Key Points"/>
        <w:tblDescription w:val="Key Points&#10;&#10;Government subsidised non-foundation course enrolments at the Certificate I to II levels were 35,200 and at the Certificate III-IV levels were 263,000 in Q3 2013. &#10;Of the non-foundation courses of study, enrolments in Certificate III-IV represented the largest qualification group.&#10;Government subsidised Foundation course enrolments at the Certificate I to II level were 110,400 and at the Certificate III-IV levels were 18,600 in Q3 2013.&#10;"/>
      </w:tblPr>
      <w:tblGrid>
        <w:gridCol w:w="9288"/>
      </w:tblGrid>
      <w:tr w:rsidR="006C51CF" w:rsidRPr="001F29E3" w:rsidTr="008825B1">
        <w:trPr>
          <w:tblHeader/>
        </w:trPr>
        <w:tc>
          <w:tcPr>
            <w:tcW w:w="9288"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6C51CF" w:rsidRPr="002D4D82" w:rsidRDefault="006C51CF" w:rsidP="006C51CF">
            <w:pPr>
              <w:pStyle w:val="Heading3"/>
              <w:outlineLvl w:val="2"/>
            </w:pPr>
            <w:r w:rsidRPr="002D4D82">
              <w:t>Key Points</w:t>
            </w:r>
          </w:p>
          <w:p w:rsidR="007D276C" w:rsidRPr="002D4D82" w:rsidRDefault="007D276C" w:rsidP="007D276C"/>
          <w:p w:rsidR="006C51CF" w:rsidRPr="004F6E0C" w:rsidRDefault="006C51CF" w:rsidP="003F3CF1">
            <w:pPr>
              <w:pStyle w:val="ListBullet"/>
              <w:numPr>
                <w:ilvl w:val="0"/>
                <w:numId w:val="13"/>
              </w:numPr>
              <w:ind w:right="113"/>
              <w:rPr>
                <w:rFonts w:cs="Arial"/>
              </w:rPr>
            </w:pPr>
            <w:r w:rsidRPr="004F6E0C">
              <w:rPr>
                <w:rFonts w:cs="Arial"/>
              </w:rPr>
              <w:t xml:space="preserve">Government subsidised </w:t>
            </w:r>
            <w:r w:rsidR="004F6E0C" w:rsidRPr="004F6E0C">
              <w:rPr>
                <w:rFonts w:cs="Arial"/>
              </w:rPr>
              <w:t xml:space="preserve">non-foundation course </w:t>
            </w:r>
            <w:r w:rsidRPr="004F6E0C">
              <w:rPr>
                <w:rFonts w:cs="Arial"/>
              </w:rPr>
              <w:t xml:space="preserve">enrolments at the </w:t>
            </w:r>
            <w:r w:rsidR="0052721E" w:rsidRPr="004F6E0C">
              <w:rPr>
                <w:rFonts w:cs="Arial"/>
              </w:rPr>
              <w:t>C</w:t>
            </w:r>
            <w:r w:rsidRPr="004F6E0C">
              <w:rPr>
                <w:rFonts w:cs="Arial"/>
              </w:rPr>
              <w:t xml:space="preserve">ertificate I to II levels were </w:t>
            </w:r>
            <w:r w:rsidR="00581A9A" w:rsidRPr="004F6E0C">
              <w:rPr>
                <w:rFonts w:cs="Arial"/>
              </w:rPr>
              <w:t>3</w:t>
            </w:r>
            <w:r w:rsidR="00EE1907" w:rsidRPr="004F6E0C">
              <w:rPr>
                <w:rFonts w:cs="Arial"/>
              </w:rPr>
              <w:t>5,</w:t>
            </w:r>
            <w:r w:rsidR="00581A9A" w:rsidRPr="004F6E0C">
              <w:rPr>
                <w:rFonts w:cs="Arial"/>
              </w:rPr>
              <w:t>2</w:t>
            </w:r>
            <w:r w:rsidR="00EE1907" w:rsidRPr="004F6E0C">
              <w:rPr>
                <w:rFonts w:cs="Arial"/>
              </w:rPr>
              <w:t>00</w:t>
            </w:r>
            <w:r w:rsidRPr="004F6E0C">
              <w:rPr>
                <w:rFonts w:cs="Arial"/>
              </w:rPr>
              <w:t xml:space="preserve"> </w:t>
            </w:r>
            <w:r w:rsidR="004F6E0C" w:rsidRPr="004F6E0C">
              <w:rPr>
                <w:rFonts w:cs="Arial"/>
              </w:rPr>
              <w:t>and at the</w:t>
            </w:r>
            <w:r w:rsidR="003F3CF1" w:rsidRPr="004F6E0C">
              <w:rPr>
                <w:rFonts w:cs="Arial"/>
              </w:rPr>
              <w:t xml:space="preserve"> Certificate III-IV </w:t>
            </w:r>
            <w:r w:rsidR="004F6E0C" w:rsidRPr="004F6E0C">
              <w:rPr>
                <w:rFonts w:cs="Arial"/>
              </w:rPr>
              <w:t xml:space="preserve">levels </w:t>
            </w:r>
            <w:r w:rsidR="003F3CF1" w:rsidRPr="004F6E0C">
              <w:rPr>
                <w:rFonts w:cs="Arial"/>
              </w:rPr>
              <w:t>w</w:t>
            </w:r>
            <w:r w:rsidR="004B2831" w:rsidRPr="004F6E0C">
              <w:rPr>
                <w:rFonts w:cs="Arial"/>
              </w:rPr>
              <w:t>ere</w:t>
            </w:r>
            <w:r w:rsidR="003F3CF1" w:rsidRPr="004F6E0C">
              <w:rPr>
                <w:rFonts w:cs="Arial"/>
              </w:rPr>
              <w:t xml:space="preserve"> 2</w:t>
            </w:r>
            <w:r w:rsidR="004F6E0C" w:rsidRPr="004F6E0C">
              <w:rPr>
                <w:rFonts w:cs="Arial"/>
              </w:rPr>
              <w:t>63</w:t>
            </w:r>
            <w:r w:rsidR="003F3CF1" w:rsidRPr="004F6E0C">
              <w:rPr>
                <w:rFonts w:cs="Arial"/>
              </w:rPr>
              <w:t>,</w:t>
            </w:r>
            <w:r w:rsidR="004F6E0C" w:rsidRPr="004F6E0C">
              <w:rPr>
                <w:rFonts w:cs="Arial"/>
              </w:rPr>
              <w:t>0</w:t>
            </w:r>
            <w:r w:rsidR="003F3CF1" w:rsidRPr="004F6E0C">
              <w:rPr>
                <w:rFonts w:cs="Arial"/>
              </w:rPr>
              <w:t>00 in Q</w:t>
            </w:r>
            <w:r w:rsidR="004F6E0C" w:rsidRPr="004F6E0C">
              <w:rPr>
                <w:rFonts w:cs="Arial"/>
              </w:rPr>
              <w:t>3</w:t>
            </w:r>
            <w:r w:rsidR="003F3CF1" w:rsidRPr="004F6E0C">
              <w:rPr>
                <w:rFonts w:cs="Arial"/>
              </w:rPr>
              <w:t xml:space="preserve"> 2013.</w:t>
            </w:r>
            <w:r w:rsidRPr="004F6E0C">
              <w:rPr>
                <w:rFonts w:cs="Arial"/>
              </w:rPr>
              <w:t xml:space="preserve"> </w:t>
            </w:r>
          </w:p>
          <w:p w:rsidR="003F3CF1" w:rsidRPr="004F6E0C" w:rsidRDefault="00184951" w:rsidP="003F3CF1">
            <w:pPr>
              <w:pStyle w:val="ListBullet"/>
              <w:numPr>
                <w:ilvl w:val="0"/>
                <w:numId w:val="13"/>
              </w:numPr>
              <w:ind w:right="113"/>
              <w:rPr>
                <w:rFonts w:cs="Arial"/>
              </w:rPr>
            </w:pPr>
            <w:r>
              <w:rPr>
                <w:rFonts w:cs="Arial"/>
              </w:rPr>
              <w:t>Of the non-f</w:t>
            </w:r>
            <w:r w:rsidR="004F6E0C" w:rsidRPr="004F6E0C">
              <w:rPr>
                <w:rFonts w:cs="Arial"/>
              </w:rPr>
              <w:t xml:space="preserve">oundation courses of study, enrolments in </w:t>
            </w:r>
            <w:r w:rsidR="002D4D82" w:rsidRPr="004F6E0C">
              <w:rPr>
                <w:rFonts w:cs="Arial"/>
              </w:rPr>
              <w:t>Certificate III-IV represented the largest qualification group.</w:t>
            </w:r>
          </w:p>
          <w:p w:rsidR="006C51CF" w:rsidRPr="002D4D82" w:rsidRDefault="002D4D82" w:rsidP="004F6E0C">
            <w:pPr>
              <w:pStyle w:val="ListBullet"/>
              <w:numPr>
                <w:ilvl w:val="0"/>
                <w:numId w:val="13"/>
              </w:numPr>
              <w:ind w:right="113"/>
              <w:rPr>
                <w:rFonts w:cs="Arial"/>
              </w:rPr>
            </w:pPr>
            <w:r w:rsidRPr="004F6E0C">
              <w:rPr>
                <w:rFonts w:cs="Arial"/>
              </w:rPr>
              <w:t xml:space="preserve">Government subsidised </w:t>
            </w:r>
            <w:r w:rsidR="004F6E0C" w:rsidRPr="004F6E0C">
              <w:rPr>
                <w:rFonts w:cs="Arial"/>
              </w:rPr>
              <w:t xml:space="preserve">Foundation course </w:t>
            </w:r>
            <w:r w:rsidRPr="004F6E0C">
              <w:rPr>
                <w:rFonts w:cs="Arial"/>
              </w:rPr>
              <w:t>enrolment</w:t>
            </w:r>
            <w:r w:rsidR="004F6E0C" w:rsidRPr="004F6E0C">
              <w:rPr>
                <w:rFonts w:cs="Arial"/>
              </w:rPr>
              <w:t>s</w:t>
            </w:r>
            <w:r w:rsidRPr="004F6E0C">
              <w:rPr>
                <w:rFonts w:cs="Arial"/>
              </w:rPr>
              <w:t xml:space="preserve"> at the Certificate I to II level were </w:t>
            </w:r>
            <w:r w:rsidR="004F6E0C" w:rsidRPr="004F6E0C">
              <w:rPr>
                <w:rFonts w:cs="Arial"/>
              </w:rPr>
              <w:t>110,400</w:t>
            </w:r>
            <w:r w:rsidR="00DD2751" w:rsidRPr="004F6E0C">
              <w:rPr>
                <w:rFonts w:cs="Arial"/>
              </w:rPr>
              <w:t xml:space="preserve"> </w:t>
            </w:r>
            <w:r w:rsidR="004F6E0C" w:rsidRPr="004F6E0C">
              <w:rPr>
                <w:rFonts w:cs="Arial"/>
              </w:rPr>
              <w:t xml:space="preserve">and at the </w:t>
            </w:r>
            <w:r w:rsidRPr="004F6E0C">
              <w:rPr>
                <w:rFonts w:cs="Arial"/>
              </w:rPr>
              <w:t>Certificate III-IV</w:t>
            </w:r>
            <w:r w:rsidR="004F6E0C" w:rsidRPr="004F6E0C">
              <w:rPr>
                <w:rFonts w:cs="Arial"/>
              </w:rPr>
              <w:t xml:space="preserve"> levels</w:t>
            </w:r>
            <w:r w:rsidRPr="004F6E0C">
              <w:rPr>
                <w:rFonts w:cs="Arial"/>
              </w:rPr>
              <w:t xml:space="preserve"> w</w:t>
            </w:r>
            <w:r w:rsidR="004B2831" w:rsidRPr="004F6E0C">
              <w:rPr>
                <w:rFonts w:cs="Arial"/>
              </w:rPr>
              <w:t>ere</w:t>
            </w:r>
            <w:r w:rsidRPr="004F6E0C">
              <w:rPr>
                <w:rFonts w:cs="Arial"/>
              </w:rPr>
              <w:t xml:space="preserve"> 1</w:t>
            </w:r>
            <w:r w:rsidR="004F6E0C" w:rsidRPr="004F6E0C">
              <w:rPr>
                <w:rFonts w:cs="Arial"/>
              </w:rPr>
              <w:t>8</w:t>
            </w:r>
            <w:r w:rsidRPr="004F6E0C">
              <w:rPr>
                <w:rFonts w:cs="Arial"/>
              </w:rPr>
              <w:t>,</w:t>
            </w:r>
            <w:r w:rsidR="004F6E0C" w:rsidRPr="004F6E0C">
              <w:rPr>
                <w:rFonts w:cs="Arial"/>
              </w:rPr>
              <w:t>6</w:t>
            </w:r>
            <w:r w:rsidRPr="004F6E0C">
              <w:rPr>
                <w:rFonts w:cs="Arial"/>
              </w:rPr>
              <w:t>00 in Q</w:t>
            </w:r>
            <w:r w:rsidR="004F6E0C" w:rsidRPr="004F6E0C">
              <w:rPr>
                <w:rFonts w:cs="Arial"/>
              </w:rPr>
              <w:t>3</w:t>
            </w:r>
            <w:r w:rsidRPr="004F6E0C">
              <w:rPr>
                <w:rFonts w:cs="Arial"/>
              </w:rPr>
              <w:t xml:space="preserve"> 2013.</w:t>
            </w:r>
          </w:p>
        </w:tc>
      </w:tr>
    </w:tbl>
    <w:p w:rsidR="006C51CF" w:rsidRDefault="006C51CF" w:rsidP="006C51CF">
      <w:pPr>
        <w:rPr>
          <w:rFonts w:cs="Arial"/>
        </w:rPr>
      </w:pPr>
    </w:p>
    <w:p w:rsidR="00351166" w:rsidRDefault="00351166" w:rsidP="00B97320">
      <w:pPr>
        <w:pStyle w:val="Caption"/>
        <w:spacing w:after="0"/>
        <w:jc w:val="left"/>
        <w:rPr>
          <w:rFonts w:cs="Arial"/>
        </w:rPr>
      </w:pPr>
      <w:r w:rsidRPr="001F29E3">
        <w:rPr>
          <w:rFonts w:cs="Arial"/>
        </w:rPr>
        <w:t>Table 1.</w:t>
      </w:r>
      <w:r w:rsidR="00F0734E">
        <w:rPr>
          <w:rFonts w:cs="Arial"/>
        </w:rPr>
        <w:t>4</w:t>
      </w:r>
      <w:r w:rsidR="006F5E43">
        <w:rPr>
          <w:rFonts w:cs="Arial"/>
        </w:rPr>
        <w:t>.1</w:t>
      </w:r>
      <w:r w:rsidRPr="001F29E3">
        <w:rPr>
          <w:rFonts w:cs="Arial"/>
        </w:rPr>
        <w:t xml:space="preserve">: </w:t>
      </w:r>
      <w:r w:rsidR="005B235C" w:rsidRPr="001F29E3">
        <w:rPr>
          <w:rFonts w:cs="Arial"/>
        </w:rPr>
        <w:t>G</w:t>
      </w:r>
      <w:r w:rsidRPr="001F29E3">
        <w:rPr>
          <w:rFonts w:cs="Arial"/>
        </w:rPr>
        <w:t xml:space="preserve">overnment subsidised enrolments </w:t>
      </w:r>
      <w:r w:rsidR="008121D1">
        <w:rPr>
          <w:rFonts w:cs="Arial"/>
        </w:rPr>
        <w:t xml:space="preserve">(non-Foundation) </w:t>
      </w:r>
      <w:r w:rsidRPr="001F29E3">
        <w:rPr>
          <w:rFonts w:cs="Arial"/>
        </w:rPr>
        <w:t>by qualification level, 2008–2012</w:t>
      </w:r>
    </w:p>
    <w:tbl>
      <w:tblPr>
        <w:tblW w:w="9520" w:type="dxa"/>
        <w:tblInd w:w="103" w:type="dxa"/>
        <w:tblLayout w:type="fixed"/>
        <w:tblLook w:val="04A0" w:firstRow="1" w:lastRow="0" w:firstColumn="1" w:lastColumn="0" w:noHBand="0" w:noVBand="1"/>
      </w:tblPr>
      <w:tblGrid>
        <w:gridCol w:w="2982"/>
        <w:gridCol w:w="1083"/>
        <w:gridCol w:w="1084"/>
        <w:gridCol w:w="1083"/>
        <w:gridCol w:w="1084"/>
        <w:gridCol w:w="1084"/>
        <w:gridCol w:w="1120"/>
      </w:tblGrid>
      <w:tr w:rsidR="00185BFA" w:rsidRPr="00185BFA" w:rsidTr="001F2260">
        <w:trPr>
          <w:trHeight w:val="762"/>
        </w:trPr>
        <w:tc>
          <w:tcPr>
            <w:tcW w:w="298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185BFA" w:rsidRPr="00185BFA" w:rsidRDefault="00185BFA" w:rsidP="00185BFA">
            <w:pPr>
              <w:spacing w:after="0" w:line="240" w:lineRule="auto"/>
              <w:jc w:val="left"/>
              <w:rPr>
                <w:rFonts w:cs="Arial"/>
                <w:b/>
                <w:bCs/>
                <w:color w:val="FFFFFF"/>
                <w:sz w:val="18"/>
                <w:szCs w:val="18"/>
                <w:lang w:eastAsia="en-AU"/>
              </w:rPr>
            </w:pPr>
            <w:r w:rsidRPr="00185BFA">
              <w:rPr>
                <w:rFonts w:cs="Arial"/>
                <w:b/>
                <w:bCs/>
                <w:color w:val="FFFFFF"/>
                <w:sz w:val="18"/>
                <w:szCs w:val="18"/>
                <w:lang w:eastAsia="en-AU"/>
              </w:rPr>
              <w:t>Qualification level</w:t>
            </w:r>
          </w:p>
        </w:tc>
        <w:tc>
          <w:tcPr>
            <w:tcW w:w="1083"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F034AF">
            <w:pPr>
              <w:spacing w:after="0" w:line="240" w:lineRule="auto"/>
              <w:ind w:firstLineChars="100" w:firstLine="181"/>
              <w:jc w:val="right"/>
              <w:rPr>
                <w:rFonts w:cs="Arial"/>
                <w:b/>
                <w:bCs/>
                <w:color w:val="FFFFFF"/>
                <w:sz w:val="18"/>
                <w:szCs w:val="18"/>
                <w:lang w:eastAsia="en-AU"/>
              </w:rPr>
            </w:pPr>
            <w:r w:rsidRPr="00185BFA">
              <w:rPr>
                <w:rFonts w:cs="Arial"/>
                <w:b/>
                <w:bCs/>
                <w:color w:val="FFFFFF"/>
                <w:sz w:val="18"/>
                <w:szCs w:val="18"/>
                <w:lang w:eastAsia="en-AU"/>
              </w:rPr>
              <w:t>2008</w:t>
            </w:r>
          </w:p>
        </w:tc>
        <w:tc>
          <w:tcPr>
            <w:tcW w:w="1084"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F034AF">
            <w:pPr>
              <w:spacing w:after="0" w:line="240" w:lineRule="auto"/>
              <w:ind w:firstLineChars="100" w:firstLine="181"/>
              <w:jc w:val="right"/>
              <w:rPr>
                <w:rFonts w:cs="Arial"/>
                <w:b/>
                <w:bCs/>
                <w:color w:val="FFFFFF"/>
                <w:sz w:val="18"/>
                <w:szCs w:val="18"/>
                <w:lang w:eastAsia="en-AU"/>
              </w:rPr>
            </w:pPr>
            <w:r w:rsidRPr="00185BFA">
              <w:rPr>
                <w:rFonts w:cs="Arial"/>
                <w:b/>
                <w:bCs/>
                <w:color w:val="FFFFFF"/>
                <w:sz w:val="18"/>
                <w:szCs w:val="18"/>
                <w:lang w:eastAsia="en-AU"/>
              </w:rPr>
              <w:t>2009</w:t>
            </w:r>
          </w:p>
        </w:tc>
        <w:tc>
          <w:tcPr>
            <w:tcW w:w="1083"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F034AF">
            <w:pPr>
              <w:spacing w:after="0" w:line="240" w:lineRule="auto"/>
              <w:ind w:firstLineChars="100" w:firstLine="181"/>
              <w:jc w:val="right"/>
              <w:rPr>
                <w:rFonts w:cs="Arial"/>
                <w:b/>
                <w:bCs/>
                <w:color w:val="FFFFFF"/>
                <w:sz w:val="18"/>
                <w:szCs w:val="18"/>
                <w:lang w:eastAsia="en-AU"/>
              </w:rPr>
            </w:pPr>
            <w:r w:rsidRPr="00185BFA">
              <w:rPr>
                <w:rFonts w:cs="Arial"/>
                <w:b/>
                <w:bCs/>
                <w:color w:val="FFFFFF"/>
                <w:sz w:val="18"/>
                <w:szCs w:val="18"/>
                <w:lang w:eastAsia="en-AU"/>
              </w:rPr>
              <w:t>2010</w:t>
            </w:r>
          </w:p>
        </w:tc>
        <w:tc>
          <w:tcPr>
            <w:tcW w:w="1084"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F034AF">
            <w:pPr>
              <w:spacing w:after="0" w:line="240" w:lineRule="auto"/>
              <w:ind w:firstLineChars="100" w:firstLine="181"/>
              <w:jc w:val="right"/>
              <w:rPr>
                <w:rFonts w:cs="Arial"/>
                <w:b/>
                <w:bCs/>
                <w:color w:val="FFFFFF"/>
                <w:sz w:val="18"/>
                <w:szCs w:val="18"/>
                <w:lang w:eastAsia="en-AU"/>
              </w:rPr>
            </w:pPr>
            <w:r w:rsidRPr="00185BFA">
              <w:rPr>
                <w:rFonts w:cs="Arial"/>
                <w:b/>
                <w:bCs/>
                <w:color w:val="FFFFFF"/>
                <w:sz w:val="18"/>
                <w:szCs w:val="18"/>
                <w:lang w:eastAsia="en-AU"/>
              </w:rPr>
              <w:t>2011</w:t>
            </w:r>
          </w:p>
        </w:tc>
        <w:tc>
          <w:tcPr>
            <w:tcW w:w="1084"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F034AF">
            <w:pPr>
              <w:spacing w:after="0" w:line="240" w:lineRule="auto"/>
              <w:ind w:firstLineChars="100" w:firstLine="181"/>
              <w:jc w:val="right"/>
              <w:rPr>
                <w:rFonts w:cs="Arial"/>
                <w:b/>
                <w:bCs/>
                <w:color w:val="FFFFFF"/>
                <w:sz w:val="18"/>
                <w:szCs w:val="18"/>
                <w:lang w:eastAsia="en-AU"/>
              </w:rPr>
            </w:pPr>
            <w:r w:rsidRPr="00185BFA">
              <w:rPr>
                <w:rFonts w:cs="Arial"/>
                <w:b/>
                <w:bCs/>
                <w:color w:val="FFFFFF"/>
                <w:sz w:val="18"/>
                <w:szCs w:val="18"/>
                <w:lang w:eastAsia="en-AU"/>
              </w:rPr>
              <w:t>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change</w:t>
            </w:r>
            <w:r w:rsidRPr="00185BFA">
              <w:rPr>
                <w:rFonts w:cs="Arial"/>
                <w:b/>
                <w:bCs/>
                <w:color w:val="FFFFFF"/>
                <w:sz w:val="18"/>
                <w:szCs w:val="18"/>
                <w:lang w:eastAsia="en-AU"/>
              </w:rPr>
              <w:br/>
              <w:t>2008-2012</w:t>
            </w:r>
          </w:p>
        </w:tc>
      </w:tr>
      <w:tr w:rsidR="00185BFA" w:rsidRPr="00185BFA" w:rsidTr="001F2260">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85BFA" w:rsidRPr="00185BFA" w:rsidRDefault="00185BFA" w:rsidP="00185BFA">
            <w:pPr>
              <w:spacing w:after="0" w:line="240" w:lineRule="auto"/>
              <w:jc w:val="left"/>
              <w:rPr>
                <w:rFonts w:cs="Arial"/>
                <w:color w:val="3E5B00"/>
                <w:sz w:val="18"/>
                <w:szCs w:val="18"/>
                <w:lang w:eastAsia="en-AU"/>
              </w:rPr>
            </w:pPr>
            <w:r w:rsidRPr="00185BFA">
              <w:rPr>
                <w:rFonts w:cs="Arial"/>
                <w:color w:val="3E5B00"/>
                <w:sz w:val="18"/>
                <w:szCs w:val="18"/>
                <w:lang w:eastAsia="en-AU"/>
              </w:rPr>
              <w:t>Cert I-II</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65,100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65,100 </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73,400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79,900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64,100 </w:t>
            </w:r>
          </w:p>
        </w:tc>
        <w:tc>
          <w:tcPr>
            <w:tcW w:w="1120"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-1%</w:t>
            </w:r>
          </w:p>
        </w:tc>
      </w:tr>
      <w:tr w:rsidR="00185BFA" w:rsidRPr="00185BFA" w:rsidTr="001F2260">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85BFA" w:rsidRPr="00185BFA" w:rsidRDefault="00185BFA" w:rsidP="00185BFA">
            <w:pPr>
              <w:spacing w:after="0" w:line="240" w:lineRule="auto"/>
              <w:jc w:val="left"/>
              <w:rPr>
                <w:rFonts w:cs="Arial"/>
                <w:color w:val="3E5B00"/>
                <w:sz w:val="18"/>
                <w:szCs w:val="18"/>
                <w:lang w:eastAsia="en-AU"/>
              </w:rPr>
            </w:pPr>
            <w:r w:rsidRPr="00185BFA">
              <w:rPr>
                <w:rFonts w:cs="Arial"/>
                <w:color w:val="3E5B00"/>
                <w:sz w:val="18"/>
                <w:szCs w:val="18"/>
                <w:lang w:eastAsia="en-AU"/>
              </w:rPr>
              <w:t>Cert III-IV</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158,800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159,100 </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194,800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278,400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348,400 </w:t>
            </w:r>
          </w:p>
        </w:tc>
        <w:tc>
          <w:tcPr>
            <w:tcW w:w="1120"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119%</w:t>
            </w:r>
          </w:p>
        </w:tc>
      </w:tr>
      <w:tr w:rsidR="00185BFA" w:rsidRPr="00185BFA" w:rsidTr="001F2260">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85BFA" w:rsidRPr="00185BFA" w:rsidRDefault="00185BFA" w:rsidP="00185BFA">
            <w:pPr>
              <w:spacing w:after="0" w:line="240" w:lineRule="auto"/>
              <w:jc w:val="left"/>
              <w:rPr>
                <w:rFonts w:cs="Arial"/>
                <w:color w:val="3E5B00"/>
                <w:sz w:val="18"/>
                <w:szCs w:val="18"/>
                <w:lang w:eastAsia="en-AU"/>
              </w:rPr>
            </w:pPr>
            <w:r w:rsidRPr="00185BFA">
              <w:rPr>
                <w:rFonts w:cs="Arial"/>
                <w:color w:val="3E5B00"/>
                <w:sz w:val="18"/>
                <w:szCs w:val="18"/>
                <w:lang w:eastAsia="en-AU"/>
              </w:rPr>
              <w:t>Diploma &amp; Above</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55,700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63,700 </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71,200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90,300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94,800 </w:t>
            </w:r>
          </w:p>
        </w:tc>
        <w:tc>
          <w:tcPr>
            <w:tcW w:w="1120"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70%</w:t>
            </w:r>
          </w:p>
        </w:tc>
      </w:tr>
      <w:tr w:rsidR="00185BFA" w:rsidRPr="00185BFA" w:rsidTr="001F2260">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85BFA" w:rsidRPr="00185BFA" w:rsidRDefault="00185BFA" w:rsidP="00185BFA">
            <w:pPr>
              <w:spacing w:after="0" w:line="240" w:lineRule="auto"/>
              <w:jc w:val="left"/>
              <w:rPr>
                <w:rFonts w:cs="Arial"/>
                <w:color w:val="3E5B00"/>
                <w:sz w:val="18"/>
                <w:szCs w:val="18"/>
                <w:lang w:eastAsia="en-AU"/>
              </w:rPr>
            </w:pPr>
            <w:r w:rsidRPr="00185BFA">
              <w:rPr>
                <w:rFonts w:cs="Arial"/>
                <w:color w:val="3E5B00"/>
                <w:sz w:val="18"/>
                <w:szCs w:val="18"/>
                <w:lang w:eastAsia="en-AU"/>
              </w:rPr>
              <w:t>Module Only</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50,200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40,700 </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37,300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30,300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30,600 </w:t>
            </w:r>
          </w:p>
        </w:tc>
        <w:tc>
          <w:tcPr>
            <w:tcW w:w="1120"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-39%</w:t>
            </w:r>
          </w:p>
        </w:tc>
      </w:tr>
      <w:tr w:rsidR="00185BFA" w:rsidRPr="00185BFA" w:rsidTr="001F2260">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85BFA" w:rsidRPr="00185BFA" w:rsidRDefault="00185BFA" w:rsidP="00185BFA">
            <w:pPr>
              <w:spacing w:after="0" w:line="240" w:lineRule="auto"/>
              <w:jc w:val="left"/>
              <w:rPr>
                <w:rFonts w:cs="Arial"/>
                <w:color w:val="3E5B00"/>
                <w:sz w:val="18"/>
                <w:szCs w:val="18"/>
                <w:lang w:eastAsia="en-AU"/>
              </w:rPr>
            </w:pPr>
            <w:r w:rsidRPr="00185BFA">
              <w:rPr>
                <w:rFonts w:cs="Arial"/>
                <w:color w:val="3E5B00"/>
                <w:sz w:val="18"/>
                <w:szCs w:val="18"/>
                <w:lang w:eastAsia="en-AU"/>
              </w:rPr>
              <w:t xml:space="preserve">Secondary, </w:t>
            </w:r>
            <w:proofErr w:type="spellStart"/>
            <w:r w:rsidRPr="00185BFA">
              <w:rPr>
                <w:rFonts w:cs="Arial"/>
                <w:color w:val="3E5B00"/>
                <w:sz w:val="18"/>
                <w:szCs w:val="18"/>
                <w:lang w:eastAsia="en-AU"/>
              </w:rPr>
              <w:t>SoA</w:t>
            </w:r>
            <w:proofErr w:type="spellEnd"/>
            <w:r w:rsidRPr="00185BFA">
              <w:rPr>
                <w:rFonts w:cs="Arial"/>
                <w:color w:val="3E5B00"/>
                <w:sz w:val="18"/>
                <w:szCs w:val="18"/>
                <w:lang w:eastAsia="en-AU"/>
              </w:rPr>
              <w:t xml:space="preserve"> and other</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20,600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20,300 </w:t>
            </w:r>
          </w:p>
        </w:tc>
        <w:tc>
          <w:tcPr>
            <w:tcW w:w="1083"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19,500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15,900 </w:t>
            </w:r>
          </w:p>
        </w:tc>
        <w:tc>
          <w:tcPr>
            <w:tcW w:w="1084"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 xml:space="preserve">14,100 </w:t>
            </w:r>
          </w:p>
        </w:tc>
        <w:tc>
          <w:tcPr>
            <w:tcW w:w="1120" w:type="dxa"/>
            <w:tcBorders>
              <w:top w:val="nil"/>
              <w:left w:val="nil"/>
              <w:bottom w:val="single" w:sz="4" w:space="0" w:color="5E8A00"/>
              <w:right w:val="single" w:sz="4" w:space="0" w:color="5E8A00"/>
            </w:tcBorders>
            <w:shd w:val="clear" w:color="auto" w:fill="auto"/>
            <w:noWrap/>
            <w:vAlign w:val="center"/>
            <w:hideMark/>
          </w:tcPr>
          <w:p w:rsidR="00185BFA" w:rsidRPr="00185BFA" w:rsidRDefault="00185BFA" w:rsidP="00185BFA">
            <w:pPr>
              <w:spacing w:after="0" w:line="240" w:lineRule="auto"/>
              <w:jc w:val="right"/>
              <w:rPr>
                <w:rFonts w:cs="Arial"/>
                <w:sz w:val="18"/>
                <w:szCs w:val="18"/>
                <w:lang w:eastAsia="en-AU"/>
              </w:rPr>
            </w:pPr>
            <w:r w:rsidRPr="00185BFA">
              <w:rPr>
                <w:rFonts w:cs="Arial"/>
                <w:sz w:val="18"/>
                <w:szCs w:val="18"/>
                <w:lang w:eastAsia="en-AU"/>
              </w:rPr>
              <w:t>-32%</w:t>
            </w:r>
          </w:p>
        </w:tc>
      </w:tr>
      <w:tr w:rsidR="00185BFA" w:rsidRPr="00185BFA" w:rsidTr="001F2260">
        <w:trPr>
          <w:trHeight w:val="342"/>
        </w:trPr>
        <w:tc>
          <w:tcPr>
            <w:tcW w:w="2982" w:type="dxa"/>
            <w:tcBorders>
              <w:top w:val="nil"/>
              <w:left w:val="single" w:sz="4" w:space="0" w:color="5E8A00"/>
              <w:bottom w:val="nil"/>
              <w:right w:val="single" w:sz="4" w:space="0" w:color="5E8A00"/>
            </w:tcBorders>
            <w:shd w:val="clear" w:color="000000" w:fill="5E8A00"/>
            <w:noWrap/>
            <w:vAlign w:val="bottom"/>
            <w:hideMark/>
          </w:tcPr>
          <w:p w:rsidR="00185BFA" w:rsidRPr="00185BFA" w:rsidRDefault="00185BFA" w:rsidP="00185BFA">
            <w:pPr>
              <w:spacing w:after="0" w:line="240" w:lineRule="auto"/>
              <w:jc w:val="left"/>
              <w:rPr>
                <w:rFonts w:cs="Arial"/>
                <w:b/>
                <w:bCs/>
                <w:color w:val="FFFFFF"/>
                <w:sz w:val="18"/>
                <w:szCs w:val="18"/>
                <w:lang w:eastAsia="en-AU"/>
              </w:rPr>
            </w:pPr>
            <w:r w:rsidRPr="00185BFA">
              <w:rPr>
                <w:rFonts w:cs="Arial"/>
                <w:b/>
                <w:bCs/>
                <w:color w:val="FFFFFF"/>
                <w:sz w:val="18"/>
                <w:szCs w:val="18"/>
                <w:lang w:eastAsia="en-AU"/>
              </w:rPr>
              <w:t>Total (</w:t>
            </w:r>
            <w:proofErr w:type="spellStart"/>
            <w:r w:rsidRPr="00185BFA">
              <w:rPr>
                <w:rFonts w:cs="Arial"/>
                <w:b/>
                <w:bCs/>
                <w:color w:val="FFFFFF"/>
                <w:sz w:val="18"/>
                <w:szCs w:val="18"/>
                <w:lang w:eastAsia="en-AU"/>
              </w:rPr>
              <w:t>excl</w:t>
            </w:r>
            <w:proofErr w:type="spellEnd"/>
            <w:r w:rsidRPr="00185BFA">
              <w:rPr>
                <w:rFonts w:cs="Arial"/>
                <w:b/>
                <w:bCs/>
                <w:color w:val="FFFFFF"/>
                <w:sz w:val="18"/>
                <w:szCs w:val="18"/>
                <w:lang w:eastAsia="en-AU"/>
              </w:rPr>
              <w:t xml:space="preserve"> foundation courses)</w:t>
            </w:r>
          </w:p>
        </w:tc>
        <w:tc>
          <w:tcPr>
            <w:tcW w:w="1083"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xml:space="preserve">350,400 </w:t>
            </w:r>
          </w:p>
        </w:tc>
        <w:tc>
          <w:tcPr>
            <w:tcW w:w="1084"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xml:space="preserve">348,900 </w:t>
            </w:r>
          </w:p>
        </w:tc>
        <w:tc>
          <w:tcPr>
            <w:tcW w:w="1083"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xml:space="preserve">396,200 </w:t>
            </w:r>
          </w:p>
        </w:tc>
        <w:tc>
          <w:tcPr>
            <w:tcW w:w="1084"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xml:space="preserve">494,900 </w:t>
            </w:r>
          </w:p>
        </w:tc>
        <w:tc>
          <w:tcPr>
            <w:tcW w:w="1084"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 xml:space="preserve">552,000 </w:t>
            </w:r>
          </w:p>
        </w:tc>
        <w:tc>
          <w:tcPr>
            <w:tcW w:w="1120" w:type="dxa"/>
            <w:tcBorders>
              <w:top w:val="nil"/>
              <w:left w:val="nil"/>
              <w:bottom w:val="nil"/>
              <w:right w:val="single" w:sz="4" w:space="0" w:color="5E8A00"/>
            </w:tcBorders>
            <w:shd w:val="clear" w:color="000000" w:fill="5E8A00"/>
            <w:noWrap/>
            <w:vAlign w:val="center"/>
            <w:hideMark/>
          </w:tcPr>
          <w:p w:rsidR="00185BFA" w:rsidRPr="00185BFA" w:rsidRDefault="00185BFA" w:rsidP="00185BFA">
            <w:pPr>
              <w:spacing w:after="0" w:line="240" w:lineRule="auto"/>
              <w:jc w:val="right"/>
              <w:rPr>
                <w:rFonts w:cs="Arial"/>
                <w:b/>
                <w:bCs/>
                <w:color w:val="FFFFFF"/>
                <w:sz w:val="18"/>
                <w:szCs w:val="18"/>
                <w:lang w:eastAsia="en-AU"/>
              </w:rPr>
            </w:pPr>
            <w:r w:rsidRPr="00185BFA">
              <w:rPr>
                <w:rFonts w:cs="Arial"/>
                <w:b/>
                <w:bCs/>
                <w:color w:val="FFFFFF"/>
                <w:sz w:val="18"/>
                <w:szCs w:val="18"/>
                <w:lang w:eastAsia="en-AU"/>
              </w:rPr>
              <w:t>58%</w:t>
            </w:r>
          </w:p>
        </w:tc>
      </w:tr>
    </w:tbl>
    <w:p w:rsidR="00185BFA" w:rsidRPr="001F29E3" w:rsidRDefault="00185BFA" w:rsidP="00C53713">
      <w:pPr>
        <w:rPr>
          <w:rFonts w:cs="Arial"/>
          <w:sz w:val="16"/>
          <w:szCs w:val="16"/>
        </w:rPr>
      </w:pPr>
      <w:proofErr w:type="spellStart"/>
      <w:r w:rsidRPr="001F29E3">
        <w:rPr>
          <w:rFonts w:cs="Arial"/>
          <w:sz w:val="16"/>
          <w:szCs w:val="16"/>
        </w:rPr>
        <w:t>SoA</w:t>
      </w:r>
      <w:proofErr w:type="spellEnd"/>
      <w:r w:rsidRPr="001F29E3">
        <w:rPr>
          <w:rFonts w:cs="Arial"/>
          <w:sz w:val="16"/>
          <w:szCs w:val="16"/>
        </w:rPr>
        <w:t xml:space="preserve"> – Statement of Attainment</w:t>
      </w:r>
      <w:r>
        <w:rPr>
          <w:rFonts w:cs="Arial"/>
          <w:sz w:val="16"/>
          <w:szCs w:val="16"/>
        </w:rPr>
        <w:t>.</w:t>
      </w:r>
    </w:p>
    <w:p w:rsidR="006F5E43" w:rsidRDefault="000C193A" w:rsidP="001C1759">
      <w:pPr>
        <w:pStyle w:val="Caption"/>
        <w:spacing w:after="0"/>
      </w:pPr>
      <w:r>
        <w:br w:type="page"/>
      </w:r>
      <w:r w:rsidR="006F5E43" w:rsidRPr="001F29E3">
        <w:lastRenderedPageBreak/>
        <w:t>Table 1.</w:t>
      </w:r>
      <w:r w:rsidR="00F0734E">
        <w:t>4</w:t>
      </w:r>
      <w:r w:rsidR="006F5E43">
        <w:t>.2</w:t>
      </w:r>
      <w:r w:rsidR="006F5E43" w:rsidRPr="001F29E3">
        <w:t xml:space="preserve">: Government subsidised enrolments </w:t>
      </w:r>
      <w:r w:rsidR="00D20582">
        <w:t xml:space="preserve">(non-Foundation) </w:t>
      </w:r>
      <w:r w:rsidR="006F5E43" w:rsidRPr="001F29E3">
        <w:t>by qualification level, Q</w:t>
      </w:r>
      <w:r w:rsidR="00BC20F8">
        <w:t>3</w:t>
      </w:r>
      <w:r w:rsidR="006F5E43" w:rsidRPr="001F29E3">
        <w:t xml:space="preserve"> 201</w:t>
      </w:r>
      <w:r w:rsidR="004A1B68">
        <w:t>1, Q</w:t>
      </w:r>
      <w:r w:rsidR="00BC20F8">
        <w:t>3</w:t>
      </w:r>
      <w:r w:rsidR="004A1B68">
        <w:t xml:space="preserve"> 2012</w:t>
      </w:r>
      <w:r w:rsidR="006F5E43" w:rsidRPr="001F29E3">
        <w:t xml:space="preserve"> and Q</w:t>
      </w:r>
      <w:r w:rsidR="00BC20F8">
        <w:t>3</w:t>
      </w:r>
      <w:r w:rsidR="006F5E43" w:rsidRPr="001F29E3">
        <w:t xml:space="preserve"> 2013</w:t>
      </w:r>
    </w:p>
    <w:tbl>
      <w:tblPr>
        <w:tblW w:w="9361" w:type="dxa"/>
        <w:tblInd w:w="103" w:type="dxa"/>
        <w:tblLayout w:type="fixed"/>
        <w:tblLook w:val="04A0" w:firstRow="1" w:lastRow="0" w:firstColumn="1" w:lastColumn="0" w:noHBand="0" w:noVBand="1"/>
      </w:tblPr>
      <w:tblGrid>
        <w:gridCol w:w="3124"/>
        <w:gridCol w:w="1134"/>
        <w:gridCol w:w="1134"/>
        <w:gridCol w:w="1134"/>
        <w:gridCol w:w="1417"/>
        <w:gridCol w:w="1418"/>
      </w:tblGrid>
      <w:tr w:rsidR="00BC20F8" w:rsidRPr="00BC20F8" w:rsidTr="00BC20F8">
        <w:trPr>
          <w:trHeight w:hRule="exact" w:val="760"/>
        </w:trPr>
        <w:tc>
          <w:tcPr>
            <w:tcW w:w="3124"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BC20F8" w:rsidRPr="00BC20F8" w:rsidRDefault="00BC20F8" w:rsidP="00BC20F8">
            <w:pPr>
              <w:spacing w:after="0" w:line="240" w:lineRule="auto"/>
              <w:jc w:val="left"/>
              <w:rPr>
                <w:rFonts w:cs="Arial"/>
                <w:b/>
                <w:bCs/>
                <w:color w:val="FFFFFF"/>
                <w:sz w:val="18"/>
                <w:szCs w:val="18"/>
                <w:lang w:eastAsia="en-AU"/>
              </w:rPr>
            </w:pPr>
            <w:r w:rsidRPr="00BC20F8">
              <w:rPr>
                <w:rFonts w:cs="Arial"/>
                <w:b/>
                <w:bCs/>
                <w:color w:val="FFFFFF"/>
                <w:sz w:val="18"/>
                <w:szCs w:val="18"/>
                <w:lang w:eastAsia="en-AU"/>
              </w:rPr>
              <w:t>Qualification level</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2013</w:t>
            </w:r>
          </w:p>
        </w:tc>
        <w:tc>
          <w:tcPr>
            <w:tcW w:w="1417"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 change</w:t>
            </w:r>
            <w:r w:rsidRPr="00BC20F8">
              <w:rPr>
                <w:rFonts w:cs="Arial"/>
                <w:b/>
                <w:bCs/>
                <w:color w:val="FFFFFF"/>
                <w:sz w:val="18"/>
                <w:szCs w:val="18"/>
                <w:lang w:eastAsia="en-AU"/>
              </w:rPr>
              <w:br/>
              <w:t>Q3 2011-Q3 2013 </w:t>
            </w:r>
          </w:p>
        </w:tc>
        <w:tc>
          <w:tcPr>
            <w:tcW w:w="1418"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 change</w:t>
            </w:r>
            <w:r w:rsidRPr="00BC20F8">
              <w:rPr>
                <w:rFonts w:cs="Arial"/>
                <w:b/>
                <w:bCs/>
                <w:color w:val="FFFFFF"/>
                <w:sz w:val="18"/>
                <w:szCs w:val="18"/>
                <w:lang w:eastAsia="en-AU"/>
              </w:rPr>
              <w:br/>
              <w:t>Q3 2012-Q3 2013</w:t>
            </w:r>
          </w:p>
        </w:tc>
      </w:tr>
      <w:tr w:rsidR="00BC20F8" w:rsidRPr="00BC20F8" w:rsidTr="00BC20F8">
        <w:trPr>
          <w:trHeight w:hRule="exact" w:val="284"/>
        </w:trPr>
        <w:tc>
          <w:tcPr>
            <w:tcW w:w="3124"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Cert I-II</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61,000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55,100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35,200 </w:t>
            </w:r>
          </w:p>
        </w:tc>
        <w:tc>
          <w:tcPr>
            <w:tcW w:w="14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-42%</w:t>
            </w:r>
          </w:p>
        </w:tc>
        <w:tc>
          <w:tcPr>
            <w:tcW w:w="1418"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-36%</w:t>
            </w:r>
          </w:p>
        </w:tc>
      </w:tr>
      <w:tr w:rsidR="00BC20F8" w:rsidRPr="00BC20F8" w:rsidTr="00BC20F8">
        <w:trPr>
          <w:trHeight w:hRule="exact" w:val="284"/>
        </w:trPr>
        <w:tc>
          <w:tcPr>
            <w:tcW w:w="3124"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Cert III-IV</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220,300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302,300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263,000 </w:t>
            </w:r>
          </w:p>
        </w:tc>
        <w:tc>
          <w:tcPr>
            <w:tcW w:w="14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19%</w:t>
            </w:r>
          </w:p>
        </w:tc>
        <w:tc>
          <w:tcPr>
            <w:tcW w:w="1418"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-13%</w:t>
            </w:r>
          </w:p>
        </w:tc>
      </w:tr>
      <w:tr w:rsidR="00BC20F8" w:rsidRPr="00BC20F8" w:rsidTr="00BC20F8">
        <w:trPr>
          <w:trHeight w:hRule="exact" w:val="284"/>
        </w:trPr>
        <w:tc>
          <w:tcPr>
            <w:tcW w:w="3124"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Diploma &amp; Above</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78,600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90,600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63,100 </w:t>
            </w:r>
          </w:p>
        </w:tc>
        <w:tc>
          <w:tcPr>
            <w:tcW w:w="14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-20%</w:t>
            </w:r>
          </w:p>
        </w:tc>
        <w:tc>
          <w:tcPr>
            <w:tcW w:w="1418"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-30%</w:t>
            </w:r>
          </w:p>
        </w:tc>
      </w:tr>
      <w:tr w:rsidR="00BC20F8" w:rsidRPr="00BC20F8" w:rsidTr="00BC20F8">
        <w:trPr>
          <w:trHeight w:hRule="exact" w:val="284"/>
        </w:trPr>
        <w:tc>
          <w:tcPr>
            <w:tcW w:w="3124"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Module Only</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20,400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20,200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20,900 </w:t>
            </w:r>
          </w:p>
        </w:tc>
        <w:tc>
          <w:tcPr>
            <w:tcW w:w="14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3%</w:t>
            </w:r>
          </w:p>
        </w:tc>
        <w:tc>
          <w:tcPr>
            <w:tcW w:w="1418"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4%</w:t>
            </w:r>
          </w:p>
        </w:tc>
      </w:tr>
      <w:tr w:rsidR="00BC20F8" w:rsidRPr="00BC20F8" w:rsidTr="00BC20F8">
        <w:trPr>
          <w:trHeight w:hRule="exact" w:val="284"/>
        </w:trPr>
        <w:tc>
          <w:tcPr>
            <w:tcW w:w="3124"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 xml:space="preserve">Secondary, </w:t>
            </w:r>
            <w:proofErr w:type="spellStart"/>
            <w:r w:rsidRPr="00BC20F8">
              <w:rPr>
                <w:rFonts w:cs="Arial"/>
                <w:color w:val="3E5B00"/>
                <w:sz w:val="18"/>
                <w:szCs w:val="18"/>
                <w:lang w:eastAsia="en-AU"/>
              </w:rPr>
              <w:t>SoA</w:t>
            </w:r>
            <w:proofErr w:type="spellEnd"/>
            <w:r w:rsidRPr="00BC20F8">
              <w:rPr>
                <w:rFonts w:cs="Arial"/>
                <w:color w:val="3E5B00"/>
                <w:sz w:val="18"/>
                <w:szCs w:val="18"/>
                <w:lang w:eastAsia="en-AU"/>
              </w:rPr>
              <w:t xml:space="preserve"> and other</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12,500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11,700 </w:t>
            </w:r>
          </w:p>
        </w:tc>
        <w:tc>
          <w:tcPr>
            <w:tcW w:w="1134"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11,600 </w:t>
            </w:r>
          </w:p>
        </w:tc>
        <w:tc>
          <w:tcPr>
            <w:tcW w:w="14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-7%</w:t>
            </w:r>
          </w:p>
        </w:tc>
        <w:tc>
          <w:tcPr>
            <w:tcW w:w="1418"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-1%</w:t>
            </w:r>
          </w:p>
        </w:tc>
      </w:tr>
      <w:tr w:rsidR="00BC20F8" w:rsidRPr="00BC20F8" w:rsidTr="00BC20F8">
        <w:trPr>
          <w:trHeight w:hRule="exact" w:val="284"/>
        </w:trPr>
        <w:tc>
          <w:tcPr>
            <w:tcW w:w="3124" w:type="dxa"/>
            <w:tcBorders>
              <w:top w:val="nil"/>
              <w:left w:val="single" w:sz="4" w:space="0" w:color="5E8A00"/>
              <w:bottom w:val="nil"/>
              <w:right w:val="single" w:sz="4" w:space="0" w:color="5E8A00"/>
            </w:tcBorders>
            <w:shd w:val="clear" w:color="000000" w:fill="5E8A00"/>
            <w:noWrap/>
            <w:vAlign w:val="bottom"/>
            <w:hideMark/>
          </w:tcPr>
          <w:p w:rsidR="00BC20F8" w:rsidRPr="00BC20F8" w:rsidRDefault="00BC20F8" w:rsidP="00BC20F8">
            <w:pPr>
              <w:spacing w:after="0" w:line="240" w:lineRule="auto"/>
              <w:jc w:val="left"/>
              <w:rPr>
                <w:rFonts w:cs="Arial"/>
                <w:b/>
                <w:bCs/>
                <w:color w:val="FFFFFF"/>
                <w:sz w:val="18"/>
                <w:szCs w:val="18"/>
                <w:lang w:eastAsia="en-AU"/>
              </w:rPr>
            </w:pPr>
            <w:r w:rsidRPr="00BC20F8">
              <w:rPr>
                <w:rFonts w:cs="Arial"/>
                <w:b/>
                <w:bCs/>
                <w:color w:val="FFFFFF"/>
                <w:sz w:val="18"/>
                <w:szCs w:val="18"/>
                <w:lang w:eastAsia="en-AU"/>
              </w:rPr>
              <w:t>Total (</w:t>
            </w:r>
            <w:proofErr w:type="spellStart"/>
            <w:r w:rsidRPr="00BC20F8">
              <w:rPr>
                <w:rFonts w:cs="Arial"/>
                <w:b/>
                <w:bCs/>
                <w:color w:val="FFFFFF"/>
                <w:sz w:val="18"/>
                <w:szCs w:val="18"/>
                <w:lang w:eastAsia="en-AU"/>
              </w:rPr>
              <w:t>excl</w:t>
            </w:r>
            <w:proofErr w:type="spellEnd"/>
            <w:r w:rsidRPr="00BC20F8">
              <w:rPr>
                <w:rFonts w:cs="Arial"/>
                <w:b/>
                <w:bCs/>
                <w:color w:val="FFFFFF"/>
                <w:sz w:val="18"/>
                <w:szCs w:val="18"/>
                <w:lang w:eastAsia="en-AU"/>
              </w:rPr>
              <w:t xml:space="preserve"> foundation courses)</w:t>
            </w:r>
          </w:p>
        </w:tc>
        <w:tc>
          <w:tcPr>
            <w:tcW w:w="1134"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392,700 </w:t>
            </w:r>
          </w:p>
        </w:tc>
        <w:tc>
          <w:tcPr>
            <w:tcW w:w="1134"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479,800 </w:t>
            </w:r>
          </w:p>
        </w:tc>
        <w:tc>
          <w:tcPr>
            <w:tcW w:w="1134"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393,800 </w:t>
            </w:r>
          </w:p>
        </w:tc>
        <w:tc>
          <w:tcPr>
            <w:tcW w:w="1417"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0.3%</w:t>
            </w:r>
          </w:p>
        </w:tc>
        <w:tc>
          <w:tcPr>
            <w:tcW w:w="1418"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-18%</w:t>
            </w:r>
          </w:p>
        </w:tc>
      </w:tr>
    </w:tbl>
    <w:p w:rsidR="00D20582" w:rsidRPr="002324B6" w:rsidRDefault="00D20582" w:rsidP="00D20582">
      <w:pPr>
        <w:spacing w:after="0"/>
        <w:rPr>
          <w:noProof/>
          <w:sz w:val="16"/>
          <w:szCs w:val="16"/>
          <w:lang w:eastAsia="en-AU"/>
        </w:rPr>
      </w:pPr>
      <w:r w:rsidRPr="002324B6">
        <w:rPr>
          <w:noProof/>
          <w:sz w:val="16"/>
          <w:szCs w:val="16"/>
          <w:lang w:eastAsia="en-AU"/>
        </w:rPr>
        <w:t>SoA – Statement of Attainment.</w:t>
      </w:r>
    </w:p>
    <w:p w:rsidR="00E2616D" w:rsidRDefault="00E2616D" w:rsidP="00A9260A">
      <w:pPr>
        <w:pStyle w:val="Heading3"/>
      </w:pPr>
    </w:p>
    <w:p w:rsidR="00D20582" w:rsidRDefault="00D20582" w:rsidP="00D20582">
      <w:pPr>
        <w:pStyle w:val="Caption"/>
        <w:spacing w:after="0"/>
        <w:jc w:val="left"/>
        <w:rPr>
          <w:rFonts w:cs="Arial"/>
        </w:rPr>
      </w:pPr>
      <w:r w:rsidRPr="001F29E3">
        <w:rPr>
          <w:rFonts w:cs="Arial"/>
        </w:rPr>
        <w:t>Table 1.</w:t>
      </w:r>
      <w:r w:rsidR="00EA5ABC">
        <w:rPr>
          <w:rFonts w:cs="Arial"/>
        </w:rPr>
        <w:t>5</w:t>
      </w:r>
      <w:r>
        <w:rPr>
          <w:rFonts w:cs="Arial"/>
        </w:rPr>
        <w:t>.1</w:t>
      </w:r>
      <w:r w:rsidRPr="001F29E3">
        <w:rPr>
          <w:rFonts w:cs="Arial"/>
        </w:rPr>
        <w:t xml:space="preserve">: Government subsidised enrolments </w:t>
      </w:r>
      <w:r>
        <w:rPr>
          <w:rFonts w:cs="Arial"/>
        </w:rPr>
        <w:t xml:space="preserve">(Foundation) </w:t>
      </w:r>
      <w:r w:rsidRPr="001F29E3">
        <w:rPr>
          <w:rFonts w:cs="Arial"/>
        </w:rPr>
        <w:t>by qualification level, 2008–2012</w:t>
      </w:r>
    </w:p>
    <w:tbl>
      <w:tblPr>
        <w:tblW w:w="9520" w:type="dxa"/>
        <w:tblInd w:w="103" w:type="dxa"/>
        <w:tblLook w:val="04A0" w:firstRow="1" w:lastRow="0" w:firstColumn="1" w:lastColumn="0" w:noHBand="0" w:noVBand="1"/>
      </w:tblPr>
      <w:tblGrid>
        <w:gridCol w:w="2800"/>
        <w:gridCol w:w="1120"/>
        <w:gridCol w:w="1120"/>
        <w:gridCol w:w="1120"/>
        <w:gridCol w:w="1120"/>
        <w:gridCol w:w="1120"/>
        <w:gridCol w:w="1120"/>
      </w:tblGrid>
      <w:tr w:rsidR="00D20582" w:rsidRPr="00D20582" w:rsidTr="00D20582">
        <w:trPr>
          <w:trHeight w:val="762"/>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D20582" w:rsidRPr="00D20582" w:rsidRDefault="00D20582" w:rsidP="00D20582">
            <w:pPr>
              <w:spacing w:after="0" w:line="240" w:lineRule="auto"/>
              <w:jc w:val="left"/>
              <w:rPr>
                <w:rFonts w:cs="Arial"/>
                <w:b/>
                <w:bCs/>
                <w:color w:val="FFFFFF"/>
                <w:sz w:val="18"/>
                <w:szCs w:val="18"/>
                <w:lang w:eastAsia="en-AU"/>
              </w:rPr>
            </w:pPr>
            <w:r w:rsidRPr="00D20582">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F034AF">
            <w:pPr>
              <w:spacing w:after="0" w:line="240" w:lineRule="auto"/>
              <w:ind w:firstLineChars="100" w:firstLine="181"/>
              <w:jc w:val="right"/>
              <w:rPr>
                <w:rFonts w:cs="Arial"/>
                <w:b/>
                <w:bCs/>
                <w:color w:val="FFFFFF"/>
                <w:sz w:val="18"/>
                <w:szCs w:val="18"/>
                <w:lang w:eastAsia="en-AU"/>
              </w:rPr>
            </w:pPr>
            <w:r w:rsidRPr="00D20582">
              <w:rPr>
                <w:rFonts w:cs="Arial"/>
                <w:b/>
                <w:bCs/>
                <w:color w:val="FFFFFF"/>
                <w:sz w:val="18"/>
                <w:szCs w:val="18"/>
                <w:lang w:eastAsia="en-AU"/>
              </w:rPr>
              <w:t>2008</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F034AF">
            <w:pPr>
              <w:spacing w:after="0" w:line="240" w:lineRule="auto"/>
              <w:ind w:firstLineChars="100" w:firstLine="181"/>
              <w:jc w:val="right"/>
              <w:rPr>
                <w:rFonts w:cs="Arial"/>
                <w:b/>
                <w:bCs/>
                <w:color w:val="FFFFFF"/>
                <w:sz w:val="18"/>
                <w:szCs w:val="18"/>
                <w:lang w:eastAsia="en-AU"/>
              </w:rPr>
            </w:pPr>
            <w:r w:rsidRPr="00D20582">
              <w:rPr>
                <w:rFonts w:cs="Arial"/>
                <w:b/>
                <w:bCs/>
                <w:color w:val="FFFFFF"/>
                <w:sz w:val="18"/>
                <w:szCs w:val="18"/>
                <w:lang w:eastAsia="en-AU"/>
              </w:rPr>
              <w:t>2009</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F034AF">
            <w:pPr>
              <w:spacing w:after="0" w:line="240" w:lineRule="auto"/>
              <w:ind w:firstLineChars="100" w:firstLine="181"/>
              <w:jc w:val="right"/>
              <w:rPr>
                <w:rFonts w:cs="Arial"/>
                <w:b/>
                <w:bCs/>
                <w:color w:val="FFFFFF"/>
                <w:sz w:val="18"/>
                <w:szCs w:val="18"/>
                <w:lang w:eastAsia="en-AU"/>
              </w:rPr>
            </w:pPr>
            <w:r w:rsidRPr="00D20582">
              <w:rPr>
                <w:rFonts w:cs="Arial"/>
                <w:b/>
                <w:bCs/>
                <w:color w:val="FFFFFF"/>
                <w:sz w:val="18"/>
                <w:szCs w:val="18"/>
                <w:lang w:eastAsia="en-AU"/>
              </w:rPr>
              <w:t>2010</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F034AF">
            <w:pPr>
              <w:spacing w:after="0" w:line="240" w:lineRule="auto"/>
              <w:ind w:firstLineChars="100" w:firstLine="181"/>
              <w:jc w:val="right"/>
              <w:rPr>
                <w:rFonts w:cs="Arial"/>
                <w:b/>
                <w:bCs/>
                <w:color w:val="FFFFFF"/>
                <w:sz w:val="18"/>
                <w:szCs w:val="18"/>
                <w:lang w:eastAsia="en-AU"/>
              </w:rPr>
            </w:pPr>
            <w:r w:rsidRPr="00D20582">
              <w:rPr>
                <w:rFonts w:cs="Arial"/>
                <w:b/>
                <w:bCs/>
                <w:color w:val="FFFFFF"/>
                <w:sz w:val="18"/>
                <w:szCs w:val="18"/>
                <w:lang w:eastAsia="en-AU"/>
              </w:rPr>
              <w:t>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F034AF">
            <w:pPr>
              <w:spacing w:after="0" w:line="240" w:lineRule="auto"/>
              <w:ind w:firstLineChars="100" w:firstLine="181"/>
              <w:jc w:val="right"/>
              <w:rPr>
                <w:rFonts w:cs="Arial"/>
                <w:b/>
                <w:bCs/>
                <w:color w:val="FFFFFF"/>
                <w:sz w:val="18"/>
                <w:szCs w:val="18"/>
                <w:lang w:eastAsia="en-AU"/>
              </w:rPr>
            </w:pPr>
            <w:r w:rsidRPr="00D20582">
              <w:rPr>
                <w:rFonts w:cs="Arial"/>
                <w:b/>
                <w:bCs/>
                <w:color w:val="FFFFFF"/>
                <w:sz w:val="18"/>
                <w:szCs w:val="18"/>
                <w:lang w:eastAsia="en-AU"/>
              </w:rPr>
              <w:t>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change</w:t>
            </w:r>
            <w:r w:rsidRPr="00D20582">
              <w:rPr>
                <w:rFonts w:cs="Arial"/>
                <w:b/>
                <w:bCs/>
                <w:color w:val="FFFFFF"/>
                <w:sz w:val="18"/>
                <w:szCs w:val="18"/>
                <w:lang w:eastAsia="en-AU"/>
              </w:rPr>
              <w:br/>
              <w:t>2008-2012</w:t>
            </w:r>
          </w:p>
        </w:tc>
      </w:tr>
      <w:tr w:rsidR="00D20582" w:rsidRPr="00D20582" w:rsidTr="00D20582">
        <w:trPr>
          <w:trHeight w:val="342"/>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D20582" w:rsidRPr="00D20582" w:rsidRDefault="00D20582" w:rsidP="00D20582">
            <w:pPr>
              <w:spacing w:after="0" w:line="240" w:lineRule="auto"/>
              <w:jc w:val="left"/>
              <w:rPr>
                <w:rFonts w:cs="Arial"/>
                <w:color w:val="3E5B00"/>
                <w:sz w:val="18"/>
                <w:szCs w:val="18"/>
                <w:lang w:eastAsia="en-AU"/>
              </w:rPr>
            </w:pPr>
            <w:r w:rsidRPr="00D20582">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22,100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18,500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20,400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39,500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90,600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310%</w:t>
            </w:r>
          </w:p>
        </w:tc>
      </w:tr>
      <w:tr w:rsidR="00D20582" w:rsidRPr="00D20582" w:rsidTr="00D20582">
        <w:trPr>
          <w:trHeight w:val="342"/>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D20582" w:rsidRPr="00D20582" w:rsidRDefault="00D20582" w:rsidP="00D20582">
            <w:pPr>
              <w:spacing w:after="0" w:line="240" w:lineRule="auto"/>
              <w:jc w:val="left"/>
              <w:rPr>
                <w:rFonts w:cs="Arial"/>
                <w:color w:val="3E5B00"/>
                <w:sz w:val="18"/>
                <w:szCs w:val="18"/>
                <w:lang w:eastAsia="en-AU"/>
              </w:rPr>
            </w:pPr>
            <w:r w:rsidRPr="00D20582">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6,600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6,800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6,900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9,500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17,600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167%</w:t>
            </w:r>
          </w:p>
        </w:tc>
      </w:tr>
      <w:tr w:rsidR="00D20582" w:rsidRPr="00D20582" w:rsidTr="00D20582">
        <w:trPr>
          <w:trHeight w:val="342"/>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D20582" w:rsidRPr="00D20582" w:rsidRDefault="00D20582" w:rsidP="00D20582">
            <w:pPr>
              <w:spacing w:after="0" w:line="240" w:lineRule="auto"/>
              <w:jc w:val="left"/>
              <w:rPr>
                <w:rFonts w:cs="Arial"/>
                <w:color w:val="3E5B00"/>
                <w:sz w:val="18"/>
                <w:szCs w:val="18"/>
                <w:lang w:eastAsia="en-AU"/>
              </w:rPr>
            </w:pPr>
            <w:r w:rsidRPr="00D20582">
              <w:rPr>
                <w:rFonts w:cs="Arial"/>
                <w:color w:val="3E5B00"/>
                <w:sz w:val="18"/>
                <w:szCs w:val="18"/>
                <w:lang w:eastAsia="en-AU"/>
              </w:rPr>
              <w:t xml:space="preserve">Secondary, </w:t>
            </w:r>
            <w:proofErr w:type="spellStart"/>
            <w:r w:rsidRPr="00D20582">
              <w:rPr>
                <w:rFonts w:cs="Arial"/>
                <w:color w:val="3E5B00"/>
                <w:sz w:val="18"/>
                <w:szCs w:val="18"/>
                <w:lang w:eastAsia="en-AU"/>
              </w:rPr>
              <w:t>SoA</w:t>
            </w:r>
            <w:proofErr w:type="spellEnd"/>
            <w:r w:rsidRPr="00D20582">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2,200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2,600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3,400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4,900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 xml:space="preserve">10,300 </w:t>
            </w:r>
          </w:p>
        </w:tc>
        <w:tc>
          <w:tcPr>
            <w:tcW w:w="1120" w:type="dxa"/>
            <w:tcBorders>
              <w:top w:val="nil"/>
              <w:left w:val="nil"/>
              <w:bottom w:val="single" w:sz="4" w:space="0" w:color="5E8A00"/>
              <w:right w:val="single" w:sz="4" w:space="0" w:color="5E8A00"/>
            </w:tcBorders>
            <w:shd w:val="clear" w:color="auto" w:fill="auto"/>
            <w:noWrap/>
            <w:vAlign w:val="center"/>
            <w:hideMark/>
          </w:tcPr>
          <w:p w:rsidR="00D20582" w:rsidRPr="00D20582" w:rsidRDefault="00D20582" w:rsidP="00D20582">
            <w:pPr>
              <w:spacing w:after="0" w:line="240" w:lineRule="auto"/>
              <w:jc w:val="right"/>
              <w:rPr>
                <w:rFonts w:cs="Arial"/>
                <w:sz w:val="18"/>
                <w:szCs w:val="18"/>
                <w:lang w:eastAsia="en-AU"/>
              </w:rPr>
            </w:pPr>
            <w:r w:rsidRPr="00D20582">
              <w:rPr>
                <w:rFonts w:cs="Arial"/>
                <w:sz w:val="18"/>
                <w:szCs w:val="18"/>
                <w:lang w:eastAsia="en-AU"/>
              </w:rPr>
              <w:t>359%</w:t>
            </w:r>
          </w:p>
        </w:tc>
      </w:tr>
      <w:tr w:rsidR="00D20582" w:rsidRPr="00D20582" w:rsidTr="00D20582">
        <w:trPr>
          <w:trHeight w:val="342"/>
        </w:trPr>
        <w:tc>
          <w:tcPr>
            <w:tcW w:w="2800" w:type="dxa"/>
            <w:tcBorders>
              <w:top w:val="nil"/>
              <w:left w:val="single" w:sz="4" w:space="0" w:color="5E8A00"/>
              <w:bottom w:val="nil"/>
              <w:right w:val="single" w:sz="4" w:space="0" w:color="5E8A00"/>
            </w:tcBorders>
            <w:shd w:val="clear" w:color="000000" w:fill="5E8A00"/>
            <w:noWrap/>
            <w:vAlign w:val="bottom"/>
            <w:hideMark/>
          </w:tcPr>
          <w:p w:rsidR="00D20582" w:rsidRPr="00D20582" w:rsidRDefault="00D20582" w:rsidP="00D20582">
            <w:pPr>
              <w:spacing w:after="0" w:line="240" w:lineRule="auto"/>
              <w:jc w:val="left"/>
              <w:rPr>
                <w:rFonts w:cs="Arial"/>
                <w:b/>
                <w:bCs/>
                <w:color w:val="FFFFFF"/>
                <w:sz w:val="18"/>
                <w:szCs w:val="18"/>
                <w:lang w:eastAsia="en-AU"/>
              </w:rPr>
            </w:pPr>
            <w:r w:rsidRPr="00D20582">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xml:space="preserve">30,900 </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xml:space="preserve">27,900 </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xml:space="preserve">30,700 </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xml:space="preserve">53,900 </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 xml:space="preserve">118,500 </w:t>
            </w:r>
          </w:p>
        </w:tc>
        <w:tc>
          <w:tcPr>
            <w:tcW w:w="1120" w:type="dxa"/>
            <w:tcBorders>
              <w:top w:val="nil"/>
              <w:left w:val="nil"/>
              <w:bottom w:val="nil"/>
              <w:right w:val="single" w:sz="4" w:space="0" w:color="5E8A00"/>
            </w:tcBorders>
            <w:shd w:val="clear" w:color="000000" w:fill="5E8A00"/>
            <w:noWrap/>
            <w:vAlign w:val="center"/>
            <w:hideMark/>
          </w:tcPr>
          <w:p w:rsidR="00D20582" w:rsidRPr="00D20582" w:rsidRDefault="00D20582" w:rsidP="00D20582">
            <w:pPr>
              <w:spacing w:after="0" w:line="240" w:lineRule="auto"/>
              <w:jc w:val="right"/>
              <w:rPr>
                <w:rFonts w:cs="Arial"/>
                <w:b/>
                <w:bCs/>
                <w:color w:val="FFFFFF"/>
                <w:sz w:val="18"/>
                <w:szCs w:val="18"/>
                <w:lang w:eastAsia="en-AU"/>
              </w:rPr>
            </w:pPr>
            <w:r w:rsidRPr="00D20582">
              <w:rPr>
                <w:rFonts w:cs="Arial"/>
                <w:b/>
                <w:bCs/>
                <w:color w:val="FFFFFF"/>
                <w:sz w:val="18"/>
                <w:szCs w:val="18"/>
                <w:lang w:eastAsia="en-AU"/>
              </w:rPr>
              <w:t>283%</w:t>
            </w:r>
          </w:p>
        </w:tc>
      </w:tr>
    </w:tbl>
    <w:p w:rsidR="00D20582" w:rsidRPr="002324B6" w:rsidRDefault="00D20582" w:rsidP="00D20582">
      <w:pPr>
        <w:spacing w:after="0"/>
        <w:rPr>
          <w:noProof/>
          <w:sz w:val="16"/>
          <w:szCs w:val="16"/>
          <w:lang w:eastAsia="en-AU"/>
        </w:rPr>
      </w:pPr>
      <w:r w:rsidRPr="002324B6">
        <w:rPr>
          <w:noProof/>
          <w:sz w:val="16"/>
          <w:szCs w:val="16"/>
          <w:lang w:eastAsia="en-AU"/>
        </w:rPr>
        <w:t>SoA – Statement of Attainment.</w:t>
      </w:r>
    </w:p>
    <w:p w:rsidR="00D20582" w:rsidRDefault="00D20582" w:rsidP="00D20582"/>
    <w:p w:rsidR="00D827F6" w:rsidRDefault="00D827F6" w:rsidP="004F6E0C">
      <w:pPr>
        <w:pStyle w:val="Caption"/>
        <w:spacing w:after="0"/>
        <w:jc w:val="left"/>
      </w:pPr>
      <w:r w:rsidRPr="001F29E3">
        <w:t>Table 1.</w:t>
      </w:r>
      <w:r w:rsidR="00EA5ABC">
        <w:t>5</w:t>
      </w:r>
      <w:r>
        <w:t>.2</w:t>
      </w:r>
      <w:r w:rsidRPr="001F29E3">
        <w:t xml:space="preserve">: Government subsidised enrolments </w:t>
      </w:r>
      <w:r>
        <w:t xml:space="preserve">(Foundation) </w:t>
      </w:r>
      <w:r w:rsidRPr="001F29E3">
        <w:t>by qualification level, Q</w:t>
      </w:r>
      <w:r w:rsidR="00BC20F8">
        <w:t>3</w:t>
      </w:r>
      <w:r w:rsidRPr="001F29E3">
        <w:t xml:space="preserve"> 201</w:t>
      </w:r>
      <w:r>
        <w:t>1, Q</w:t>
      </w:r>
      <w:r w:rsidR="00BC20F8">
        <w:t>3</w:t>
      </w:r>
      <w:r>
        <w:t xml:space="preserve"> 2012</w:t>
      </w:r>
      <w:r w:rsidRPr="001F29E3">
        <w:t xml:space="preserve"> </w:t>
      </w:r>
      <w:r w:rsidR="004F6E0C">
        <w:br/>
      </w:r>
      <w:r w:rsidRPr="001F29E3">
        <w:t>and Q</w:t>
      </w:r>
      <w:r w:rsidR="00BC20F8">
        <w:t>3</w:t>
      </w:r>
      <w:r w:rsidRPr="001F29E3">
        <w:t xml:space="preserve"> 2013</w:t>
      </w:r>
    </w:p>
    <w:tbl>
      <w:tblPr>
        <w:tblW w:w="8794" w:type="dxa"/>
        <w:tblInd w:w="103" w:type="dxa"/>
        <w:tblLayout w:type="fixed"/>
        <w:tblLook w:val="04A0" w:firstRow="1" w:lastRow="0" w:firstColumn="1" w:lastColumn="0" w:noHBand="0" w:noVBand="1"/>
      </w:tblPr>
      <w:tblGrid>
        <w:gridCol w:w="2800"/>
        <w:gridCol w:w="1120"/>
        <w:gridCol w:w="1120"/>
        <w:gridCol w:w="1120"/>
        <w:gridCol w:w="1317"/>
        <w:gridCol w:w="1317"/>
      </w:tblGrid>
      <w:tr w:rsidR="00BC20F8" w:rsidRPr="00BC20F8" w:rsidTr="00BC20F8">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BC20F8" w:rsidRPr="00BC20F8" w:rsidRDefault="00BC20F8" w:rsidP="00BC20F8">
            <w:pPr>
              <w:spacing w:after="0" w:line="240" w:lineRule="auto"/>
              <w:jc w:val="left"/>
              <w:rPr>
                <w:rFonts w:cs="Arial"/>
                <w:b/>
                <w:bCs/>
                <w:color w:val="FFFFFF"/>
                <w:sz w:val="18"/>
                <w:szCs w:val="18"/>
                <w:lang w:eastAsia="en-AU"/>
              </w:rPr>
            </w:pPr>
            <w:r w:rsidRPr="00BC20F8">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Q3 2013</w:t>
            </w:r>
          </w:p>
        </w:tc>
        <w:tc>
          <w:tcPr>
            <w:tcW w:w="1317"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 change</w:t>
            </w:r>
            <w:r w:rsidRPr="00BC20F8">
              <w:rPr>
                <w:rFonts w:cs="Arial"/>
                <w:b/>
                <w:bCs/>
                <w:color w:val="FFFFFF"/>
                <w:sz w:val="18"/>
                <w:szCs w:val="18"/>
                <w:lang w:eastAsia="en-AU"/>
              </w:rPr>
              <w:br/>
              <w:t>Q3 2011-Q3 2013 </w:t>
            </w:r>
          </w:p>
        </w:tc>
        <w:tc>
          <w:tcPr>
            <w:tcW w:w="1317" w:type="dxa"/>
            <w:tcBorders>
              <w:top w:val="single" w:sz="4" w:space="0" w:color="5E8A00"/>
              <w:left w:val="nil"/>
              <w:bottom w:val="single" w:sz="4" w:space="0" w:color="5E8A00"/>
              <w:right w:val="single" w:sz="4" w:space="0" w:color="5E8A00"/>
            </w:tcBorders>
            <w:shd w:val="clear" w:color="000000" w:fill="5E8A00"/>
            <w:vAlign w:val="center"/>
            <w:hideMark/>
          </w:tcPr>
          <w:p w:rsidR="00BC20F8" w:rsidRPr="00BC20F8" w:rsidRDefault="00BC20F8" w:rsidP="00BC20F8">
            <w:pPr>
              <w:spacing w:after="0" w:line="240" w:lineRule="auto"/>
              <w:ind w:firstLineChars="100" w:firstLine="181"/>
              <w:jc w:val="right"/>
              <w:rPr>
                <w:rFonts w:cs="Arial"/>
                <w:b/>
                <w:bCs/>
                <w:color w:val="FFFFFF"/>
                <w:sz w:val="18"/>
                <w:szCs w:val="18"/>
                <w:lang w:eastAsia="en-AU"/>
              </w:rPr>
            </w:pPr>
            <w:r w:rsidRPr="00BC20F8">
              <w:rPr>
                <w:rFonts w:cs="Arial"/>
                <w:b/>
                <w:bCs/>
                <w:color w:val="FFFFFF"/>
                <w:sz w:val="18"/>
                <w:szCs w:val="18"/>
                <w:lang w:eastAsia="en-AU"/>
              </w:rPr>
              <w:t>% change</w:t>
            </w:r>
            <w:r w:rsidRPr="00BC20F8">
              <w:rPr>
                <w:rFonts w:cs="Arial"/>
                <w:b/>
                <w:bCs/>
                <w:color w:val="FFFFFF"/>
                <w:sz w:val="18"/>
                <w:szCs w:val="18"/>
                <w:lang w:eastAsia="en-AU"/>
              </w:rPr>
              <w:br/>
              <w:t>Q3 2012-Q3 2013</w:t>
            </w:r>
          </w:p>
        </w:tc>
      </w:tr>
      <w:tr w:rsidR="00BC20F8" w:rsidRPr="00BC20F8" w:rsidTr="00BC20F8">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31,800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76,600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110,400 </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248%</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44%</w:t>
            </w:r>
          </w:p>
        </w:tc>
      </w:tr>
      <w:tr w:rsidR="00BC20F8" w:rsidRPr="00BC20F8" w:rsidTr="00BC20F8">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8,400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14,400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18,600 </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122%</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29%</w:t>
            </w:r>
          </w:p>
        </w:tc>
      </w:tr>
      <w:tr w:rsidR="00BC20F8" w:rsidRPr="00BC20F8" w:rsidTr="00BC20F8">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BC20F8" w:rsidRPr="00BC20F8" w:rsidRDefault="00BC20F8" w:rsidP="00BC20F8">
            <w:pPr>
              <w:spacing w:after="0" w:line="240" w:lineRule="auto"/>
              <w:jc w:val="left"/>
              <w:rPr>
                <w:rFonts w:cs="Arial"/>
                <w:color w:val="3E5B00"/>
                <w:sz w:val="18"/>
                <w:szCs w:val="18"/>
                <w:lang w:eastAsia="en-AU"/>
              </w:rPr>
            </w:pPr>
            <w:r w:rsidRPr="00BC20F8">
              <w:rPr>
                <w:rFonts w:cs="Arial"/>
                <w:color w:val="3E5B00"/>
                <w:sz w:val="18"/>
                <w:szCs w:val="18"/>
                <w:lang w:eastAsia="en-AU"/>
              </w:rPr>
              <w:t xml:space="preserve">Secondary, </w:t>
            </w:r>
            <w:proofErr w:type="spellStart"/>
            <w:r w:rsidRPr="00BC20F8">
              <w:rPr>
                <w:rFonts w:cs="Arial"/>
                <w:color w:val="3E5B00"/>
                <w:sz w:val="18"/>
                <w:szCs w:val="18"/>
                <w:lang w:eastAsia="en-AU"/>
              </w:rPr>
              <w:t>SoA</w:t>
            </w:r>
            <w:proofErr w:type="spellEnd"/>
            <w:r w:rsidRPr="00BC20F8">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4,000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8,900 </w:t>
            </w:r>
          </w:p>
        </w:tc>
        <w:tc>
          <w:tcPr>
            <w:tcW w:w="1120"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 xml:space="preserve">7,200 </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78%</w:t>
            </w:r>
          </w:p>
        </w:tc>
        <w:tc>
          <w:tcPr>
            <w:tcW w:w="1317" w:type="dxa"/>
            <w:tcBorders>
              <w:top w:val="nil"/>
              <w:left w:val="nil"/>
              <w:bottom w:val="single" w:sz="4" w:space="0" w:color="5E8A00"/>
              <w:right w:val="single" w:sz="4" w:space="0" w:color="5E8A00"/>
            </w:tcBorders>
            <w:shd w:val="clear" w:color="auto" w:fill="auto"/>
            <w:noWrap/>
            <w:vAlign w:val="center"/>
            <w:hideMark/>
          </w:tcPr>
          <w:p w:rsidR="00BC20F8" w:rsidRPr="00BC20F8" w:rsidRDefault="00BC20F8" w:rsidP="00BC20F8">
            <w:pPr>
              <w:spacing w:after="0" w:line="240" w:lineRule="auto"/>
              <w:jc w:val="right"/>
              <w:rPr>
                <w:rFonts w:cs="Arial"/>
                <w:sz w:val="18"/>
                <w:szCs w:val="18"/>
                <w:lang w:eastAsia="en-AU"/>
              </w:rPr>
            </w:pPr>
            <w:r w:rsidRPr="00BC20F8">
              <w:rPr>
                <w:rFonts w:cs="Arial"/>
                <w:sz w:val="18"/>
                <w:szCs w:val="18"/>
                <w:lang w:eastAsia="en-AU"/>
              </w:rPr>
              <w:t>-20%</w:t>
            </w:r>
          </w:p>
        </w:tc>
      </w:tr>
      <w:tr w:rsidR="00BC20F8" w:rsidRPr="00BC20F8" w:rsidTr="00BC20F8">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BC20F8" w:rsidRPr="00BC20F8" w:rsidRDefault="00BC20F8" w:rsidP="00BC20F8">
            <w:pPr>
              <w:spacing w:after="0" w:line="240" w:lineRule="auto"/>
              <w:jc w:val="left"/>
              <w:rPr>
                <w:rFonts w:cs="Arial"/>
                <w:b/>
                <w:bCs/>
                <w:color w:val="FFFFFF"/>
                <w:sz w:val="18"/>
                <w:szCs w:val="18"/>
                <w:lang w:eastAsia="en-AU"/>
              </w:rPr>
            </w:pPr>
            <w:r w:rsidRPr="00BC20F8">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44,100 </w:t>
            </w:r>
          </w:p>
        </w:tc>
        <w:tc>
          <w:tcPr>
            <w:tcW w:w="1120"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99,900 </w:t>
            </w:r>
          </w:p>
        </w:tc>
        <w:tc>
          <w:tcPr>
            <w:tcW w:w="1120"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 xml:space="preserve">136,200 </w:t>
            </w:r>
          </w:p>
        </w:tc>
        <w:tc>
          <w:tcPr>
            <w:tcW w:w="1317"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209%</w:t>
            </w:r>
          </w:p>
        </w:tc>
        <w:tc>
          <w:tcPr>
            <w:tcW w:w="1317" w:type="dxa"/>
            <w:tcBorders>
              <w:top w:val="nil"/>
              <w:left w:val="nil"/>
              <w:bottom w:val="nil"/>
              <w:right w:val="single" w:sz="4" w:space="0" w:color="5E8A00"/>
            </w:tcBorders>
            <w:shd w:val="clear" w:color="000000" w:fill="5E8A00"/>
            <w:noWrap/>
            <w:vAlign w:val="center"/>
            <w:hideMark/>
          </w:tcPr>
          <w:p w:rsidR="00BC20F8" w:rsidRPr="00BC20F8" w:rsidRDefault="00BC20F8" w:rsidP="00BC20F8">
            <w:pPr>
              <w:spacing w:after="0" w:line="240" w:lineRule="auto"/>
              <w:jc w:val="right"/>
              <w:rPr>
                <w:rFonts w:cs="Arial"/>
                <w:b/>
                <w:bCs/>
                <w:color w:val="FFFFFF"/>
                <w:sz w:val="18"/>
                <w:szCs w:val="18"/>
                <w:lang w:eastAsia="en-AU"/>
              </w:rPr>
            </w:pPr>
            <w:r w:rsidRPr="00BC20F8">
              <w:rPr>
                <w:rFonts w:cs="Arial"/>
                <w:b/>
                <w:bCs/>
                <w:color w:val="FFFFFF"/>
                <w:sz w:val="18"/>
                <w:szCs w:val="18"/>
                <w:lang w:eastAsia="en-AU"/>
              </w:rPr>
              <w:t>36%</w:t>
            </w:r>
          </w:p>
        </w:tc>
      </w:tr>
    </w:tbl>
    <w:p w:rsidR="00E2616D" w:rsidRPr="001F29E3" w:rsidRDefault="00D827F6" w:rsidP="00D168D3">
      <w:r w:rsidRPr="002324B6">
        <w:rPr>
          <w:noProof/>
          <w:sz w:val="16"/>
          <w:szCs w:val="16"/>
          <w:lang w:eastAsia="en-AU"/>
        </w:rPr>
        <w:t>SoA – Statement of Attainment.</w:t>
      </w:r>
      <w:r w:rsidR="00BC23CB" w:rsidRPr="001F29E3">
        <w:t xml:space="preserve"> </w:t>
      </w:r>
    </w:p>
    <w:p w:rsidR="00351166" w:rsidRPr="001F29E3" w:rsidRDefault="00351166" w:rsidP="00A9260A">
      <w:pPr>
        <w:pStyle w:val="Heading3"/>
      </w:pPr>
      <w:r w:rsidRPr="001F29E3">
        <w:br w:type="page"/>
      </w:r>
      <w:r w:rsidRPr="001F29E3">
        <w:lastRenderedPageBreak/>
        <w:t xml:space="preserve">TAFE Domestic </w:t>
      </w:r>
      <w:r w:rsidR="00362E51" w:rsidRPr="001F29E3">
        <w:t>Fee for Service</w:t>
      </w:r>
      <w:r w:rsidRPr="001F29E3">
        <w:t xml:space="preserve"> Enrolments</w:t>
      </w:r>
    </w:p>
    <w:p w:rsidR="00351166" w:rsidRDefault="00351166" w:rsidP="00A9260A">
      <w:pPr>
        <w:pStyle w:val="Caption"/>
        <w:rPr>
          <w:rFonts w:cs="Arial"/>
        </w:rPr>
      </w:pPr>
    </w:p>
    <w:tbl>
      <w:tblPr>
        <w:tblStyle w:val="TableGrid"/>
        <w:tblW w:w="9288"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Caption w:val="Key Points"/>
        <w:tblDescription w:val="Key Points&#10;Proportionally, enrolments in Certificate III-IV (non-Foundation) were the largest qualification group amongst TAFE domestic fee for service enrolments at Australian Qualification Framework Level 1 and above courses."/>
      </w:tblPr>
      <w:tblGrid>
        <w:gridCol w:w="9288"/>
      </w:tblGrid>
      <w:tr w:rsidR="001C1759" w:rsidRPr="006332D3" w:rsidTr="008825B1">
        <w:trPr>
          <w:tblHeader/>
        </w:trPr>
        <w:tc>
          <w:tcPr>
            <w:tcW w:w="9288" w:type="dxa"/>
          </w:tcPr>
          <w:p w:rsidR="001C1759" w:rsidRDefault="001C1759" w:rsidP="001C1759">
            <w:pPr>
              <w:pStyle w:val="Heading3"/>
              <w:jc w:val="left"/>
              <w:outlineLvl w:val="2"/>
            </w:pPr>
            <w:r w:rsidRPr="006332D3">
              <w:t>Key Points</w:t>
            </w:r>
          </w:p>
          <w:p w:rsidR="00D168D3" w:rsidRPr="00D168D3" w:rsidRDefault="00D168D3" w:rsidP="00D168D3"/>
          <w:p w:rsidR="001C1759" w:rsidRPr="002D4D82" w:rsidRDefault="001C1759" w:rsidP="00D17AF1">
            <w:pPr>
              <w:pStyle w:val="ListBullet"/>
              <w:numPr>
                <w:ilvl w:val="0"/>
                <w:numId w:val="13"/>
              </w:numPr>
              <w:ind w:left="397" w:right="113" w:hanging="284"/>
              <w:rPr>
                <w:rFonts w:cs="Arial"/>
              </w:rPr>
            </w:pPr>
            <w:r w:rsidRPr="00535B58">
              <w:rPr>
                <w:rFonts w:cs="Arial"/>
              </w:rPr>
              <w:t xml:space="preserve">Proportionally, </w:t>
            </w:r>
            <w:r w:rsidR="00F604D5">
              <w:rPr>
                <w:rFonts w:cs="Arial"/>
              </w:rPr>
              <w:t xml:space="preserve">enrolments in </w:t>
            </w:r>
            <w:r w:rsidR="0052721E">
              <w:rPr>
                <w:rFonts w:cs="Arial"/>
              </w:rPr>
              <w:t>C</w:t>
            </w:r>
            <w:r w:rsidRPr="00535B58">
              <w:rPr>
                <w:rFonts w:cs="Arial"/>
              </w:rPr>
              <w:t xml:space="preserve">ertificate </w:t>
            </w:r>
            <w:r w:rsidR="000C7EFC">
              <w:rPr>
                <w:rFonts w:cs="Arial"/>
              </w:rPr>
              <w:t>III-IV</w:t>
            </w:r>
            <w:r w:rsidRPr="00535B58">
              <w:rPr>
                <w:rFonts w:cs="Arial"/>
              </w:rPr>
              <w:t xml:space="preserve"> </w:t>
            </w:r>
            <w:r w:rsidR="002D4D82">
              <w:rPr>
                <w:rFonts w:cs="Arial"/>
              </w:rPr>
              <w:t>(non-Foundation) were</w:t>
            </w:r>
            <w:r w:rsidRPr="00535B58">
              <w:rPr>
                <w:rFonts w:cs="Arial"/>
              </w:rPr>
              <w:t xml:space="preserve"> the largest qualification group </w:t>
            </w:r>
            <w:r>
              <w:rPr>
                <w:rFonts w:cs="Arial"/>
              </w:rPr>
              <w:t xml:space="preserve">amongst TAFE domestic fee for service enrolments </w:t>
            </w:r>
            <w:r w:rsidR="00D17AF1">
              <w:rPr>
                <w:rFonts w:cs="Arial"/>
              </w:rPr>
              <w:t xml:space="preserve">at </w:t>
            </w:r>
            <w:r w:rsidRPr="00535B58">
              <w:rPr>
                <w:rFonts w:cs="Arial"/>
              </w:rPr>
              <w:t xml:space="preserve">Australian </w:t>
            </w:r>
            <w:r>
              <w:rPr>
                <w:rFonts w:cs="Arial"/>
              </w:rPr>
              <w:t xml:space="preserve">Qualification Framework </w:t>
            </w:r>
            <w:r w:rsidR="00D17AF1">
              <w:rPr>
                <w:rFonts w:cs="Arial"/>
              </w:rPr>
              <w:t xml:space="preserve">Level 1 and above </w:t>
            </w:r>
            <w:r>
              <w:rPr>
                <w:rFonts w:cs="Arial"/>
              </w:rPr>
              <w:t>courses</w:t>
            </w:r>
            <w:r w:rsidR="00F604D5">
              <w:rPr>
                <w:rFonts w:cs="Arial"/>
              </w:rPr>
              <w:t>.</w:t>
            </w:r>
          </w:p>
        </w:tc>
      </w:tr>
    </w:tbl>
    <w:p w:rsidR="001C1759" w:rsidRDefault="001C1759" w:rsidP="001C1759"/>
    <w:p w:rsidR="00351166" w:rsidRDefault="00351166" w:rsidP="002F7717">
      <w:pPr>
        <w:pStyle w:val="Caption"/>
        <w:spacing w:after="0"/>
        <w:jc w:val="left"/>
        <w:rPr>
          <w:rFonts w:cs="Arial"/>
        </w:rPr>
      </w:pPr>
      <w:r w:rsidRPr="001F29E3">
        <w:rPr>
          <w:rFonts w:cs="Arial"/>
        </w:rPr>
        <w:t>Table 1.</w:t>
      </w:r>
      <w:r w:rsidR="00EA5ABC">
        <w:rPr>
          <w:rFonts w:cs="Arial"/>
        </w:rPr>
        <w:t>6</w:t>
      </w:r>
      <w:r w:rsidR="006D4F92">
        <w:rPr>
          <w:rFonts w:cs="Arial"/>
        </w:rPr>
        <w:t>.1</w:t>
      </w:r>
      <w:r w:rsidRPr="001F29E3">
        <w:rPr>
          <w:rFonts w:cs="Arial"/>
        </w:rPr>
        <w:t xml:space="preserve">: TAFE domestic </w:t>
      </w:r>
      <w:r w:rsidR="00221A72" w:rsidRPr="001F29E3">
        <w:rPr>
          <w:rFonts w:cs="Arial"/>
        </w:rPr>
        <w:t>f</w:t>
      </w:r>
      <w:r w:rsidR="00362E51" w:rsidRPr="001F29E3">
        <w:rPr>
          <w:rFonts w:cs="Arial"/>
        </w:rPr>
        <w:t xml:space="preserve">ee for </w:t>
      </w:r>
      <w:r w:rsidR="00221A72" w:rsidRPr="001F29E3">
        <w:rPr>
          <w:rFonts w:cs="Arial"/>
        </w:rPr>
        <w:t>s</w:t>
      </w:r>
      <w:r w:rsidR="00362E51" w:rsidRPr="001F29E3">
        <w:rPr>
          <w:rFonts w:cs="Arial"/>
        </w:rPr>
        <w:t>ervice</w:t>
      </w:r>
      <w:r w:rsidRPr="001F29E3">
        <w:rPr>
          <w:rFonts w:cs="Arial"/>
        </w:rPr>
        <w:t xml:space="preserve"> enrolments </w:t>
      </w:r>
      <w:r w:rsidR="00147BA5">
        <w:rPr>
          <w:rFonts w:cs="Arial"/>
        </w:rPr>
        <w:t xml:space="preserve">(non-Foundation) </w:t>
      </w:r>
      <w:r w:rsidRPr="001F29E3">
        <w:rPr>
          <w:rFonts w:cs="Arial"/>
        </w:rPr>
        <w:t>by qualification level (AQF1+), 2008–2012</w:t>
      </w:r>
    </w:p>
    <w:tbl>
      <w:tblPr>
        <w:tblW w:w="9361" w:type="dxa"/>
        <w:tblInd w:w="103" w:type="dxa"/>
        <w:tblLayout w:type="fixed"/>
        <w:tblLook w:val="04A0" w:firstRow="1" w:lastRow="0" w:firstColumn="1" w:lastColumn="0" w:noHBand="0" w:noVBand="1"/>
      </w:tblPr>
      <w:tblGrid>
        <w:gridCol w:w="2982"/>
        <w:gridCol w:w="1049"/>
        <w:gridCol w:w="1049"/>
        <w:gridCol w:w="1049"/>
        <w:gridCol w:w="1049"/>
        <w:gridCol w:w="1049"/>
        <w:gridCol w:w="1134"/>
      </w:tblGrid>
      <w:tr w:rsidR="00147BA5" w:rsidRPr="00147BA5" w:rsidTr="007D6CEB">
        <w:trPr>
          <w:trHeight w:val="762"/>
        </w:trPr>
        <w:tc>
          <w:tcPr>
            <w:tcW w:w="298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147BA5" w:rsidRPr="00147BA5" w:rsidRDefault="00147BA5" w:rsidP="00147BA5">
            <w:pPr>
              <w:spacing w:after="0" w:line="240" w:lineRule="auto"/>
              <w:jc w:val="left"/>
              <w:rPr>
                <w:rFonts w:cs="Arial"/>
                <w:b/>
                <w:bCs/>
                <w:color w:val="FFFFFF"/>
                <w:sz w:val="18"/>
                <w:szCs w:val="18"/>
                <w:lang w:eastAsia="en-AU"/>
              </w:rPr>
            </w:pPr>
            <w:r w:rsidRPr="00147BA5">
              <w:rPr>
                <w:rFonts w:cs="Arial"/>
                <w:b/>
                <w:bCs/>
                <w:color w:val="FFFFFF"/>
                <w:sz w:val="18"/>
                <w:szCs w:val="18"/>
                <w:lang w:eastAsia="en-AU"/>
              </w:rPr>
              <w:t>Qualification level</w:t>
            </w:r>
          </w:p>
        </w:tc>
        <w:tc>
          <w:tcPr>
            <w:tcW w:w="1049"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F034AF">
            <w:pPr>
              <w:spacing w:after="0" w:line="240" w:lineRule="auto"/>
              <w:ind w:firstLineChars="100" w:firstLine="181"/>
              <w:jc w:val="right"/>
              <w:rPr>
                <w:rFonts w:cs="Arial"/>
                <w:b/>
                <w:bCs/>
                <w:color w:val="FFFFFF"/>
                <w:sz w:val="18"/>
                <w:szCs w:val="18"/>
                <w:lang w:eastAsia="en-AU"/>
              </w:rPr>
            </w:pPr>
            <w:r w:rsidRPr="00147BA5">
              <w:rPr>
                <w:rFonts w:cs="Arial"/>
                <w:b/>
                <w:bCs/>
                <w:color w:val="FFFFFF"/>
                <w:sz w:val="18"/>
                <w:szCs w:val="18"/>
                <w:lang w:eastAsia="en-AU"/>
              </w:rPr>
              <w:t>2008</w:t>
            </w:r>
          </w:p>
        </w:tc>
        <w:tc>
          <w:tcPr>
            <w:tcW w:w="1049"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F034AF">
            <w:pPr>
              <w:spacing w:after="0" w:line="240" w:lineRule="auto"/>
              <w:ind w:firstLineChars="100" w:firstLine="181"/>
              <w:jc w:val="right"/>
              <w:rPr>
                <w:rFonts w:cs="Arial"/>
                <w:b/>
                <w:bCs/>
                <w:color w:val="FFFFFF"/>
                <w:sz w:val="18"/>
                <w:szCs w:val="18"/>
                <w:lang w:eastAsia="en-AU"/>
              </w:rPr>
            </w:pPr>
            <w:r w:rsidRPr="00147BA5">
              <w:rPr>
                <w:rFonts w:cs="Arial"/>
                <w:b/>
                <w:bCs/>
                <w:color w:val="FFFFFF"/>
                <w:sz w:val="18"/>
                <w:szCs w:val="18"/>
                <w:lang w:eastAsia="en-AU"/>
              </w:rPr>
              <w:t>2009</w:t>
            </w:r>
          </w:p>
        </w:tc>
        <w:tc>
          <w:tcPr>
            <w:tcW w:w="1049"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F034AF">
            <w:pPr>
              <w:spacing w:after="0" w:line="240" w:lineRule="auto"/>
              <w:ind w:firstLineChars="100" w:firstLine="181"/>
              <w:jc w:val="right"/>
              <w:rPr>
                <w:rFonts w:cs="Arial"/>
                <w:b/>
                <w:bCs/>
                <w:color w:val="FFFFFF"/>
                <w:sz w:val="18"/>
                <w:szCs w:val="18"/>
                <w:lang w:eastAsia="en-AU"/>
              </w:rPr>
            </w:pPr>
            <w:r w:rsidRPr="00147BA5">
              <w:rPr>
                <w:rFonts w:cs="Arial"/>
                <w:b/>
                <w:bCs/>
                <w:color w:val="FFFFFF"/>
                <w:sz w:val="18"/>
                <w:szCs w:val="18"/>
                <w:lang w:eastAsia="en-AU"/>
              </w:rPr>
              <w:t>2010</w:t>
            </w:r>
          </w:p>
        </w:tc>
        <w:tc>
          <w:tcPr>
            <w:tcW w:w="1049"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F034AF">
            <w:pPr>
              <w:spacing w:after="0" w:line="240" w:lineRule="auto"/>
              <w:ind w:firstLineChars="100" w:firstLine="181"/>
              <w:jc w:val="right"/>
              <w:rPr>
                <w:rFonts w:cs="Arial"/>
                <w:b/>
                <w:bCs/>
                <w:color w:val="FFFFFF"/>
                <w:sz w:val="18"/>
                <w:szCs w:val="18"/>
                <w:lang w:eastAsia="en-AU"/>
              </w:rPr>
            </w:pPr>
            <w:r w:rsidRPr="00147BA5">
              <w:rPr>
                <w:rFonts w:cs="Arial"/>
                <w:b/>
                <w:bCs/>
                <w:color w:val="FFFFFF"/>
                <w:sz w:val="18"/>
                <w:szCs w:val="18"/>
                <w:lang w:eastAsia="en-AU"/>
              </w:rPr>
              <w:t>2011</w:t>
            </w:r>
          </w:p>
        </w:tc>
        <w:tc>
          <w:tcPr>
            <w:tcW w:w="1049"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F034AF">
            <w:pPr>
              <w:spacing w:after="0" w:line="240" w:lineRule="auto"/>
              <w:ind w:firstLineChars="100" w:firstLine="181"/>
              <w:jc w:val="right"/>
              <w:rPr>
                <w:rFonts w:cs="Arial"/>
                <w:b/>
                <w:bCs/>
                <w:color w:val="FFFFFF"/>
                <w:sz w:val="18"/>
                <w:szCs w:val="18"/>
                <w:lang w:eastAsia="en-AU"/>
              </w:rPr>
            </w:pPr>
            <w:r w:rsidRPr="00147BA5">
              <w:rPr>
                <w:rFonts w:cs="Arial"/>
                <w:b/>
                <w:bCs/>
                <w:color w:val="FFFFFF"/>
                <w:sz w:val="18"/>
                <w:szCs w:val="18"/>
                <w:lang w:eastAsia="en-AU"/>
              </w:rPr>
              <w:t>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change</w:t>
            </w:r>
            <w:r w:rsidRPr="00147BA5">
              <w:rPr>
                <w:rFonts w:cs="Arial"/>
                <w:b/>
                <w:bCs/>
                <w:color w:val="FFFFFF"/>
                <w:sz w:val="18"/>
                <w:szCs w:val="18"/>
                <w:lang w:eastAsia="en-AU"/>
              </w:rPr>
              <w:br/>
              <w:t>2008-2012</w:t>
            </w:r>
          </w:p>
        </w:tc>
      </w:tr>
      <w:tr w:rsidR="00147BA5" w:rsidRPr="00147BA5" w:rsidTr="007D6CEB">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47BA5" w:rsidRPr="00147BA5" w:rsidRDefault="00147BA5" w:rsidP="00147BA5">
            <w:pPr>
              <w:spacing w:after="0" w:line="240" w:lineRule="auto"/>
              <w:jc w:val="left"/>
              <w:rPr>
                <w:rFonts w:cs="Arial"/>
                <w:color w:val="3E5B00"/>
                <w:sz w:val="18"/>
                <w:szCs w:val="18"/>
                <w:lang w:eastAsia="en-AU"/>
              </w:rPr>
            </w:pPr>
            <w:r w:rsidRPr="00147BA5">
              <w:rPr>
                <w:rFonts w:cs="Arial"/>
                <w:color w:val="3E5B00"/>
                <w:sz w:val="18"/>
                <w:szCs w:val="18"/>
                <w:lang w:eastAsia="en-AU"/>
              </w:rPr>
              <w:t>Cert I-II</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33,200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41,200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44,200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43,200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46,300 </w:t>
            </w:r>
          </w:p>
        </w:tc>
        <w:tc>
          <w:tcPr>
            <w:tcW w:w="1134"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39%</w:t>
            </w:r>
          </w:p>
        </w:tc>
      </w:tr>
      <w:tr w:rsidR="00147BA5" w:rsidRPr="00147BA5" w:rsidTr="007D6CEB">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47BA5" w:rsidRPr="00147BA5" w:rsidRDefault="00147BA5" w:rsidP="00147BA5">
            <w:pPr>
              <w:spacing w:after="0" w:line="240" w:lineRule="auto"/>
              <w:jc w:val="left"/>
              <w:rPr>
                <w:rFonts w:cs="Arial"/>
                <w:color w:val="3E5B00"/>
                <w:sz w:val="18"/>
                <w:szCs w:val="18"/>
                <w:lang w:eastAsia="en-AU"/>
              </w:rPr>
            </w:pPr>
            <w:r w:rsidRPr="00147BA5">
              <w:rPr>
                <w:rFonts w:cs="Arial"/>
                <w:color w:val="3E5B00"/>
                <w:sz w:val="18"/>
                <w:szCs w:val="18"/>
                <w:lang w:eastAsia="en-AU"/>
              </w:rPr>
              <w:t>Cert III-IV</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38,300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41,200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40,500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40,900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52,900 </w:t>
            </w:r>
          </w:p>
        </w:tc>
        <w:tc>
          <w:tcPr>
            <w:tcW w:w="1134"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38%</w:t>
            </w:r>
          </w:p>
        </w:tc>
      </w:tr>
      <w:tr w:rsidR="00147BA5" w:rsidRPr="00147BA5" w:rsidTr="007D6CEB">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47BA5" w:rsidRPr="00147BA5" w:rsidRDefault="00147BA5" w:rsidP="00147BA5">
            <w:pPr>
              <w:spacing w:after="0" w:line="240" w:lineRule="auto"/>
              <w:jc w:val="left"/>
              <w:rPr>
                <w:rFonts w:cs="Arial"/>
                <w:color w:val="3E5B00"/>
                <w:sz w:val="18"/>
                <w:szCs w:val="18"/>
                <w:lang w:eastAsia="en-AU"/>
              </w:rPr>
            </w:pPr>
            <w:r w:rsidRPr="00147BA5">
              <w:rPr>
                <w:rFonts w:cs="Arial"/>
                <w:color w:val="3E5B00"/>
                <w:sz w:val="18"/>
                <w:szCs w:val="18"/>
                <w:lang w:eastAsia="en-AU"/>
              </w:rPr>
              <w:t>Diploma &amp; Above</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7,300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8,000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8,300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8,500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10,200 </w:t>
            </w:r>
          </w:p>
        </w:tc>
        <w:tc>
          <w:tcPr>
            <w:tcW w:w="1134"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39%</w:t>
            </w:r>
          </w:p>
        </w:tc>
      </w:tr>
      <w:tr w:rsidR="00147BA5" w:rsidRPr="00147BA5" w:rsidTr="007D6CEB">
        <w:trPr>
          <w:trHeight w:val="342"/>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147BA5" w:rsidRPr="00147BA5" w:rsidRDefault="00147BA5" w:rsidP="00147BA5">
            <w:pPr>
              <w:spacing w:after="0" w:line="240" w:lineRule="auto"/>
              <w:jc w:val="left"/>
              <w:rPr>
                <w:rFonts w:cs="Arial"/>
                <w:color w:val="3E5B00"/>
                <w:sz w:val="18"/>
                <w:szCs w:val="18"/>
                <w:lang w:eastAsia="en-AU"/>
              </w:rPr>
            </w:pPr>
            <w:r w:rsidRPr="00147BA5">
              <w:rPr>
                <w:rFonts w:cs="Arial"/>
                <w:color w:val="3E5B00"/>
                <w:sz w:val="18"/>
                <w:szCs w:val="18"/>
                <w:lang w:eastAsia="en-AU"/>
              </w:rPr>
              <w:t>Higher Education</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750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1,000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1,300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1,400 </w:t>
            </w:r>
          </w:p>
        </w:tc>
        <w:tc>
          <w:tcPr>
            <w:tcW w:w="1049"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 xml:space="preserve">1,600 </w:t>
            </w:r>
          </w:p>
        </w:tc>
        <w:tc>
          <w:tcPr>
            <w:tcW w:w="1134" w:type="dxa"/>
            <w:tcBorders>
              <w:top w:val="nil"/>
              <w:left w:val="nil"/>
              <w:bottom w:val="single" w:sz="4" w:space="0" w:color="5E8A00"/>
              <w:right w:val="single" w:sz="4" w:space="0" w:color="5E8A00"/>
            </w:tcBorders>
            <w:shd w:val="clear" w:color="auto" w:fill="auto"/>
            <w:noWrap/>
            <w:vAlign w:val="center"/>
            <w:hideMark/>
          </w:tcPr>
          <w:p w:rsidR="00147BA5" w:rsidRPr="00147BA5" w:rsidRDefault="00147BA5" w:rsidP="00147BA5">
            <w:pPr>
              <w:spacing w:after="0" w:line="240" w:lineRule="auto"/>
              <w:jc w:val="right"/>
              <w:rPr>
                <w:rFonts w:cs="Arial"/>
                <w:sz w:val="18"/>
                <w:szCs w:val="18"/>
                <w:lang w:eastAsia="en-AU"/>
              </w:rPr>
            </w:pPr>
            <w:r w:rsidRPr="00147BA5">
              <w:rPr>
                <w:rFonts w:cs="Arial"/>
                <w:sz w:val="18"/>
                <w:szCs w:val="18"/>
                <w:lang w:eastAsia="en-AU"/>
              </w:rPr>
              <w:t>118%</w:t>
            </w:r>
          </w:p>
        </w:tc>
      </w:tr>
      <w:tr w:rsidR="00147BA5" w:rsidRPr="00147BA5" w:rsidTr="007D6CEB">
        <w:trPr>
          <w:trHeight w:val="342"/>
        </w:trPr>
        <w:tc>
          <w:tcPr>
            <w:tcW w:w="2982" w:type="dxa"/>
            <w:tcBorders>
              <w:top w:val="nil"/>
              <w:left w:val="single" w:sz="4" w:space="0" w:color="5E8A00"/>
              <w:bottom w:val="nil"/>
              <w:right w:val="single" w:sz="4" w:space="0" w:color="5E8A00"/>
            </w:tcBorders>
            <w:shd w:val="clear" w:color="000000" w:fill="5E8A00"/>
            <w:noWrap/>
            <w:vAlign w:val="bottom"/>
            <w:hideMark/>
          </w:tcPr>
          <w:p w:rsidR="00147BA5" w:rsidRPr="00147BA5" w:rsidRDefault="00147BA5" w:rsidP="00147BA5">
            <w:pPr>
              <w:spacing w:after="0" w:line="240" w:lineRule="auto"/>
              <w:jc w:val="left"/>
              <w:rPr>
                <w:rFonts w:cs="Arial"/>
                <w:b/>
                <w:bCs/>
                <w:color w:val="FFFFFF"/>
                <w:sz w:val="18"/>
                <w:szCs w:val="18"/>
                <w:lang w:eastAsia="en-AU"/>
              </w:rPr>
            </w:pPr>
            <w:r w:rsidRPr="00147BA5">
              <w:rPr>
                <w:rFonts w:cs="Arial"/>
                <w:b/>
                <w:bCs/>
                <w:color w:val="FFFFFF"/>
                <w:sz w:val="18"/>
                <w:szCs w:val="18"/>
                <w:lang w:eastAsia="en-AU"/>
              </w:rPr>
              <w:t>Total (</w:t>
            </w:r>
            <w:proofErr w:type="spellStart"/>
            <w:r w:rsidRPr="00147BA5">
              <w:rPr>
                <w:rFonts w:cs="Arial"/>
                <w:b/>
                <w:bCs/>
                <w:color w:val="FFFFFF"/>
                <w:sz w:val="18"/>
                <w:szCs w:val="18"/>
                <w:lang w:eastAsia="en-AU"/>
              </w:rPr>
              <w:t>excl</w:t>
            </w:r>
            <w:proofErr w:type="spellEnd"/>
            <w:r w:rsidRPr="00147BA5">
              <w:rPr>
                <w:rFonts w:cs="Arial"/>
                <w:b/>
                <w:bCs/>
                <w:color w:val="FFFFFF"/>
                <w:sz w:val="18"/>
                <w:szCs w:val="18"/>
                <w:lang w:eastAsia="en-AU"/>
              </w:rPr>
              <w:t xml:space="preserve"> foundation courses)</w:t>
            </w:r>
          </w:p>
        </w:tc>
        <w:tc>
          <w:tcPr>
            <w:tcW w:w="1049"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xml:space="preserve">79,500 </w:t>
            </w:r>
          </w:p>
        </w:tc>
        <w:tc>
          <w:tcPr>
            <w:tcW w:w="1049"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xml:space="preserve">91,400 </w:t>
            </w:r>
          </w:p>
        </w:tc>
        <w:tc>
          <w:tcPr>
            <w:tcW w:w="1049"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xml:space="preserve">94,300 </w:t>
            </w:r>
          </w:p>
        </w:tc>
        <w:tc>
          <w:tcPr>
            <w:tcW w:w="1049"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xml:space="preserve">94,100 </w:t>
            </w:r>
          </w:p>
        </w:tc>
        <w:tc>
          <w:tcPr>
            <w:tcW w:w="1049"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 xml:space="preserve">110,900 </w:t>
            </w:r>
          </w:p>
        </w:tc>
        <w:tc>
          <w:tcPr>
            <w:tcW w:w="1134" w:type="dxa"/>
            <w:tcBorders>
              <w:top w:val="single" w:sz="4" w:space="0" w:color="5E8A00"/>
              <w:left w:val="nil"/>
              <w:bottom w:val="nil"/>
              <w:right w:val="single" w:sz="4" w:space="0" w:color="5E8A00"/>
            </w:tcBorders>
            <w:shd w:val="clear" w:color="000000" w:fill="5E8A00"/>
            <w:noWrap/>
            <w:vAlign w:val="center"/>
            <w:hideMark/>
          </w:tcPr>
          <w:p w:rsidR="00147BA5" w:rsidRPr="00147BA5" w:rsidRDefault="00147BA5" w:rsidP="00147BA5">
            <w:pPr>
              <w:spacing w:after="0" w:line="240" w:lineRule="auto"/>
              <w:jc w:val="right"/>
              <w:rPr>
                <w:rFonts w:cs="Arial"/>
                <w:b/>
                <w:bCs/>
                <w:color w:val="FFFFFF"/>
                <w:sz w:val="18"/>
                <w:szCs w:val="18"/>
                <w:lang w:eastAsia="en-AU"/>
              </w:rPr>
            </w:pPr>
            <w:r w:rsidRPr="00147BA5">
              <w:rPr>
                <w:rFonts w:cs="Arial"/>
                <w:b/>
                <w:bCs/>
                <w:color w:val="FFFFFF"/>
                <w:sz w:val="18"/>
                <w:szCs w:val="18"/>
                <w:lang w:eastAsia="en-AU"/>
              </w:rPr>
              <w:t>39%</w:t>
            </w:r>
          </w:p>
        </w:tc>
      </w:tr>
    </w:tbl>
    <w:p w:rsidR="00147BA5" w:rsidRDefault="00147BA5" w:rsidP="00351166">
      <w:pPr>
        <w:rPr>
          <w:rFonts w:cs="Arial"/>
        </w:rPr>
      </w:pPr>
    </w:p>
    <w:p w:rsidR="006D4F92" w:rsidRDefault="00EA5ABC" w:rsidP="002F7717">
      <w:pPr>
        <w:pStyle w:val="Caption"/>
        <w:spacing w:after="0"/>
        <w:jc w:val="left"/>
        <w:rPr>
          <w:rFonts w:cs="Arial"/>
        </w:rPr>
      </w:pPr>
      <w:r>
        <w:rPr>
          <w:rFonts w:cs="Arial"/>
        </w:rPr>
        <w:t>Table 1.6</w:t>
      </w:r>
      <w:r w:rsidR="006D4F92">
        <w:rPr>
          <w:rFonts w:cs="Arial"/>
        </w:rPr>
        <w:t>.2</w:t>
      </w:r>
      <w:r w:rsidR="006D4F92" w:rsidRPr="001F29E3">
        <w:rPr>
          <w:rFonts w:cs="Arial"/>
        </w:rPr>
        <w:t xml:space="preserve">: TAFE domestic fee for service enrolments </w:t>
      </w:r>
      <w:r w:rsidR="00C92185">
        <w:rPr>
          <w:rFonts w:cs="Arial"/>
        </w:rPr>
        <w:t xml:space="preserve">(non-Foundation) </w:t>
      </w:r>
      <w:r w:rsidR="006D4F92" w:rsidRPr="001F29E3">
        <w:rPr>
          <w:rFonts w:cs="Arial"/>
        </w:rPr>
        <w:t>by qualification level (AQF1+), Q</w:t>
      </w:r>
      <w:r w:rsidR="007D6CEB">
        <w:rPr>
          <w:rFonts w:cs="Arial"/>
        </w:rPr>
        <w:t>3</w:t>
      </w:r>
      <w:r w:rsidR="006D4F92" w:rsidRPr="001F29E3">
        <w:rPr>
          <w:rFonts w:cs="Arial"/>
        </w:rPr>
        <w:t xml:space="preserve"> 201</w:t>
      </w:r>
      <w:r w:rsidR="00A7403E">
        <w:rPr>
          <w:rFonts w:cs="Arial"/>
        </w:rPr>
        <w:t>1, Q</w:t>
      </w:r>
      <w:r w:rsidR="007D6CEB">
        <w:rPr>
          <w:rFonts w:cs="Arial"/>
        </w:rPr>
        <w:t>3</w:t>
      </w:r>
      <w:r w:rsidR="00A7403E">
        <w:rPr>
          <w:rFonts w:cs="Arial"/>
        </w:rPr>
        <w:t xml:space="preserve"> 2012</w:t>
      </w:r>
      <w:r w:rsidR="006D4F92" w:rsidRPr="001F29E3">
        <w:rPr>
          <w:rFonts w:cs="Arial"/>
        </w:rPr>
        <w:t xml:space="preserve"> and Q</w:t>
      </w:r>
      <w:r w:rsidR="007D6CEB">
        <w:rPr>
          <w:rFonts w:cs="Arial"/>
        </w:rPr>
        <w:t>3</w:t>
      </w:r>
      <w:r w:rsidR="006D4F92" w:rsidRPr="001F29E3">
        <w:rPr>
          <w:rFonts w:cs="Arial"/>
        </w:rPr>
        <w:t xml:space="preserve"> 2013</w:t>
      </w:r>
    </w:p>
    <w:tbl>
      <w:tblPr>
        <w:tblW w:w="8794" w:type="dxa"/>
        <w:tblInd w:w="103" w:type="dxa"/>
        <w:tblLayout w:type="fixed"/>
        <w:tblLook w:val="04A0" w:firstRow="1" w:lastRow="0" w:firstColumn="1" w:lastColumn="0" w:noHBand="0" w:noVBand="1"/>
      </w:tblPr>
      <w:tblGrid>
        <w:gridCol w:w="2982"/>
        <w:gridCol w:w="1162"/>
        <w:gridCol w:w="1162"/>
        <w:gridCol w:w="1163"/>
        <w:gridCol w:w="1162"/>
        <w:gridCol w:w="1163"/>
      </w:tblGrid>
      <w:tr w:rsidR="002A1EBA" w:rsidRPr="002A1EBA" w:rsidTr="0055077B">
        <w:trPr>
          <w:trHeight w:hRule="exact" w:val="760"/>
        </w:trPr>
        <w:tc>
          <w:tcPr>
            <w:tcW w:w="298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A1EBA" w:rsidRPr="002A1EBA" w:rsidRDefault="002A1EBA" w:rsidP="002A1EBA">
            <w:pPr>
              <w:spacing w:after="0" w:line="240" w:lineRule="auto"/>
              <w:jc w:val="left"/>
              <w:rPr>
                <w:rFonts w:cs="Arial"/>
                <w:b/>
                <w:bCs/>
                <w:color w:val="FFFFFF"/>
                <w:sz w:val="18"/>
                <w:szCs w:val="18"/>
                <w:lang w:eastAsia="en-AU"/>
              </w:rPr>
            </w:pPr>
            <w:r w:rsidRPr="002A1EBA">
              <w:rPr>
                <w:rFonts w:cs="Arial"/>
                <w:b/>
                <w:bCs/>
                <w:color w:val="FFFFFF"/>
                <w:sz w:val="18"/>
                <w:szCs w:val="18"/>
                <w:lang w:eastAsia="en-AU"/>
              </w:rPr>
              <w:t>Qualification level</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2011</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2012</w:t>
            </w:r>
          </w:p>
        </w:tc>
        <w:tc>
          <w:tcPr>
            <w:tcW w:w="1163"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2013</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change</w:t>
            </w:r>
            <w:r w:rsidRPr="002A1EBA">
              <w:rPr>
                <w:rFonts w:cs="Arial"/>
                <w:b/>
                <w:bCs/>
                <w:color w:val="FFFFFF"/>
                <w:sz w:val="18"/>
                <w:szCs w:val="18"/>
                <w:lang w:eastAsia="en-AU"/>
              </w:rPr>
              <w:br/>
              <w:t>Q3 2011-Q3 2013 </w:t>
            </w:r>
          </w:p>
        </w:tc>
        <w:tc>
          <w:tcPr>
            <w:tcW w:w="1163"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change</w:t>
            </w:r>
            <w:r w:rsidRPr="002A1EBA">
              <w:rPr>
                <w:rFonts w:cs="Arial"/>
                <w:b/>
                <w:bCs/>
                <w:color w:val="FFFFFF"/>
                <w:sz w:val="18"/>
                <w:szCs w:val="18"/>
                <w:lang w:eastAsia="en-AU"/>
              </w:rPr>
              <w:br/>
              <w:t>Q3 2012-Q3 2013</w:t>
            </w:r>
          </w:p>
        </w:tc>
      </w:tr>
      <w:tr w:rsidR="002A1EBA" w:rsidRPr="002A1EBA" w:rsidTr="0055077B">
        <w:trPr>
          <w:trHeight w:hRule="exact" w:val="284"/>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Cert I-II</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35,400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36,500 </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31,800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-10%</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-13%</w:t>
            </w:r>
          </w:p>
        </w:tc>
      </w:tr>
      <w:tr w:rsidR="002A1EBA" w:rsidRPr="002A1EBA" w:rsidTr="0055077B">
        <w:trPr>
          <w:trHeight w:hRule="exact" w:val="284"/>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Cert III-IV</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32,400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41,500 </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33,600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4%</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-19%</w:t>
            </w:r>
          </w:p>
        </w:tc>
      </w:tr>
      <w:tr w:rsidR="002A1EBA" w:rsidRPr="002A1EBA" w:rsidTr="0055077B">
        <w:trPr>
          <w:trHeight w:hRule="exact" w:val="284"/>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Diploma &amp; Above</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7,400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8,800 </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8,900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20%</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w:t>
            </w:r>
          </w:p>
        </w:tc>
      </w:tr>
      <w:tr w:rsidR="002A1EBA" w:rsidRPr="002A1EBA" w:rsidTr="0055077B">
        <w:trPr>
          <w:trHeight w:hRule="exact" w:val="284"/>
        </w:trPr>
        <w:tc>
          <w:tcPr>
            <w:tcW w:w="298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Higher Education</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1,400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1,600 </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1,400 </w:t>
            </w:r>
          </w:p>
        </w:tc>
        <w:tc>
          <w:tcPr>
            <w:tcW w:w="1162"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4%</w:t>
            </w:r>
          </w:p>
        </w:tc>
        <w:tc>
          <w:tcPr>
            <w:tcW w:w="116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-9%</w:t>
            </w:r>
          </w:p>
        </w:tc>
      </w:tr>
      <w:tr w:rsidR="002A1EBA" w:rsidRPr="002A1EBA" w:rsidTr="0055077B">
        <w:trPr>
          <w:trHeight w:hRule="exact" w:val="284"/>
        </w:trPr>
        <w:tc>
          <w:tcPr>
            <w:tcW w:w="2982" w:type="dxa"/>
            <w:tcBorders>
              <w:top w:val="nil"/>
              <w:left w:val="single" w:sz="4" w:space="0" w:color="5E8A00"/>
              <w:bottom w:val="nil"/>
              <w:right w:val="single" w:sz="4" w:space="0" w:color="5E8A00"/>
            </w:tcBorders>
            <w:shd w:val="clear" w:color="000000" w:fill="5E8A00"/>
            <w:noWrap/>
            <w:vAlign w:val="bottom"/>
            <w:hideMark/>
          </w:tcPr>
          <w:p w:rsidR="002A1EBA" w:rsidRPr="002A1EBA" w:rsidRDefault="002A1EBA" w:rsidP="002A1EBA">
            <w:pPr>
              <w:spacing w:after="0" w:line="240" w:lineRule="auto"/>
              <w:jc w:val="left"/>
              <w:rPr>
                <w:rFonts w:cs="Arial"/>
                <w:b/>
                <w:bCs/>
                <w:color w:val="FFFFFF"/>
                <w:sz w:val="18"/>
                <w:szCs w:val="18"/>
                <w:lang w:eastAsia="en-AU"/>
              </w:rPr>
            </w:pPr>
            <w:r w:rsidRPr="002A1EBA">
              <w:rPr>
                <w:rFonts w:cs="Arial"/>
                <w:b/>
                <w:bCs/>
                <w:color w:val="FFFFFF"/>
                <w:sz w:val="18"/>
                <w:szCs w:val="18"/>
                <w:lang w:eastAsia="en-AU"/>
              </w:rPr>
              <w:t>Total (</w:t>
            </w:r>
            <w:proofErr w:type="spellStart"/>
            <w:r w:rsidRPr="002A1EBA">
              <w:rPr>
                <w:rFonts w:cs="Arial"/>
                <w:b/>
                <w:bCs/>
                <w:color w:val="FFFFFF"/>
                <w:sz w:val="18"/>
                <w:szCs w:val="18"/>
                <w:lang w:eastAsia="en-AU"/>
              </w:rPr>
              <w:t>excl</w:t>
            </w:r>
            <w:proofErr w:type="spellEnd"/>
            <w:r w:rsidRPr="002A1EBA">
              <w:rPr>
                <w:rFonts w:cs="Arial"/>
                <w:b/>
                <w:bCs/>
                <w:color w:val="FFFFFF"/>
                <w:sz w:val="18"/>
                <w:szCs w:val="18"/>
                <w:lang w:eastAsia="en-AU"/>
              </w:rPr>
              <w:t xml:space="preserve"> foundation courses)</w:t>
            </w:r>
          </w:p>
        </w:tc>
        <w:tc>
          <w:tcPr>
            <w:tcW w:w="1162"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76,546 </w:t>
            </w:r>
          </w:p>
        </w:tc>
        <w:tc>
          <w:tcPr>
            <w:tcW w:w="1162"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88,420 </w:t>
            </w:r>
          </w:p>
        </w:tc>
        <w:tc>
          <w:tcPr>
            <w:tcW w:w="1163"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75,667 </w:t>
            </w:r>
          </w:p>
        </w:tc>
        <w:tc>
          <w:tcPr>
            <w:tcW w:w="1162"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-1%</w:t>
            </w:r>
          </w:p>
        </w:tc>
        <w:tc>
          <w:tcPr>
            <w:tcW w:w="1163"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-14%</w:t>
            </w:r>
          </w:p>
        </w:tc>
      </w:tr>
    </w:tbl>
    <w:p w:rsidR="002A1EBA" w:rsidRDefault="002A1EBA" w:rsidP="002A1EBA"/>
    <w:p w:rsidR="00C92185" w:rsidRDefault="00C92185" w:rsidP="00C92185">
      <w:pPr>
        <w:pStyle w:val="Caption"/>
        <w:spacing w:after="0"/>
        <w:jc w:val="left"/>
        <w:rPr>
          <w:rFonts w:cs="Arial"/>
        </w:rPr>
      </w:pPr>
      <w:r w:rsidRPr="001F29E3">
        <w:rPr>
          <w:rFonts w:cs="Arial"/>
        </w:rPr>
        <w:t>Table 1.</w:t>
      </w:r>
      <w:r w:rsidR="00EA5ABC">
        <w:rPr>
          <w:rFonts w:cs="Arial"/>
        </w:rPr>
        <w:t>7</w:t>
      </w:r>
      <w:r>
        <w:rPr>
          <w:rFonts w:cs="Arial"/>
        </w:rPr>
        <w:t>.1</w:t>
      </w:r>
      <w:r w:rsidRPr="001F29E3">
        <w:rPr>
          <w:rFonts w:cs="Arial"/>
        </w:rPr>
        <w:t xml:space="preserve">: TAFE domestic fee for service enrolments </w:t>
      </w:r>
      <w:r>
        <w:rPr>
          <w:rFonts w:cs="Arial"/>
        </w:rPr>
        <w:t xml:space="preserve">(Foundation) </w:t>
      </w:r>
      <w:r w:rsidRPr="001F29E3">
        <w:rPr>
          <w:rFonts w:cs="Arial"/>
        </w:rPr>
        <w:t xml:space="preserve">by qualification level (AQF1+), </w:t>
      </w:r>
      <w:r w:rsidR="006B7941">
        <w:rPr>
          <w:rFonts w:cs="Arial"/>
        </w:rPr>
        <w:br/>
      </w:r>
      <w:r w:rsidRPr="001F29E3">
        <w:rPr>
          <w:rFonts w:cs="Arial"/>
        </w:rPr>
        <w:t>2008–2012</w:t>
      </w:r>
    </w:p>
    <w:tbl>
      <w:tblPr>
        <w:tblW w:w="9247" w:type="dxa"/>
        <w:tblInd w:w="103" w:type="dxa"/>
        <w:tblLayout w:type="fixed"/>
        <w:tblLook w:val="04A0" w:firstRow="1" w:lastRow="0" w:firstColumn="1" w:lastColumn="0" w:noHBand="0" w:noVBand="1"/>
      </w:tblPr>
      <w:tblGrid>
        <w:gridCol w:w="2132"/>
        <w:gridCol w:w="1185"/>
        <w:gridCol w:w="1186"/>
        <w:gridCol w:w="1186"/>
        <w:gridCol w:w="1186"/>
        <w:gridCol w:w="1186"/>
        <w:gridCol w:w="1186"/>
      </w:tblGrid>
      <w:tr w:rsidR="00C92185" w:rsidRPr="00C92185" w:rsidTr="0055077B">
        <w:trPr>
          <w:trHeight w:val="762"/>
        </w:trPr>
        <w:tc>
          <w:tcPr>
            <w:tcW w:w="213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92185" w:rsidRPr="00C92185" w:rsidRDefault="00C92185" w:rsidP="00C92185">
            <w:pPr>
              <w:spacing w:after="0" w:line="240" w:lineRule="auto"/>
              <w:jc w:val="left"/>
              <w:rPr>
                <w:rFonts w:cs="Arial"/>
                <w:b/>
                <w:bCs/>
                <w:color w:val="FFFFFF"/>
                <w:sz w:val="18"/>
                <w:szCs w:val="18"/>
                <w:lang w:eastAsia="en-AU"/>
              </w:rPr>
            </w:pPr>
            <w:r w:rsidRPr="00C92185">
              <w:rPr>
                <w:rFonts w:cs="Arial"/>
                <w:b/>
                <w:bCs/>
                <w:color w:val="FFFFFF"/>
                <w:sz w:val="18"/>
                <w:szCs w:val="18"/>
                <w:lang w:eastAsia="en-AU"/>
              </w:rPr>
              <w:t>Qualification level</w:t>
            </w:r>
          </w:p>
        </w:tc>
        <w:tc>
          <w:tcPr>
            <w:tcW w:w="1185"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F034AF">
            <w:pPr>
              <w:spacing w:after="0" w:line="240" w:lineRule="auto"/>
              <w:ind w:firstLineChars="100" w:firstLine="181"/>
              <w:jc w:val="right"/>
              <w:rPr>
                <w:rFonts w:cs="Arial"/>
                <w:b/>
                <w:bCs/>
                <w:color w:val="FFFFFF"/>
                <w:sz w:val="18"/>
                <w:szCs w:val="18"/>
                <w:lang w:eastAsia="en-AU"/>
              </w:rPr>
            </w:pPr>
            <w:r w:rsidRPr="00C92185">
              <w:rPr>
                <w:rFonts w:cs="Arial"/>
                <w:b/>
                <w:bCs/>
                <w:color w:val="FFFFFF"/>
                <w:sz w:val="18"/>
                <w:szCs w:val="18"/>
                <w:lang w:eastAsia="en-AU"/>
              </w:rPr>
              <w:t>2008</w:t>
            </w:r>
          </w:p>
        </w:tc>
        <w:tc>
          <w:tcPr>
            <w:tcW w:w="1186"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F034AF">
            <w:pPr>
              <w:spacing w:after="0" w:line="240" w:lineRule="auto"/>
              <w:ind w:firstLineChars="100" w:firstLine="181"/>
              <w:jc w:val="right"/>
              <w:rPr>
                <w:rFonts w:cs="Arial"/>
                <w:b/>
                <w:bCs/>
                <w:color w:val="FFFFFF"/>
                <w:sz w:val="18"/>
                <w:szCs w:val="18"/>
                <w:lang w:eastAsia="en-AU"/>
              </w:rPr>
            </w:pPr>
            <w:r w:rsidRPr="00C92185">
              <w:rPr>
                <w:rFonts w:cs="Arial"/>
                <w:b/>
                <w:bCs/>
                <w:color w:val="FFFFFF"/>
                <w:sz w:val="18"/>
                <w:szCs w:val="18"/>
                <w:lang w:eastAsia="en-AU"/>
              </w:rPr>
              <w:t>2009</w:t>
            </w:r>
          </w:p>
        </w:tc>
        <w:tc>
          <w:tcPr>
            <w:tcW w:w="1186"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F034AF">
            <w:pPr>
              <w:spacing w:after="0" w:line="240" w:lineRule="auto"/>
              <w:ind w:firstLineChars="100" w:firstLine="181"/>
              <w:jc w:val="right"/>
              <w:rPr>
                <w:rFonts w:cs="Arial"/>
                <w:b/>
                <w:bCs/>
                <w:color w:val="FFFFFF"/>
                <w:sz w:val="18"/>
                <w:szCs w:val="18"/>
                <w:lang w:eastAsia="en-AU"/>
              </w:rPr>
            </w:pPr>
            <w:r w:rsidRPr="00C92185">
              <w:rPr>
                <w:rFonts w:cs="Arial"/>
                <w:b/>
                <w:bCs/>
                <w:color w:val="FFFFFF"/>
                <w:sz w:val="18"/>
                <w:szCs w:val="18"/>
                <w:lang w:eastAsia="en-AU"/>
              </w:rPr>
              <w:t>2010</w:t>
            </w:r>
          </w:p>
        </w:tc>
        <w:tc>
          <w:tcPr>
            <w:tcW w:w="1186"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F034AF">
            <w:pPr>
              <w:spacing w:after="0" w:line="240" w:lineRule="auto"/>
              <w:ind w:firstLineChars="100" w:firstLine="181"/>
              <w:jc w:val="right"/>
              <w:rPr>
                <w:rFonts w:cs="Arial"/>
                <w:b/>
                <w:bCs/>
                <w:color w:val="FFFFFF"/>
                <w:sz w:val="18"/>
                <w:szCs w:val="18"/>
                <w:lang w:eastAsia="en-AU"/>
              </w:rPr>
            </w:pPr>
            <w:r w:rsidRPr="00C92185">
              <w:rPr>
                <w:rFonts w:cs="Arial"/>
                <w:b/>
                <w:bCs/>
                <w:color w:val="FFFFFF"/>
                <w:sz w:val="18"/>
                <w:szCs w:val="18"/>
                <w:lang w:eastAsia="en-AU"/>
              </w:rPr>
              <w:t>2011</w:t>
            </w:r>
          </w:p>
        </w:tc>
        <w:tc>
          <w:tcPr>
            <w:tcW w:w="1186"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F034AF">
            <w:pPr>
              <w:spacing w:after="0" w:line="240" w:lineRule="auto"/>
              <w:ind w:firstLineChars="100" w:firstLine="181"/>
              <w:jc w:val="right"/>
              <w:rPr>
                <w:rFonts w:cs="Arial"/>
                <w:b/>
                <w:bCs/>
                <w:color w:val="FFFFFF"/>
                <w:sz w:val="18"/>
                <w:szCs w:val="18"/>
                <w:lang w:eastAsia="en-AU"/>
              </w:rPr>
            </w:pPr>
            <w:r w:rsidRPr="00C92185">
              <w:rPr>
                <w:rFonts w:cs="Arial"/>
                <w:b/>
                <w:bCs/>
                <w:color w:val="FFFFFF"/>
                <w:sz w:val="18"/>
                <w:szCs w:val="18"/>
                <w:lang w:eastAsia="en-AU"/>
              </w:rPr>
              <w:t>2012</w:t>
            </w:r>
          </w:p>
        </w:tc>
        <w:tc>
          <w:tcPr>
            <w:tcW w:w="1186" w:type="dxa"/>
            <w:tcBorders>
              <w:top w:val="single" w:sz="4" w:space="0" w:color="5E8A00"/>
              <w:left w:val="nil"/>
              <w:bottom w:val="single" w:sz="4" w:space="0" w:color="5E8A00"/>
              <w:right w:val="single" w:sz="4" w:space="0" w:color="5E8A00"/>
            </w:tcBorders>
            <w:shd w:val="clear" w:color="000000" w:fill="5E8A00"/>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change</w:t>
            </w:r>
            <w:r w:rsidRPr="00C92185">
              <w:rPr>
                <w:rFonts w:cs="Arial"/>
                <w:b/>
                <w:bCs/>
                <w:color w:val="FFFFFF"/>
                <w:sz w:val="18"/>
                <w:szCs w:val="18"/>
                <w:lang w:eastAsia="en-AU"/>
              </w:rPr>
              <w:br/>
              <w:t>2008-2012</w:t>
            </w:r>
          </w:p>
        </w:tc>
      </w:tr>
      <w:tr w:rsidR="00C92185" w:rsidRPr="00C92185" w:rsidTr="0055077B">
        <w:trPr>
          <w:trHeight w:val="342"/>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92185" w:rsidRPr="00C92185" w:rsidRDefault="00C92185" w:rsidP="00C92185">
            <w:pPr>
              <w:spacing w:after="0" w:line="240" w:lineRule="auto"/>
              <w:jc w:val="left"/>
              <w:rPr>
                <w:rFonts w:cs="Arial"/>
                <w:color w:val="3E5B00"/>
                <w:sz w:val="18"/>
                <w:szCs w:val="18"/>
                <w:lang w:eastAsia="en-AU"/>
              </w:rPr>
            </w:pPr>
            <w:r w:rsidRPr="00C92185">
              <w:rPr>
                <w:rFonts w:cs="Arial"/>
                <w:color w:val="3E5B00"/>
                <w:sz w:val="18"/>
                <w:szCs w:val="18"/>
                <w:lang w:eastAsia="en-AU"/>
              </w:rPr>
              <w:t>Cert I-II</w:t>
            </w:r>
          </w:p>
        </w:tc>
        <w:tc>
          <w:tcPr>
            <w:tcW w:w="1185"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8,100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7,200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7,300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6,300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11,500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42%</w:t>
            </w:r>
          </w:p>
        </w:tc>
      </w:tr>
      <w:tr w:rsidR="00C92185" w:rsidRPr="00C92185" w:rsidTr="0055077B">
        <w:trPr>
          <w:trHeight w:val="342"/>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92185" w:rsidRPr="00C92185" w:rsidRDefault="00C92185" w:rsidP="00C92185">
            <w:pPr>
              <w:spacing w:after="0" w:line="240" w:lineRule="auto"/>
              <w:jc w:val="left"/>
              <w:rPr>
                <w:rFonts w:cs="Arial"/>
                <w:color w:val="3E5B00"/>
                <w:sz w:val="18"/>
                <w:szCs w:val="18"/>
                <w:lang w:eastAsia="en-AU"/>
              </w:rPr>
            </w:pPr>
            <w:r w:rsidRPr="00C92185">
              <w:rPr>
                <w:rFonts w:cs="Arial"/>
                <w:color w:val="3E5B00"/>
                <w:sz w:val="18"/>
                <w:szCs w:val="18"/>
                <w:lang w:eastAsia="en-AU"/>
              </w:rPr>
              <w:t>Cert III-IV</w:t>
            </w:r>
          </w:p>
        </w:tc>
        <w:tc>
          <w:tcPr>
            <w:tcW w:w="1185"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1,700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2,200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2,100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1,900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 xml:space="preserve">2,500 </w:t>
            </w:r>
          </w:p>
        </w:tc>
        <w:tc>
          <w:tcPr>
            <w:tcW w:w="1186" w:type="dxa"/>
            <w:tcBorders>
              <w:top w:val="nil"/>
              <w:left w:val="nil"/>
              <w:bottom w:val="single" w:sz="4" w:space="0" w:color="5E8A00"/>
              <w:right w:val="single" w:sz="4" w:space="0" w:color="5E8A00"/>
            </w:tcBorders>
            <w:shd w:val="clear" w:color="auto" w:fill="auto"/>
            <w:noWrap/>
            <w:vAlign w:val="center"/>
            <w:hideMark/>
          </w:tcPr>
          <w:p w:rsidR="00C92185" w:rsidRPr="00C92185" w:rsidRDefault="00C92185" w:rsidP="00C92185">
            <w:pPr>
              <w:spacing w:after="0" w:line="240" w:lineRule="auto"/>
              <w:jc w:val="right"/>
              <w:rPr>
                <w:rFonts w:cs="Arial"/>
                <w:sz w:val="18"/>
                <w:szCs w:val="18"/>
                <w:lang w:eastAsia="en-AU"/>
              </w:rPr>
            </w:pPr>
            <w:r w:rsidRPr="00C92185">
              <w:rPr>
                <w:rFonts w:cs="Arial"/>
                <w:sz w:val="18"/>
                <w:szCs w:val="18"/>
                <w:lang w:eastAsia="en-AU"/>
              </w:rPr>
              <w:t>40%</w:t>
            </w:r>
          </w:p>
        </w:tc>
      </w:tr>
      <w:tr w:rsidR="00C92185" w:rsidRPr="00C92185" w:rsidTr="0055077B">
        <w:trPr>
          <w:trHeight w:val="342"/>
        </w:trPr>
        <w:tc>
          <w:tcPr>
            <w:tcW w:w="2132" w:type="dxa"/>
            <w:tcBorders>
              <w:top w:val="nil"/>
              <w:left w:val="single" w:sz="4" w:space="0" w:color="5E8A00"/>
              <w:bottom w:val="nil"/>
              <w:right w:val="single" w:sz="4" w:space="0" w:color="5E8A00"/>
            </w:tcBorders>
            <w:shd w:val="clear" w:color="000000" w:fill="5E8A00"/>
            <w:noWrap/>
            <w:vAlign w:val="bottom"/>
            <w:hideMark/>
          </w:tcPr>
          <w:p w:rsidR="00C92185" w:rsidRPr="00C92185" w:rsidRDefault="00C92185" w:rsidP="00C92185">
            <w:pPr>
              <w:spacing w:after="0" w:line="240" w:lineRule="auto"/>
              <w:jc w:val="left"/>
              <w:rPr>
                <w:rFonts w:cs="Arial"/>
                <w:b/>
                <w:bCs/>
                <w:color w:val="FFFFFF"/>
                <w:sz w:val="18"/>
                <w:szCs w:val="18"/>
                <w:lang w:eastAsia="en-AU"/>
              </w:rPr>
            </w:pPr>
            <w:r w:rsidRPr="00C92185">
              <w:rPr>
                <w:rFonts w:cs="Arial"/>
                <w:b/>
                <w:bCs/>
                <w:color w:val="FFFFFF"/>
                <w:sz w:val="18"/>
                <w:szCs w:val="18"/>
                <w:lang w:eastAsia="en-AU"/>
              </w:rPr>
              <w:t>Total</w:t>
            </w:r>
          </w:p>
        </w:tc>
        <w:tc>
          <w:tcPr>
            <w:tcW w:w="1185"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xml:space="preserve">9,900 </w:t>
            </w:r>
          </w:p>
        </w:tc>
        <w:tc>
          <w:tcPr>
            <w:tcW w:w="1186"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xml:space="preserve">9,400 </w:t>
            </w:r>
          </w:p>
        </w:tc>
        <w:tc>
          <w:tcPr>
            <w:tcW w:w="1186"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xml:space="preserve">9,400 </w:t>
            </w:r>
          </w:p>
        </w:tc>
        <w:tc>
          <w:tcPr>
            <w:tcW w:w="1186"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xml:space="preserve">8,100 </w:t>
            </w:r>
          </w:p>
        </w:tc>
        <w:tc>
          <w:tcPr>
            <w:tcW w:w="1186"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 xml:space="preserve">13,900 </w:t>
            </w:r>
          </w:p>
        </w:tc>
        <w:tc>
          <w:tcPr>
            <w:tcW w:w="1186" w:type="dxa"/>
            <w:tcBorders>
              <w:top w:val="nil"/>
              <w:left w:val="nil"/>
              <w:bottom w:val="nil"/>
              <w:right w:val="single" w:sz="4" w:space="0" w:color="5E8A00"/>
            </w:tcBorders>
            <w:shd w:val="clear" w:color="000000" w:fill="5E8A00"/>
            <w:noWrap/>
            <w:vAlign w:val="center"/>
            <w:hideMark/>
          </w:tcPr>
          <w:p w:rsidR="00C92185" w:rsidRPr="00C92185" w:rsidRDefault="00C92185" w:rsidP="00C92185">
            <w:pPr>
              <w:spacing w:after="0" w:line="240" w:lineRule="auto"/>
              <w:jc w:val="right"/>
              <w:rPr>
                <w:rFonts w:cs="Arial"/>
                <w:b/>
                <w:bCs/>
                <w:color w:val="FFFFFF"/>
                <w:sz w:val="18"/>
                <w:szCs w:val="18"/>
                <w:lang w:eastAsia="en-AU"/>
              </w:rPr>
            </w:pPr>
            <w:r w:rsidRPr="00C92185">
              <w:rPr>
                <w:rFonts w:cs="Arial"/>
                <w:b/>
                <w:bCs/>
                <w:color w:val="FFFFFF"/>
                <w:sz w:val="18"/>
                <w:szCs w:val="18"/>
                <w:lang w:eastAsia="en-AU"/>
              </w:rPr>
              <w:t>41%</w:t>
            </w:r>
          </w:p>
        </w:tc>
      </w:tr>
    </w:tbl>
    <w:p w:rsidR="00C92185" w:rsidRDefault="00C92185" w:rsidP="002F7717">
      <w:pPr>
        <w:jc w:val="left"/>
        <w:rPr>
          <w:rFonts w:cs="Arial"/>
        </w:rPr>
      </w:pPr>
    </w:p>
    <w:p w:rsidR="00592C57" w:rsidRDefault="00592C57">
      <w:pPr>
        <w:spacing w:after="0" w:line="240" w:lineRule="auto"/>
        <w:jc w:val="left"/>
        <w:rPr>
          <w:rFonts w:cs="Arial"/>
        </w:rPr>
      </w:pPr>
    </w:p>
    <w:p w:rsidR="00592C57" w:rsidRDefault="00EA5ABC" w:rsidP="00592C57">
      <w:pPr>
        <w:pStyle w:val="Caption"/>
        <w:spacing w:after="0"/>
        <w:jc w:val="left"/>
        <w:rPr>
          <w:rFonts w:cs="Arial"/>
        </w:rPr>
      </w:pPr>
      <w:r>
        <w:rPr>
          <w:rFonts w:cs="Arial"/>
        </w:rPr>
        <w:t>Table 1.7</w:t>
      </w:r>
      <w:r w:rsidR="00592C57">
        <w:rPr>
          <w:rFonts w:cs="Arial"/>
        </w:rPr>
        <w:t>.2</w:t>
      </w:r>
      <w:r w:rsidR="00592C57" w:rsidRPr="001F29E3">
        <w:rPr>
          <w:rFonts w:cs="Arial"/>
        </w:rPr>
        <w:t xml:space="preserve">: TAFE domestic fee for service enrolments </w:t>
      </w:r>
      <w:r w:rsidR="00592C57">
        <w:rPr>
          <w:rFonts w:cs="Arial"/>
        </w:rPr>
        <w:t xml:space="preserve">(Foundation) </w:t>
      </w:r>
      <w:r w:rsidR="00592C57" w:rsidRPr="001F29E3">
        <w:rPr>
          <w:rFonts w:cs="Arial"/>
        </w:rPr>
        <w:t xml:space="preserve">by qualification level (AQF1+), </w:t>
      </w:r>
      <w:r w:rsidR="006B7941">
        <w:rPr>
          <w:rFonts w:cs="Arial"/>
        </w:rPr>
        <w:br/>
      </w:r>
      <w:r w:rsidR="00592C57" w:rsidRPr="001F29E3">
        <w:rPr>
          <w:rFonts w:cs="Arial"/>
        </w:rPr>
        <w:t>Q</w:t>
      </w:r>
      <w:r w:rsidR="002A1EBA">
        <w:rPr>
          <w:rFonts w:cs="Arial"/>
        </w:rPr>
        <w:t>3</w:t>
      </w:r>
      <w:r w:rsidR="00592C57" w:rsidRPr="001F29E3">
        <w:rPr>
          <w:rFonts w:cs="Arial"/>
        </w:rPr>
        <w:t xml:space="preserve"> 201</w:t>
      </w:r>
      <w:r w:rsidR="00592C57">
        <w:rPr>
          <w:rFonts w:cs="Arial"/>
        </w:rPr>
        <w:t>1, Q</w:t>
      </w:r>
      <w:r w:rsidR="002A1EBA">
        <w:rPr>
          <w:rFonts w:cs="Arial"/>
        </w:rPr>
        <w:t>3</w:t>
      </w:r>
      <w:r w:rsidR="00592C57">
        <w:rPr>
          <w:rFonts w:cs="Arial"/>
        </w:rPr>
        <w:t xml:space="preserve"> 2012</w:t>
      </w:r>
      <w:r w:rsidR="00592C57" w:rsidRPr="001F29E3">
        <w:rPr>
          <w:rFonts w:cs="Arial"/>
        </w:rPr>
        <w:t xml:space="preserve"> and Q</w:t>
      </w:r>
      <w:r w:rsidR="002A1EBA">
        <w:rPr>
          <w:rFonts w:cs="Arial"/>
        </w:rPr>
        <w:t>3</w:t>
      </w:r>
      <w:r w:rsidR="00592C57" w:rsidRPr="001F29E3">
        <w:rPr>
          <w:rFonts w:cs="Arial"/>
        </w:rPr>
        <w:t xml:space="preserve"> 2013</w:t>
      </w:r>
    </w:p>
    <w:tbl>
      <w:tblPr>
        <w:tblW w:w="8400" w:type="dxa"/>
        <w:tblInd w:w="103" w:type="dxa"/>
        <w:tblLayout w:type="fixed"/>
        <w:tblLook w:val="04A0" w:firstRow="1" w:lastRow="0" w:firstColumn="1" w:lastColumn="0" w:noHBand="0" w:noVBand="1"/>
      </w:tblPr>
      <w:tblGrid>
        <w:gridCol w:w="2132"/>
        <w:gridCol w:w="1253"/>
        <w:gridCol w:w="1254"/>
        <w:gridCol w:w="1253"/>
        <w:gridCol w:w="1254"/>
        <w:gridCol w:w="1254"/>
      </w:tblGrid>
      <w:tr w:rsidR="002A1EBA" w:rsidRPr="002A1EBA" w:rsidTr="0055077B">
        <w:trPr>
          <w:trHeight w:val="762"/>
        </w:trPr>
        <w:tc>
          <w:tcPr>
            <w:tcW w:w="213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A1EBA" w:rsidRPr="002A1EBA" w:rsidRDefault="002A1EBA" w:rsidP="002A1EBA">
            <w:pPr>
              <w:spacing w:after="0" w:line="240" w:lineRule="auto"/>
              <w:jc w:val="left"/>
              <w:rPr>
                <w:rFonts w:cs="Arial"/>
                <w:b/>
                <w:bCs/>
                <w:color w:val="FFFFFF"/>
                <w:sz w:val="18"/>
                <w:szCs w:val="18"/>
                <w:lang w:eastAsia="en-AU"/>
              </w:rPr>
            </w:pPr>
            <w:r w:rsidRPr="002A1EBA">
              <w:rPr>
                <w:rFonts w:cs="Arial"/>
                <w:b/>
                <w:bCs/>
                <w:color w:val="FFFFFF"/>
                <w:sz w:val="18"/>
                <w:szCs w:val="18"/>
                <w:lang w:eastAsia="en-AU"/>
              </w:rPr>
              <w:t>Qualification level</w:t>
            </w:r>
          </w:p>
        </w:tc>
        <w:tc>
          <w:tcPr>
            <w:tcW w:w="1253"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2011</w:t>
            </w:r>
          </w:p>
        </w:tc>
        <w:tc>
          <w:tcPr>
            <w:tcW w:w="1254"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2012</w:t>
            </w:r>
          </w:p>
        </w:tc>
        <w:tc>
          <w:tcPr>
            <w:tcW w:w="1253"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ind w:firstLineChars="100" w:firstLine="181"/>
              <w:jc w:val="right"/>
              <w:rPr>
                <w:rFonts w:cs="Arial"/>
                <w:b/>
                <w:bCs/>
                <w:color w:val="FFFFFF"/>
                <w:sz w:val="18"/>
                <w:szCs w:val="18"/>
                <w:lang w:eastAsia="en-AU"/>
              </w:rPr>
            </w:pPr>
            <w:r w:rsidRPr="002A1EBA">
              <w:rPr>
                <w:rFonts w:cs="Arial"/>
                <w:b/>
                <w:bCs/>
                <w:color w:val="FFFFFF"/>
                <w:sz w:val="18"/>
                <w:szCs w:val="18"/>
                <w:lang w:eastAsia="en-AU"/>
              </w:rPr>
              <w:t>Q3 2013</w:t>
            </w:r>
          </w:p>
        </w:tc>
        <w:tc>
          <w:tcPr>
            <w:tcW w:w="1254"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change</w:t>
            </w:r>
            <w:r w:rsidRPr="002A1EBA">
              <w:rPr>
                <w:rFonts w:cs="Arial"/>
                <w:b/>
                <w:bCs/>
                <w:color w:val="FFFFFF"/>
                <w:sz w:val="18"/>
                <w:szCs w:val="18"/>
                <w:lang w:eastAsia="en-AU"/>
              </w:rPr>
              <w:br/>
              <w:t>Q3 2011-Q3 2013 </w:t>
            </w:r>
          </w:p>
        </w:tc>
        <w:tc>
          <w:tcPr>
            <w:tcW w:w="1254" w:type="dxa"/>
            <w:tcBorders>
              <w:top w:val="single" w:sz="4" w:space="0" w:color="5E8A00"/>
              <w:left w:val="nil"/>
              <w:bottom w:val="single" w:sz="4" w:space="0" w:color="5E8A00"/>
              <w:right w:val="single" w:sz="4" w:space="0" w:color="5E8A00"/>
            </w:tcBorders>
            <w:shd w:val="clear" w:color="000000" w:fill="5E8A00"/>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change</w:t>
            </w:r>
            <w:r w:rsidRPr="002A1EBA">
              <w:rPr>
                <w:rFonts w:cs="Arial"/>
                <w:b/>
                <w:bCs/>
                <w:color w:val="FFFFFF"/>
                <w:sz w:val="18"/>
                <w:szCs w:val="18"/>
                <w:lang w:eastAsia="en-AU"/>
              </w:rPr>
              <w:br/>
              <w:t>Q3 2012-Q3 2013</w:t>
            </w:r>
          </w:p>
        </w:tc>
      </w:tr>
      <w:tr w:rsidR="002A1EBA" w:rsidRPr="002A1EBA" w:rsidTr="0055077B">
        <w:trPr>
          <w:trHeight w:val="342"/>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Cert I-II</w:t>
            </w:r>
          </w:p>
        </w:tc>
        <w:tc>
          <w:tcPr>
            <w:tcW w:w="125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5,000 </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9,500 </w:t>
            </w:r>
          </w:p>
        </w:tc>
        <w:tc>
          <w:tcPr>
            <w:tcW w:w="125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10,500 </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111%</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11%</w:t>
            </w:r>
          </w:p>
        </w:tc>
      </w:tr>
      <w:tr w:rsidR="002A1EBA" w:rsidRPr="002A1EBA" w:rsidTr="0055077B">
        <w:trPr>
          <w:trHeight w:val="342"/>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2A1EBA" w:rsidRPr="002A1EBA" w:rsidRDefault="002A1EBA" w:rsidP="002A1EBA">
            <w:pPr>
              <w:spacing w:after="0" w:line="240" w:lineRule="auto"/>
              <w:jc w:val="left"/>
              <w:rPr>
                <w:rFonts w:cs="Arial"/>
                <w:color w:val="3E5B00"/>
                <w:sz w:val="18"/>
                <w:szCs w:val="18"/>
                <w:lang w:eastAsia="en-AU"/>
              </w:rPr>
            </w:pPr>
            <w:r w:rsidRPr="002A1EBA">
              <w:rPr>
                <w:rFonts w:cs="Arial"/>
                <w:color w:val="3E5B00"/>
                <w:sz w:val="18"/>
                <w:szCs w:val="18"/>
                <w:lang w:eastAsia="en-AU"/>
              </w:rPr>
              <w:t>Cert III-IV</w:t>
            </w:r>
          </w:p>
        </w:tc>
        <w:tc>
          <w:tcPr>
            <w:tcW w:w="125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1,600 </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2,100 </w:t>
            </w:r>
          </w:p>
        </w:tc>
        <w:tc>
          <w:tcPr>
            <w:tcW w:w="1253"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 xml:space="preserve">2,200 </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39%</w:t>
            </w:r>
          </w:p>
        </w:tc>
        <w:tc>
          <w:tcPr>
            <w:tcW w:w="1254" w:type="dxa"/>
            <w:tcBorders>
              <w:top w:val="nil"/>
              <w:left w:val="nil"/>
              <w:bottom w:val="single" w:sz="4" w:space="0" w:color="5E8A00"/>
              <w:right w:val="single" w:sz="4" w:space="0" w:color="5E8A00"/>
            </w:tcBorders>
            <w:shd w:val="clear" w:color="auto" w:fill="auto"/>
            <w:noWrap/>
            <w:vAlign w:val="center"/>
            <w:hideMark/>
          </w:tcPr>
          <w:p w:rsidR="002A1EBA" w:rsidRPr="002A1EBA" w:rsidRDefault="002A1EBA" w:rsidP="002A1EBA">
            <w:pPr>
              <w:spacing w:after="0" w:line="240" w:lineRule="auto"/>
              <w:jc w:val="right"/>
              <w:rPr>
                <w:rFonts w:cs="Arial"/>
                <w:sz w:val="18"/>
                <w:szCs w:val="18"/>
                <w:lang w:eastAsia="en-AU"/>
              </w:rPr>
            </w:pPr>
            <w:r w:rsidRPr="002A1EBA">
              <w:rPr>
                <w:rFonts w:cs="Arial"/>
                <w:sz w:val="18"/>
                <w:szCs w:val="18"/>
                <w:lang w:eastAsia="en-AU"/>
              </w:rPr>
              <w:t>7%</w:t>
            </w:r>
          </w:p>
        </w:tc>
      </w:tr>
      <w:tr w:rsidR="002A1EBA" w:rsidRPr="002A1EBA" w:rsidTr="0055077B">
        <w:trPr>
          <w:trHeight w:val="342"/>
        </w:trPr>
        <w:tc>
          <w:tcPr>
            <w:tcW w:w="2132" w:type="dxa"/>
            <w:tcBorders>
              <w:top w:val="nil"/>
              <w:left w:val="single" w:sz="4" w:space="0" w:color="5E8A00"/>
              <w:bottom w:val="nil"/>
              <w:right w:val="single" w:sz="4" w:space="0" w:color="5E8A00"/>
            </w:tcBorders>
            <w:shd w:val="clear" w:color="000000" w:fill="5E8A00"/>
            <w:noWrap/>
            <w:vAlign w:val="bottom"/>
            <w:hideMark/>
          </w:tcPr>
          <w:p w:rsidR="002A1EBA" w:rsidRPr="002A1EBA" w:rsidRDefault="002A1EBA" w:rsidP="002A1EBA">
            <w:pPr>
              <w:spacing w:after="0" w:line="240" w:lineRule="auto"/>
              <w:jc w:val="left"/>
              <w:rPr>
                <w:rFonts w:cs="Arial"/>
                <w:b/>
                <w:bCs/>
                <w:color w:val="FFFFFF"/>
                <w:sz w:val="18"/>
                <w:szCs w:val="18"/>
                <w:lang w:eastAsia="en-AU"/>
              </w:rPr>
            </w:pPr>
            <w:r w:rsidRPr="002A1EBA">
              <w:rPr>
                <w:rFonts w:cs="Arial"/>
                <w:b/>
                <w:bCs/>
                <w:color w:val="FFFFFF"/>
                <w:sz w:val="18"/>
                <w:szCs w:val="18"/>
                <w:lang w:eastAsia="en-AU"/>
              </w:rPr>
              <w:t>Total</w:t>
            </w:r>
          </w:p>
        </w:tc>
        <w:tc>
          <w:tcPr>
            <w:tcW w:w="1253"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6,584 </w:t>
            </w:r>
          </w:p>
        </w:tc>
        <w:tc>
          <w:tcPr>
            <w:tcW w:w="1254"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11,526 </w:t>
            </w:r>
          </w:p>
        </w:tc>
        <w:tc>
          <w:tcPr>
            <w:tcW w:w="1253"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 xml:space="preserve">12,747 </w:t>
            </w:r>
          </w:p>
        </w:tc>
        <w:tc>
          <w:tcPr>
            <w:tcW w:w="1254"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94%</w:t>
            </w:r>
          </w:p>
        </w:tc>
        <w:tc>
          <w:tcPr>
            <w:tcW w:w="1254" w:type="dxa"/>
            <w:tcBorders>
              <w:top w:val="nil"/>
              <w:left w:val="nil"/>
              <w:bottom w:val="nil"/>
              <w:right w:val="single" w:sz="4" w:space="0" w:color="5E8A00"/>
            </w:tcBorders>
            <w:shd w:val="clear" w:color="000000" w:fill="5E8A00"/>
            <w:noWrap/>
            <w:vAlign w:val="center"/>
            <w:hideMark/>
          </w:tcPr>
          <w:p w:rsidR="002A1EBA" w:rsidRPr="002A1EBA" w:rsidRDefault="002A1EBA" w:rsidP="002A1EBA">
            <w:pPr>
              <w:spacing w:after="0" w:line="240" w:lineRule="auto"/>
              <w:jc w:val="right"/>
              <w:rPr>
                <w:rFonts w:cs="Arial"/>
                <w:b/>
                <w:bCs/>
                <w:color w:val="FFFFFF"/>
                <w:sz w:val="18"/>
                <w:szCs w:val="18"/>
                <w:lang w:eastAsia="en-AU"/>
              </w:rPr>
            </w:pPr>
            <w:r w:rsidRPr="002A1EBA">
              <w:rPr>
                <w:rFonts w:cs="Arial"/>
                <w:b/>
                <w:bCs/>
                <w:color w:val="FFFFFF"/>
                <w:sz w:val="18"/>
                <w:szCs w:val="18"/>
                <w:lang w:eastAsia="en-AU"/>
              </w:rPr>
              <w:t>11%</w:t>
            </w:r>
          </w:p>
        </w:tc>
      </w:tr>
    </w:tbl>
    <w:p w:rsidR="002A1EBA" w:rsidRDefault="002A1EBA" w:rsidP="002A1EBA"/>
    <w:p w:rsidR="00351166" w:rsidRPr="001F29E3" w:rsidRDefault="00351166" w:rsidP="00A9260A">
      <w:pPr>
        <w:pStyle w:val="Heading3"/>
      </w:pPr>
      <w:r w:rsidRPr="001F29E3">
        <w:lastRenderedPageBreak/>
        <w:t xml:space="preserve">Government Subsidised </w:t>
      </w:r>
      <w:r w:rsidR="009E5BB6" w:rsidRPr="001F29E3">
        <w:t xml:space="preserve">Student </w:t>
      </w:r>
      <w:r w:rsidR="002757F4" w:rsidRPr="001F29E3">
        <w:t>C</w:t>
      </w:r>
      <w:r w:rsidR="009E5BB6" w:rsidRPr="001F29E3">
        <w:t xml:space="preserve">ontact </w:t>
      </w:r>
      <w:r w:rsidR="002757F4" w:rsidRPr="001F29E3">
        <w:t>H</w:t>
      </w:r>
      <w:r w:rsidR="009E5BB6" w:rsidRPr="001F29E3">
        <w:t>ours</w:t>
      </w:r>
    </w:p>
    <w:p w:rsidR="00205339" w:rsidRPr="001F29E3" w:rsidRDefault="00205339" w:rsidP="00205339">
      <w:pPr>
        <w:rPr>
          <w:rFonts w:cs="Arial"/>
        </w:rPr>
      </w:pPr>
    </w:p>
    <w:tbl>
      <w:tblPr>
        <w:tblW w:w="5000" w:type="pct"/>
        <w:tblInd w:w="8" w:type="dxa"/>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205339" w:rsidRPr="001F29E3" w:rsidTr="00ED1F4D">
        <w:trPr>
          <w:trHeight w:val="1047"/>
        </w:trPr>
        <w:tc>
          <w:tcPr>
            <w:tcW w:w="9088" w:type="dxa"/>
          </w:tcPr>
          <w:p w:rsidR="00205339" w:rsidRDefault="00205339" w:rsidP="00205339">
            <w:pPr>
              <w:pStyle w:val="Heading3"/>
            </w:pPr>
            <w:r w:rsidRPr="007A2BA3">
              <w:t>Key Points</w:t>
            </w:r>
          </w:p>
          <w:p w:rsidR="00D168D3" w:rsidRPr="00D168D3" w:rsidRDefault="00D168D3" w:rsidP="00D168D3"/>
          <w:p w:rsidR="00205339" w:rsidRPr="00D756FD" w:rsidRDefault="004529B8" w:rsidP="00255E47">
            <w:pPr>
              <w:pStyle w:val="ListBullet"/>
              <w:numPr>
                <w:ilvl w:val="0"/>
                <w:numId w:val="5"/>
              </w:numPr>
              <w:ind w:right="113"/>
              <w:rPr>
                <w:rFonts w:cs="Arial"/>
              </w:rPr>
            </w:pPr>
            <w:r>
              <w:rPr>
                <w:rFonts w:cs="Arial"/>
              </w:rPr>
              <w:t>G</w:t>
            </w:r>
            <w:r w:rsidR="00205339" w:rsidRPr="007A2BA3">
              <w:rPr>
                <w:rFonts w:cs="Arial"/>
              </w:rPr>
              <w:t xml:space="preserve">overnment subsidised student contact hours at </w:t>
            </w:r>
            <w:r w:rsidR="005F4779">
              <w:rPr>
                <w:rFonts w:cs="Arial"/>
              </w:rPr>
              <w:t>C</w:t>
            </w:r>
            <w:r w:rsidR="00205339" w:rsidRPr="007A2BA3">
              <w:rPr>
                <w:rFonts w:cs="Arial"/>
              </w:rPr>
              <w:t xml:space="preserve">ertificate </w:t>
            </w:r>
            <w:r w:rsidR="00255E47">
              <w:rPr>
                <w:rFonts w:cs="Arial"/>
              </w:rPr>
              <w:t>III to IV</w:t>
            </w:r>
            <w:r w:rsidR="00205339" w:rsidRPr="007A2BA3">
              <w:rPr>
                <w:rFonts w:cs="Arial"/>
              </w:rPr>
              <w:t xml:space="preserve"> levels in Q</w:t>
            </w:r>
            <w:r w:rsidR="00E03EE1">
              <w:rPr>
                <w:rFonts w:cs="Arial"/>
              </w:rPr>
              <w:t>3</w:t>
            </w:r>
            <w:r w:rsidR="00205339" w:rsidRPr="007A2BA3">
              <w:rPr>
                <w:rFonts w:cs="Arial"/>
              </w:rPr>
              <w:t xml:space="preserve"> 2013 </w:t>
            </w:r>
            <w:r w:rsidR="00255E47">
              <w:rPr>
                <w:rFonts w:cs="Arial"/>
              </w:rPr>
              <w:t>accounted for 93.5</w:t>
            </w:r>
            <w:r>
              <w:rPr>
                <w:rFonts w:cs="Arial"/>
              </w:rPr>
              <w:t xml:space="preserve"> million hours</w:t>
            </w:r>
            <w:r w:rsidR="00255E47">
              <w:rPr>
                <w:rFonts w:cs="Arial"/>
              </w:rPr>
              <w:t>.</w:t>
            </w:r>
          </w:p>
        </w:tc>
      </w:tr>
    </w:tbl>
    <w:p w:rsidR="00205339" w:rsidRDefault="00205339" w:rsidP="002A41B7">
      <w:pPr>
        <w:rPr>
          <w:rFonts w:cs="Arial"/>
        </w:rPr>
      </w:pPr>
    </w:p>
    <w:p w:rsidR="00205339" w:rsidRPr="001F29E3" w:rsidRDefault="00205339" w:rsidP="002A41B7">
      <w:pPr>
        <w:rPr>
          <w:rFonts w:cs="Arial"/>
        </w:rPr>
      </w:pPr>
    </w:p>
    <w:p w:rsidR="00351166" w:rsidRPr="001F29E3" w:rsidRDefault="00351166" w:rsidP="007A2BA3">
      <w:pPr>
        <w:pStyle w:val="Caption"/>
        <w:spacing w:after="0"/>
        <w:jc w:val="left"/>
        <w:rPr>
          <w:rFonts w:cs="Arial"/>
        </w:rPr>
      </w:pPr>
      <w:r w:rsidRPr="001F29E3">
        <w:rPr>
          <w:rFonts w:cs="Arial"/>
        </w:rPr>
        <w:t>Table 1.</w:t>
      </w:r>
      <w:r w:rsidR="00EA5ABC">
        <w:rPr>
          <w:rFonts w:cs="Arial"/>
        </w:rPr>
        <w:t>8</w:t>
      </w:r>
      <w:r w:rsidR="00F9318B">
        <w:rPr>
          <w:rFonts w:cs="Arial"/>
        </w:rPr>
        <w:t>.1</w:t>
      </w:r>
      <w:r w:rsidRPr="001F29E3">
        <w:rPr>
          <w:rFonts w:cs="Arial"/>
        </w:rPr>
        <w:t>:</w:t>
      </w:r>
      <w:r w:rsidR="007D59C7" w:rsidRPr="001F29E3">
        <w:rPr>
          <w:rFonts w:cs="Arial"/>
        </w:rPr>
        <w:t xml:space="preserve"> G</w:t>
      </w:r>
      <w:r w:rsidRPr="001F29E3">
        <w:rPr>
          <w:rFonts w:cs="Arial"/>
        </w:rPr>
        <w:t xml:space="preserve">overnment subsidised </w:t>
      </w:r>
      <w:r w:rsidR="009E5BB6" w:rsidRPr="001F29E3">
        <w:rPr>
          <w:rFonts w:cs="Arial"/>
        </w:rPr>
        <w:t>student contact hours</w:t>
      </w:r>
      <w:r w:rsidRPr="001F29E3">
        <w:rPr>
          <w:rFonts w:cs="Arial"/>
        </w:rPr>
        <w:t xml:space="preserve"> </w:t>
      </w:r>
      <w:r w:rsidR="0013272D" w:rsidRPr="001F29E3">
        <w:rPr>
          <w:rFonts w:cs="Arial"/>
        </w:rPr>
        <w:t xml:space="preserve">(millions) </w:t>
      </w:r>
      <w:r w:rsidRPr="001F29E3">
        <w:rPr>
          <w:rFonts w:cs="Arial"/>
        </w:rPr>
        <w:t>by qualification level, 2008–2012</w:t>
      </w:r>
    </w:p>
    <w:tbl>
      <w:tblPr>
        <w:tblW w:w="9140" w:type="dxa"/>
        <w:tblInd w:w="103" w:type="dxa"/>
        <w:tblLook w:val="04A0" w:firstRow="1" w:lastRow="0" w:firstColumn="1" w:lastColumn="0" w:noHBand="0" w:noVBand="1"/>
      </w:tblPr>
      <w:tblGrid>
        <w:gridCol w:w="2420"/>
        <w:gridCol w:w="1120"/>
        <w:gridCol w:w="1120"/>
        <w:gridCol w:w="1120"/>
        <w:gridCol w:w="1120"/>
        <w:gridCol w:w="1120"/>
        <w:gridCol w:w="1120"/>
      </w:tblGrid>
      <w:tr w:rsidR="007A2BA3" w:rsidRPr="007A2BA3" w:rsidTr="009C657F">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7A2BA3" w:rsidRPr="007A2BA3" w:rsidRDefault="007A2BA3" w:rsidP="007A2BA3">
            <w:pPr>
              <w:spacing w:after="0" w:line="240" w:lineRule="auto"/>
              <w:jc w:val="left"/>
              <w:rPr>
                <w:rFonts w:cs="Arial"/>
                <w:b/>
                <w:bCs/>
                <w:color w:val="FFFFFF"/>
                <w:sz w:val="18"/>
                <w:szCs w:val="18"/>
                <w:lang w:eastAsia="en-AU"/>
              </w:rPr>
            </w:pPr>
            <w:r w:rsidRPr="007A2BA3">
              <w:rPr>
                <w:rFonts w:cs="Arial"/>
                <w:b/>
                <w:bCs/>
                <w:color w:val="FFFFFF"/>
                <w:sz w:val="18"/>
                <w:szCs w:val="18"/>
                <w:lang w:eastAsia="en-AU"/>
              </w:rPr>
              <w:t>Qualification level</w:t>
            </w:r>
          </w:p>
        </w:tc>
        <w:tc>
          <w:tcPr>
            <w:tcW w:w="1120" w:type="dxa"/>
            <w:tcBorders>
              <w:top w:val="single" w:sz="4" w:space="0" w:color="5E8A00"/>
              <w:bottom w:val="single" w:sz="4" w:space="0" w:color="5E8A00"/>
            </w:tcBorders>
            <w:shd w:val="clear" w:color="000000" w:fill="5E8A00"/>
            <w:vAlign w:val="center"/>
            <w:hideMark/>
          </w:tcPr>
          <w:p w:rsidR="007A2BA3" w:rsidRPr="007A2BA3" w:rsidRDefault="007A2BA3" w:rsidP="00F034AF">
            <w:pPr>
              <w:spacing w:after="0" w:line="240" w:lineRule="auto"/>
              <w:ind w:firstLineChars="100" w:firstLine="181"/>
              <w:jc w:val="right"/>
              <w:rPr>
                <w:rFonts w:cs="Arial"/>
                <w:b/>
                <w:bCs/>
                <w:color w:val="FFFFFF"/>
                <w:sz w:val="18"/>
                <w:szCs w:val="18"/>
                <w:lang w:eastAsia="en-AU"/>
              </w:rPr>
            </w:pPr>
            <w:r w:rsidRPr="007A2BA3">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7A2BA3" w:rsidRPr="007A2BA3" w:rsidRDefault="007A2BA3" w:rsidP="00F034AF">
            <w:pPr>
              <w:spacing w:after="0" w:line="240" w:lineRule="auto"/>
              <w:ind w:firstLineChars="100" w:firstLine="181"/>
              <w:jc w:val="right"/>
              <w:rPr>
                <w:rFonts w:cs="Arial"/>
                <w:b/>
                <w:bCs/>
                <w:color w:val="FFFFFF"/>
                <w:sz w:val="18"/>
                <w:szCs w:val="18"/>
                <w:lang w:eastAsia="en-AU"/>
              </w:rPr>
            </w:pPr>
            <w:r w:rsidRPr="007A2BA3">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7A2BA3" w:rsidRPr="007A2BA3" w:rsidRDefault="007A2BA3" w:rsidP="00F034AF">
            <w:pPr>
              <w:spacing w:after="0" w:line="240" w:lineRule="auto"/>
              <w:ind w:firstLineChars="100" w:firstLine="181"/>
              <w:jc w:val="right"/>
              <w:rPr>
                <w:rFonts w:cs="Arial"/>
                <w:b/>
                <w:bCs/>
                <w:color w:val="FFFFFF"/>
                <w:sz w:val="18"/>
                <w:szCs w:val="18"/>
                <w:lang w:eastAsia="en-AU"/>
              </w:rPr>
            </w:pPr>
            <w:r w:rsidRPr="007A2BA3">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7A2BA3" w:rsidRPr="007A2BA3" w:rsidRDefault="007A2BA3" w:rsidP="00F034AF">
            <w:pPr>
              <w:spacing w:after="0" w:line="240" w:lineRule="auto"/>
              <w:ind w:firstLineChars="100" w:firstLine="181"/>
              <w:jc w:val="right"/>
              <w:rPr>
                <w:rFonts w:cs="Arial"/>
                <w:b/>
                <w:bCs/>
                <w:color w:val="FFFFFF"/>
                <w:sz w:val="18"/>
                <w:szCs w:val="18"/>
                <w:lang w:eastAsia="en-AU"/>
              </w:rPr>
            </w:pPr>
            <w:r w:rsidRPr="007A2BA3">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7A2BA3" w:rsidRPr="007A2BA3" w:rsidRDefault="007A2BA3" w:rsidP="00F034AF">
            <w:pPr>
              <w:spacing w:after="0" w:line="240" w:lineRule="auto"/>
              <w:ind w:firstLineChars="100" w:firstLine="181"/>
              <w:jc w:val="right"/>
              <w:rPr>
                <w:rFonts w:cs="Arial"/>
                <w:b/>
                <w:bCs/>
                <w:color w:val="FFFFFF"/>
                <w:sz w:val="18"/>
                <w:szCs w:val="18"/>
                <w:lang w:eastAsia="en-AU"/>
              </w:rPr>
            </w:pPr>
            <w:r w:rsidRPr="007A2BA3">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change</w:t>
            </w:r>
            <w:r w:rsidRPr="007A2BA3">
              <w:rPr>
                <w:rFonts w:cs="Arial"/>
                <w:b/>
                <w:bCs/>
                <w:color w:val="FFFFFF"/>
                <w:sz w:val="18"/>
                <w:szCs w:val="18"/>
                <w:lang w:eastAsia="en-AU"/>
              </w:rPr>
              <w:br/>
              <w:t>2008-2012</w:t>
            </w:r>
          </w:p>
        </w:tc>
      </w:tr>
      <w:tr w:rsidR="007A2BA3" w:rsidRPr="007A2BA3" w:rsidTr="007A2BA3">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7A2BA3" w:rsidRPr="007A2BA3" w:rsidRDefault="007A2BA3" w:rsidP="007A2BA3">
            <w:pPr>
              <w:spacing w:after="0" w:line="240" w:lineRule="auto"/>
              <w:jc w:val="left"/>
              <w:rPr>
                <w:rFonts w:cs="Arial"/>
                <w:color w:val="3E5B00"/>
                <w:sz w:val="18"/>
                <w:szCs w:val="18"/>
                <w:lang w:eastAsia="en-AU"/>
              </w:rPr>
            </w:pPr>
            <w:r w:rsidRPr="007A2BA3">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14.2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15.2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17.5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22.6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27.9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97%</w:t>
            </w:r>
          </w:p>
        </w:tc>
      </w:tr>
      <w:tr w:rsidR="007A2BA3" w:rsidRPr="007A2BA3" w:rsidTr="007A2BA3">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7A2BA3" w:rsidRPr="007A2BA3" w:rsidRDefault="007A2BA3" w:rsidP="007A2BA3">
            <w:pPr>
              <w:spacing w:after="0" w:line="240" w:lineRule="auto"/>
              <w:jc w:val="left"/>
              <w:rPr>
                <w:rFonts w:cs="Arial"/>
                <w:color w:val="3E5B00"/>
                <w:sz w:val="18"/>
                <w:szCs w:val="18"/>
                <w:lang w:eastAsia="en-AU"/>
              </w:rPr>
            </w:pPr>
            <w:r w:rsidRPr="007A2BA3">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44.9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48.8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59.1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81.7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112.8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151%</w:t>
            </w:r>
          </w:p>
        </w:tc>
      </w:tr>
      <w:tr w:rsidR="007A2BA3" w:rsidRPr="007A2BA3" w:rsidTr="007A2BA3">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7A2BA3" w:rsidRPr="007A2BA3" w:rsidRDefault="007A2BA3" w:rsidP="007A2BA3">
            <w:pPr>
              <w:spacing w:after="0" w:line="240" w:lineRule="auto"/>
              <w:jc w:val="left"/>
              <w:rPr>
                <w:rFonts w:cs="Arial"/>
                <w:color w:val="3E5B00"/>
                <w:sz w:val="18"/>
                <w:szCs w:val="18"/>
                <w:lang w:eastAsia="en-AU"/>
              </w:rPr>
            </w:pPr>
            <w:r w:rsidRPr="007A2BA3">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22.9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26.0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30.9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36.2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41.2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79%</w:t>
            </w:r>
          </w:p>
        </w:tc>
      </w:tr>
      <w:tr w:rsidR="007A2BA3" w:rsidRPr="007A2BA3" w:rsidTr="007A2BA3">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7A2BA3" w:rsidRPr="007A2BA3" w:rsidRDefault="007A2BA3" w:rsidP="007A2BA3">
            <w:pPr>
              <w:spacing w:after="0" w:line="240" w:lineRule="auto"/>
              <w:jc w:val="left"/>
              <w:rPr>
                <w:rFonts w:cs="Arial"/>
                <w:color w:val="3E5B00"/>
                <w:sz w:val="18"/>
                <w:szCs w:val="18"/>
                <w:lang w:eastAsia="en-AU"/>
              </w:rPr>
            </w:pPr>
            <w:r w:rsidRPr="007A2BA3">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1.4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1.6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1.6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1.3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1.4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0%</w:t>
            </w:r>
          </w:p>
        </w:tc>
      </w:tr>
      <w:tr w:rsidR="007A2BA3" w:rsidRPr="007A2BA3" w:rsidTr="007A2BA3">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7A2BA3" w:rsidRPr="007A2BA3" w:rsidRDefault="007A2BA3" w:rsidP="007A2BA3">
            <w:pPr>
              <w:spacing w:after="0" w:line="240" w:lineRule="auto"/>
              <w:jc w:val="left"/>
              <w:rPr>
                <w:rFonts w:cs="Arial"/>
                <w:color w:val="3E5B00"/>
                <w:sz w:val="18"/>
                <w:szCs w:val="18"/>
                <w:lang w:eastAsia="en-AU"/>
              </w:rPr>
            </w:pPr>
            <w:r w:rsidRPr="007A2BA3">
              <w:rPr>
                <w:rFonts w:cs="Arial"/>
                <w:color w:val="3E5B00"/>
                <w:sz w:val="18"/>
                <w:szCs w:val="18"/>
                <w:lang w:eastAsia="en-AU"/>
              </w:rPr>
              <w:t xml:space="preserve">Secondary, </w:t>
            </w:r>
            <w:proofErr w:type="spellStart"/>
            <w:r w:rsidRPr="007A2BA3">
              <w:rPr>
                <w:rFonts w:cs="Arial"/>
                <w:color w:val="3E5B00"/>
                <w:sz w:val="18"/>
                <w:szCs w:val="18"/>
                <w:lang w:eastAsia="en-AU"/>
              </w:rPr>
              <w:t>SoA</w:t>
            </w:r>
            <w:proofErr w:type="spellEnd"/>
            <w:r w:rsidRPr="007A2BA3">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3.9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4.0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3.3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5.2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 xml:space="preserve">5.5 </w:t>
            </w:r>
          </w:p>
        </w:tc>
        <w:tc>
          <w:tcPr>
            <w:tcW w:w="1120" w:type="dxa"/>
            <w:tcBorders>
              <w:top w:val="nil"/>
              <w:left w:val="nil"/>
              <w:bottom w:val="single" w:sz="4" w:space="0" w:color="5E8A00"/>
              <w:right w:val="single" w:sz="4" w:space="0" w:color="5E8A00"/>
            </w:tcBorders>
            <w:shd w:val="clear" w:color="auto" w:fill="auto"/>
            <w:noWrap/>
            <w:vAlign w:val="center"/>
            <w:hideMark/>
          </w:tcPr>
          <w:p w:rsidR="007A2BA3" w:rsidRPr="007A2BA3" w:rsidRDefault="007A2BA3" w:rsidP="007A2BA3">
            <w:pPr>
              <w:spacing w:after="0" w:line="240" w:lineRule="auto"/>
              <w:jc w:val="right"/>
              <w:rPr>
                <w:rFonts w:cs="Arial"/>
                <w:sz w:val="18"/>
                <w:szCs w:val="18"/>
                <w:lang w:eastAsia="en-AU"/>
              </w:rPr>
            </w:pPr>
            <w:r w:rsidRPr="007A2BA3">
              <w:rPr>
                <w:rFonts w:cs="Arial"/>
                <w:sz w:val="18"/>
                <w:szCs w:val="18"/>
                <w:lang w:eastAsia="en-AU"/>
              </w:rPr>
              <w:t>40%</w:t>
            </w:r>
          </w:p>
        </w:tc>
      </w:tr>
      <w:tr w:rsidR="007A2BA3" w:rsidRPr="007A2BA3" w:rsidTr="007A2BA3">
        <w:trPr>
          <w:trHeight w:hRule="exact" w:val="284"/>
        </w:trPr>
        <w:tc>
          <w:tcPr>
            <w:tcW w:w="2420" w:type="dxa"/>
            <w:tcBorders>
              <w:top w:val="nil"/>
              <w:left w:val="single" w:sz="4" w:space="0" w:color="5E8A00"/>
              <w:bottom w:val="nil"/>
              <w:right w:val="single" w:sz="4" w:space="0" w:color="5E8A00"/>
            </w:tcBorders>
            <w:shd w:val="clear" w:color="000000" w:fill="5E8A00"/>
            <w:noWrap/>
            <w:vAlign w:val="bottom"/>
            <w:hideMark/>
          </w:tcPr>
          <w:p w:rsidR="007A2BA3" w:rsidRPr="007A2BA3" w:rsidRDefault="007A2BA3" w:rsidP="007A2BA3">
            <w:pPr>
              <w:spacing w:after="0" w:line="240" w:lineRule="auto"/>
              <w:jc w:val="left"/>
              <w:rPr>
                <w:rFonts w:cs="Arial"/>
                <w:b/>
                <w:bCs/>
                <w:color w:val="FFFFFF"/>
                <w:sz w:val="18"/>
                <w:szCs w:val="18"/>
                <w:lang w:eastAsia="en-AU"/>
              </w:rPr>
            </w:pPr>
            <w:r w:rsidRPr="007A2BA3">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xml:space="preserve">87.4 </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xml:space="preserve">95.6 </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xml:space="preserve">112.4 </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xml:space="preserve">146.9 </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 xml:space="preserve">188.8 </w:t>
            </w:r>
          </w:p>
        </w:tc>
        <w:tc>
          <w:tcPr>
            <w:tcW w:w="1120" w:type="dxa"/>
            <w:tcBorders>
              <w:top w:val="nil"/>
              <w:left w:val="nil"/>
              <w:bottom w:val="nil"/>
              <w:right w:val="single" w:sz="4" w:space="0" w:color="5E8A00"/>
            </w:tcBorders>
            <w:shd w:val="clear" w:color="000000" w:fill="5E8A00"/>
            <w:noWrap/>
            <w:vAlign w:val="center"/>
            <w:hideMark/>
          </w:tcPr>
          <w:p w:rsidR="007A2BA3" w:rsidRPr="007A2BA3" w:rsidRDefault="007A2BA3" w:rsidP="007A2BA3">
            <w:pPr>
              <w:spacing w:after="0" w:line="240" w:lineRule="auto"/>
              <w:jc w:val="right"/>
              <w:rPr>
                <w:rFonts w:cs="Arial"/>
                <w:b/>
                <w:bCs/>
                <w:color w:val="FFFFFF"/>
                <w:sz w:val="18"/>
                <w:szCs w:val="18"/>
                <w:lang w:eastAsia="en-AU"/>
              </w:rPr>
            </w:pPr>
            <w:r w:rsidRPr="007A2BA3">
              <w:rPr>
                <w:rFonts w:cs="Arial"/>
                <w:b/>
                <w:bCs/>
                <w:color w:val="FFFFFF"/>
                <w:sz w:val="18"/>
                <w:szCs w:val="18"/>
                <w:lang w:eastAsia="en-AU"/>
              </w:rPr>
              <w:t>116%</w:t>
            </w:r>
          </w:p>
        </w:tc>
      </w:tr>
    </w:tbl>
    <w:p w:rsidR="00351166" w:rsidRPr="001F29E3" w:rsidRDefault="00351166" w:rsidP="00351166">
      <w:pPr>
        <w:rPr>
          <w:rFonts w:cs="Arial"/>
        </w:rPr>
      </w:pPr>
      <w:proofErr w:type="spellStart"/>
      <w:r w:rsidRPr="001F29E3">
        <w:rPr>
          <w:rFonts w:cs="Arial"/>
          <w:sz w:val="16"/>
          <w:szCs w:val="16"/>
        </w:rPr>
        <w:t>SoA</w:t>
      </w:r>
      <w:proofErr w:type="spellEnd"/>
      <w:r w:rsidR="007E7B89">
        <w:rPr>
          <w:rFonts w:cs="Arial"/>
          <w:sz w:val="16"/>
          <w:szCs w:val="16"/>
        </w:rPr>
        <w:t xml:space="preserve">: </w:t>
      </w:r>
      <w:r w:rsidRPr="001F29E3">
        <w:rPr>
          <w:rFonts w:cs="Arial"/>
          <w:sz w:val="16"/>
          <w:szCs w:val="16"/>
        </w:rPr>
        <w:t>Statement of Attainment</w:t>
      </w:r>
      <w:r w:rsidR="007E7B89">
        <w:rPr>
          <w:rFonts w:cs="Arial"/>
          <w:sz w:val="16"/>
          <w:szCs w:val="16"/>
        </w:rPr>
        <w:t>.</w:t>
      </w:r>
    </w:p>
    <w:p w:rsidR="005D46B9" w:rsidRDefault="005D46B9" w:rsidP="00351166">
      <w:pPr>
        <w:rPr>
          <w:rFonts w:cs="Arial"/>
        </w:rPr>
      </w:pPr>
    </w:p>
    <w:p w:rsidR="00F9318B" w:rsidRDefault="00F9318B" w:rsidP="007A2BA3">
      <w:pPr>
        <w:pStyle w:val="Caption"/>
        <w:spacing w:after="0"/>
        <w:jc w:val="left"/>
        <w:rPr>
          <w:rFonts w:cs="Arial"/>
        </w:rPr>
      </w:pPr>
      <w:r w:rsidRPr="001F29E3">
        <w:rPr>
          <w:rFonts w:cs="Arial"/>
        </w:rPr>
        <w:t>Table 1.</w:t>
      </w:r>
      <w:r w:rsidR="00EA5ABC">
        <w:rPr>
          <w:rFonts w:cs="Arial"/>
        </w:rPr>
        <w:t>8</w:t>
      </w:r>
      <w:r>
        <w:rPr>
          <w:rFonts w:cs="Arial"/>
        </w:rPr>
        <w:t>.2</w:t>
      </w:r>
      <w:r w:rsidRPr="001F29E3">
        <w:rPr>
          <w:rFonts w:cs="Arial"/>
        </w:rPr>
        <w:t>: Government subsidised student contact hours (millions) by qualification level, Q</w:t>
      </w:r>
      <w:r w:rsidR="00EA374C">
        <w:rPr>
          <w:rFonts w:cs="Arial"/>
        </w:rPr>
        <w:t>3</w:t>
      </w:r>
      <w:r w:rsidRPr="001F29E3">
        <w:rPr>
          <w:rFonts w:cs="Arial"/>
        </w:rPr>
        <w:t xml:space="preserve"> 201</w:t>
      </w:r>
      <w:r w:rsidR="008210F0">
        <w:rPr>
          <w:rFonts w:cs="Arial"/>
        </w:rPr>
        <w:t xml:space="preserve">1, </w:t>
      </w:r>
      <w:r w:rsidR="008210F0">
        <w:rPr>
          <w:rFonts w:cs="Arial"/>
        </w:rPr>
        <w:br/>
        <w:t>Q</w:t>
      </w:r>
      <w:r w:rsidR="00EA374C">
        <w:rPr>
          <w:rFonts w:cs="Arial"/>
        </w:rPr>
        <w:t>3</w:t>
      </w:r>
      <w:r w:rsidR="008210F0">
        <w:rPr>
          <w:rFonts w:cs="Arial"/>
        </w:rPr>
        <w:t xml:space="preserve"> 2012</w:t>
      </w:r>
      <w:r>
        <w:rPr>
          <w:rFonts w:cs="Arial"/>
        </w:rPr>
        <w:t xml:space="preserve"> </w:t>
      </w:r>
      <w:r w:rsidRPr="001F29E3">
        <w:rPr>
          <w:rFonts w:cs="Arial"/>
        </w:rPr>
        <w:t>and Q</w:t>
      </w:r>
      <w:r w:rsidR="00EA374C">
        <w:rPr>
          <w:rFonts w:cs="Arial"/>
        </w:rPr>
        <w:t>3</w:t>
      </w:r>
      <w:r w:rsidRPr="001F29E3">
        <w:rPr>
          <w:rFonts w:cs="Arial"/>
        </w:rPr>
        <w:t xml:space="preserve"> 2013</w:t>
      </w:r>
    </w:p>
    <w:tbl>
      <w:tblPr>
        <w:tblW w:w="8400" w:type="dxa"/>
        <w:tblInd w:w="103" w:type="dxa"/>
        <w:tblLook w:val="04A0" w:firstRow="1" w:lastRow="0" w:firstColumn="1" w:lastColumn="0" w:noHBand="0" w:noVBand="1"/>
      </w:tblPr>
      <w:tblGrid>
        <w:gridCol w:w="2800"/>
        <w:gridCol w:w="1120"/>
        <w:gridCol w:w="1120"/>
        <w:gridCol w:w="1120"/>
        <w:gridCol w:w="1120"/>
        <w:gridCol w:w="1120"/>
      </w:tblGrid>
      <w:tr w:rsidR="00EA374C" w:rsidRPr="00EA374C" w:rsidTr="00EA374C">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ind w:firstLineChars="100" w:firstLine="181"/>
              <w:jc w:val="right"/>
              <w:rPr>
                <w:rFonts w:cs="Arial"/>
                <w:b/>
                <w:bCs/>
                <w:color w:val="FFFFFF"/>
                <w:sz w:val="18"/>
                <w:szCs w:val="18"/>
                <w:lang w:eastAsia="en-AU"/>
              </w:rPr>
            </w:pPr>
            <w:r w:rsidRPr="00EA374C">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ind w:firstLineChars="100" w:firstLine="181"/>
              <w:jc w:val="right"/>
              <w:rPr>
                <w:rFonts w:cs="Arial"/>
                <w:b/>
                <w:bCs/>
                <w:color w:val="FFFFFF"/>
                <w:sz w:val="18"/>
                <w:szCs w:val="18"/>
                <w:lang w:eastAsia="en-AU"/>
              </w:rPr>
            </w:pPr>
            <w:r w:rsidRPr="00EA374C">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ind w:firstLineChars="100" w:firstLine="181"/>
              <w:jc w:val="right"/>
              <w:rPr>
                <w:rFonts w:cs="Arial"/>
                <w:b/>
                <w:bCs/>
                <w:color w:val="FFFFFF"/>
                <w:sz w:val="18"/>
                <w:szCs w:val="18"/>
                <w:lang w:eastAsia="en-AU"/>
              </w:rPr>
            </w:pPr>
            <w:r w:rsidRPr="00EA374C">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2012-Q3 2013</w:t>
            </w:r>
          </w:p>
        </w:tc>
      </w:tr>
      <w:tr w:rsidR="00EA374C" w:rsidRPr="00EA374C" w:rsidTr="00EA374C">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19.2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24.5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28.3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48%</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16%</w:t>
            </w:r>
          </w:p>
        </w:tc>
      </w:tr>
      <w:tr w:rsidR="00EA374C" w:rsidRPr="00EA374C" w:rsidTr="00EA374C">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72.4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102.4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93.5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29%</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-9%</w:t>
            </w:r>
          </w:p>
        </w:tc>
      </w:tr>
      <w:tr w:rsidR="00EA374C" w:rsidRPr="00EA374C" w:rsidTr="00EA374C">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36.4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42.3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31.7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-13%</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-25%</w:t>
            </w:r>
          </w:p>
        </w:tc>
      </w:tr>
      <w:tr w:rsidR="00EA374C" w:rsidRPr="00EA374C" w:rsidTr="00EA374C">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10%</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6%</w:t>
            </w:r>
          </w:p>
        </w:tc>
      </w:tr>
      <w:tr w:rsidR="00EA374C" w:rsidRPr="00EA374C" w:rsidTr="00EA374C">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 xml:space="preserve">Secondary, </w:t>
            </w:r>
            <w:proofErr w:type="spellStart"/>
            <w:r w:rsidRPr="00EA374C">
              <w:rPr>
                <w:rFonts w:cs="Arial"/>
                <w:color w:val="3E5B00"/>
                <w:sz w:val="18"/>
                <w:szCs w:val="18"/>
                <w:lang w:eastAsia="en-AU"/>
              </w:rPr>
              <w:t>SoA</w:t>
            </w:r>
            <w:proofErr w:type="spellEnd"/>
            <w:r w:rsidRPr="00EA374C">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3.8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5.3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5.7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51%</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9%</w:t>
            </w:r>
          </w:p>
        </w:tc>
      </w:tr>
      <w:tr w:rsidR="00EA374C" w:rsidRPr="00EA374C" w:rsidTr="00EA374C">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132.7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175.4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160.3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21%</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-9%</w:t>
            </w:r>
          </w:p>
        </w:tc>
      </w:tr>
    </w:tbl>
    <w:p w:rsidR="007E7B89" w:rsidRPr="007E7B89" w:rsidRDefault="007E7B89" w:rsidP="007E7B89">
      <w:pPr>
        <w:spacing w:after="0"/>
        <w:rPr>
          <w:sz w:val="16"/>
          <w:szCs w:val="16"/>
        </w:rPr>
      </w:pPr>
      <w:proofErr w:type="spellStart"/>
      <w:r w:rsidRPr="007E7B89">
        <w:rPr>
          <w:sz w:val="16"/>
          <w:szCs w:val="16"/>
        </w:rPr>
        <w:t>SoA</w:t>
      </w:r>
      <w:proofErr w:type="spellEnd"/>
      <w:r w:rsidRPr="007E7B89">
        <w:rPr>
          <w:sz w:val="16"/>
          <w:szCs w:val="16"/>
        </w:rPr>
        <w:t>: Statement of Attainment.</w:t>
      </w:r>
    </w:p>
    <w:p w:rsidR="007E7B89" w:rsidRPr="001F29E3" w:rsidRDefault="007E7B89" w:rsidP="00351166">
      <w:pPr>
        <w:rPr>
          <w:rFonts w:cs="Arial"/>
        </w:rPr>
      </w:pPr>
    </w:p>
    <w:p w:rsidR="00351166" w:rsidRPr="001F29E3" w:rsidRDefault="005D46B9" w:rsidP="00DC6F46">
      <w:pPr>
        <w:pStyle w:val="Caption"/>
        <w:spacing w:after="0"/>
        <w:jc w:val="left"/>
        <w:rPr>
          <w:rFonts w:cs="Arial"/>
        </w:rPr>
      </w:pPr>
      <w:r w:rsidRPr="001F29E3">
        <w:rPr>
          <w:rFonts w:cs="Arial"/>
        </w:rPr>
        <w:t>Figure 1.</w:t>
      </w:r>
      <w:r w:rsidR="00EA5ABC">
        <w:rPr>
          <w:rFonts w:cs="Arial"/>
        </w:rPr>
        <w:t>4</w:t>
      </w:r>
      <w:r w:rsidRPr="001F29E3">
        <w:rPr>
          <w:rFonts w:cs="Arial"/>
        </w:rPr>
        <w:t xml:space="preserve">: Government subsidised student contact hours by qualification level (AQF1+ only), </w:t>
      </w:r>
      <w:r w:rsidR="00C87E89">
        <w:rPr>
          <w:rFonts w:cs="Arial"/>
        </w:rPr>
        <w:br/>
        <w:t xml:space="preserve">Q3 2011, </w:t>
      </w:r>
      <w:r w:rsidRPr="001F29E3">
        <w:rPr>
          <w:rFonts w:cs="Arial"/>
        </w:rPr>
        <w:t>Q</w:t>
      </w:r>
      <w:r w:rsidR="00EA374C">
        <w:rPr>
          <w:rFonts w:cs="Arial"/>
        </w:rPr>
        <w:t>3</w:t>
      </w:r>
      <w:r w:rsidRPr="001F29E3">
        <w:rPr>
          <w:rFonts w:cs="Arial"/>
        </w:rPr>
        <w:t xml:space="preserve"> 2012 and Q</w:t>
      </w:r>
      <w:r w:rsidR="00EA374C">
        <w:rPr>
          <w:rFonts w:cs="Arial"/>
        </w:rPr>
        <w:t>3</w:t>
      </w:r>
      <w:r w:rsidRPr="001F29E3">
        <w:rPr>
          <w:rFonts w:cs="Arial"/>
        </w:rPr>
        <w:t xml:space="preserve"> 2013</w:t>
      </w:r>
    </w:p>
    <w:p w:rsidR="005D46B9" w:rsidRDefault="00C87E89" w:rsidP="007A2BA3">
      <w:pPr>
        <w:jc w:val="left"/>
        <w:rPr>
          <w:rFonts w:cs="Arial"/>
        </w:rPr>
      </w:pPr>
      <w:r>
        <w:rPr>
          <w:rFonts w:cs="Arial"/>
          <w:noProof/>
          <w:lang w:eastAsia="en-AU"/>
        </w:rPr>
        <w:drawing>
          <wp:inline distT="0" distB="0" distL="0" distR="0" wp14:anchorId="59F52142" wp14:editId="2C09BC77">
            <wp:extent cx="4971600" cy="2937600"/>
            <wp:effectExtent l="0" t="0" r="0" b="0"/>
            <wp:docPr id="8" name="Picture 8" descr="This chart presents the percentage of government subsidised student contact hours in Certificate level I-II, Certificate level III-IV and Diploma and over in Q3 2011, Q3 2012 and Q3 2013." title="Figure 1.4: Government subsidised student contact hours by qualification level (AQF1+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1600" cy="2937600"/>
                    </a:xfrm>
                    <a:prstGeom prst="rect">
                      <a:avLst/>
                    </a:prstGeom>
                    <a:noFill/>
                  </pic:spPr>
                </pic:pic>
              </a:graphicData>
            </a:graphic>
          </wp:inline>
        </w:drawing>
      </w:r>
    </w:p>
    <w:p w:rsidR="00351166" w:rsidRPr="001F29E3" w:rsidRDefault="00351166" w:rsidP="00A9260A">
      <w:pPr>
        <w:pStyle w:val="Heading2"/>
      </w:pPr>
      <w:bookmarkStart w:id="49" w:name="_Toc316542826"/>
      <w:bookmarkStart w:id="50" w:name="_Toc316629589"/>
      <w:bookmarkStart w:id="51" w:name="_Toc317173951"/>
      <w:bookmarkStart w:id="52" w:name="_Toc317174100"/>
      <w:bookmarkStart w:id="53" w:name="_Toc322454239"/>
      <w:bookmarkStart w:id="54" w:name="_Toc372613426"/>
      <w:bookmarkStart w:id="55" w:name="_Toc317174103"/>
      <w:bookmarkStart w:id="56" w:name="_Toc322454242"/>
      <w:r w:rsidRPr="001F29E3">
        <w:lastRenderedPageBreak/>
        <w:t>Age Profile</w:t>
      </w:r>
      <w:bookmarkEnd w:id="49"/>
      <w:bookmarkEnd w:id="50"/>
      <w:bookmarkEnd w:id="51"/>
      <w:bookmarkEnd w:id="52"/>
      <w:bookmarkEnd w:id="53"/>
      <w:bookmarkEnd w:id="54"/>
    </w:p>
    <w:p w:rsidR="00351166" w:rsidRPr="001F29E3" w:rsidRDefault="00351166" w:rsidP="00351166">
      <w:pPr>
        <w:rPr>
          <w:rFonts w:cs="Arial"/>
        </w:rPr>
      </w:pPr>
    </w:p>
    <w:p w:rsidR="00351166" w:rsidRPr="001F29E3" w:rsidRDefault="0055106F" w:rsidP="00A9260A">
      <w:pPr>
        <w:pStyle w:val="Heading3"/>
      </w:pPr>
      <w:r w:rsidRPr="001F29E3">
        <w:t>Vocational Training</w:t>
      </w:r>
      <w:r w:rsidR="00351166" w:rsidRPr="001F29E3">
        <w:t xml:space="preserve"> Delivery by Age Group</w:t>
      </w:r>
    </w:p>
    <w:p w:rsidR="00C45B16" w:rsidRPr="001F29E3" w:rsidRDefault="00351166" w:rsidP="00C45B16">
      <w:pPr>
        <w:rPr>
          <w:rFonts w:cs="Arial"/>
        </w:rPr>
      </w:pPr>
      <w:r w:rsidRPr="001F29E3">
        <w:rPr>
          <w:rFonts w:cs="Arial"/>
        </w:rPr>
        <w:t>To enable the increased workforce participation levels required by the Victorian economy over the next decade, improved engagement with education and training by all age groups is required.</w:t>
      </w:r>
      <w:r w:rsidR="00C45B16" w:rsidRPr="001F29E3">
        <w:rPr>
          <w:rFonts w:cs="Arial"/>
        </w:rPr>
        <w:t xml:space="preserve"> The vocational training system is also focused on accessibility and gender equality, ensuring all Victorians have the same opportunity to succeed in their lives and maintain well-being through education and training. </w:t>
      </w:r>
    </w:p>
    <w:p w:rsidR="008C0A56" w:rsidRDefault="008C0A56" w:rsidP="008C0A56"/>
    <w:p w:rsidR="00351166" w:rsidRPr="001F29E3" w:rsidRDefault="00351166" w:rsidP="00A9260A">
      <w:pPr>
        <w:pStyle w:val="Heading3"/>
      </w:pPr>
      <w:r w:rsidRPr="001F29E3">
        <w:t>Students by Age Group</w:t>
      </w:r>
      <w:r w:rsidR="00595A4F" w:rsidRPr="001F29E3">
        <w:t xml:space="preserve"> in Government Subsidised Training</w:t>
      </w:r>
    </w:p>
    <w:p w:rsidR="003A680C" w:rsidRPr="001F29E3" w:rsidRDefault="003A680C" w:rsidP="003A680C">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3A680C" w:rsidRPr="001F29E3" w:rsidTr="003A680C">
        <w:trPr>
          <w:trHeight w:val="1434"/>
        </w:trPr>
        <w:tc>
          <w:tcPr>
            <w:tcW w:w="7388" w:type="dxa"/>
          </w:tcPr>
          <w:p w:rsidR="003A680C" w:rsidRDefault="003A680C" w:rsidP="003A680C">
            <w:pPr>
              <w:pStyle w:val="Heading3"/>
            </w:pPr>
            <w:r w:rsidRPr="007A27E5">
              <w:t>Key Points</w:t>
            </w:r>
          </w:p>
          <w:p w:rsidR="008C0A56" w:rsidRPr="008C0A56" w:rsidRDefault="008C0A56" w:rsidP="008C0A56"/>
          <w:p w:rsidR="003A680C" w:rsidRPr="00A903E9" w:rsidRDefault="003A680C" w:rsidP="007E0806">
            <w:pPr>
              <w:pStyle w:val="ListBullet"/>
              <w:numPr>
                <w:ilvl w:val="0"/>
                <w:numId w:val="6"/>
              </w:numPr>
              <w:ind w:right="113"/>
              <w:rPr>
                <w:rFonts w:cs="Arial"/>
              </w:rPr>
            </w:pPr>
            <w:r w:rsidRPr="00A903E9">
              <w:rPr>
                <w:rFonts w:cs="Arial"/>
              </w:rPr>
              <w:t>The number of government subsidised students was 3</w:t>
            </w:r>
            <w:r w:rsidR="00A903E9" w:rsidRPr="00A903E9">
              <w:rPr>
                <w:rFonts w:cs="Arial"/>
              </w:rPr>
              <w:t>96</w:t>
            </w:r>
            <w:r w:rsidRPr="00A903E9">
              <w:rPr>
                <w:rFonts w:cs="Arial"/>
              </w:rPr>
              <w:t>,</w:t>
            </w:r>
            <w:r w:rsidR="00A903E9" w:rsidRPr="00A903E9">
              <w:rPr>
                <w:rFonts w:cs="Arial"/>
              </w:rPr>
              <w:t>9</w:t>
            </w:r>
            <w:r w:rsidRPr="00A903E9">
              <w:rPr>
                <w:rFonts w:cs="Arial"/>
              </w:rPr>
              <w:t>00 in Q</w:t>
            </w:r>
            <w:r w:rsidR="00A903E9" w:rsidRPr="00A903E9">
              <w:rPr>
                <w:rFonts w:cs="Arial"/>
              </w:rPr>
              <w:t>3</w:t>
            </w:r>
            <w:r w:rsidRPr="00A903E9">
              <w:rPr>
                <w:rFonts w:cs="Arial"/>
              </w:rPr>
              <w:t xml:space="preserve"> 2013. Students aged 15 to 24 ac</w:t>
            </w:r>
            <w:r w:rsidR="00255E47">
              <w:rPr>
                <w:rFonts w:cs="Arial"/>
              </w:rPr>
              <w:t xml:space="preserve">counted for 44 per cent of all </w:t>
            </w:r>
            <w:r w:rsidR="00255E47" w:rsidRPr="00A903E9">
              <w:rPr>
                <w:rFonts w:cs="Arial"/>
              </w:rPr>
              <w:t xml:space="preserve">students </w:t>
            </w:r>
            <w:r w:rsidR="00255E47">
              <w:rPr>
                <w:rFonts w:cs="Arial"/>
              </w:rPr>
              <w:t xml:space="preserve">undertaking government </w:t>
            </w:r>
            <w:r w:rsidRPr="00A903E9">
              <w:rPr>
                <w:rFonts w:cs="Arial"/>
              </w:rPr>
              <w:t>subsidised</w:t>
            </w:r>
            <w:r w:rsidR="00255E47">
              <w:rPr>
                <w:rFonts w:cs="Arial"/>
              </w:rPr>
              <w:t xml:space="preserve"> training</w:t>
            </w:r>
            <w:r w:rsidRPr="00A903E9">
              <w:rPr>
                <w:rFonts w:cs="Arial"/>
              </w:rPr>
              <w:t>.</w:t>
            </w:r>
          </w:p>
          <w:p w:rsidR="003A680C" w:rsidRPr="00D022C6" w:rsidRDefault="007E0806" w:rsidP="00A903E9">
            <w:pPr>
              <w:pStyle w:val="ListBullet"/>
              <w:numPr>
                <w:ilvl w:val="0"/>
                <w:numId w:val="6"/>
              </w:numPr>
              <w:ind w:right="113"/>
              <w:rPr>
                <w:rFonts w:cs="Arial"/>
              </w:rPr>
            </w:pPr>
            <w:r w:rsidRPr="00A903E9">
              <w:rPr>
                <w:rFonts w:cs="Arial"/>
              </w:rPr>
              <w:t>A</w:t>
            </w:r>
            <w:r w:rsidR="003A680C" w:rsidRPr="00A903E9">
              <w:rPr>
                <w:rFonts w:cs="Arial"/>
              </w:rPr>
              <w:t xml:space="preserve">ged 15-19 is the only </w:t>
            </w:r>
            <w:r w:rsidRPr="00A903E9">
              <w:rPr>
                <w:rFonts w:cs="Arial"/>
              </w:rPr>
              <w:t xml:space="preserve">age </w:t>
            </w:r>
            <w:r w:rsidR="003A680C" w:rsidRPr="00A903E9">
              <w:rPr>
                <w:rFonts w:cs="Arial"/>
              </w:rPr>
              <w:t xml:space="preserve">cohort </w:t>
            </w:r>
            <w:r w:rsidRPr="00A903E9">
              <w:rPr>
                <w:rFonts w:cs="Arial"/>
              </w:rPr>
              <w:t xml:space="preserve">with student numbers in </w:t>
            </w:r>
            <w:r w:rsidR="003A680C" w:rsidRPr="00A903E9">
              <w:rPr>
                <w:rFonts w:cs="Arial"/>
              </w:rPr>
              <w:t>Q</w:t>
            </w:r>
            <w:r w:rsidR="00A903E9" w:rsidRPr="00A903E9">
              <w:rPr>
                <w:rFonts w:cs="Arial"/>
              </w:rPr>
              <w:t>3</w:t>
            </w:r>
            <w:r w:rsidR="003A680C" w:rsidRPr="00A903E9">
              <w:rPr>
                <w:rFonts w:cs="Arial"/>
              </w:rPr>
              <w:t xml:space="preserve"> 2013 </w:t>
            </w:r>
            <w:r w:rsidR="00255E47">
              <w:rPr>
                <w:rFonts w:cs="Arial"/>
              </w:rPr>
              <w:t xml:space="preserve">which were </w:t>
            </w:r>
            <w:r w:rsidRPr="00A903E9">
              <w:rPr>
                <w:rFonts w:cs="Arial"/>
              </w:rPr>
              <w:t>lower than the numbers for the same age group in Q</w:t>
            </w:r>
            <w:r w:rsidR="00A903E9" w:rsidRPr="00A903E9">
              <w:rPr>
                <w:rFonts w:cs="Arial"/>
              </w:rPr>
              <w:t>3</w:t>
            </w:r>
            <w:r w:rsidRPr="00A903E9">
              <w:rPr>
                <w:rFonts w:cs="Arial"/>
              </w:rPr>
              <w:t xml:space="preserve"> 2011 and Q</w:t>
            </w:r>
            <w:r w:rsidR="00A903E9" w:rsidRPr="00A903E9">
              <w:rPr>
                <w:rFonts w:cs="Arial"/>
              </w:rPr>
              <w:t>3</w:t>
            </w:r>
            <w:r w:rsidRPr="00A903E9">
              <w:rPr>
                <w:rFonts w:cs="Arial"/>
              </w:rPr>
              <w:t xml:space="preserve"> 2012.</w:t>
            </w:r>
          </w:p>
        </w:tc>
      </w:tr>
    </w:tbl>
    <w:p w:rsidR="003A680C" w:rsidRDefault="003A680C" w:rsidP="00595A4F">
      <w:pPr>
        <w:rPr>
          <w:rFonts w:cs="Arial"/>
        </w:rPr>
      </w:pPr>
    </w:p>
    <w:p w:rsidR="003A680C" w:rsidRPr="001F29E3" w:rsidRDefault="003A680C" w:rsidP="00595A4F">
      <w:pPr>
        <w:rPr>
          <w:rFonts w:cs="Arial"/>
        </w:rPr>
      </w:pPr>
    </w:p>
    <w:p w:rsidR="00351166" w:rsidRPr="001F29E3" w:rsidRDefault="00351166" w:rsidP="00174D56">
      <w:pPr>
        <w:pStyle w:val="Caption"/>
        <w:spacing w:after="0"/>
        <w:jc w:val="left"/>
        <w:rPr>
          <w:rFonts w:cs="Arial"/>
        </w:rPr>
      </w:pPr>
      <w:r w:rsidRPr="001F29E3">
        <w:rPr>
          <w:rFonts w:cs="Arial"/>
        </w:rPr>
        <w:t>Table 1.</w:t>
      </w:r>
      <w:r w:rsidR="00EA5ABC">
        <w:rPr>
          <w:rFonts w:cs="Arial"/>
        </w:rPr>
        <w:t>9</w:t>
      </w:r>
      <w:r w:rsidR="005F145E">
        <w:rPr>
          <w:rFonts w:cs="Arial"/>
        </w:rPr>
        <w:t>.1</w:t>
      </w:r>
      <w:r w:rsidRPr="001F29E3">
        <w:rPr>
          <w:rFonts w:cs="Arial"/>
        </w:rPr>
        <w:t xml:space="preserve">: </w:t>
      </w:r>
      <w:r w:rsidR="006559F0" w:rsidRPr="001F29E3">
        <w:rPr>
          <w:rFonts w:cs="Arial"/>
        </w:rPr>
        <w:t xml:space="preserve">Government subsidised </w:t>
      </w:r>
      <w:r w:rsidR="005F145E">
        <w:rPr>
          <w:rFonts w:cs="Arial"/>
        </w:rPr>
        <w:t>students by age group, 2008–2012</w:t>
      </w:r>
    </w:p>
    <w:tbl>
      <w:tblPr>
        <w:tblW w:w="9280" w:type="dxa"/>
        <w:tblInd w:w="103" w:type="dxa"/>
        <w:tblLook w:val="04A0" w:firstRow="1" w:lastRow="0" w:firstColumn="1" w:lastColumn="0" w:noHBand="0" w:noVBand="1"/>
      </w:tblPr>
      <w:tblGrid>
        <w:gridCol w:w="2560"/>
        <w:gridCol w:w="1120"/>
        <w:gridCol w:w="1120"/>
        <w:gridCol w:w="1120"/>
        <w:gridCol w:w="1120"/>
        <w:gridCol w:w="1120"/>
        <w:gridCol w:w="1120"/>
      </w:tblGrid>
      <w:tr w:rsidR="008A5F7A" w:rsidRPr="008A5F7A" w:rsidTr="00541B24">
        <w:trPr>
          <w:trHeight w:hRule="exact" w:val="760"/>
        </w:trPr>
        <w:tc>
          <w:tcPr>
            <w:tcW w:w="2560" w:type="dxa"/>
            <w:tcBorders>
              <w:top w:val="single" w:sz="4" w:space="0" w:color="5E8A00"/>
              <w:left w:val="single" w:sz="4" w:space="0" w:color="5E8A00"/>
              <w:bottom w:val="single" w:sz="4" w:space="0" w:color="5E8A00"/>
            </w:tcBorders>
            <w:shd w:val="clear" w:color="000000" w:fill="5E8A00"/>
            <w:noWrap/>
            <w:vAlign w:val="center"/>
            <w:hideMark/>
          </w:tcPr>
          <w:p w:rsidR="008A5F7A" w:rsidRPr="008A5F7A" w:rsidRDefault="008A5F7A" w:rsidP="008A5F7A">
            <w:pPr>
              <w:spacing w:after="0" w:line="240" w:lineRule="auto"/>
              <w:jc w:val="left"/>
              <w:rPr>
                <w:rFonts w:cs="Arial"/>
                <w:b/>
                <w:bCs/>
                <w:color w:val="FFFFFF"/>
                <w:sz w:val="18"/>
                <w:szCs w:val="18"/>
                <w:lang w:eastAsia="en-AU"/>
              </w:rPr>
            </w:pPr>
            <w:r w:rsidRPr="008A5F7A">
              <w:rPr>
                <w:rFonts w:cs="Arial"/>
                <w:b/>
                <w:bCs/>
                <w:color w:val="FFFFFF"/>
                <w:sz w:val="18"/>
                <w:szCs w:val="18"/>
                <w:lang w:eastAsia="en-AU"/>
              </w:rPr>
              <w:t>Age group</w:t>
            </w:r>
          </w:p>
        </w:tc>
        <w:tc>
          <w:tcPr>
            <w:tcW w:w="1120" w:type="dxa"/>
            <w:tcBorders>
              <w:top w:val="single" w:sz="4" w:space="0" w:color="5E8A00"/>
              <w:bottom w:val="single" w:sz="4" w:space="0" w:color="5E8A00"/>
            </w:tcBorders>
            <w:shd w:val="clear" w:color="000000" w:fill="5E8A00"/>
            <w:vAlign w:val="center"/>
            <w:hideMark/>
          </w:tcPr>
          <w:p w:rsidR="008A5F7A" w:rsidRPr="008A5F7A" w:rsidRDefault="008A5F7A" w:rsidP="00F034AF">
            <w:pPr>
              <w:spacing w:after="0" w:line="240" w:lineRule="auto"/>
              <w:ind w:firstLineChars="100" w:firstLine="181"/>
              <w:jc w:val="right"/>
              <w:rPr>
                <w:rFonts w:cs="Arial"/>
                <w:b/>
                <w:bCs/>
                <w:color w:val="FFFFFF"/>
                <w:sz w:val="18"/>
                <w:szCs w:val="18"/>
                <w:lang w:eastAsia="en-AU"/>
              </w:rPr>
            </w:pPr>
            <w:r w:rsidRPr="008A5F7A">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8A5F7A" w:rsidRPr="008A5F7A" w:rsidRDefault="008A5F7A" w:rsidP="00F034AF">
            <w:pPr>
              <w:spacing w:after="0" w:line="240" w:lineRule="auto"/>
              <w:ind w:firstLineChars="100" w:firstLine="181"/>
              <w:jc w:val="right"/>
              <w:rPr>
                <w:rFonts w:cs="Arial"/>
                <w:b/>
                <w:bCs/>
                <w:color w:val="FFFFFF"/>
                <w:sz w:val="18"/>
                <w:szCs w:val="18"/>
                <w:lang w:eastAsia="en-AU"/>
              </w:rPr>
            </w:pPr>
            <w:r w:rsidRPr="008A5F7A">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8A5F7A" w:rsidRPr="008A5F7A" w:rsidRDefault="008A5F7A" w:rsidP="00F034AF">
            <w:pPr>
              <w:spacing w:after="0" w:line="240" w:lineRule="auto"/>
              <w:ind w:firstLineChars="100" w:firstLine="181"/>
              <w:jc w:val="right"/>
              <w:rPr>
                <w:rFonts w:cs="Arial"/>
                <w:b/>
                <w:bCs/>
                <w:color w:val="FFFFFF"/>
                <w:sz w:val="18"/>
                <w:szCs w:val="18"/>
                <w:lang w:eastAsia="en-AU"/>
              </w:rPr>
            </w:pPr>
            <w:r w:rsidRPr="008A5F7A">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8A5F7A" w:rsidRPr="008A5F7A" w:rsidRDefault="008A5F7A" w:rsidP="00F034AF">
            <w:pPr>
              <w:spacing w:after="0" w:line="240" w:lineRule="auto"/>
              <w:ind w:firstLineChars="100" w:firstLine="181"/>
              <w:jc w:val="right"/>
              <w:rPr>
                <w:rFonts w:cs="Arial"/>
                <w:b/>
                <w:bCs/>
                <w:color w:val="FFFFFF"/>
                <w:sz w:val="18"/>
                <w:szCs w:val="18"/>
                <w:lang w:eastAsia="en-AU"/>
              </w:rPr>
            </w:pPr>
            <w:r w:rsidRPr="008A5F7A">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8A5F7A" w:rsidRPr="008A5F7A" w:rsidRDefault="008A5F7A" w:rsidP="00F034AF">
            <w:pPr>
              <w:spacing w:after="0" w:line="240" w:lineRule="auto"/>
              <w:ind w:firstLineChars="100" w:firstLine="181"/>
              <w:jc w:val="right"/>
              <w:rPr>
                <w:rFonts w:cs="Arial"/>
                <w:b/>
                <w:bCs/>
                <w:color w:val="FFFFFF"/>
                <w:sz w:val="18"/>
                <w:szCs w:val="18"/>
                <w:lang w:eastAsia="en-AU"/>
              </w:rPr>
            </w:pPr>
            <w:r w:rsidRPr="008A5F7A">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change</w:t>
            </w:r>
            <w:r w:rsidRPr="008A5F7A">
              <w:rPr>
                <w:rFonts w:cs="Arial"/>
                <w:b/>
                <w:bCs/>
                <w:color w:val="FFFFFF"/>
                <w:sz w:val="18"/>
                <w:szCs w:val="18"/>
                <w:lang w:eastAsia="en-AU"/>
              </w:rPr>
              <w:br/>
              <w:t>2008-2012</w:t>
            </w:r>
          </w:p>
        </w:tc>
      </w:tr>
      <w:tr w:rsidR="008A5F7A" w:rsidRPr="008A5F7A" w:rsidTr="008A5F7A">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8A5F7A" w:rsidRPr="008A5F7A" w:rsidRDefault="008A5F7A" w:rsidP="008A5F7A">
            <w:pPr>
              <w:spacing w:after="0" w:line="240" w:lineRule="auto"/>
              <w:jc w:val="left"/>
              <w:rPr>
                <w:rFonts w:cs="Arial"/>
                <w:color w:val="3E5B00"/>
                <w:sz w:val="18"/>
                <w:szCs w:val="18"/>
                <w:lang w:eastAsia="en-AU"/>
              </w:rPr>
            </w:pPr>
            <w:r w:rsidRPr="008A5F7A">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74,400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76,000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88,300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108,700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120,500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62%</w:t>
            </w:r>
          </w:p>
        </w:tc>
      </w:tr>
      <w:tr w:rsidR="008A5F7A" w:rsidRPr="008A5F7A" w:rsidTr="008A5F7A">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8A5F7A" w:rsidRPr="008A5F7A" w:rsidRDefault="008A5F7A" w:rsidP="008A5F7A">
            <w:pPr>
              <w:spacing w:after="0" w:line="240" w:lineRule="auto"/>
              <w:jc w:val="left"/>
              <w:rPr>
                <w:rFonts w:cs="Arial"/>
                <w:color w:val="3E5B00"/>
                <w:sz w:val="18"/>
                <w:szCs w:val="18"/>
                <w:lang w:eastAsia="en-AU"/>
              </w:rPr>
            </w:pPr>
            <w:r w:rsidRPr="008A5F7A">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58,800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59,200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71,400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87,800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100,900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72%</w:t>
            </w:r>
          </w:p>
        </w:tc>
      </w:tr>
      <w:tr w:rsidR="008A5F7A" w:rsidRPr="008A5F7A" w:rsidTr="008A5F7A">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8A5F7A" w:rsidRPr="008A5F7A" w:rsidRDefault="008A5F7A" w:rsidP="008A5F7A">
            <w:pPr>
              <w:spacing w:after="0" w:line="240" w:lineRule="auto"/>
              <w:jc w:val="left"/>
              <w:rPr>
                <w:rFonts w:cs="Arial"/>
                <w:color w:val="3E5B00"/>
                <w:sz w:val="18"/>
                <w:szCs w:val="18"/>
                <w:lang w:eastAsia="en-AU"/>
              </w:rPr>
            </w:pPr>
            <w:r w:rsidRPr="008A5F7A">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99,700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102,400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112,600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148,500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180,200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81%</w:t>
            </w:r>
          </w:p>
        </w:tc>
      </w:tr>
      <w:tr w:rsidR="008A5F7A" w:rsidRPr="008A5F7A" w:rsidTr="008A5F7A">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8A5F7A" w:rsidRPr="008A5F7A" w:rsidRDefault="008A5F7A" w:rsidP="008A5F7A">
            <w:pPr>
              <w:spacing w:after="0" w:line="240" w:lineRule="auto"/>
              <w:jc w:val="left"/>
              <w:rPr>
                <w:rFonts w:cs="Arial"/>
                <w:color w:val="3E5B00"/>
                <w:sz w:val="18"/>
                <w:szCs w:val="18"/>
                <w:lang w:eastAsia="en-AU"/>
              </w:rPr>
            </w:pPr>
            <w:r w:rsidRPr="008A5F7A">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51,100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52,900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60,200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77,100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96,400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89%</w:t>
            </w:r>
          </w:p>
        </w:tc>
      </w:tr>
      <w:tr w:rsidR="008A5F7A" w:rsidRPr="008A5F7A" w:rsidTr="00541B24">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8A5F7A" w:rsidRPr="008A5F7A" w:rsidRDefault="008A5F7A" w:rsidP="008A5F7A">
            <w:pPr>
              <w:spacing w:after="0" w:line="240" w:lineRule="auto"/>
              <w:jc w:val="left"/>
              <w:rPr>
                <w:rFonts w:cs="Arial"/>
                <w:color w:val="3E5B00"/>
                <w:sz w:val="18"/>
                <w:szCs w:val="18"/>
                <w:lang w:eastAsia="en-AU"/>
              </w:rPr>
            </w:pPr>
            <w:r w:rsidRPr="008A5F7A">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10,700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9,200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6,700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8,100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 xml:space="preserve">11,800 </w:t>
            </w:r>
          </w:p>
        </w:tc>
        <w:tc>
          <w:tcPr>
            <w:tcW w:w="1120" w:type="dxa"/>
            <w:tcBorders>
              <w:top w:val="nil"/>
              <w:left w:val="nil"/>
              <w:bottom w:val="single" w:sz="4" w:space="0" w:color="5E8A00"/>
              <w:right w:val="single" w:sz="4" w:space="0" w:color="5E8A00"/>
            </w:tcBorders>
            <w:shd w:val="clear" w:color="auto" w:fill="auto"/>
            <w:noWrap/>
            <w:vAlign w:val="center"/>
            <w:hideMark/>
          </w:tcPr>
          <w:p w:rsidR="008A5F7A" w:rsidRPr="008A5F7A" w:rsidRDefault="008A5F7A" w:rsidP="008A5F7A">
            <w:pPr>
              <w:spacing w:after="0" w:line="240" w:lineRule="auto"/>
              <w:jc w:val="right"/>
              <w:rPr>
                <w:rFonts w:cs="Arial"/>
                <w:sz w:val="18"/>
                <w:szCs w:val="18"/>
                <w:lang w:eastAsia="en-AU"/>
              </w:rPr>
            </w:pPr>
            <w:r w:rsidRPr="008A5F7A">
              <w:rPr>
                <w:rFonts w:cs="Arial"/>
                <w:sz w:val="18"/>
                <w:szCs w:val="18"/>
                <w:lang w:eastAsia="en-AU"/>
              </w:rPr>
              <w:t>10%</w:t>
            </w:r>
          </w:p>
        </w:tc>
      </w:tr>
      <w:tr w:rsidR="008A5F7A" w:rsidRPr="008A5F7A" w:rsidTr="00541B24">
        <w:trPr>
          <w:trHeight w:hRule="exact" w:val="284"/>
        </w:trPr>
        <w:tc>
          <w:tcPr>
            <w:tcW w:w="2560" w:type="dxa"/>
            <w:tcBorders>
              <w:top w:val="single" w:sz="4" w:space="0" w:color="5E8A00"/>
              <w:left w:val="single" w:sz="4" w:space="0" w:color="5E8A00"/>
              <w:bottom w:val="nil"/>
            </w:tcBorders>
            <w:shd w:val="clear" w:color="000000" w:fill="5E8A00"/>
            <w:noWrap/>
            <w:vAlign w:val="center"/>
            <w:hideMark/>
          </w:tcPr>
          <w:p w:rsidR="008A5F7A" w:rsidRPr="008A5F7A" w:rsidRDefault="008A5F7A" w:rsidP="008A5F7A">
            <w:pPr>
              <w:spacing w:after="0" w:line="240" w:lineRule="auto"/>
              <w:jc w:val="left"/>
              <w:rPr>
                <w:rFonts w:cs="Arial"/>
                <w:b/>
                <w:bCs/>
                <w:color w:val="FFFFFF"/>
                <w:sz w:val="18"/>
                <w:szCs w:val="18"/>
                <w:lang w:eastAsia="en-AU"/>
              </w:rPr>
            </w:pPr>
            <w:r w:rsidRPr="008A5F7A">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xml:space="preserve">294,700 </w:t>
            </w:r>
          </w:p>
        </w:tc>
        <w:tc>
          <w:tcPr>
            <w:tcW w:w="1120" w:type="dxa"/>
            <w:tcBorders>
              <w:top w:val="single" w:sz="4" w:space="0" w:color="5E8A00"/>
              <w:bottom w:val="nil"/>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xml:space="preserve">299,600 </w:t>
            </w:r>
          </w:p>
        </w:tc>
        <w:tc>
          <w:tcPr>
            <w:tcW w:w="1120" w:type="dxa"/>
            <w:tcBorders>
              <w:top w:val="single" w:sz="4" w:space="0" w:color="5E8A00"/>
              <w:bottom w:val="nil"/>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xml:space="preserve">339,200 </w:t>
            </w:r>
          </w:p>
        </w:tc>
        <w:tc>
          <w:tcPr>
            <w:tcW w:w="1120" w:type="dxa"/>
            <w:tcBorders>
              <w:top w:val="single" w:sz="4" w:space="0" w:color="5E8A00"/>
              <w:bottom w:val="nil"/>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xml:space="preserve">430,300 </w:t>
            </w:r>
          </w:p>
        </w:tc>
        <w:tc>
          <w:tcPr>
            <w:tcW w:w="1120" w:type="dxa"/>
            <w:tcBorders>
              <w:top w:val="single" w:sz="4" w:space="0" w:color="5E8A00"/>
              <w:bottom w:val="nil"/>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 xml:space="preserve">509,800 </w:t>
            </w:r>
          </w:p>
        </w:tc>
        <w:tc>
          <w:tcPr>
            <w:tcW w:w="1120" w:type="dxa"/>
            <w:tcBorders>
              <w:top w:val="single" w:sz="4" w:space="0" w:color="5E8A00"/>
              <w:bottom w:val="nil"/>
              <w:right w:val="single" w:sz="4" w:space="0" w:color="5E8A00"/>
            </w:tcBorders>
            <w:shd w:val="clear" w:color="000000" w:fill="5E8A00"/>
            <w:noWrap/>
            <w:vAlign w:val="center"/>
            <w:hideMark/>
          </w:tcPr>
          <w:p w:rsidR="008A5F7A" w:rsidRPr="008A5F7A" w:rsidRDefault="008A5F7A" w:rsidP="008A5F7A">
            <w:pPr>
              <w:spacing w:after="0" w:line="240" w:lineRule="auto"/>
              <w:jc w:val="right"/>
              <w:rPr>
                <w:rFonts w:cs="Arial"/>
                <w:b/>
                <w:bCs/>
                <w:color w:val="FFFFFF"/>
                <w:sz w:val="18"/>
                <w:szCs w:val="18"/>
                <w:lang w:eastAsia="en-AU"/>
              </w:rPr>
            </w:pPr>
            <w:r w:rsidRPr="008A5F7A">
              <w:rPr>
                <w:rFonts w:cs="Arial"/>
                <w:b/>
                <w:bCs/>
                <w:color w:val="FFFFFF"/>
                <w:sz w:val="18"/>
                <w:szCs w:val="18"/>
                <w:lang w:eastAsia="en-AU"/>
              </w:rPr>
              <w:t>73%</w:t>
            </w:r>
          </w:p>
        </w:tc>
      </w:tr>
    </w:tbl>
    <w:p w:rsidR="00351166" w:rsidRDefault="00351166" w:rsidP="00351166">
      <w:pPr>
        <w:rPr>
          <w:rFonts w:cs="Arial"/>
        </w:rPr>
      </w:pPr>
    </w:p>
    <w:p w:rsidR="005F145E" w:rsidRDefault="005F145E" w:rsidP="00174D56">
      <w:pPr>
        <w:pStyle w:val="Caption"/>
        <w:spacing w:after="0"/>
        <w:jc w:val="left"/>
        <w:rPr>
          <w:rFonts w:cs="Arial"/>
        </w:rPr>
      </w:pPr>
      <w:r w:rsidRPr="001F29E3">
        <w:rPr>
          <w:rFonts w:cs="Arial"/>
        </w:rPr>
        <w:t>Table 1.</w:t>
      </w:r>
      <w:r w:rsidR="00EA5ABC">
        <w:rPr>
          <w:rFonts w:cs="Arial"/>
        </w:rPr>
        <w:t>9</w:t>
      </w:r>
      <w:r>
        <w:rPr>
          <w:rFonts w:cs="Arial"/>
        </w:rPr>
        <w:t>.2</w:t>
      </w:r>
      <w:r w:rsidRPr="001F29E3">
        <w:rPr>
          <w:rFonts w:cs="Arial"/>
        </w:rPr>
        <w:t xml:space="preserve">: Government subsidised students by age group, </w:t>
      </w:r>
      <w:r>
        <w:rPr>
          <w:rFonts w:cs="Arial"/>
        </w:rPr>
        <w:t>Q</w:t>
      </w:r>
      <w:r w:rsidR="00EA374C">
        <w:rPr>
          <w:rFonts w:cs="Arial"/>
        </w:rPr>
        <w:t>3</w:t>
      </w:r>
      <w:r>
        <w:rPr>
          <w:rFonts w:cs="Arial"/>
        </w:rPr>
        <w:t xml:space="preserve"> 2011, </w:t>
      </w:r>
      <w:r w:rsidRPr="001F29E3">
        <w:rPr>
          <w:rFonts w:cs="Arial"/>
        </w:rPr>
        <w:t>Q</w:t>
      </w:r>
      <w:r w:rsidR="00EA374C">
        <w:rPr>
          <w:rFonts w:cs="Arial"/>
        </w:rPr>
        <w:t>3</w:t>
      </w:r>
      <w:r w:rsidRPr="001F29E3">
        <w:rPr>
          <w:rFonts w:cs="Arial"/>
        </w:rPr>
        <w:t xml:space="preserve"> 2012 and Q</w:t>
      </w:r>
      <w:r w:rsidR="00EA374C">
        <w:rPr>
          <w:rFonts w:cs="Arial"/>
        </w:rPr>
        <w:t>3</w:t>
      </w:r>
      <w:r w:rsidRPr="001F29E3">
        <w:rPr>
          <w:rFonts w:cs="Arial"/>
        </w:rPr>
        <w:t xml:space="preserve"> 2013</w:t>
      </w:r>
    </w:p>
    <w:tbl>
      <w:tblPr>
        <w:tblW w:w="8160" w:type="dxa"/>
        <w:tblInd w:w="103" w:type="dxa"/>
        <w:tblLook w:val="04A0" w:firstRow="1" w:lastRow="0" w:firstColumn="1" w:lastColumn="0" w:noHBand="0" w:noVBand="1"/>
      </w:tblPr>
      <w:tblGrid>
        <w:gridCol w:w="2560"/>
        <w:gridCol w:w="1120"/>
        <w:gridCol w:w="1120"/>
        <w:gridCol w:w="1120"/>
        <w:gridCol w:w="1120"/>
        <w:gridCol w:w="1120"/>
      </w:tblGrid>
      <w:tr w:rsidR="00EA374C" w:rsidRPr="00EA374C" w:rsidTr="00EA374C">
        <w:trPr>
          <w:trHeight w:hRule="exact" w:val="760"/>
        </w:trPr>
        <w:tc>
          <w:tcPr>
            <w:tcW w:w="256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Age group</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center"/>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center"/>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2012-Q3 2013</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90,300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106,100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87,700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-3%</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-17%</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75,300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90,900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83,200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11%</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-8%</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119,200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155,100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143,600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20%</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-7%</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60,200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81,800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73,700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22%</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-10%</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5,600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8,700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56%</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w:t>
            </w:r>
          </w:p>
        </w:tc>
      </w:tr>
      <w:tr w:rsidR="00EA374C" w:rsidRPr="00EA374C" w:rsidTr="00EA374C">
        <w:trPr>
          <w:trHeight w:hRule="exact" w:val="284"/>
        </w:trPr>
        <w:tc>
          <w:tcPr>
            <w:tcW w:w="2560" w:type="dxa"/>
            <w:tcBorders>
              <w:top w:val="nil"/>
              <w:left w:val="single" w:sz="4" w:space="0" w:color="5E8A00"/>
              <w:bottom w:val="nil"/>
              <w:right w:val="single" w:sz="4" w:space="0" w:color="5E8A00"/>
            </w:tcBorders>
            <w:shd w:val="clear" w:color="000000" w:fill="5E8A00"/>
            <w:noWrap/>
            <w:vAlign w:val="bottom"/>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350,500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442,500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396,900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13%</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-10%</w:t>
            </w:r>
          </w:p>
        </w:tc>
      </w:tr>
    </w:tbl>
    <w:p w:rsidR="005F145E" w:rsidRPr="001F29E3" w:rsidRDefault="005F145E" w:rsidP="005F145E">
      <w:pPr>
        <w:jc w:val="left"/>
        <w:rPr>
          <w:rFonts w:cs="Arial"/>
        </w:rPr>
      </w:pPr>
    </w:p>
    <w:p w:rsidR="00351166" w:rsidRPr="001F29E3" w:rsidRDefault="00351166" w:rsidP="00351166">
      <w:pPr>
        <w:rPr>
          <w:rFonts w:cs="Arial"/>
        </w:rPr>
      </w:pPr>
    </w:p>
    <w:p w:rsidR="00AB275E" w:rsidRDefault="00351166" w:rsidP="00A9260A">
      <w:pPr>
        <w:pStyle w:val="Heading3"/>
      </w:pPr>
      <w:r w:rsidRPr="001F29E3">
        <w:br w:type="page"/>
      </w:r>
    </w:p>
    <w:p w:rsidR="00351166" w:rsidRPr="001F29E3" w:rsidRDefault="00D17AF1" w:rsidP="00A9260A">
      <w:pPr>
        <w:pStyle w:val="Heading3"/>
      </w:pPr>
      <w:r w:rsidRPr="001F29E3">
        <w:lastRenderedPageBreak/>
        <w:t xml:space="preserve">Students by Age Group </w:t>
      </w:r>
      <w:r>
        <w:t xml:space="preserve">in </w:t>
      </w:r>
      <w:r w:rsidR="00351166" w:rsidRPr="001F29E3">
        <w:t xml:space="preserve">TAFE </w:t>
      </w:r>
      <w:r w:rsidR="002757F4" w:rsidRPr="001F29E3">
        <w:t>D</w:t>
      </w:r>
      <w:r w:rsidR="00351166" w:rsidRPr="001F29E3">
        <w:t xml:space="preserve">omestic </w:t>
      </w:r>
      <w:r w:rsidR="00362E51" w:rsidRPr="001F29E3">
        <w:t>Fee for Service</w:t>
      </w:r>
      <w:r w:rsidR="00351166" w:rsidRPr="001F29E3">
        <w:t xml:space="preserve"> </w:t>
      </w:r>
    </w:p>
    <w:p w:rsidR="00351166" w:rsidRDefault="00351166" w:rsidP="0035116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F624F2" w:rsidRPr="001F29E3" w:rsidTr="00F624F2">
        <w:trPr>
          <w:trHeight w:val="1467"/>
        </w:trPr>
        <w:tc>
          <w:tcPr>
            <w:tcW w:w="9088" w:type="dxa"/>
          </w:tcPr>
          <w:p w:rsidR="00F624F2" w:rsidRDefault="00F624F2" w:rsidP="008C0A56">
            <w:pPr>
              <w:pStyle w:val="Heading3"/>
            </w:pPr>
            <w:r w:rsidRPr="001F29E3">
              <w:br w:type="page"/>
              <w:t>Key Points</w:t>
            </w:r>
          </w:p>
          <w:p w:rsidR="008C0A56" w:rsidRPr="001F29E3" w:rsidRDefault="008C0A56" w:rsidP="008C0A56"/>
          <w:p w:rsidR="00F624F2" w:rsidRPr="0047672F" w:rsidRDefault="00F624F2" w:rsidP="00F624F2">
            <w:pPr>
              <w:pStyle w:val="ListBullet"/>
              <w:numPr>
                <w:ilvl w:val="0"/>
                <w:numId w:val="7"/>
              </w:numPr>
              <w:ind w:right="113"/>
              <w:rPr>
                <w:rFonts w:cs="Arial"/>
              </w:rPr>
            </w:pPr>
            <w:r w:rsidRPr="0047672F">
              <w:rPr>
                <w:rFonts w:cs="Arial"/>
              </w:rPr>
              <w:t xml:space="preserve">The number of students enrolled in TAFE domestic fee for service at AQF Level 1 and above was </w:t>
            </w:r>
            <w:r w:rsidR="0047672F" w:rsidRPr="0047672F">
              <w:rPr>
                <w:rFonts w:cs="Arial"/>
              </w:rPr>
              <w:t>74</w:t>
            </w:r>
            <w:r w:rsidRPr="0047672F">
              <w:rPr>
                <w:rFonts w:cs="Arial"/>
              </w:rPr>
              <w:t>,</w:t>
            </w:r>
            <w:r w:rsidR="0047672F" w:rsidRPr="0047672F">
              <w:rPr>
                <w:rFonts w:cs="Arial"/>
              </w:rPr>
              <w:t>9</w:t>
            </w:r>
            <w:r w:rsidRPr="0047672F">
              <w:rPr>
                <w:rFonts w:cs="Arial"/>
              </w:rPr>
              <w:t>00 in Q</w:t>
            </w:r>
            <w:r w:rsidR="0047672F" w:rsidRPr="0047672F">
              <w:rPr>
                <w:rFonts w:cs="Arial"/>
              </w:rPr>
              <w:t>3</w:t>
            </w:r>
            <w:r w:rsidRPr="0047672F">
              <w:rPr>
                <w:rFonts w:cs="Arial"/>
              </w:rPr>
              <w:t xml:space="preserve"> 2013. </w:t>
            </w:r>
            <w:r w:rsidR="0047672F" w:rsidRPr="0047672F">
              <w:rPr>
                <w:rFonts w:cs="Arial"/>
              </w:rPr>
              <w:t>Thirty seven</w:t>
            </w:r>
            <w:r w:rsidRPr="0047672F">
              <w:rPr>
                <w:rFonts w:cs="Arial"/>
              </w:rPr>
              <w:t xml:space="preserve"> per cent of students were aged between 15 and 24</w:t>
            </w:r>
            <w:r w:rsidR="008C0A56" w:rsidRPr="0047672F">
              <w:rPr>
                <w:rFonts w:cs="Arial"/>
              </w:rPr>
              <w:t xml:space="preserve"> years</w:t>
            </w:r>
            <w:r w:rsidRPr="0047672F">
              <w:rPr>
                <w:rFonts w:cs="Arial"/>
              </w:rPr>
              <w:t>.</w:t>
            </w:r>
          </w:p>
          <w:p w:rsidR="00F624F2" w:rsidRPr="00D022C6" w:rsidRDefault="00F624F2" w:rsidP="0047672F">
            <w:pPr>
              <w:pStyle w:val="ListBullet"/>
              <w:numPr>
                <w:ilvl w:val="0"/>
                <w:numId w:val="7"/>
              </w:numPr>
              <w:ind w:right="113"/>
              <w:rPr>
                <w:rFonts w:cs="Arial"/>
              </w:rPr>
            </w:pPr>
            <w:r w:rsidRPr="0047672F">
              <w:rPr>
                <w:rFonts w:cs="Arial"/>
              </w:rPr>
              <w:t xml:space="preserve">Similar to the </w:t>
            </w:r>
            <w:r w:rsidR="004566D8" w:rsidRPr="0047672F">
              <w:rPr>
                <w:rFonts w:cs="Arial"/>
              </w:rPr>
              <w:t xml:space="preserve">trend </w:t>
            </w:r>
            <w:r w:rsidRPr="0047672F">
              <w:rPr>
                <w:rFonts w:cs="Arial"/>
              </w:rPr>
              <w:t xml:space="preserve">in government subsidised provision, </w:t>
            </w:r>
            <w:r w:rsidR="004566D8" w:rsidRPr="0047672F">
              <w:rPr>
                <w:rFonts w:cs="Arial"/>
              </w:rPr>
              <w:t>aged 15-19 is the only age cohort with student numbers in Q</w:t>
            </w:r>
            <w:r w:rsidR="0047672F" w:rsidRPr="0047672F">
              <w:rPr>
                <w:rFonts w:cs="Arial"/>
              </w:rPr>
              <w:t>3</w:t>
            </w:r>
            <w:r w:rsidR="004566D8" w:rsidRPr="0047672F">
              <w:rPr>
                <w:rFonts w:cs="Arial"/>
              </w:rPr>
              <w:t xml:space="preserve"> 2013 lower than the corresponding numbers in Q</w:t>
            </w:r>
            <w:r w:rsidR="0047672F" w:rsidRPr="0047672F">
              <w:rPr>
                <w:rFonts w:cs="Arial"/>
              </w:rPr>
              <w:t>3</w:t>
            </w:r>
            <w:r w:rsidR="004566D8" w:rsidRPr="0047672F">
              <w:rPr>
                <w:rFonts w:cs="Arial"/>
              </w:rPr>
              <w:t xml:space="preserve"> 2011 and Q</w:t>
            </w:r>
            <w:r w:rsidR="0047672F" w:rsidRPr="0047672F">
              <w:rPr>
                <w:rFonts w:cs="Arial"/>
              </w:rPr>
              <w:t>3</w:t>
            </w:r>
            <w:r w:rsidR="004566D8" w:rsidRPr="0047672F">
              <w:rPr>
                <w:rFonts w:cs="Arial"/>
              </w:rPr>
              <w:t xml:space="preserve"> 2012.</w:t>
            </w:r>
          </w:p>
        </w:tc>
      </w:tr>
    </w:tbl>
    <w:p w:rsidR="00F624F2" w:rsidRDefault="00F624F2" w:rsidP="00F624F2">
      <w:pPr>
        <w:rPr>
          <w:rFonts w:cs="Arial"/>
        </w:rPr>
      </w:pPr>
    </w:p>
    <w:p w:rsidR="00F624F2" w:rsidRDefault="00F624F2" w:rsidP="00F624F2">
      <w:pPr>
        <w:rPr>
          <w:rFonts w:cs="Arial"/>
        </w:rPr>
      </w:pPr>
    </w:p>
    <w:p w:rsidR="00351166" w:rsidRPr="001F29E3" w:rsidRDefault="00351166" w:rsidP="00F624F2">
      <w:pPr>
        <w:pStyle w:val="Caption"/>
        <w:spacing w:after="0"/>
        <w:jc w:val="left"/>
        <w:rPr>
          <w:rFonts w:cs="Arial"/>
        </w:rPr>
      </w:pPr>
      <w:r w:rsidRPr="001F29E3">
        <w:rPr>
          <w:rFonts w:cs="Arial"/>
        </w:rPr>
        <w:t>Table 1.</w:t>
      </w:r>
      <w:r w:rsidR="004D1F77">
        <w:rPr>
          <w:rFonts w:cs="Arial"/>
        </w:rPr>
        <w:t>10</w:t>
      </w:r>
      <w:r w:rsidR="003C19A6">
        <w:rPr>
          <w:rFonts w:cs="Arial"/>
        </w:rPr>
        <w:t>.1</w:t>
      </w:r>
      <w:r w:rsidRPr="001F29E3">
        <w:rPr>
          <w:rFonts w:cs="Arial"/>
        </w:rPr>
        <w:t xml:space="preserve">: </w:t>
      </w:r>
      <w:r w:rsidR="00E05A50" w:rsidRPr="001F29E3">
        <w:rPr>
          <w:rFonts w:cs="Arial"/>
        </w:rPr>
        <w:t>TAFE domestic fee for service</w:t>
      </w:r>
      <w:r w:rsidR="003C19A6">
        <w:rPr>
          <w:rFonts w:cs="Arial"/>
        </w:rPr>
        <w:t xml:space="preserve"> (AQF1+)</w:t>
      </w:r>
      <w:r w:rsidR="00E05A50" w:rsidRPr="001F29E3">
        <w:rPr>
          <w:rFonts w:cs="Arial"/>
        </w:rPr>
        <w:t xml:space="preserve">: </w:t>
      </w:r>
      <w:r w:rsidRPr="001F29E3">
        <w:rPr>
          <w:rFonts w:cs="Arial"/>
        </w:rPr>
        <w:t>students by age group, 2008–2012</w:t>
      </w:r>
    </w:p>
    <w:tbl>
      <w:tblPr>
        <w:tblW w:w="9280" w:type="dxa"/>
        <w:tblInd w:w="103" w:type="dxa"/>
        <w:tblLook w:val="04A0" w:firstRow="1" w:lastRow="0" w:firstColumn="1" w:lastColumn="0" w:noHBand="0" w:noVBand="1"/>
      </w:tblPr>
      <w:tblGrid>
        <w:gridCol w:w="2560"/>
        <w:gridCol w:w="1120"/>
        <w:gridCol w:w="1120"/>
        <w:gridCol w:w="1120"/>
        <w:gridCol w:w="1120"/>
        <w:gridCol w:w="1120"/>
        <w:gridCol w:w="1120"/>
      </w:tblGrid>
      <w:tr w:rsidR="00BC4F64" w:rsidRPr="00BC4F64" w:rsidTr="00A40263">
        <w:trPr>
          <w:trHeight w:hRule="exact" w:val="760"/>
        </w:trPr>
        <w:tc>
          <w:tcPr>
            <w:tcW w:w="2560" w:type="dxa"/>
            <w:tcBorders>
              <w:top w:val="single" w:sz="4" w:space="0" w:color="5E8A00"/>
              <w:left w:val="single" w:sz="4" w:space="0" w:color="5E8A00"/>
              <w:bottom w:val="single" w:sz="4" w:space="0" w:color="5E8A00"/>
            </w:tcBorders>
            <w:shd w:val="clear" w:color="000000" w:fill="5E8A00"/>
            <w:noWrap/>
            <w:vAlign w:val="center"/>
            <w:hideMark/>
          </w:tcPr>
          <w:p w:rsidR="00BC4F64" w:rsidRPr="00BC4F64" w:rsidRDefault="00BC4F64" w:rsidP="00BC4F64">
            <w:pPr>
              <w:spacing w:after="0" w:line="240" w:lineRule="auto"/>
              <w:jc w:val="left"/>
              <w:rPr>
                <w:rFonts w:cs="Arial"/>
                <w:b/>
                <w:bCs/>
                <w:color w:val="FFFFFF"/>
                <w:sz w:val="18"/>
                <w:szCs w:val="18"/>
                <w:lang w:eastAsia="en-AU"/>
              </w:rPr>
            </w:pPr>
            <w:r w:rsidRPr="00BC4F64">
              <w:rPr>
                <w:rFonts w:cs="Arial"/>
                <w:b/>
                <w:bCs/>
                <w:color w:val="FFFFFF"/>
                <w:sz w:val="18"/>
                <w:szCs w:val="18"/>
                <w:lang w:eastAsia="en-AU"/>
              </w:rPr>
              <w:t>Age group</w:t>
            </w:r>
          </w:p>
        </w:tc>
        <w:tc>
          <w:tcPr>
            <w:tcW w:w="1120" w:type="dxa"/>
            <w:tcBorders>
              <w:top w:val="single" w:sz="4" w:space="0" w:color="5E8A00"/>
              <w:bottom w:val="single" w:sz="4" w:space="0" w:color="5E8A00"/>
            </w:tcBorders>
            <w:shd w:val="clear" w:color="000000" w:fill="5E8A00"/>
            <w:vAlign w:val="center"/>
            <w:hideMark/>
          </w:tcPr>
          <w:p w:rsidR="00BC4F64" w:rsidRPr="00BC4F64" w:rsidRDefault="00BC4F64" w:rsidP="00F034AF">
            <w:pPr>
              <w:spacing w:after="0" w:line="240" w:lineRule="auto"/>
              <w:ind w:firstLineChars="100" w:firstLine="181"/>
              <w:jc w:val="right"/>
              <w:rPr>
                <w:rFonts w:cs="Arial"/>
                <w:b/>
                <w:bCs/>
                <w:color w:val="FFFFFF"/>
                <w:sz w:val="18"/>
                <w:szCs w:val="18"/>
                <w:lang w:eastAsia="en-AU"/>
              </w:rPr>
            </w:pPr>
            <w:r w:rsidRPr="00BC4F64">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BC4F64" w:rsidRPr="00BC4F64" w:rsidRDefault="00BC4F64" w:rsidP="00F034AF">
            <w:pPr>
              <w:spacing w:after="0" w:line="240" w:lineRule="auto"/>
              <w:ind w:firstLineChars="100" w:firstLine="181"/>
              <w:jc w:val="right"/>
              <w:rPr>
                <w:rFonts w:cs="Arial"/>
                <w:b/>
                <w:bCs/>
                <w:color w:val="FFFFFF"/>
                <w:sz w:val="18"/>
                <w:szCs w:val="18"/>
                <w:lang w:eastAsia="en-AU"/>
              </w:rPr>
            </w:pPr>
            <w:r w:rsidRPr="00BC4F64">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BC4F64" w:rsidRPr="00BC4F64" w:rsidRDefault="00BC4F64" w:rsidP="00F034AF">
            <w:pPr>
              <w:spacing w:after="0" w:line="240" w:lineRule="auto"/>
              <w:ind w:firstLineChars="100" w:firstLine="181"/>
              <w:jc w:val="right"/>
              <w:rPr>
                <w:rFonts w:cs="Arial"/>
                <w:b/>
                <w:bCs/>
                <w:color w:val="FFFFFF"/>
                <w:sz w:val="18"/>
                <w:szCs w:val="18"/>
                <w:lang w:eastAsia="en-AU"/>
              </w:rPr>
            </w:pPr>
            <w:r w:rsidRPr="00BC4F64">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BC4F64" w:rsidRPr="00BC4F64" w:rsidRDefault="00BC4F64" w:rsidP="00F034AF">
            <w:pPr>
              <w:spacing w:after="0" w:line="240" w:lineRule="auto"/>
              <w:ind w:firstLineChars="100" w:firstLine="181"/>
              <w:jc w:val="right"/>
              <w:rPr>
                <w:rFonts w:cs="Arial"/>
                <w:b/>
                <w:bCs/>
                <w:color w:val="FFFFFF"/>
                <w:sz w:val="18"/>
                <w:szCs w:val="18"/>
                <w:lang w:eastAsia="en-AU"/>
              </w:rPr>
            </w:pPr>
            <w:r w:rsidRPr="00BC4F64">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BC4F64" w:rsidRPr="00BC4F64" w:rsidRDefault="00BC4F64" w:rsidP="00F034AF">
            <w:pPr>
              <w:spacing w:after="0" w:line="240" w:lineRule="auto"/>
              <w:ind w:firstLineChars="100" w:firstLine="181"/>
              <w:jc w:val="right"/>
              <w:rPr>
                <w:rFonts w:cs="Arial"/>
                <w:b/>
                <w:bCs/>
                <w:color w:val="FFFFFF"/>
                <w:sz w:val="18"/>
                <w:szCs w:val="18"/>
                <w:lang w:eastAsia="en-AU"/>
              </w:rPr>
            </w:pPr>
            <w:r w:rsidRPr="00BC4F64">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change</w:t>
            </w:r>
            <w:r w:rsidRPr="00BC4F64">
              <w:rPr>
                <w:rFonts w:cs="Arial"/>
                <w:b/>
                <w:bCs/>
                <w:color w:val="FFFFFF"/>
                <w:sz w:val="18"/>
                <w:szCs w:val="18"/>
                <w:lang w:eastAsia="en-AU"/>
              </w:rPr>
              <w:br/>
              <w:t>2008-2012</w:t>
            </w:r>
          </w:p>
        </w:tc>
      </w:tr>
      <w:tr w:rsidR="00BC4F64" w:rsidRPr="00BC4F64" w:rsidTr="00BC4F64">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BC4F64" w:rsidRPr="00BC4F64" w:rsidRDefault="00BC4F64" w:rsidP="00BC4F64">
            <w:pPr>
              <w:spacing w:after="0" w:line="240" w:lineRule="auto"/>
              <w:jc w:val="left"/>
              <w:rPr>
                <w:rFonts w:cs="Arial"/>
                <w:color w:val="3E5B00"/>
                <w:sz w:val="18"/>
                <w:szCs w:val="18"/>
                <w:lang w:eastAsia="en-AU"/>
              </w:rPr>
            </w:pPr>
            <w:r w:rsidRPr="00BC4F64">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22,900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26,400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28,800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28,300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28,900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26%</w:t>
            </w:r>
          </w:p>
        </w:tc>
      </w:tr>
      <w:tr w:rsidR="00BC4F64" w:rsidRPr="00BC4F64" w:rsidTr="00BC4F64">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BC4F64" w:rsidRPr="00BC4F64" w:rsidRDefault="00BC4F64" w:rsidP="00BC4F64">
            <w:pPr>
              <w:spacing w:after="0" w:line="240" w:lineRule="auto"/>
              <w:jc w:val="left"/>
              <w:rPr>
                <w:rFonts w:cs="Arial"/>
                <w:color w:val="3E5B00"/>
                <w:sz w:val="18"/>
                <w:szCs w:val="18"/>
                <w:lang w:eastAsia="en-AU"/>
              </w:rPr>
            </w:pPr>
            <w:r w:rsidRPr="00BC4F64">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9,300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11,100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11,400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10,300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11,600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25%</w:t>
            </w:r>
          </w:p>
        </w:tc>
      </w:tr>
      <w:tr w:rsidR="00BC4F64" w:rsidRPr="00BC4F64" w:rsidTr="00BC4F64">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BC4F64" w:rsidRPr="00BC4F64" w:rsidRDefault="00BC4F64" w:rsidP="00BC4F64">
            <w:pPr>
              <w:spacing w:after="0" w:line="240" w:lineRule="auto"/>
              <w:jc w:val="left"/>
              <w:rPr>
                <w:rFonts w:cs="Arial"/>
                <w:color w:val="3E5B00"/>
                <w:sz w:val="18"/>
                <w:szCs w:val="18"/>
                <w:lang w:eastAsia="en-AU"/>
              </w:rPr>
            </w:pPr>
            <w:r w:rsidRPr="00BC4F64">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29,700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34,800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34,500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34,100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40,600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37%</w:t>
            </w:r>
          </w:p>
        </w:tc>
      </w:tr>
      <w:tr w:rsidR="00BC4F64" w:rsidRPr="00BC4F64" w:rsidTr="00BC4F64">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BC4F64" w:rsidRPr="00BC4F64" w:rsidRDefault="00BC4F64" w:rsidP="00BC4F64">
            <w:pPr>
              <w:spacing w:after="0" w:line="240" w:lineRule="auto"/>
              <w:jc w:val="left"/>
              <w:rPr>
                <w:rFonts w:cs="Arial"/>
                <w:color w:val="3E5B00"/>
                <w:sz w:val="18"/>
                <w:szCs w:val="18"/>
                <w:lang w:eastAsia="en-AU"/>
              </w:rPr>
            </w:pPr>
            <w:r w:rsidRPr="00BC4F64">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16,500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18,400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19,300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19,500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22,100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34%</w:t>
            </w:r>
          </w:p>
        </w:tc>
      </w:tr>
      <w:tr w:rsidR="00BC4F64" w:rsidRPr="00BC4F64" w:rsidTr="00A40263">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center"/>
            <w:hideMark/>
          </w:tcPr>
          <w:p w:rsidR="00BC4F64" w:rsidRPr="00BC4F64" w:rsidRDefault="00BC4F64" w:rsidP="00BC4F64">
            <w:pPr>
              <w:spacing w:after="0" w:line="240" w:lineRule="auto"/>
              <w:jc w:val="left"/>
              <w:rPr>
                <w:rFonts w:cs="Arial"/>
                <w:color w:val="3E5B00"/>
                <w:sz w:val="18"/>
                <w:szCs w:val="18"/>
                <w:lang w:eastAsia="en-AU"/>
              </w:rPr>
            </w:pPr>
            <w:r w:rsidRPr="00BC4F64">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2,000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2,400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2,100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2,100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 xml:space="preserve">2,000 </w:t>
            </w:r>
          </w:p>
        </w:tc>
        <w:tc>
          <w:tcPr>
            <w:tcW w:w="1120" w:type="dxa"/>
            <w:tcBorders>
              <w:top w:val="nil"/>
              <w:left w:val="nil"/>
              <w:bottom w:val="single" w:sz="4" w:space="0" w:color="5E8A00"/>
              <w:right w:val="single" w:sz="4" w:space="0" w:color="5E8A00"/>
            </w:tcBorders>
            <w:shd w:val="clear" w:color="auto" w:fill="auto"/>
            <w:noWrap/>
            <w:vAlign w:val="center"/>
            <w:hideMark/>
          </w:tcPr>
          <w:p w:rsidR="00BC4F64" w:rsidRPr="00BC4F64" w:rsidRDefault="00BC4F64" w:rsidP="00BC4F64">
            <w:pPr>
              <w:spacing w:after="0" w:line="240" w:lineRule="auto"/>
              <w:jc w:val="right"/>
              <w:rPr>
                <w:rFonts w:cs="Arial"/>
                <w:sz w:val="18"/>
                <w:szCs w:val="18"/>
                <w:lang w:eastAsia="en-AU"/>
              </w:rPr>
            </w:pPr>
            <w:r w:rsidRPr="00BC4F64">
              <w:rPr>
                <w:rFonts w:cs="Arial"/>
                <w:sz w:val="18"/>
                <w:szCs w:val="18"/>
                <w:lang w:eastAsia="en-AU"/>
              </w:rPr>
              <w:t>-3%</w:t>
            </w:r>
          </w:p>
        </w:tc>
      </w:tr>
      <w:tr w:rsidR="00BC4F64" w:rsidRPr="00BC4F64" w:rsidTr="00A40263">
        <w:trPr>
          <w:trHeight w:hRule="exact" w:val="284"/>
        </w:trPr>
        <w:tc>
          <w:tcPr>
            <w:tcW w:w="2560" w:type="dxa"/>
            <w:tcBorders>
              <w:top w:val="single" w:sz="4" w:space="0" w:color="5E8A00"/>
              <w:left w:val="single" w:sz="4" w:space="0" w:color="5E8A00"/>
              <w:bottom w:val="nil"/>
            </w:tcBorders>
            <w:shd w:val="clear" w:color="000000" w:fill="5E8A00"/>
            <w:noWrap/>
            <w:vAlign w:val="center"/>
            <w:hideMark/>
          </w:tcPr>
          <w:p w:rsidR="00BC4F64" w:rsidRPr="00BC4F64" w:rsidRDefault="00BC4F64" w:rsidP="00BC4F64">
            <w:pPr>
              <w:spacing w:after="0" w:line="240" w:lineRule="auto"/>
              <w:jc w:val="left"/>
              <w:rPr>
                <w:rFonts w:cs="Arial"/>
                <w:b/>
                <w:bCs/>
                <w:color w:val="FFFFFF"/>
                <w:sz w:val="18"/>
                <w:szCs w:val="18"/>
                <w:lang w:eastAsia="en-AU"/>
              </w:rPr>
            </w:pPr>
            <w:r w:rsidRPr="00BC4F64">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xml:space="preserve">80,400 </w:t>
            </w:r>
          </w:p>
        </w:tc>
        <w:tc>
          <w:tcPr>
            <w:tcW w:w="1120" w:type="dxa"/>
            <w:tcBorders>
              <w:top w:val="single" w:sz="4" w:space="0" w:color="5E8A00"/>
              <w:bottom w:val="nil"/>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xml:space="preserve">93,100 </w:t>
            </w:r>
          </w:p>
        </w:tc>
        <w:tc>
          <w:tcPr>
            <w:tcW w:w="1120" w:type="dxa"/>
            <w:tcBorders>
              <w:top w:val="single" w:sz="4" w:space="0" w:color="5E8A00"/>
              <w:bottom w:val="nil"/>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xml:space="preserve">96,000 </w:t>
            </w:r>
          </w:p>
        </w:tc>
        <w:tc>
          <w:tcPr>
            <w:tcW w:w="1120" w:type="dxa"/>
            <w:tcBorders>
              <w:top w:val="single" w:sz="4" w:space="0" w:color="5E8A00"/>
              <w:bottom w:val="nil"/>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xml:space="preserve">94,200 </w:t>
            </w:r>
          </w:p>
        </w:tc>
        <w:tc>
          <w:tcPr>
            <w:tcW w:w="1120" w:type="dxa"/>
            <w:tcBorders>
              <w:top w:val="single" w:sz="4" w:space="0" w:color="5E8A00"/>
              <w:bottom w:val="nil"/>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 xml:space="preserve">105,200 </w:t>
            </w:r>
          </w:p>
        </w:tc>
        <w:tc>
          <w:tcPr>
            <w:tcW w:w="1120" w:type="dxa"/>
            <w:tcBorders>
              <w:top w:val="single" w:sz="4" w:space="0" w:color="5E8A00"/>
              <w:bottom w:val="nil"/>
              <w:right w:val="single" w:sz="4" w:space="0" w:color="5E8A00"/>
            </w:tcBorders>
            <w:shd w:val="clear" w:color="000000" w:fill="5E8A00"/>
            <w:noWrap/>
            <w:vAlign w:val="center"/>
            <w:hideMark/>
          </w:tcPr>
          <w:p w:rsidR="00BC4F64" w:rsidRPr="00BC4F64" w:rsidRDefault="00BC4F64" w:rsidP="00BC4F64">
            <w:pPr>
              <w:spacing w:after="0" w:line="240" w:lineRule="auto"/>
              <w:jc w:val="right"/>
              <w:rPr>
                <w:rFonts w:cs="Arial"/>
                <w:b/>
                <w:bCs/>
                <w:color w:val="FFFFFF"/>
                <w:sz w:val="18"/>
                <w:szCs w:val="18"/>
                <w:lang w:eastAsia="en-AU"/>
              </w:rPr>
            </w:pPr>
            <w:r w:rsidRPr="00BC4F64">
              <w:rPr>
                <w:rFonts w:cs="Arial"/>
                <w:b/>
                <w:bCs/>
                <w:color w:val="FFFFFF"/>
                <w:sz w:val="18"/>
                <w:szCs w:val="18"/>
                <w:lang w:eastAsia="en-AU"/>
              </w:rPr>
              <w:t>31%</w:t>
            </w:r>
          </w:p>
        </w:tc>
      </w:tr>
    </w:tbl>
    <w:p w:rsidR="00351166" w:rsidRPr="008C0A56" w:rsidRDefault="00351166" w:rsidP="00A9260A">
      <w:pPr>
        <w:pStyle w:val="Caption"/>
        <w:rPr>
          <w:rFonts w:cs="Arial"/>
          <w:color w:val="auto"/>
        </w:rPr>
      </w:pPr>
    </w:p>
    <w:p w:rsidR="003C19A6" w:rsidRDefault="003C19A6" w:rsidP="003C19A6">
      <w:pPr>
        <w:pStyle w:val="Caption"/>
        <w:spacing w:after="0"/>
        <w:jc w:val="left"/>
        <w:rPr>
          <w:rFonts w:cs="Arial"/>
        </w:rPr>
      </w:pPr>
      <w:r w:rsidRPr="001F29E3">
        <w:rPr>
          <w:rFonts w:cs="Arial"/>
        </w:rPr>
        <w:t>Table 1.</w:t>
      </w:r>
      <w:r w:rsidR="004D1F77">
        <w:rPr>
          <w:rFonts w:cs="Arial"/>
        </w:rPr>
        <w:t>10</w:t>
      </w:r>
      <w:r>
        <w:rPr>
          <w:rFonts w:cs="Arial"/>
        </w:rPr>
        <w:t>.</w:t>
      </w:r>
      <w:r w:rsidR="00BC4F64">
        <w:rPr>
          <w:rFonts w:cs="Arial"/>
        </w:rPr>
        <w:t>2</w:t>
      </w:r>
      <w:r w:rsidRPr="001F29E3">
        <w:rPr>
          <w:rFonts w:cs="Arial"/>
        </w:rPr>
        <w:t>: TAFE domestic fee for service</w:t>
      </w:r>
      <w:r>
        <w:rPr>
          <w:rFonts w:cs="Arial"/>
        </w:rPr>
        <w:t xml:space="preserve"> (AQF1+)</w:t>
      </w:r>
      <w:r w:rsidRPr="001F29E3">
        <w:rPr>
          <w:rFonts w:cs="Arial"/>
        </w:rPr>
        <w:t xml:space="preserve">: students by age group, </w:t>
      </w:r>
      <w:r w:rsidR="00BC4F64">
        <w:rPr>
          <w:rFonts w:cs="Arial"/>
        </w:rPr>
        <w:t>Q</w:t>
      </w:r>
      <w:r w:rsidR="00EA374C">
        <w:rPr>
          <w:rFonts w:cs="Arial"/>
        </w:rPr>
        <w:t>3</w:t>
      </w:r>
      <w:r w:rsidR="00BC4F64">
        <w:rPr>
          <w:rFonts w:cs="Arial"/>
        </w:rPr>
        <w:t xml:space="preserve"> 2011, </w:t>
      </w:r>
      <w:r w:rsidR="00BC4F64" w:rsidRPr="001F29E3">
        <w:rPr>
          <w:rFonts w:cs="Arial"/>
        </w:rPr>
        <w:t>Q</w:t>
      </w:r>
      <w:r w:rsidR="00EA374C">
        <w:rPr>
          <w:rFonts w:cs="Arial"/>
        </w:rPr>
        <w:t>3</w:t>
      </w:r>
      <w:r w:rsidR="00BC4F64" w:rsidRPr="001F29E3">
        <w:rPr>
          <w:rFonts w:cs="Arial"/>
        </w:rPr>
        <w:t xml:space="preserve"> 2012 </w:t>
      </w:r>
      <w:r w:rsidR="00DD2751">
        <w:rPr>
          <w:rFonts w:cs="Arial"/>
        </w:rPr>
        <w:br/>
      </w:r>
      <w:r w:rsidR="00BC4F64" w:rsidRPr="001F29E3">
        <w:rPr>
          <w:rFonts w:cs="Arial"/>
        </w:rPr>
        <w:t>and Q</w:t>
      </w:r>
      <w:r w:rsidR="00EA374C">
        <w:rPr>
          <w:rFonts w:cs="Arial"/>
        </w:rPr>
        <w:t>3</w:t>
      </w:r>
      <w:r w:rsidR="00BC4F64" w:rsidRPr="001F29E3">
        <w:rPr>
          <w:rFonts w:cs="Arial"/>
        </w:rPr>
        <w:t xml:space="preserve"> 2013</w:t>
      </w:r>
    </w:p>
    <w:tbl>
      <w:tblPr>
        <w:tblW w:w="8160" w:type="dxa"/>
        <w:tblInd w:w="103" w:type="dxa"/>
        <w:tblLook w:val="04A0" w:firstRow="1" w:lastRow="0" w:firstColumn="1" w:lastColumn="0" w:noHBand="0" w:noVBand="1"/>
      </w:tblPr>
      <w:tblGrid>
        <w:gridCol w:w="2560"/>
        <w:gridCol w:w="1120"/>
        <w:gridCol w:w="1120"/>
        <w:gridCol w:w="1120"/>
        <w:gridCol w:w="1120"/>
        <w:gridCol w:w="1120"/>
      </w:tblGrid>
      <w:tr w:rsidR="00EA374C" w:rsidRPr="00EA374C" w:rsidTr="00EA374C">
        <w:trPr>
          <w:trHeight w:hRule="exact" w:val="760"/>
        </w:trPr>
        <w:tc>
          <w:tcPr>
            <w:tcW w:w="256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Age group</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A374C" w:rsidRPr="00EA374C" w:rsidRDefault="00EA374C" w:rsidP="00EA374C">
            <w:pPr>
              <w:spacing w:after="0" w:line="240" w:lineRule="auto"/>
              <w:ind w:firstLineChars="100" w:firstLine="181"/>
              <w:jc w:val="left"/>
              <w:rPr>
                <w:rFonts w:cs="Arial"/>
                <w:b/>
                <w:bCs/>
                <w:color w:val="FFFFFF"/>
                <w:sz w:val="18"/>
                <w:szCs w:val="18"/>
                <w:lang w:eastAsia="en-AU"/>
              </w:rPr>
            </w:pPr>
            <w:r w:rsidRPr="00EA374C">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change</w:t>
            </w:r>
            <w:r w:rsidRPr="00EA374C">
              <w:rPr>
                <w:rFonts w:cs="Arial"/>
                <w:b/>
                <w:bCs/>
                <w:color w:val="FFFFFF"/>
                <w:sz w:val="18"/>
                <w:szCs w:val="18"/>
                <w:lang w:eastAsia="en-AU"/>
              </w:rPr>
              <w:br/>
              <w:t>Q3 2012-Q3 2013</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24,600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23,200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18,800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-19%</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8,800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9,600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9,000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-7%</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27,400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32,800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30,700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12%</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-7%</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15,000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17,900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15,300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-15%</w:t>
            </w:r>
          </w:p>
        </w:tc>
      </w:tr>
      <w:tr w:rsidR="00EA374C" w:rsidRPr="00EA374C" w:rsidTr="00EA374C">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EA374C" w:rsidRPr="00EA374C" w:rsidRDefault="00EA374C" w:rsidP="00EA374C">
            <w:pPr>
              <w:spacing w:after="0" w:line="240" w:lineRule="auto"/>
              <w:jc w:val="left"/>
              <w:rPr>
                <w:rFonts w:cs="Arial"/>
                <w:color w:val="3E5B00"/>
                <w:sz w:val="18"/>
                <w:szCs w:val="18"/>
                <w:lang w:eastAsia="en-AU"/>
              </w:rPr>
            </w:pPr>
            <w:r w:rsidRPr="00EA374C">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1,600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1,500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 xml:space="preserve">1,300 </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-24%</w:t>
            </w:r>
          </w:p>
        </w:tc>
        <w:tc>
          <w:tcPr>
            <w:tcW w:w="1120" w:type="dxa"/>
            <w:tcBorders>
              <w:top w:val="nil"/>
              <w:left w:val="nil"/>
              <w:bottom w:val="single" w:sz="4" w:space="0" w:color="5E8A00"/>
              <w:right w:val="single" w:sz="4" w:space="0" w:color="5E8A00"/>
            </w:tcBorders>
            <w:shd w:val="clear" w:color="auto" w:fill="auto"/>
            <w:noWrap/>
            <w:vAlign w:val="center"/>
            <w:hideMark/>
          </w:tcPr>
          <w:p w:rsidR="00EA374C" w:rsidRPr="00EA374C" w:rsidRDefault="00EA374C" w:rsidP="00EA374C">
            <w:pPr>
              <w:spacing w:after="0" w:line="240" w:lineRule="auto"/>
              <w:jc w:val="right"/>
              <w:rPr>
                <w:rFonts w:cs="Arial"/>
                <w:sz w:val="18"/>
                <w:szCs w:val="18"/>
                <w:lang w:eastAsia="en-AU"/>
              </w:rPr>
            </w:pPr>
            <w:r w:rsidRPr="00EA374C">
              <w:rPr>
                <w:rFonts w:cs="Arial"/>
                <w:sz w:val="18"/>
                <w:szCs w:val="18"/>
                <w:lang w:eastAsia="en-AU"/>
              </w:rPr>
              <w:t>-18%</w:t>
            </w:r>
          </w:p>
        </w:tc>
      </w:tr>
      <w:tr w:rsidR="00EA374C" w:rsidRPr="00EA374C" w:rsidTr="00EA374C">
        <w:trPr>
          <w:trHeight w:hRule="exact" w:val="284"/>
        </w:trPr>
        <w:tc>
          <w:tcPr>
            <w:tcW w:w="2560" w:type="dxa"/>
            <w:tcBorders>
              <w:top w:val="nil"/>
              <w:left w:val="single" w:sz="4" w:space="0" w:color="5E8A00"/>
              <w:bottom w:val="nil"/>
              <w:right w:val="single" w:sz="4" w:space="0" w:color="5E8A00"/>
            </w:tcBorders>
            <w:shd w:val="clear" w:color="000000" w:fill="5E8A00"/>
            <w:noWrap/>
            <w:vAlign w:val="bottom"/>
            <w:hideMark/>
          </w:tcPr>
          <w:p w:rsidR="00EA374C" w:rsidRPr="00EA374C" w:rsidRDefault="00EA374C" w:rsidP="00EA374C">
            <w:pPr>
              <w:spacing w:after="0" w:line="240" w:lineRule="auto"/>
              <w:jc w:val="left"/>
              <w:rPr>
                <w:rFonts w:cs="Arial"/>
                <w:b/>
                <w:bCs/>
                <w:color w:val="FFFFFF"/>
                <w:sz w:val="18"/>
                <w:szCs w:val="18"/>
                <w:lang w:eastAsia="en-AU"/>
              </w:rPr>
            </w:pPr>
            <w:r w:rsidRPr="00EA374C">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77,400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85,100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 xml:space="preserve">74,900 </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-3%</w:t>
            </w:r>
          </w:p>
        </w:tc>
        <w:tc>
          <w:tcPr>
            <w:tcW w:w="1120" w:type="dxa"/>
            <w:tcBorders>
              <w:top w:val="nil"/>
              <w:left w:val="nil"/>
              <w:bottom w:val="nil"/>
              <w:right w:val="single" w:sz="4" w:space="0" w:color="5E8A00"/>
            </w:tcBorders>
            <w:shd w:val="clear" w:color="000000" w:fill="5E8A00"/>
            <w:noWrap/>
            <w:vAlign w:val="center"/>
            <w:hideMark/>
          </w:tcPr>
          <w:p w:rsidR="00EA374C" w:rsidRPr="00EA374C" w:rsidRDefault="00EA374C" w:rsidP="00EA374C">
            <w:pPr>
              <w:spacing w:after="0" w:line="240" w:lineRule="auto"/>
              <w:jc w:val="right"/>
              <w:rPr>
                <w:rFonts w:cs="Arial"/>
                <w:b/>
                <w:bCs/>
                <w:color w:val="FFFFFF"/>
                <w:sz w:val="18"/>
                <w:szCs w:val="18"/>
                <w:lang w:eastAsia="en-AU"/>
              </w:rPr>
            </w:pPr>
            <w:r w:rsidRPr="00EA374C">
              <w:rPr>
                <w:rFonts w:cs="Arial"/>
                <w:b/>
                <w:bCs/>
                <w:color w:val="FFFFFF"/>
                <w:sz w:val="18"/>
                <w:szCs w:val="18"/>
                <w:lang w:eastAsia="en-AU"/>
              </w:rPr>
              <w:t>-12%</w:t>
            </w:r>
          </w:p>
        </w:tc>
      </w:tr>
    </w:tbl>
    <w:p w:rsidR="00EA374C" w:rsidRDefault="00EA374C" w:rsidP="00EA374C"/>
    <w:p w:rsidR="00EA374C" w:rsidRDefault="00EA374C">
      <w:pPr>
        <w:spacing w:after="0" w:line="240" w:lineRule="auto"/>
        <w:jc w:val="left"/>
        <w:rPr>
          <w:rFonts w:cs="Arial"/>
          <w:bCs/>
          <w:iCs/>
          <w:color w:val="76923C" w:themeColor="accent3" w:themeShade="BF"/>
          <w:sz w:val="28"/>
          <w:szCs w:val="28"/>
        </w:rPr>
      </w:pPr>
      <w:r>
        <w:br w:type="page"/>
      </w:r>
    </w:p>
    <w:p w:rsidR="00EE6BD1" w:rsidRPr="001F29E3" w:rsidRDefault="00B66680" w:rsidP="00EE6BD1">
      <w:pPr>
        <w:pStyle w:val="Heading2"/>
      </w:pPr>
      <w:bookmarkStart w:id="57" w:name="_Toc372613427"/>
      <w:r>
        <w:lastRenderedPageBreak/>
        <w:t>Government Subsidised Regional A</w:t>
      </w:r>
      <w:r w:rsidR="00EE6BD1" w:rsidRPr="001F29E3">
        <w:t>ctivity</w:t>
      </w:r>
      <w:r w:rsidR="007E26D7">
        <w:t xml:space="preserve"> and Participation</w:t>
      </w:r>
      <w:bookmarkEnd w:id="57"/>
    </w:p>
    <w:p w:rsidR="00EE6BD1" w:rsidRPr="00FC7DCE" w:rsidRDefault="00EE6BD1" w:rsidP="00EE6BD1">
      <w:pPr>
        <w:jc w:val="left"/>
        <w:rPr>
          <w:rFonts w:cs="Arial"/>
          <w:bCs/>
        </w:rPr>
      </w:pPr>
    </w:p>
    <w:p w:rsidR="00DB5345" w:rsidRPr="001F29E3" w:rsidRDefault="00ED1F4D" w:rsidP="00DB5345">
      <w:pPr>
        <w:jc w:val="left"/>
        <w:rPr>
          <w:rFonts w:cs="Arial"/>
        </w:rPr>
      </w:pPr>
      <w:r>
        <w:rPr>
          <w:rFonts w:cs="Arial"/>
        </w:rPr>
        <w:t>F</w:t>
      </w:r>
      <w:r w:rsidRPr="00022B50">
        <w:rPr>
          <w:rFonts w:cs="Arial"/>
        </w:rPr>
        <w:t xml:space="preserve">or the purpose of providing an overview of </w:t>
      </w:r>
      <w:r>
        <w:rPr>
          <w:rFonts w:cs="Arial"/>
        </w:rPr>
        <w:t xml:space="preserve">government subsidised </w:t>
      </w:r>
      <w:r w:rsidRPr="00022B50">
        <w:rPr>
          <w:rFonts w:cs="Arial"/>
        </w:rPr>
        <w:t>regional training activity</w:t>
      </w:r>
      <w:r>
        <w:rPr>
          <w:rFonts w:cs="Arial"/>
        </w:rPr>
        <w:t xml:space="preserve">, training data </w:t>
      </w:r>
      <w:r w:rsidR="00752D53" w:rsidRPr="00022B50">
        <w:rPr>
          <w:rFonts w:cs="Arial"/>
        </w:rPr>
        <w:t>are presented for</w:t>
      </w:r>
      <w:r w:rsidR="00DA7582" w:rsidRPr="00022B50">
        <w:rPr>
          <w:rFonts w:cs="Arial"/>
        </w:rPr>
        <w:t xml:space="preserve"> the four departmental regions</w:t>
      </w:r>
      <w:r w:rsidR="00001AF8">
        <w:rPr>
          <w:rFonts w:cs="Arial"/>
        </w:rPr>
        <w:t xml:space="preserve">. </w:t>
      </w:r>
      <w:r>
        <w:rPr>
          <w:rFonts w:cs="Arial"/>
        </w:rPr>
        <w:t xml:space="preserve">In addition, </w:t>
      </w:r>
      <w:r w:rsidR="00932A44" w:rsidRPr="00022B50">
        <w:rPr>
          <w:rFonts w:cs="Arial"/>
        </w:rPr>
        <w:t xml:space="preserve">government subsidised </w:t>
      </w:r>
      <w:r>
        <w:rPr>
          <w:rFonts w:cs="Arial"/>
        </w:rPr>
        <w:t xml:space="preserve">training data </w:t>
      </w:r>
      <w:r w:rsidR="00932A44" w:rsidRPr="00022B50">
        <w:rPr>
          <w:rFonts w:cs="Arial"/>
        </w:rPr>
        <w:t xml:space="preserve">are further disaggregated into </w:t>
      </w:r>
      <w:r w:rsidR="00A326AF">
        <w:rPr>
          <w:rFonts w:cs="Arial"/>
        </w:rPr>
        <w:t xml:space="preserve">nine </w:t>
      </w:r>
      <w:r w:rsidR="000D00D1">
        <w:rPr>
          <w:rFonts w:cs="Arial"/>
        </w:rPr>
        <w:t>small</w:t>
      </w:r>
      <w:r w:rsidR="00A326AF">
        <w:rPr>
          <w:rFonts w:cs="Arial"/>
        </w:rPr>
        <w:t xml:space="preserve"> areas </w:t>
      </w:r>
      <w:r w:rsidR="00467F90" w:rsidRPr="00022B50">
        <w:rPr>
          <w:rFonts w:cs="Arial"/>
        </w:rPr>
        <w:t>to provide</w:t>
      </w:r>
      <w:r w:rsidR="000A1C0E">
        <w:rPr>
          <w:rFonts w:cs="Arial"/>
        </w:rPr>
        <w:t xml:space="preserve"> </w:t>
      </w:r>
      <w:r w:rsidR="00184951">
        <w:rPr>
          <w:rFonts w:cs="Arial"/>
        </w:rPr>
        <w:t xml:space="preserve">a </w:t>
      </w:r>
      <w:r w:rsidR="000A1C0E">
        <w:rPr>
          <w:rFonts w:cs="Arial"/>
        </w:rPr>
        <w:t xml:space="preserve">more granular </w:t>
      </w:r>
      <w:r w:rsidR="00561677">
        <w:rPr>
          <w:rFonts w:cs="Arial"/>
        </w:rPr>
        <w:t>level of detail on</w:t>
      </w:r>
      <w:r w:rsidR="000D00D1">
        <w:rPr>
          <w:rFonts w:cs="Arial"/>
        </w:rPr>
        <w:t xml:space="preserve"> training delivery and participation</w:t>
      </w:r>
      <w:r w:rsidR="00EB6FFA" w:rsidRPr="00022B50">
        <w:rPr>
          <w:rFonts w:cs="Arial"/>
        </w:rPr>
        <w:t>.</w:t>
      </w:r>
    </w:p>
    <w:p w:rsidR="00932A44" w:rsidRPr="001F29E3" w:rsidRDefault="00DB5345" w:rsidP="00DB5345">
      <w:pPr>
        <w:jc w:val="left"/>
        <w:rPr>
          <w:rFonts w:cs="Arial"/>
        </w:rPr>
      </w:pPr>
      <w:r w:rsidRPr="001F29E3">
        <w:rPr>
          <w:rFonts w:cs="Arial"/>
        </w:rPr>
        <w:t>South-Western departmental region comprises Barwon South</w:t>
      </w:r>
      <w:r w:rsidR="00467F90" w:rsidRPr="001F29E3">
        <w:rPr>
          <w:rFonts w:cs="Arial"/>
        </w:rPr>
        <w:t xml:space="preserve"> </w:t>
      </w:r>
      <w:r w:rsidRPr="001F29E3">
        <w:rPr>
          <w:rFonts w:cs="Arial"/>
        </w:rPr>
        <w:t>West, Grampians and Western Metropolitan regional areas.</w:t>
      </w:r>
      <w:r w:rsidR="002C240D" w:rsidRPr="001F29E3">
        <w:rPr>
          <w:rFonts w:cs="Arial"/>
        </w:rPr>
        <w:t xml:space="preserve"> </w:t>
      </w:r>
      <w:r w:rsidRPr="001F29E3">
        <w:rPr>
          <w:rFonts w:cs="Arial"/>
        </w:rPr>
        <w:t xml:space="preserve">North-Western departmental region comprises Loddon </w:t>
      </w:r>
      <w:proofErr w:type="spellStart"/>
      <w:r w:rsidRPr="001F29E3">
        <w:rPr>
          <w:rFonts w:cs="Arial"/>
        </w:rPr>
        <w:t>Mallee</w:t>
      </w:r>
      <w:proofErr w:type="spellEnd"/>
      <w:r w:rsidRPr="001F29E3">
        <w:rPr>
          <w:rFonts w:cs="Arial"/>
        </w:rPr>
        <w:t xml:space="preserve"> and Northern</w:t>
      </w:r>
      <w:r w:rsidR="00DA7582" w:rsidRPr="001F29E3">
        <w:rPr>
          <w:rFonts w:cs="Arial"/>
        </w:rPr>
        <w:t xml:space="preserve"> </w:t>
      </w:r>
      <w:r w:rsidRPr="001F29E3">
        <w:rPr>
          <w:rFonts w:cs="Arial"/>
        </w:rPr>
        <w:t>Metropolitan regional areas. North-Eastern departmental region comprises Hume and Eastern Metropolitan regional areas. South-Eastern departmental region comprises Gippsland and Southern Metropolitan regional areas.</w:t>
      </w:r>
    </w:p>
    <w:p w:rsidR="000D00D1" w:rsidRDefault="000D00D1" w:rsidP="00932A44">
      <w:pPr>
        <w:rPr>
          <w:rFonts w:cs="Arial"/>
        </w:rPr>
      </w:pPr>
    </w:p>
    <w:p w:rsidR="000D00D1" w:rsidRDefault="000D00D1" w:rsidP="000D00D1">
      <w:pPr>
        <w:pStyle w:val="Heading3"/>
      </w:pPr>
      <w:r>
        <w:t>Regional Delivery</w:t>
      </w:r>
    </w:p>
    <w:p w:rsidR="00204000" w:rsidRDefault="001777F9" w:rsidP="00932A44">
      <w:pPr>
        <w:rPr>
          <w:rFonts w:cs="Arial"/>
        </w:rPr>
      </w:pPr>
      <w:r>
        <w:rPr>
          <w:rFonts w:cs="Arial"/>
        </w:rPr>
        <w:t>T</w:t>
      </w:r>
      <w:r w:rsidR="000D00D1">
        <w:rPr>
          <w:rFonts w:cs="Arial"/>
        </w:rPr>
        <w:t xml:space="preserve">his section </w:t>
      </w:r>
      <w:r w:rsidR="00ED1F4D">
        <w:rPr>
          <w:rFonts w:cs="Arial"/>
        </w:rPr>
        <w:t>focuses on</w:t>
      </w:r>
      <w:r>
        <w:rPr>
          <w:rFonts w:cs="Arial"/>
        </w:rPr>
        <w:t xml:space="preserve"> the delivery of government subsidised </w:t>
      </w:r>
      <w:r w:rsidR="00303E17">
        <w:rPr>
          <w:rFonts w:cs="Arial"/>
        </w:rPr>
        <w:t>training</w:t>
      </w:r>
      <w:r w:rsidR="000D00D1">
        <w:rPr>
          <w:rFonts w:cs="Arial"/>
        </w:rPr>
        <w:t xml:space="preserve"> </w:t>
      </w:r>
      <w:r w:rsidR="00CD4ED8">
        <w:rPr>
          <w:rFonts w:cs="Arial"/>
        </w:rPr>
        <w:t>by</w:t>
      </w:r>
      <w:r>
        <w:rPr>
          <w:rFonts w:cs="Arial"/>
        </w:rPr>
        <w:t xml:space="preserve"> location </w:t>
      </w:r>
      <w:r w:rsidR="00275821">
        <w:rPr>
          <w:rFonts w:cs="Arial"/>
        </w:rPr>
        <w:t xml:space="preserve">as defined by four departmental regions or nine </w:t>
      </w:r>
      <w:r w:rsidR="000D00D1">
        <w:rPr>
          <w:rFonts w:cs="Arial"/>
        </w:rPr>
        <w:t xml:space="preserve">regional </w:t>
      </w:r>
      <w:r w:rsidR="00275821">
        <w:rPr>
          <w:rFonts w:cs="Arial"/>
        </w:rPr>
        <w:t>areas</w:t>
      </w:r>
      <w:r w:rsidR="000D00D1">
        <w:rPr>
          <w:rFonts w:cs="Arial"/>
        </w:rPr>
        <w:t xml:space="preserve">. </w:t>
      </w:r>
      <w:r w:rsidR="00303E17">
        <w:rPr>
          <w:rFonts w:cs="Arial"/>
        </w:rPr>
        <w:t>Training c</w:t>
      </w:r>
      <w:r w:rsidR="000D00D1">
        <w:rPr>
          <w:rFonts w:cs="Arial"/>
        </w:rPr>
        <w:t>ourses c</w:t>
      </w:r>
      <w:r w:rsidR="00303E17">
        <w:rPr>
          <w:rFonts w:cs="Arial"/>
        </w:rPr>
        <w:t>ould</w:t>
      </w:r>
      <w:r w:rsidR="000D00D1">
        <w:rPr>
          <w:rFonts w:cs="Arial"/>
        </w:rPr>
        <w:t xml:space="preserve"> be </w:t>
      </w:r>
      <w:r w:rsidR="00CD4ED8">
        <w:rPr>
          <w:rFonts w:cs="Arial"/>
        </w:rPr>
        <w:t>undertaken by students who live</w:t>
      </w:r>
      <w:r w:rsidR="000D00D1">
        <w:rPr>
          <w:rFonts w:cs="Arial"/>
        </w:rPr>
        <w:t xml:space="preserve"> locally or outside the </w:t>
      </w:r>
      <w:r w:rsidR="00275821">
        <w:rPr>
          <w:rFonts w:cs="Arial"/>
        </w:rPr>
        <w:t>area</w:t>
      </w:r>
      <w:r w:rsidR="000D00D1">
        <w:rPr>
          <w:rFonts w:cs="Arial"/>
        </w:rPr>
        <w:t>.</w:t>
      </w:r>
      <w:r w:rsidR="00FC7DCE">
        <w:rPr>
          <w:rFonts w:cs="Arial"/>
        </w:rPr>
        <w:t xml:space="preserve"> </w:t>
      </w:r>
    </w:p>
    <w:p w:rsidR="00374ED1" w:rsidRDefault="00374ED1" w:rsidP="00932A44">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224561" w:rsidRPr="001F29E3" w:rsidTr="007F6FCA">
        <w:trPr>
          <w:trHeight w:val="495"/>
        </w:trPr>
        <w:tc>
          <w:tcPr>
            <w:tcW w:w="9088" w:type="dxa"/>
          </w:tcPr>
          <w:p w:rsidR="00224561" w:rsidRDefault="00224561" w:rsidP="007F6FCA">
            <w:pPr>
              <w:pStyle w:val="Heading3"/>
            </w:pPr>
            <w:r w:rsidRPr="00A77D23">
              <w:t>Key Points</w:t>
            </w:r>
          </w:p>
          <w:p w:rsidR="00A326AF" w:rsidRPr="00A326AF" w:rsidRDefault="00A326AF" w:rsidP="00A326AF"/>
          <w:p w:rsidR="00224561" w:rsidRPr="008F56CF" w:rsidRDefault="00561677" w:rsidP="007F6FCA">
            <w:pPr>
              <w:pStyle w:val="ListBullet"/>
              <w:numPr>
                <w:ilvl w:val="0"/>
                <w:numId w:val="14"/>
              </w:numPr>
              <w:ind w:right="113"/>
              <w:jc w:val="left"/>
              <w:rPr>
                <w:rFonts w:cs="Arial"/>
              </w:rPr>
            </w:pPr>
            <w:r w:rsidRPr="008F56CF">
              <w:rPr>
                <w:rFonts w:cs="Arial"/>
              </w:rPr>
              <w:t>Similar to the overall state-wide trend, g</w:t>
            </w:r>
            <w:r w:rsidR="00224561" w:rsidRPr="008F56CF">
              <w:rPr>
                <w:rFonts w:cs="Arial"/>
              </w:rPr>
              <w:t xml:space="preserve">overnment subsidised </w:t>
            </w:r>
            <w:r w:rsidR="00374ED1" w:rsidRPr="008F56CF">
              <w:rPr>
                <w:rFonts w:cs="Arial"/>
              </w:rPr>
              <w:t xml:space="preserve">courses delivered </w:t>
            </w:r>
            <w:r w:rsidR="00303E17" w:rsidRPr="008F56CF">
              <w:rPr>
                <w:rFonts w:cs="Arial"/>
              </w:rPr>
              <w:t xml:space="preserve">in Q3 2013 </w:t>
            </w:r>
            <w:r w:rsidR="00B66680" w:rsidRPr="008F56CF">
              <w:rPr>
                <w:rFonts w:cs="Arial"/>
              </w:rPr>
              <w:t>across four department</w:t>
            </w:r>
            <w:r w:rsidR="00303E17">
              <w:rPr>
                <w:rFonts w:cs="Arial"/>
              </w:rPr>
              <w:t>al</w:t>
            </w:r>
            <w:r w:rsidR="00224561" w:rsidRPr="008F56CF">
              <w:rPr>
                <w:rFonts w:cs="Arial"/>
              </w:rPr>
              <w:t xml:space="preserve"> regions </w:t>
            </w:r>
            <w:r w:rsidRPr="008F56CF">
              <w:rPr>
                <w:rFonts w:cs="Arial"/>
              </w:rPr>
              <w:t xml:space="preserve">were lower </w:t>
            </w:r>
            <w:r w:rsidR="00224561" w:rsidRPr="008F56CF">
              <w:rPr>
                <w:rFonts w:cs="Arial"/>
              </w:rPr>
              <w:t>compared to Q</w:t>
            </w:r>
            <w:r w:rsidR="00374ED1" w:rsidRPr="008F56CF">
              <w:rPr>
                <w:rFonts w:cs="Arial"/>
              </w:rPr>
              <w:t>3</w:t>
            </w:r>
            <w:r w:rsidR="00224561" w:rsidRPr="008F56CF">
              <w:rPr>
                <w:rFonts w:cs="Arial"/>
              </w:rPr>
              <w:t xml:space="preserve"> 2012</w:t>
            </w:r>
            <w:r w:rsidRPr="008F56CF">
              <w:rPr>
                <w:rFonts w:cs="Arial"/>
              </w:rPr>
              <w:t>, but higher compared to Q</w:t>
            </w:r>
            <w:r w:rsidR="00374ED1" w:rsidRPr="008F56CF">
              <w:rPr>
                <w:rFonts w:cs="Arial"/>
              </w:rPr>
              <w:t>3</w:t>
            </w:r>
            <w:r w:rsidRPr="008F56CF">
              <w:rPr>
                <w:rFonts w:cs="Arial"/>
              </w:rPr>
              <w:t xml:space="preserve"> 2011</w:t>
            </w:r>
            <w:r w:rsidR="000D00D1" w:rsidRPr="008F56CF">
              <w:rPr>
                <w:rFonts w:cs="Arial"/>
              </w:rPr>
              <w:t>, except the North Eastern region where courses delivered in Q3 2013 were higher than in Q3 2012</w:t>
            </w:r>
            <w:r w:rsidR="00224561" w:rsidRPr="008F56CF">
              <w:rPr>
                <w:rFonts w:cs="Arial"/>
              </w:rPr>
              <w:t xml:space="preserve">.  </w:t>
            </w:r>
          </w:p>
          <w:p w:rsidR="003423AC" w:rsidRDefault="00303E17" w:rsidP="007F6FCA">
            <w:pPr>
              <w:pStyle w:val="ListBullet"/>
              <w:numPr>
                <w:ilvl w:val="0"/>
                <w:numId w:val="14"/>
              </w:numPr>
              <w:ind w:right="113"/>
              <w:jc w:val="left"/>
              <w:rPr>
                <w:rFonts w:cs="Arial"/>
              </w:rPr>
            </w:pPr>
            <w:r>
              <w:rPr>
                <w:rFonts w:cs="Arial"/>
              </w:rPr>
              <w:t>F</w:t>
            </w:r>
            <w:r w:rsidR="00224561" w:rsidRPr="008F56CF">
              <w:rPr>
                <w:rFonts w:cs="Arial"/>
              </w:rPr>
              <w:t>urther disaggrega</w:t>
            </w:r>
            <w:r w:rsidR="003423AC">
              <w:rPr>
                <w:rFonts w:cs="Arial"/>
              </w:rPr>
              <w:t>t</w:t>
            </w:r>
            <w:r>
              <w:rPr>
                <w:rFonts w:cs="Arial"/>
              </w:rPr>
              <w:t>ion of the delivery data</w:t>
            </w:r>
            <w:r w:rsidR="003423AC">
              <w:rPr>
                <w:rFonts w:cs="Arial"/>
              </w:rPr>
              <w:t xml:space="preserve"> </w:t>
            </w:r>
            <w:r w:rsidR="00224561" w:rsidRPr="008F56CF">
              <w:rPr>
                <w:rFonts w:cs="Arial"/>
              </w:rPr>
              <w:t xml:space="preserve">into nine regional areas, </w:t>
            </w:r>
            <w:r w:rsidR="003423AC">
              <w:rPr>
                <w:rFonts w:cs="Arial"/>
              </w:rPr>
              <w:t xml:space="preserve">they </w:t>
            </w:r>
            <w:r w:rsidR="00224561" w:rsidRPr="008F56CF">
              <w:rPr>
                <w:rFonts w:cs="Arial"/>
              </w:rPr>
              <w:t xml:space="preserve">show </w:t>
            </w:r>
            <w:r w:rsidR="003423AC">
              <w:rPr>
                <w:rFonts w:cs="Arial"/>
              </w:rPr>
              <w:t>that there were some regional variations against the overall state-wide trend</w:t>
            </w:r>
            <w:r w:rsidR="00013913" w:rsidRPr="008F56CF">
              <w:rPr>
                <w:rFonts w:cs="Arial"/>
              </w:rPr>
              <w:t xml:space="preserve">: </w:t>
            </w:r>
          </w:p>
          <w:p w:rsidR="003423AC" w:rsidRDefault="00D11AB9" w:rsidP="003423AC">
            <w:pPr>
              <w:pStyle w:val="ListBullet"/>
              <w:numPr>
                <w:ilvl w:val="1"/>
                <w:numId w:val="14"/>
              </w:numPr>
              <w:ind w:left="859" w:right="113" w:hanging="425"/>
              <w:jc w:val="left"/>
              <w:rPr>
                <w:rFonts w:cs="Arial"/>
              </w:rPr>
            </w:pPr>
            <w:r>
              <w:rPr>
                <w:rFonts w:cs="Arial"/>
              </w:rPr>
              <w:t>C</w:t>
            </w:r>
            <w:r w:rsidR="003423AC">
              <w:rPr>
                <w:rFonts w:cs="Arial"/>
              </w:rPr>
              <w:t>ourse</w:t>
            </w:r>
            <w:r w:rsidR="00303E17">
              <w:rPr>
                <w:rFonts w:cs="Arial"/>
              </w:rPr>
              <w:t>s</w:t>
            </w:r>
            <w:r w:rsidR="003423AC">
              <w:rPr>
                <w:rFonts w:cs="Arial"/>
              </w:rPr>
              <w:t xml:space="preserve"> deliver</w:t>
            </w:r>
            <w:r w:rsidR="00303E17">
              <w:rPr>
                <w:rFonts w:cs="Arial"/>
              </w:rPr>
              <w:t>ed</w:t>
            </w:r>
            <w:r w:rsidR="003423AC">
              <w:rPr>
                <w:rFonts w:cs="Arial"/>
              </w:rPr>
              <w:t xml:space="preserve"> </w:t>
            </w:r>
            <w:r w:rsidR="00790D75">
              <w:rPr>
                <w:rFonts w:cs="Arial"/>
              </w:rPr>
              <w:t xml:space="preserve">in Hume regional area </w:t>
            </w:r>
            <w:r>
              <w:rPr>
                <w:rFonts w:cs="Arial"/>
              </w:rPr>
              <w:t>in Q3 2013 w</w:t>
            </w:r>
            <w:r w:rsidR="00303E17">
              <w:rPr>
                <w:rFonts w:cs="Arial"/>
              </w:rPr>
              <w:t>ere</w:t>
            </w:r>
            <w:r>
              <w:rPr>
                <w:rFonts w:cs="Arial"/>
              </w:rPr>
              <w:t xml:space="preserve"> higher than in Q3 2011 and Q3 2012</w:t>
            </w:r>
            <w:r w:rsidR="003423AC">
              <w:rPr>
                <w:rFonts w:cs="Arial"/>
              </w:rPr>
              <w:t>;</w:t>
            </w:r>
          </w:p>
          <w:p w:rsidR="00224561" w:rsidRPr="008F56CF" w:rsidRDefault="00D11AB9" w:rsidP="003423AC">
            <w:pPr>
              <w:pStyle w:val="ListBullet"/>
              <w:numPr>
                <w:ilvl w:val="1"/>
                <w:numId w:val="14"/>
              </w:numPr>
              <w:ind w:left="859" w:right="113" w:hanging="425"/>
              <w:jc w:val="left"/>
              <w:rPr>
                <w:rFonts w:cs="Arial"/>
              </w:rPr>
            </w:pPr>
            <w:r>
              <w:rPr>
                <w:rFonts w:cs="Arial"/>
              </w:rPr>
              <w:t>C</w:t>
            </w:r>
            <w:r w:rsidR="003423AC">
              <w:rPr>
                <w:rFonts w:cs="Arial"/>
              </w:rPr>
              <w:t>ourse</w:t>
            </w:r>
            <w:r w:rsidR="00303E17">
              <w:rPr>
                <w:rFonts w:cs="Arial"/>
              </w:rPr>
              <w:t>s</w:t>
            </w:r>
            <w:r w:rsidR="003423AC">
              <w:rPr>
                <w:rFonts w:cs="Arial"/>
              </w:rPr>
              <w:t xml:space="preserve"> deliver</w:t>
            </w:r>
            <w:r w:rsidR="00303E17">
              <w:rPr>
                <w:rFonts w:cs="Arial"/>
              </w:rPr>
              <w:t>ed</w:t>
            </w:r>
            <w:r w:rsidR="003423AC">
              <w:rPr>
                <w:rFonts w:cs="Arial"/>
              </w:rPr>
              <w:t xml:space="preserve"> </w:t>
            </w:r>
            <w:r w:rsidR="00275821" w:rsidRPr="008F56CF">
              <w:rPr>
                <w:rFonts w:cs="Arial"/>
              </w:rPr>
              <w:t xml:space="preserve">in </w:t>
            </w:r>
            <w:r w:rsidR="00224561" w:rsidRPr="008F56CF">
              <w:rPr>
                <w:rFonts w:cs="Arial"/>
              </w:rPr>
              <w:t>Gippsland</w:t>
            </w:r>
            <w:r w:rsidR="00275821" w:rsidRPr="008F56CF">
              <w:rPr>
                <w:rFonts w:cs="Arial"/>
              </w:rPr>
              <w:t xml:space="preserve">, </w:t>
            </w:r>
            <w:r w:rsidR="00224561" w:rsidRPr="008F56CF">
              <w:rPr>
                <w:rFonts w:cs="Arial"/>
              </w:rPr>
              <w:t xml:space="preserve">Eastern Metropolitan </w:t>
            </w:r>
            <w:r w:rsidR="00275821" w:rsidRPr="008F56CF">
              <w:rPr>
                <w:rFonts w:cs="Arial"/>
              </w:rPr>
              <w:t xml:space="preserve">and Barwon South West </w:t>
            </w:r>
            <w:r w:rsidR="00224561" w:rsidRPr="008F56CF">
              <w:rPr>
                <w:rFonts w:cs="Arial"/>
              </w:rPr>
              <w:t xml:space="preserve">regional areas </w:t>
            </w:r>
            <w:r>
              <w:rPr>
                <w:rFonts w:cs="Arial"/>
              </w:rPr>
              <w:t>w</w:t>
            </w:r>
            <w:r w:rsidR="00303E17">
              <w:rPr>
                <w:rFonts w:cs="Arial"/>
              </w:rPr>
              <w:t>ere</w:t>
            </w:r>
            <w:r w:rsidR="00275821" w:rsidRPr="008F56CF">
              <w:rPr>
                <w:rFonts w:cs="Arial"/>
              </w:rPr>
              <w:t xml:space="preserve"> lowered </w:t>
            </w:r>
            <w:r w:rsidR="00224561" w:rsidRPr="008F56CF">
              <w:rPr>
                <w:rFonts w:cs="Arial"/>
              </w:rPr>
              <w:t>in Q</w:t>
            </w:r>
            <w:r w:rsidR="00275821" w:rsidRPr="008F56CF">
              <w:rPr>
                <w:rFonts w:cs="Arial"/>
              </w:rPr>
              <w:t>3</w:t>
            </w:r>
            <w:r w:rsidR="00224561" w:rsidRPr="008F56CF">
              <w:rPr>
                <w:rFonts w:cs="Arial"/>
              </w:rPr>
              <w:t xml:space="preserve"> 2013 </w:t>
            </w:r>
            <w:r w:rsidR="00275821" w:rsidRPr="008F56CF">
              <w:rPr>
                <w:rFonts w:cs="Arial"/>
              </w:rPr>
              <w:t xml:space="preserve">compared to </w:t>
            </w:r>
            <w:r w:rsidR="00224561" w:rsidRPr="008F56CF">
              <w:rPr>
                <w:rFonts w:cs="Arial"/>
              </w:rPr>
              <w:t>Q</w:t>
            </w:r>
            <w:r w:rsidR="00275821" w:rsidRPr="008F56CF">
              <w:rPr>
                <w:rFonts w:cs="Arial"/>
              </w:rPr>
              <w:t>3</w:t>
            </w:r>
            <w:r w:rsidR="00224561" w:rsidRPr="008F56CF">
              <w:rPr>
                <w:rFonts w:cs="Arial"/>
              </w:rPr>
              <w:t xml:space="preserve"> 2011 and Q</w:t>
            </w:r>
            <w:r w:rsidR="00275821" w:rsidRPr="008F56CF">
              <w:rPr>
                <w:rFonts w:cs="Arial"/>
              </w:rPr>
              <w:t>3</w:t>
            </w:r>
            <w:r w:rsidR="00224561" w:rsidRPr="008F56CF">
              <w:rPr>
                <w:rFonts w:cs="Arial"/>
              </w:rPr>
              <w:t xml:space="preserve"> 2012.</w:t>
            </w:r>
          </w:p>
          <w:p w:rsidR="00224561" w:rsidRPr="008F56CF" w:rsidRDefault="00275821" w:rsidP="007F6FCA">
            <w:pPr>
              <w:pStyle w:val="ListBullet"/>
              <w:numPr>
                <w:ilvl w:val="0"/>
                <w:numId w:val="14"/>
              </w:numPr>
              <w:ind w:right="113"/>
              <w:jc w:val="left"/>
              <w:rPr>
                <w:rFonts w:cs="Arial"/>
              </w:rPr>
            </w:pPr>
            <w:r w:rsidRPr="008F56CF">
              <w:rPr>
                <w:rFonts w:cs="Arial"/>
              </w:rPr>
              <w:t>The increase</w:t>
            </w:r>
            <w:r w:rsidR="00224561" w:rsidRPr="008F56CF">
              <w:rPr>
                <w:rFonts w:cs="Arial"/>
              </w:rPr>
              <w:t xml:space="preserve"> in government subsidised </w:t>
            </w:r>
            <w:r w:rsidR="006370CF">
              <w:rPr>
                <w:rFonts w:cs="Arial"/>
              </w:rPr>
              <w:t>cours</w:t>
            </w:r>
            <w:r w:rsidR="00303E17">
              <w:rPr>
                <w:rFonts w:cs="Arial"/>
              </w:rPr>
              <w:t>e</w:t>
            </w:r>
            <w:r w:rsidR="006370CF">
              <w:rPr>
                <w:rFonts w:cs="Arial"/>
              </w:rPr>
              <w:t xml:space="preserve"> deliver</w:t>
            </w:r>
            <w:r w:rsidR="00303E17">
              <w:rPr>
                <w:rFonts w:cs="Arial"/>
              </w:rPr>
              <w:t>y</w:t>
            </w:r>
            <w:r w:rsidR="00224561" w:rsidRPr="008F56CF">
              <w:rPr>
                <w:rFonts w:cs="Arial"/>
              </w:rPr>
              <w:t xml:space="preserve"> in Hume in Q</w:t>
            </w:r>
            <w:r w:rsidRPr="008F56CF">
              <w:rPr>
                <w:rFonts w:cs="Arial"/>
              </w:rPr>
              <w:t>3</w:t>
            </w:r>
            <w:r w:rsidR="00224561" w:rsidRPr="008F56CF">
              <w:rPr>
                <w:rFonts w:cs="Arial"/>
              </w:rPr>
              <w:t xml:space="preserve"> 2013 has occurred across all Australian Qualification Levels: Certificate I to II (up </w:t>
            </w:r>
            <w:r w:rsidR="00C75313" w:rsidRPr="008F56CF">
              <w:rPr>
                <w:rFonts w:cs="Arial"/>
              </w:rPr>
              <w:t>52</w:t>
            </w:r>
            <w:r w:rsidR="00224561" w:rsidRPr="008F56CF">
              <w:rPr>
                <w:rFonts w:cs="Arial"/>
              </w:rPr>
              <w:t xml:space="preserve"> per cent), Certificate III to IV (up </w:t>
            </w:r>
            <w:r w:rsidR="00C75313" w:rsidRPr="008F56CF">
              <w:rPr>
                <w:rFonts w:cs="Arial"/>
              </w:rPr>
              <w:t>44</w:t>
            </w:r>
            <w:r w:rsidR="00224561" w:rsidRPr="008F56CF">
              <w:rPr>
                <w:rFonts w:cs="Arial"/>
              </w:rPr>
              <w:t xml:space="preserve"> per cent) and Diploma &amp; Above (up </w:t>
            </w:r>
            <w:r w:rsidR="00C75313" w:rsidRPr="008F56CF">
              <w:rPr>
                <w:rFonts w:cs="Arial"/>
              </w:rPr>
              <w:t>0.5</w:t>
            </w:r>
            <w:r w:rsidR="00224561" w:rsidRPr="008F56CF">
              <w:rPr>
                <w:rFonts w:cs="Arial"/>
              </w:rPr>
              <w:t xml:space="preserve"> per cent) compared to Q</w:t>
            </w:r>
            <w:r w:rsidR="00C75313" w:rsidRPr="008F56CF">
              <w:rPr>
                <w:rFonts w:cs="Arial"/>
              </w:rPr>
              <w:t>3</w:t>
            </w:r>
            <w:r w:rsidR="00224561" w:rsidRPr="008F56CF">
              <w:rPr>
                <w:rFonts w:cs="Arial"/>
              </w:rPr>
              <w:t xml:space="preserve"> 2012. The large increase in</w:t>
            </w:r>
            <w:r w:rsidR="00790D75">
              <w:rPr>
                <w:rFonts w:cs="Arial"/>
              </w:rPr>
              <w:t xml:space="preserve"> delivery </w:t>
            </w:r>
            <w:r w:rsidR="00224561" w:rsidRPr="008F56CF">
              <w:rPr>
                <w:rFonts w:cs="Arial"/>
              </w:rPr>
              <w:t>was associated with:</w:t>
            </w:r>
          </w:p>
          <w:p w:rsidR="00FF7026" w:rsidRPr="008F56CF" w:rsidRDefault="00303E17" w:rsidP="00537FFC">
            <w:pPr>
              <w:pStyle w:val="ListBullet"/>
              <w:numPr>
                <w:ilvl w:val="1"/>
                <w:numId w:val="14"/>
              </w:numPr>
              <w:ind w:left="859" w:right="113" w:hanging="425"/>
              <w:jc w:val="left"/>
              <w:rPr>
                <w:rFonts w:cs="Arial"/>
              </w:rPr>
            </w:pPr>
            <w:r>
              <w:rPr>
                <w:rFonts w:cs="Arial"/>
              </w:rPr>
              <w:t>An i</w:t>
            </w:r>
            <w:r w:rsidR="00FF7026" w:rsidRPr="008F56CF">
              <w:rPr>
                <w:rFonts w:cs="Arial"/>
              </w:rPr>
              <w:t xml:space="preserve">ncrease in enrolments at </w:t>
            </w:r>
            <w:r w:rsidR="00FF7026">
              <w:rPr>
                <w:rFonts w:cs="Arial"/>
              </w:rPr>
              <w:t xml:space="preserve">the </w:t>
            </w:r>
            <w:r w:rsidR="00FF7026" w:rsidRPr="008F56CF">
              <w:rPr>
                <w:rFonts w:cs="Arial"/>
              </w:rPr>
              <w:t xml:space="preserve">Certificate </w:t>
            </w:r>
            <w:r w:rsidR="00FF7026">
              <w:rPr>
                <w:rFonts w:cs="Arial"/>
              </w:rPr>
              <w:t>III</w:t>
            </w:r>
            <w:r w:rsidR="00FF7026" w:rsidRPr="008F56CF">
              <w:rPr>
                <w:rFonts w:cs="Arial"/>
              </w:rPr>
              <w:t>I to I</w:t>
            </w:r>
            <w:r w:rsidR="00FF7026">
              <w:rPr>
                <w:rFonts w:cs="Arial"/>
              </w:rPr>
              <w:t>V</w:t>
            </w:r>
            <w:r w:rsidR="00FF7026" w:rsidRPr="008F56CF">
              <w:rPr>
                <w:rFonts w:cs="Arial"/>
              </w:rPr>
              <w:t xml:space="preserve"> levels</w:t>
            </w:r>
            <w:r w:rsidR="00790D75">
              <w:rPr>
                <w:rFonts w:cs="Arial"/>
              </w:rPr>
              <w:t>.  This</w:t>
            </w:r>
            <w:r w:rsidR="00FF7026">
              <w:rPr>
                <w:rFonts w:cs="Arial"/>
              </w:rPr>
              <w:t xml:space="preserve"> was predominantly driven by a significant increase in </w:t>
            </w:r>
            <w:proofErr w:type="gramStart"/>
            <w:r w:rsidR="00FF7026">
              <w:rPr>
                <w:rFonts w:cs="Arial"/>
              </w:rPr>
              <w:t>Other</w:t>
            </w:r>
            <w:proofErr w:type="gramEnd"/>
            <w:r w:rsidR="00FF7026">
              <w:rPr>
                <w:rFonts w:cs="Arial"/>
              </w:rPr>
              <w:t xml:space="preserve"> courses </w:t>
            </w:r>
            <w:r w:rsidR="00790D75">
              <w:rPr>
                <w:rFonts w:cs="Arial"/>
              </w:rPr>
              <w:t xml:space="preserve">of study </w:t>
            </w:r>
            <w:r w:rsidR="00FF7026">
              <w:rPr>
                <w:rFonts w:cs="Arial"/>
              </w:rPr>
              <w:t xml:space="preserve">(i.e. non-apprenticeship/traineeship and non-foundation courses) (up by 65% from 9,500 in Q3 2012 to 15,600 in Q3 2013) and </w:t>
            </w:r>
            <w:r w:rsidR="00790D75">
              <w:rPr>
                <w:rFonts w:cs="Arial"/>
              </w:rPr>
              <w:t>a 17 per cent i</w:t>
            </w:r>
            <w:r w:rsidR="00FF7026">
              <w:rPr>
                <w:rFonts w:cs="Arial"/>
              </w:rPr>
              <w:t xml:space="preserve">ncrease in apprenticeship courses (from 1,700 </w:t>
            </w:r>
            <w:r w:rsidR="00790D75">
              <w:rPr>
                <w:rFonts w:cs="Arial"/>
              </w:rPr>
              <w:t xml:space="preserve">in Q3 2012 </w:t>
            </w:r>
            <w:r w:rsidR="00FF7026">
              <w:rPr>
                <w:rFonts w:cs="Arial"/>
              </w:rPr>
              <w:t xml:space="preserve">to 2,000 </w:t>
            </w:r>
            <w:r w:rsidR="00790D75">
              <w:rPr>
                <w:rFonts w:cs="Arial"/>
              </w:rPr>
              <w:t>in Q3 2013</w:t>
            </w:r>
            <w:r w:rsidR="00FF7026">
              <w:rPr>
                <w:rFonts w:cs="Arial"/>
              </w:rPr>
              <w:t xml:space="preserve">).  </w:t>
            </w:r>
          </w:p>
          <w:p w:rsidR="00224561" w:rsidRPr="008F56CF" w:rsidRDefault="00224561" w:rsidP="00537FFC">
            <w:pPr>
              <w:pStyle w:val="ListBullet"/>
              <w:numPr>
                <w:ilvl w:val="1"/>
                <w:numId w:val="14"/>
              </w:numPr>
              <w:ind w:left="859" w:right="113" w:hanging="425"/>
              <w:jc w:val="left"/>
              <w:rPr>
                <w:rFonts w:cs="Arial"/>
              </w:rPr>
            </w:pPr>
            <w:r w:rsidRPr="008F56CF">
              <w:rPr>
                <w:rFonts w:cs="Arial"/>
              </w:rPr>
              <w:t>Enrolments that have been increasing from Q</w:t>
            </w:r>
            <w:r w:rsidR="00C75313" w:rsidRPr="008F56CF">
              <w:rPr>
                <w:rFonts w:cs="Arial"/>
              </w:rPr>
              <w:t>3</w:t>
            </w:r>
            <w:r w:rsidRPr="008F56CF">
              <w:rPr>
                <w:rFonts w:cs="Arial"/>
              </w:rPr>
              <w:t xml:space="preserve"> 2011, Q</w:t>
            </w:r>
            <w:r w:rsidR="00C75313" w:rsidRPr="008F56CF">
              <w:rPr>
                <w:rFonts w:cs="Arial"/>
              </w:rPr>
              <w:t>3</w:t>
            </w:r>
            <w:r w:rsidRPr="008F56CF">
              <w:rPr>
                <w:rFonts w:cs="Arial"/>
              </w:rPr>
              <w:t xml:space="preserve"> 2012 to Q</w:t>
            </w:r>
            <w:r w:rsidR="00C75313" w:rsidRPr="008F56CF">
              <w:rPr>
                <w:rFonts w:cs="Arial"/>
              </w:rPr>
              <w:t>3</w:t>
            </w:r>
            <w:r w:rsidRPr="008F56CF">
              <w:rPr>
                <w:rFonts w:cs="Arial"/>
              </w:rPr>
              <w:t xml:space="preserve"> 2013 are found in industry sectors, such as: </w:t>
            </w:r>
          </w:p>
          <w:p w:rsidR="008F56CF" w:rsidRPr="008F56CF" w:rsidRDefault="008F56CF" w:rsidP="00537FFC">
            <w:pPr>
              <w:pStyle w:val="ListBullet"/>
              <w:numPr>
                <w:ilvl w:val="2"/>
                <w:numId w:val="14"/>
              </w:numPr>
              <w:ind w:left="1284" w:right="113" w:hanging="425"/>
              <w:jc w:val="left"/>
              <w:rPr>
                <w:rFonts w:cs="Arial"/>
              </w:rPr>
            </w:pPr>
            <w:r w:rsidRPr="008F56CF">
              <w:rPr>
                <w:rFonts w:cs="Arial"/>
              </w:rPr>
              <w:t>Construction (from 1,900 in Q3 2011 to 5,000 in Q3 2013)</w:t>
            </w:r>
            <w:r w:rsidR="00303E17">
              <w:rPr>
                <w:rFonts w:cs="Arial"/>
              </w:rPr>
              <w:t>;</w:t>
            </w:r>
          </w:p>
          <w:p w:rsidR="00224561" w:rsidRPr="008F56CF" w:rsidRDefault="00224561" w:rsidP="00537FFC">
            <w:pPr>
              <w:pStyle w:val="ListBullet"/>
              <w:numPr>
                <w:ilvl w:val="2"/>
                <w:numId w:val="14"/>
              </w:numPr>
              <w:ind w:left="1284" w:right="113" w:hanging="425"/>
              <w:jc w:val="left"/>
              <w:rPr>
                <w:rFonts w:cs="Arial"/>
              </w:rPr>
            </w:pPr>
            <w:r w:rsidRPr="008F56CF">
              <w:rPr>
                <w:rFonts w:cs="Arial"/>
              </w:rPr>
              <w:t xml:space="preserve">Education and Training (from </w:t>
            </w:r>
            <w:r w:rsidR="008F56CF" w:rsidRPr="008F56CF">
              <w:rPr>
                <w:rFonts w:cs="Arial"/>
              </w:rPr>
              <w:t>400</w:t>
            </w:r>
            <w:r w:rsidRPr="008F56CF">
              <w:rPr>
                <w:rFonts w:cs="Arial"/>
              </w:rPr>
              <w:t xml:space="preserve"> in Q</w:t>
            </w:r>
            <w:r w:rsidR="008F56CF" w:rsidRPr="008F56CF">
              <w:rPr>
                <w:rFonts w:cs="Arial"/>
              </w:rPr>
              <w:t>3</w:t>
            </w:r>
            <w:r w:rsidRPr="008F56CF">
              <w:rPr>
                <w:rFonts w:cs="Arial"/>
              </w:rPr>
              <w:t xml:space="preserve"> 2011 to 2,</w:t>
            </w:r>
            <w:r w:rsidR="008F56CF" w:rsidRPr="008F56CF">
              <w:rPr>
                <w:rFonts w:cs="Arial"/>
              </w:rPr>
              <w:t>3</w:t>
            </w:r>
            <w:r w:rsidRPr="008F56CF">
              <w:rPr>
                <w:rFonts w:cs="Arial"/>
              </w:rPr>
              <w:t>00 in Q</w:t>
            </w:r>
            <w:r w:rsidR="008F56CF" w:rsidRPr="008F56CF">
              <w:rPr>
                <w:rFonts w:cs="Arial"/>
              </w:rPr>
              <w:t>3</w:t>
            </w:r>
            <w:r w:rsidRPr="008F56CF">
              <w:rPr>
                <w:rFonts w:cs="Arial"/>
              </w:rPr>
              <w:t xml:space="preserve"> 2013); </w:t>
            </w:r>
          </w:p>
          <w:p w:rsidR="00224561" w:rsidRPr="008F56CF" w:rsidRDefault="00224561" w:rsidP="00537FFC">
            <w:pPr>
              <w:pStyle w:val="ListBullet"/>
              <w:numPr>
                <w:ilvl w:val="2"/>
                <w:numId w:val="14"/>
              </w:numPr>
              <w:ind w:left="1284" w:right="113" w:hanging="425"/>
              <w:jc w:val="left"/>
              <w:rPr>
                <w:rFonts w:cs="Arial"/>
              </w:rPr>
            </w:pPr>
            <w:r w:rsidRPr="008F56CF">
              <w:rPr>
                <w:rFonts w:cs="Arial"/>
              </w:rPr>
              <w:t xml:space="preserve">Health Care and Social Assistance (from </w:t>
            </w:r>
            <w:r w:rsidR="008F56CF" w:rsidRPr="008F56CF">
              <w:rPr>
                <w:rFonts w:cs="Arial"/>
              </w:rPr>
              <w:t>3,1</w:t>
            </w:r>
            <w:r w:rsidRPr="008F56CF">
              <w:rPr>
                <w:rFonts w:cs="Arial"/>
              </w:rPr>
              <w:t>00 in Q</w:t>
            </w:r>
            <w:r w:rsidR="008F56CF" w:rsidRPr="008F56CF">
              <w:rPr>
                <w:rFonts w:cs="Arial"/>
              </w:rPr>
              <w:t>3</w:t>
            </w:r>
            <w:r w:rsidRPr="008F56CF">
              <w:rPr>
                <w:rFonts w:cs="Arial"/>
              </w:rPr>
              <w:t xml:space="preserve"> 2011 to </w:t>
            </w:r>
            <w:r w:rsidR="008F56CF" w:rsidRPr="008F56CF">
              <w:rPr>
                <w:rFonts w:cs="Arial"/>
              </w:rPr>
              <w:t>5,1</w:t>
            </w:r>
            <w:r w:rsidRPr="008F56CF">
              <w:rPr>
                <w:rFonts w:cs="Arial"/>
              </w:rPr>
              <w:t>00 in Q</w:t>
            </w:r>
            <w:r w:rsidR="008F56CF" w:rsidRPr="008F56CF">
              <w:rPr>
                <w:rFonts w:cs="Arial"/>
              </w:rPr>
              <w:t>3</w:t>
            </w:r>
            <w:r w:rsidRPr="008F56CF">
              <w:rPr>
                <w:rFonts w:cs="Arial"/>
              </w:rPr>
              <w:t xml:space="preserve"> 2013);</w:t>
            </w:r>
          </w:p>
          <w:p w:rsidR="00224561" w:rsidRPr="008F56CF" w:rsidRDefault="00224561" w:rsidP="00537FFC">
            <w:pPr>
              <w:pStyle w:val="ListBullet"/>
              <w:numPr>
                <w:ilvl w:val="2"/>
                <w:numId w:val="14"/>
              </w:numPr>
              <w:ind w:left="1284" w:right="113" w:hanging="425"/>
              <w:jc w:val="left"/>
              <w:rPr>
                <w:rFonts w:cs="Arial"/>
              </w:rPr>
            </w:pPr>
            <w:r w:rsidRPr="008F56CF">
              <w:rPr>
                <w:rFonts w:cs="Arial"/>
              </w:rPr>
              <w:t>Manufacturing (from 2,</w:t>
            </w:r>
            <w:r w:rsidR="008F56CF" w:rsidRPr="008F56CF">
              <w:rPr>
                <w:rFonts w:cs="Arial"/>
              </w:rPr>
              <w:t>7</w:t>
            </w:r>
            <w:r w:rsidR="001258F3" w:rsidRPr="008F56CF">
              <w:rPr>
                <w:rFonts w:cs="Arial"/>
              </w:rPr>
              <w:t>0</w:t>
            </w:r>
            <w:r w:rsidRPr="008F56CF">
              <w:rPr>
                <w:rFonts w:cs="Arial"/>
              </w:rPr>
              <w:t xml:space="preserve">0 </w:t>
            </w:r>
            <w:r w:rsidR="001258F3" w:rsidRPr="008F56CF">
              <w:rPr>
                <w:rFonts w:cs="Arial"/>
              </w:rPr>
              <w:t>in Q</w:t>
            </w:r>
            <w:r w:rsidR="008F56CF" w:rsidRPr="008F56CF">
              <w:rPr>
                <w:rFonts w:cs="Arial"/>
              </w:rPr>
              <w:t>3</w:t>
            </w:r>
            <w:r w:rsidR="001258F3" w:rsidRPr="008F56CF">
              <w:rPr>
                <w:rFonts w:cs="Arial"/>
              </w:rPr>
              <w:t xml:space="preserve"> 2011 to </w:t>
            </w:r>
            <w:r w:rsidR="008F56CF" w:rsidRPr="008F56CF">
              <w:rPr>
                <w:rFonts w:cs="Arial"/>
              </w:rPr>
              <w:t>3</w:t>
            </w:r>
            <w:r w:rsidR="001258F3" w:rsidRPr="008F56CF">
              <w:rPr>
                <w:rFonts w:cs="Arial"/>
              </w:rPr>
              <w:t>,</w:t>
            </w:r>
            <w:r w:rsidR="008F56CF" w:rsidRPr="008F56CF">
              <w:rPr>
                <w:rFonts w:cs="Arial"/>
              </w:rPr>
              <w:t>2</w:t>
            </w:r>
            <w:r w:rsidR="001258F3" w:rsidRPr="008F56CF">
              <w:rPr>
                <w:rFonts w:cs="Arial"/>
              </w:rPr>
              <w:t>00 in Q</w:t>
            </w:r>
            <w:r w:rsidR="008F56CF" w:rsidRPr="008F56CF">
              <w:rPr>
                <w:rFonts w:cs="Arial"/>
              </w:rPr>
              <w:t>3</w:t>
            </w:r>
            <w:r w:rsidR="00303E17">
              <w:rPr>
                <w:rFonts w:cs="Arial"/>
              </w:rPr>
              <w:t xml:space="preserve"> 2013);</w:t>
            </w:r>
          </w:p>
          <w:p w:rsidR="00224561" w:rsidRPr="008F56CF" w:rsidRDefault="00224561" w:rsidP="00537FFC">
            <w:pPr>
              <w:pStyle w:val="ListBullet"/>
              <w:numPr>
                <w:ilvl w:val="2"/>
                <w:numId w:val="14"/>
              </w:numPr>
              <w:ind w:left="1284" w:right="113" w:hanging="425"/>
              <w:jc w:val="left"/>
              <w:rPr>
                <w:rFonts w:cs="Arial"/>
              </w:rPr>
            </w:pPr>
            <w:r w:rsidRPr="008F56CF">
              <w:rPr>
                <w:rFonts w:cs="Arial"/>
              </w:rPr>
              <w:t xml:space="preserve">Transport, Postal and Warehousing (from </w:t>
            </w:r>
            <w:r w:rsidR="008F56CF" w:rsidRPr="008F56CF">
              <w:rPr>
                <w:rFonts w:cs="Arial"/>
              </w:rPr>
              <w:t>1,600</w:t>
            </w:r>
            <w:r w:rsidRPr="008F56CF">
              <w:rPr>
                <w:rFonts w:cs="Arial"/>
              </w:rPr>
              <w:t xml:space="preserve"> in Q</w:t>
            </w:r>
            <w:r w:rsidR="008F56CF" w:rsidRPr="008F56CF">
              <w:rPr>
                <w:rFonts w:cs="Arial"/>
              </w:rPr>
              <w:t>3</w:t>
            </w:r>
            <w:r w:rsidRPr="008F56CF">
              <w:rPr>
                <w:rFonts w:cs="Arial"/>
              </w:rPr>
              <w:t xml:space="preserve"> 2011 to </w:t>
            </w:r>
            <w:r w:rsidR="008F56CF" w:rsidRPr="008F56CF">
              <w:rPr>
                <w:rFonts w:cs="Arial"/>
              </w:rPr>
              <w:t>2</w:t>
            </w:r>
            <w:r w:rsidRPr="008F56CF">
              <w:rPr>
                <w:rFonts w:cs="Arial"/>
              </w:rPr>
              <w:t>,600 in Q</w:t>
            </w:r>
            <w:r w:rsidR="008F56CF" w:rsidRPr="008F56CF">
              <w:rPr>
                <w:rFonts w:cs="Arial"/>
              </w:rPr>
              <w:t>3</w:t>
            </w:r>
            <w:r w:rsidR="00303E17">
              <w:rPr>
                <w:rFonts w:cs="Arial"/>
              </w:rPr>
              <w:t xml:space="preserve"> 2013).</w:t>
            </w:r>
          </w:p>
          <w:p w:rsidR="00224561" w:rsidRPr="006370CF" w:rsidRDefault="00224561" w:rsidP="00224561">
            <w:pPr>
              <w:pStyle w:val="ListBullet"/>
              <w:numPr>
                <w:ilvl w:val="0"/>
                <w:numId w:val="14"/>
              </w:numPr>
              <w:ind w:right="113"/>
              <w:jc w:val="left"/>
              <w:rPr>
                <w:rFonts w:cs="Arial"/>
              </w:rPr>
            </w:pPr>
            <w:r w:rsidRPr="006370CF">
              <w:rPr>
                <w:rFonts w:cs="Arial"/>
              </w:rPr>
              <w:t xml:space="preserve">Government subsidised </w:t>
            </w:r>
            <w:r w:rsidR="00790D75">
              <w:rPr>
                <w:rFonts w:cs="Arial"/>
              </w:rPr>
              <w:t xml:space="preserve">courses delivered </w:t>
            </w:r>
            <w:r w:rsidRPr="006370CF">
              <w:rPr>
                <w:rFonts w:cs="Arial"/>
              </w:rPr>
              <w:t>in Gippsland regional area in Q</w:t>
            </w:r>
            <w:r w:rsidR="006370CF" w:rsidRPr="006370CF">
              <w:rPr>
                <w:rFonts w:cs="Arial"/>
              </w:rPr>
              <w:t xml:space="preserve">3 2013 were </w:t>
            </w:r>
            <w:r w:rsidRPr="006370CF">
              <w:rPr>
                <w:rFonts w:cs="Arial"/>
              </w:rPr>
              <w:t>1</w:t>
            </w:r>
            <w:r w:rsidR="006370CF" w:rsidRPr="006370CF">
              <w:rPr>
                <w:rFonts w:cs="Arial"/>
              </w:rPr>
              <w:t>2</w:t>
            </w:r>
            <w:r w:rsidRPr="006370CF">
              <w:rPr>
                <w:rFonts w:cs="Arial"/>
              </w:rPr>
              <w:t xml:space="preserve"> per cent lower than Q</w:t>
            </w:r>
            <w:r w:rsidR="006370CF" w:rsidRPr="006370CF">
              <w:rPr>
                <w:rFonts w:cs="Arial"/>
              </w:rPr>
              <w:t>3</w:t>
            </w:r>
            <w:r w:rsidRPr="006370CF">
              <w:rPr>
                <w:rFonts w:cs="Arial"/>
              </w:rPr>
              <w:t xml:space="preserve"> 2011 and </w:t>
            </w:r>
            <w:r w:rsidR="006370CF" w:rsidRPr="006370CF">
              <w:rPr>
                <w:rFonts w:cs="Arial"/>
              </w:rPr>
              <w:t>14</w:t>
            </w:r>
            <w:r w:rsidRPr="006370CF">
              <w:rPr>
                <w:rFonts w:cs="Arial"/>
              </w:rPr>
              <w:t xml:space="preserve"> per cent lower than Q</w:t>
            </w:r>
            <w:r w:rsidR="006370CF" w:rsidRPr="006370CF">
              <w:rPr>
                <w:rFonts w:cs="Arial"/>
              </w:rPr>
              <w:t>3</w:t>
            </w:r>
            <w:r w:rsidR="00151BF0">
              <w:rPr>
                <w:rFonts w:cs="Arial"/>
              </w:rPr>
              <w:t xml:space="preserve"> 2012. Training activity </w:t>
            </w:r>
            <w:r w:rsidR="00FC664D">
              <w:rPr>
                <w:rFonts w:cs="Arial"/>
              </w:rPr>
              <w:t>were lower</w:t>
            </w:r>
            <w:r w:rsidRPr="006370CF">
              <w:rPr>
                <w:rFonts w:cs="Arial"/>
              </w:rPr>
              <w:t xml:space="preserve"> across almost all industry sectors, except Transport, Postal and Warehousing which increased from </w:t>
            </w:r>
            <w:r w:rsidR="006370CF" w:rsidRPr="006370CF">
              <w:rPr>
                <w:rFonts w:cs="Arial"/>
              </w:rPr>
              <w:t>250</w:t>
            </w:r>
            <w:r w:rsidRPr="006370CF">
              <w:rPr>
                <w:rFonts w:cs="Arial"/>
              </w:rPr>
              <w:t xml:space="preserve"> in Q</w:t>
            </w:r>
            <w:r w:rsidR="006370CF" w:rsidRPr="006370CF">
              <w:rPr>
                <w:rFonts w:cs="Arial"/>
              </w:rPr>
              <w:t>3</w:t>
            </w:r>
            <w:r w:rsidRPr="006370CF">
              <w:rPr>
                <w:rFonts w:cs="Arial"/>
              </w:rPr>
              <w:t xml:space="preserve"> 2011 to</w:t>
            </w:r>
            <w:r w:rsidR="006370CF" w:rsidRPr="006370CF">
              <w:rPr>
                <w:rFonts w:cs="Arial"/>
              </w:rPr>
              <w:t xml:space="preserve"> 1,100</w:t>
            </w:r>
            <w:r w:rsidRPr="006370CF">
              <w:rPr>
                <w:rFonts w:cs="Arial"/>
              </w:rPr>
              <w:t xml:space="preserve"> in Q</w:t>
            </w:r>
            <w:r w:rsidR="006370CF" w:rsidRPr="006370CF">
              <w:rPr>
                <w:rFonts w:cs="Arial"/>
              </w:rPr>
              <w:t>3</w:t>
            </w:r>
            <w:r w:rsidRPr="006370CF">
              <w:rPr>
                <w:rFonts w:cs="Arial"/>
              </w:rPr>
              <w:t xml:space="preserve"> 2013. </w:t>
            </w:r>
          </w:p>
          <w:p w:rsidR="00224561" w:rsidRPr="00C10D8D" w:rsidRDefault="00224561" w:rsidP="00224561">
            <w:pPr>
              <w:pStyle w:val="ListBullet"/>
              <w:numPr>
                <w:ilvl w:val="0"/>
                <w:numId w:val="14"/>
              </w:numPr>
              <w:ind w:right="113"/>
              <w:jc w:val="left"/>
              <w:rPr>
                <w:rFonts w:cs="Arial"/>
              </w:rPr>
            </w:pPr>
            <w:r w:rsidRPr="00C10D8D">
              <w:rPr>
                <w:rFonts w:cs="Arial"/>
              </w:rPr>
              <w:t xml:space="preserve">Government subsidised </w:t>
            </w:r>
            <w:r w:rsidR="00FC664D" w:rsidRPr="00C10D8D">
              <w:rPr>
                <w:rFonts w:cs="Arial"/>
              </w:rPr>
              <w:t xml:space="preserve">courses delivered </w:t>
            </w:r>
            <w:r w:rsidRPr="00C10D8D">
              <w:rPr>
                <w:rFonts w:cs="Arial"/>
              </w:rPr>
              <w:t xml:space="preserve"> in Eastern Metropolitan regional area in Q</w:t>
            </w:r>
            <w:r w:rsidR="006370CF" w:rsidRPr="00C10D8D">
              <w:rPr>
                <w:rFonts w:cs="Arial"/>
              </w:rPr>
              <w:t>3</w:t>
            </w:r>
            <w:r w:rsidRPr="00C10D8D">
              <w:rPr>
                <w:rFonts w:cs="Arial"/>
              </w:rPr>
              <w:t xml:space="preserve"> 2013 were 9 per cent </w:t>
            </w:r>
            <w:r w:rsidR="006370CF" w:rsidRPr="00C10D8D">
              <w:rPr>
                <w:rFonts w:cs="Arial"/>
              </w:rPr>
              <w:t xml:space="preserve">and 13 per cent </w:t>
            </w:r>
            <w:r w:rsidRPr="00C10D8D">
              <w:rPr>
                <w:rFonts w:cs="Arial"/>
              </w:rPr>
              <w:t xml:space="preserve">lower </w:t>
            </w:r>
            <w:r w:rsidR="006370CF" w:rsidRPr="00C10D8D">
              <w:rPr>
                <w:rFonts w:cs="Arial"/>
              </w:rPr>
              <w:t xml:space="preserve">compared to </w:t>
            </w:r>
            <w:r w:rsidRPr="00C10D8D">
              <w:rPr>
                <w:rFonts w:cs="Arial"/>
              </w:rPr>
              <w:t>Q</w:t>
            </w:r>
            <w:r w:rsidR="006370CF" w:rsidRPr="00C10D8D">
              <w:rPr>
                <w:rFonts w:cs="Arial"/>
              </w:rPr>
              <w:t>3</w:t>
            </w:r>
            <w:r w:rsidRPr="00C10D8D">
              <w:rPr>
                <w:rFonts w:cs="Arial"/>
              </w:rPr>
              <w:t xml:space="preserve"> 2011 and Q</w:t>
            </w:r>
            <w:r w:rsidR="006370CF" w:rsidRPr="00C10D8D">
              <w:rPr>
                <w:rFonts w:cs="Arial"/>
              </w:rPr>
              <w:t>3</w:t>
            </w:r>
            <w:r w:rsidRPr="00C10D8D">
              <w:rPr>
                <w:rFonts w:cs="Arial"/>
              </w:rPr>
              <w:t xml:space="preserve"> 2012</w:t>
            </w:r>
            <w:r w:rsidR="006370CF" w:rsidRPr="00C10D8D">
              <w:rPr>
                <w:rFonts w:cs="Arial"/>
              </w:rPr>
              <w:t>, respectively</w:t>
            </w:r>
            <w:r w:rsidRPr="00C10D8D">
              <w:rPr>
                <w:rFonts w:cs="Arial"/>
              </w:rPr>
              <w:t>.</w:t>
            </w:r>
            <w:r w:rsidR="006370CF" w:rsidRPr="00C10D8D">
              <w:rPr>
                <w:rFonts w:cs="Arial"/>
              </w:rPr>
              <w:t xml:space="preserve"> </w:t>
            </w:r>
            <w:r w:rsidRPr="00C10D8D">
              <w:rPr>
                <w:rFonts w:cs="Arial"/>
              </w:rPr>
              <w:t>The de</w:t>
            </w:r>
            <w:r w:rsidR="00FC664D" w:rsidRPr="00C10D8D">
              <w:rPr>
                <w:rFonts w:cs="Arial"/>
              </w:rPr>
              <w:t xml:space="preserve">liveries were lower across all </w:t>
            </w:r>
            <w:r w:rsidRPr="00C10D8D">
              <w:rPr>
                <w:rFonts w:cs="Arial"/>
              </w:rPr>
              <w:t>industry sectors</w:t>
            </w:r>
            <w:r w:rsidR="00FC664D" w:rsidRPr="00C10D8D">
              <w:rPr>
                <w:rFonts w:cs="Arial"/>
              </w:rPr>
              <w:t xml:space="preserve">, except </w:t>
            </w:r>
            <w:proofErr w:type="gramStart"/>
            <w:r w:rsidR="00FC664D" w:rsidRPr="00C10D8D">
              <w:rPr>
                <w:rFonts w:cs="Arial"/>
              </w:rPr>
              <w:t>Manufacturing</w:t>
            </w:r>
            <w:proofErr w:type="gramEnd"/>
            <w:r w:rsidR="00FC664D" w:rsidRPr="00C10D8D">
              <w:rPr>
                <w:rFonts w:cs="Arial"/>
              </w:rPr>
              <w:t xml:space="preserve"> which increased to 3,000 in Q3 2013 from 2,100 in Q3 2011.</w:t>
            </w:r>
          </w:p>
          <w:p w:rsidR="006370CF" w:rsidRPr="00194286" w:rsidRDefault="00FC664D" w:rsidP="006A6E19">
            <w:pPr>
              <w:pStyle w:val="ListBullet"/>
              <w:numPr>
                <w:ilvl w:val="0"/>
                <w:numId w:val="14"/>
              </w:numPr>
              <w:ind w:right="113"/>
              <w:jc w:val="left"/>
              <w:rPr>
                <w:rFonts w:cs="Arial"/>
              </w:rPr>
            </w:pPr>
            <w:r w:rsidRPr="00C10D8D">
              <w:rPr>
                <w:rFonts w:cs="Arial"/>
              </w:rPr>
              <w:t>Government subsidised c</w:t>
            </w:r>
            <w:r w:rsidR="006A6E19">
              <w:rPr>
                <w:rFonts w:cs="Arial"/>
              </w:rPr>
              <w:t>ourses delivered  in Barwon S</w:t>
            </w:r>
            <w:r w:rsidRPr="00C10D8D">
              <w:rPr>
                <w:rFonts w:cs="Arial"/>
              </w:rPr>
              <w:t xml:space="preserve">outh West regional area in Q3 2013 were 2 per cent and 29 per cent lower compared to Q3 2011 and Q3 2012, respectively. The deliveries were lower across </w:t>
            </w:r>
            <w:r w:rsidR="00C10D8D" w:rsidRPr="00C10D8D">
              <w:rPr>
                <w:rFonts w:cs="Arial"/>
              </w:rPr>
              <w:t xml:space="preserve">most </w:t>
            </w:r>
            <w:r w:rsidRPr="00C10D8D">
              <w:rPr>
                <w:rFonts w:cs="Arial"/>
              </w:rPr>
              <w:t xml:space="preserve">industry sectors, except </w:t>
            </w:r>
            <w:r w:rsidR="00C10D8D" w:rsidRPr="00C10D8D">
              <w:rPr>
                <w:rFonts w:cs="Arial"/>
              </w:rPr>
              <w:t>Other Services (increased from 1,400 in Q3 2011 to 1,900 in Q3 2013)</w:t>
            </w:r>
            <w:r w:rsidR="006A6E19">
              <w:rPr>
                <w:rFonts w:cs="Arial"/>
              </w:rPr>
              <w:t xml:space="preserve"> and </w:t>
            </w:r>
            <w:r w:rsidR="00C10D8D" w:rsidRPr="00C10D8D">
              <w:rPr>
                <w:rFonts w:cs="Arial"/>
              </w:rPr>
              <w:t>Information Media and Telecommunications (</w:t>
            </w:r>
            <w:r w:rsidRPr="00C10D8D">
              <w:rPr>
                <w:rFonts w:cs="Arial"/>
              </w:rPr>
              <w:t xml:space="preserve">increased </w:t>
            </w:r>
            <w:r w:rsidR="00C10D8D" w:rsidRPr="00C10D8D">
              <w:rPr>
                <w:rFonts w:cs="Arial"/>
              </w:rPr>
              <w:t xml:space="preserve">from 200 in Q3 2011 to 500 </w:t>
            </w:r>
            <w:r w:rsidRPr="00C10D8D">
              <w:rPr>
                <w:rFonts w:cs="Arial"/>
              </w:rPr>
              <w:t>in Q3 2013</w:t>
            </w:r>
            <w:r w:rsidR="00C10D8D" w:rsidRPr="00C10D8D">
              <w:rPr>
                <w:rFonts w:cs="Arial"/>
              </w:rPr>
              <w:t>)</w:t>
            </w:r>
            <w:r w:rsidRPr="00C10D8D">
              <w:rPr>
                <w:rFonts w:cs="Arial"/>
              </w:rPr>
              <w:t>.</w:t>
            </w:r>
          </w:p>
        </w:tc>
      </w:tr>
    </w:tbl>
    <w:p w:rsidR="00224561" w:rsidRPr="001F29E3" w:rsidRDefault="00224561" w:rsidP="00224561">
      <w:pPr>
        <w:jc w:val="left"/>
        <w:rPr>
          <w:rFonts w:cs="Arial"/>
        </w:rPr>
      </w:pPr>
      <w:r w:rsidRPr="001F29E3">
        <w:rPr>
          <w:rFonts w:cs="Arial"/>
          <w:b/>
          <w:bCs/>
        </w:rPr>
        <w:br w:type="page"/>
      </w:r>
    </w:p>
    <w:p w:rsidR="00224561" w:rsidRDefault="00224561" w:rsidP="00932A44">
      <w:pPr>
        <w:rPr>
          <w:rFonts w:cs="Arial"/>
        </w:rPr>
      </w:pPr>
    </w:p>
    <w:p w:rsidR="00204000" w:rsidRPr="001F29E3" w:rsidRDefault="00204000" w:rsidP="00156A0D">
      <w:pPr>
        <w:pStyle w:val="Caption"/>
        <w:spacing w:after="0"/>
        <w:jc w:val="left"/>
        <w:rPr>
          <w:rFonts w:cs="Arial"/>
        </w:rPr>
      </w:pPr>
      <w:r w:rsidRPr="001F29E3">
        <w:rPr>
          <w:rFonts w:cs="Arial"/>
        </w:rPr>
        <w:t>Table 1.</w:t>
      </w:r>
      <w:r w:rsidR="00022B50">
        <w:rPr>
          <w:rFonts w:cs="Arial"/>
        </w:rPr>
        <w:t>1</w:t>
      </w:r>
      <w:r w:rsidR="004D1F77">
        <w:rPr>
          <w:rFonts w:cs="Arial"/>
        </w:rPr>
        <w:t>1</w:t>
      </w:r>
      <w:r w:rsidR="00001AF8">
        <w:rPr>
          <w:rFonts w:cs="Arial"/>
        </w:rPr>
        <w:t>.1</w:t>
      </w:r>
      <w:r w:rsidRPr="001F29E3">
        <w:rPr>
          <w:rFonts w:cs="Arial"/>
        </w:rPr>
        <w:t>: Government subsidised enrolments by</w:t>
      </w:r>
      <w:r w:rsidR="00156A0D">
        <w:rPr>
          <w:rFonts w:cs="Arial"/>
        </w:rPr>
        <w:t xml:space="preserve"> departmental region, 2008–2012</w:t>
      </w:r>
    </w:p>
    <w:tbl>
      <w:tblPr>
        <w:tblW w:w="8660" w:type="dxa"/>
        <w:tblInd w:w="103" w:type="dxa"/>
        <w:tblLook w:val="04A0" w:firstRow="1" w:lastRow="0" w:firstColumn="1" w:lastColumn="0" w:noHBand="0" w:noVBand="1"/>
      </w:tblPr>
      <w:tblGrid>
        <w:gridCol w:w="1960"/>
        <w:gridCol w:w="1120"/>
        <w:gridCol w:w="1120"/>
        <w:gridCol w:w="1120"/>
        <w:gridCol w:w="1120"/>
        <w:gridCol w:w="1100"/>
        <w:gridCol w:w="1120"/>
      </w:tblGrid>
      <w:tr w:rsidR="00156A0D" w:rsidRPr="00156A0D" w:rsidTr="002A1A81">
        <w:trPr>
          <w:trHeight w:hRule="exact" w:val="760"/>
        </w:trPr>
        <w:tc>
          <w:tcPr>
            <w:tcW w:w="1960" w:type="dxa"/>
            <w:tcBorders>
              <w:top w:val="single" w:sz="4" w:space="0" w:color="5E8A00"/>
              <w:left w:val="single" w:sz="4" w:space="0" w:color="5E8A00"/>
              <w:bottom w:val="single" w:sz="4" w:space="0" w:color="5E8A00"/>
            </w:tcBorders>
            <w:shd w:val="clear" w:color="000000" w:fill="5E8A00"/>
            <w:vAlign w:val="center"/>
            <w:hideMark/>
          </w:tcPr>
          <w:p w:rsidR="00156A0D" w:rsidRPr="00156A0D" w:rsidRDefault="00156A0D" w:rsidP="00156A0D">
            <w:pPr>
              <w:spacing w:after="0" w:line="240" w:lineRule="auto"/>
              <w:jc w:val="left"/>
              <w:rPr>
                <w:rFonts w:cs="Arial"/>
                <w:b/>
                <w:bCs/>
                <w:color w:val="FFFFFF"/>
                <w:sz w:val="18"/>
                <w:szCs w:val="18"/>
                <w:lang w:eastAsia="en-AU"/>
              </w:rPr>
            </w:pPr>
            <w:r w:rsidRPr="00156A0D">
              <w:rPr>
                <w:rFonts w:cs="Arial"/>
                <w:b/>
                <w:bCs/>
                <w:color w:val="FFFFFF"/>
                <w:sz w:val="18"/>
                <w:szCs w:val="18"/>
                <w:lang w:eastAsia="en-AU"/>
              </w:rPr>
              <w:t>Delivery Location</w:t>
            </w:r>
          </w:p>
        </w:tc>
        <w:tc>
          <w:tcPr>
            <w:tcW w:w="1120" w:type="dxa"/>
            <w:tcBorders>
              <w:top w:val="single" w:sz="4" w:space="0" w:color="5E8A00"/>
              <w:bottom w:val="single" w:sz="4" w:space="0" w:color="5E8A00"/>
            </w:tcBorders>
            <w:shd w:val="clear" w:color="000000" w:fill="5E8A00"/>
            <w:vAlign w:val="center"/>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2011</w:t>
            </w:r>
          </w:p>
        </w:tc>
        <w:tc>
          <w:tcPr>
            <w:tcW w:w="1100" w:type="dxa"/>
            <w:tcBorders>
              <w:top w:val="single" w:sz="4" w:space="0" w:color="5E8A00"/>
              <w:bottom w:val="single" w:sz="4" w:space="0" w:color="5E8A00"/>
            </w:tcBorders>
            <w:shd w:val="clear" w:color="000000" w:fill="5E8A00"/>
            <w:vAlign w:val="center"/>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change</w:t>
            </w:r>
            <w:r w:rsidRPr="00156A0D">
              <w:rPr>
                <w:rFonts w:cs="Arial"/>
                <w:b/>
                <w:bCs/>
                <w:color w:val="FFFFFF"/>
                <w:sz w:val="18"/>
                <w:szCs w:val="18"/>
                <w:lang w:eastAsia="en-AU"/>
              </w:rPr>
              <w:br/>
              <w:t>2008-2012</w:t>
            </w:r>
          </w:p>
        </w:tc>
      </w:tr>
      <w:tr w:rsidR="00156A0D" w:rsidRPr="00156A0D" w:rsidTr="00156A0D">
        <w:trPr>
          <w:trHeight w:hRule="exact" w:val="284"/>
        </w:trPr>
        <w:tc>
          <w:tcPr>
            <w:tcW w:w="1960" w:type="dxa"/>
            <w:tcBorders>
              <w:top w:val="nil"/>
              <w:left w:val="single" w:sz="4" w:space="0" w:color="5E8A00"/>
              <w:bottom w:val="single" w:sz="4" w:space="0" w:color="5E8A00"/>
              <w:right w:val="single" w:sz="4" w:space="0" w:color="5E8A00"/>
            </w:tcBorders>
            <w:shd w:val="clear" w:color="000000" w:fill="FFFFFF"/>
            <w:noWrap/>
            <w:vAlign w:val="bottom"/>
            <w:hideMark/>
          </w:tcPr>
          <w:p w:rsidR="00156A0D" w:rsidRPr="00156A0D" w:rsidRDefault="00156A0D" w:rsidP="00156A0D">
            <w:pPr>
              <w:spacing w:after="0" w:line="240" w:lineRule="auto"/>
              <w:jc w:val="left"/>
              <w:rPr>
                <w:rFonts w:cs="Arial"/>
                <w:color w:val="3E5B00"/>
                <w:sz w:val="18"/>
                <w:szCs w:val="18"/>
                <w:lang w:eastAsia="en-AU"/>
              </w:rPr>
            </w:pPr>
            <w:r w:rsidRPr="00156A0D">
              <w:rPr>
                <w:rFonts w:cs="Arial"/>
                <w:color w:val="3E5B00"/>
                <w:sz w:val="18"/>
                <w:szCs w:val="18"/>
                <w:lang w:eastAsia="en-AU"/>
              </w:rPr>
              <w:t>South-Western</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119,600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115,800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139,400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202,900 </w:t>
            </w:r>
          </w:p>
        </w:tc>
        <w:tc>
          <w:tcPr>
            <w:tcW w:w="110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267,800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ind w:firstLineChars="100" w:firstLine="180"/>
              <w:jc w:val="right"/>
              <w:rPr>
                <w:rFonts w:cs="Arial"/>
                <w:sz w:val="18"/>
                <w:szCs w:val="18"/>
                <w:lang w:eastAsia="en-AU"/>
              </w:rPr>
            </w:pPr>
            <w:r w:rsidRPr="00156A0D">
              <w:rPr>
                <w:rFonts w:cs="Arial"/>
                <w:sz w:val="18"/>
                <w:szCs w:val="18"/>
                <w:lang w:eastAsia="en-AU"/>
              </w:rPr>
              <w:t>124%</w:t>
            </w:r>
          </w:p>
        </w:tc>
      </w:tr>
      <w:tr w:rsidR="00156A0D" w:rsidRPr="00156A0D" w:rsidTr="00156A0D">
        <w:trPr>
          <w:trHeight w:hRule="exact" w:val="284"/>
        </w:trPr>
        <w:tc>
          <w:tcPr>
            <w:tcW w:w="1960" w:type="dxa"/>
            <w:tcBorders>
              <w:top w:val="nil"/>
              <w:left w:val="single" w:sz="4" w:space="0" w:color="5E8A00"/>
              <w:bottom w:val="single" w:sz="4" w:space="0" w:color="5E8A00"/>
              <w:right w:val="single" w:sz="4" w:space="0" w:color="5E8A00"/>
            </w:tcBorders>
            <w:shd w:val="clear" w:color="000000" w:fill="FFFFFF"/>
            <w:noWrap/>
            <w:vAlign w:val="bottom"/>
            <w:hideMark/>
          </w:tcPr>
          <w:p w:rsidR="00156A0D" w:rsidRPr="00156A0D" w:rsidRDefault="00156A0D" w:rsidP="00156A0D">
            <w:pPr>
              <w:spacing w:after="0" w:line="240" w:lineRule="auto"/>
              <w:jc w:val="left"/>
              <w:rPr>
                <w:rFonts w:cs="Arial"/>
                <w:color w:val="3E5B00"/>
                <w:sz w:val="18"/>
                <w:szCs w:val="18"/>
                <w:lang w:eastAsia="en-AU"/>
              </w:rPr>
            </w:pPr>
            <w:r w:rsidRPr="00156A0D">
              <w:rPr>
                <w:rFonts w:cs="Arial"/>
                <w:color w:val="3E5B00"/>
                <w:sz w:val="18"/>
                <w:szCs w:val="18"/>
                <w:lang w:eastAsia="en-AU"/>
              </w:rPr>
              <w:t>North-Western</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70,500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80,300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84,700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101,500 </w:t>
            </w:r>
          </w:p>
        </w:tc>
        <w:tc>
          <w:tcPr>
            <w:tcW w:w="110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124,400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ind w:firstLineChars="100" w:firstLine="180"/>
              <w:jc w:val="right"/>
              <w:rPr>
                <w:rFonts w:cs="Arial"/>
                <w:sz w:val="18"/>
                <w:szCs w:val="18"/>
                <w:lang w:eastAsia="en-AU"/>
              </w:rPr>
            </w:pPr>
            <w:r w:rsidRPr="00156A0D">
              <w:rPr>
                <w:rFonts w:cs="Arial"/>
                <w:sz w:val="18"/>
                <w:szCs w:val="18"/>
                <w:lang w:eastAsia="en-AU"/>
              </w:rPr>
              <w:t>77%</w:t>
            </w:r>
          </w:p>
        </w:tc>
      </w:tr>
      <w:tr w:rsidR="00156A0D" w:rsidRPr="00156A0D" w:rsidTr="00156A0D">
        <w:trPr>
          <w:trHeight w:hRule="exact" w:val="284"/>
        </w:trPr>
        <w:tc>
          <w:tcPr>
            <w:tcW w:w="1960" w:type="dxa"/>
            <w:tcBorders>
              <w:top w:val="nil"/>
              <w:left w:val="single" w:sz="4" w:space="0" w:color="5E8A00"/>
              <w:bottom w:val="single" w:sz="4" w:space="0" w:color="5E8A00"/>
              <w:right w:val="single" w:sz="4" w:space="0" w:color="5E8A00"/>
            </w:tcBorders>
            <w:shd w:val="clear" w:color="000000" w:fill="FFFFFF"/>
            <w:noWrap/>
            <w:vAlign w:val="bottom"/>
            <w:hideMark/>
          </w:tcPr>
          <w:p w:rsidR="00156A0D" w:rsidRPr="00156A0D" w:rsidRDefault="00156A0D" w:rsidP="00156A0D">
            <w:pPr>
              <w:spacing w:after="0" w:line="240" w:lineRule="auto"/>
              <w:jc w:val="left"/>
              <w:rPr>
                <w:rFonts w:cs="Arial"/>
                <w:color w:val="3E5B00"/>
                <w:sz w:val="18"/>
                <w:szCs w:val="18"/>
                <w:lang w:eastAsia="en-AU"/>
              </w:rPr>
            </w:pPr>
            <w:r w:rsidRPr="00156A0D">
              <w:rPr>
                <w:rFonts w:cs="Arial"/>
                <w:color w:val="3E5B00"/>
                <w:sz w:val="18"/>
                <w:szCs w:val="18"/>
                <w:lang w:eastAsia="en-AU"/>
              </w:rPr>
              <w:t>North-Eastern</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84,700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78,200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84,800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100,900 </w:t>
            </w:r>
          </w:p>
        </w:tc>
        <w:tc>
          <w:tcPr>
            <w:tcW w:w="110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110,400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ind w:firstLineChars="100" w:firstLine="180"/>
              <w:jc w:val="right"/>
              <w:rPr>
                <w:rFonts w:cs="Arial"/>
                <w:sz w:val="18"/>
                <w:szCs w:val="18"/>
                <w:lang w:eastAsia="en-AU"/>
              </w:rPr>
            </w:pPr>
            <w:r w:rsidRPr="00156A0D">
              <w:rPr>
                <w:rFonts w:cs="Arial"/>
                <w:sz w:val="18"/>
                <w:szCs w:val="18"/>
                <w:lang w:eastAsia="en-AU"/>
              </w:rPr>
              <w:t>30%</w:t>
            </w:r>
          </w:p>
        </w:tc>
      </w:tr>
      <w:tr w:rsidR="00156A0D" w:rsidRPr="00156A0D" w:rsidTr="002A1A81">
        <w:trPr>
          <w:trHeight w:hRule="exact" w:val="284"/>
        </w:trPr>
        <w:tc>
          <w:tcPr>
            <w:tcW w:w="1960" w:type="dxa"/>
            <w:tcBorders>
              <w:top w:val="nil"/>
              <w:left w:val="single" w:sz="4" w:space="0" w:color="5E8A00"/>
              <w:bottom w:val="single" w:sz="4" w:space="0" w:color="5E8A00"/>
              <w:right w:val="single" w:sz="4" w:space="0" w:color="5E8A00"/>
            </w:tcBorders>
            <w:shd w:val="clear" w:color="000000" w:fill="FFFFFF"/>
            <w:noWrap/>
            <w:vAlign w:val="bottom"/>
            <w:hideMark/>
          </w:tcPr>
          <w:p w:rsidR="00156A0D" w:rsidRPr="00156A0D" w:rsidRDefault="00156A0D" w:rsidP="00156A0D">
            <w:pPr>
              <w:spacing w:after="0" w:line="240" w:lineRule="auto"/>
              <w:jc w:val="left"/>
              <w:rPr>
                <w:rFonts w:cs="Arial"/>
                <w:color w:val="3E5B00"/>
                <w:sz w:val="18"/>
                <w:szCs w:val="18"/>
                <w:lang w:eastAsia="en-AU"/>
              </w:rPr>
            </w:pPr>
            <w:r w:rsidRPr="00156A0D">
              <w:rPr>
                <w:rFonts w:cs="Arial"/>
                <w:color w:val="3E5B00"/>
                <w:sz w:val="18"/>
                <w:szCs w:val="18"/>
                <w:lang w:eastAsia="en-AU"/>
              </w:rPr>
              <w:t>South-Eastern</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90,300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90,000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104,300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128,100 </w:t>
            </w:r>
          </w:p>
        </w:tc>
        <w:tc>
          <w:tcPr>
            <w:tcW w:w="110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157,100 </w:t>
            </w:r>
          </w:p>
        </w:tc>
        <w:tc>
          <w:tcPr>
            <w:tcW w:w="1120" w:type="dxa"/>
            <w:tcBorders>
              <w:top w:val="nil"/>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ind w:firstLineChars="100" w:firstLine="180"/>
              <w:jc w:val="right"/>
              <w:rPr>
                <w:rFonts w:cs="Arial"/>
                <w:sz w:val="18"/>
                <w:szCs w:val="18"/>
                <w:lang w:eastAsia="en-AU"/>
              </w:rPr>
            </w:pPr>
            <w:r w:rsidRPr="00156A0D">
              <w:rPr>
                <w:rFonts w:cs="Arial"/>
                <w:sz w:val="18"/>
                <w:szCs w:val="18"/>
                <w:lang w:eastAsia="en-AU"/>
              </w:rPr>
              <w:t>74%</w:t>
            </w:r>
          </w:p>
        </w:tc>
      </w:tr>
      <w:tr w:rsidR="00156A0D" w:rsidRPr="00156A0D" w:rsidTr="002A1A81">
        <w:trPr>
          <w:trHeight w:hRule="exact" w:val="284"/>
        </w:trPr>
        <w:tc>
          <w:tcPr>
            <w:tcW w:w="1960" w:type="dxa"/>
            <w:tcBorders>
              <w:top w:val="single" w:sz="4" w:space="0" w:color="5E8A00"/>
              <w:left w:val="single" w:sz="4" w:space="0" w:color="5E8A00"/>
              <w:bottom w:val="single" w:sz="4" w:space="0" w:color="5E8A00"/>
            </w:tcBorders>
            <w:shd w:val="clear" w:color="000000" w:fill="5E8A00"/>
            <w:noWrap/>
            <w:vAlign w:val="bottom"/>
            <w:hideMark/>
          </w:tcPr>
          <w:p w:rsidR="00156A0D" w:rsidRPr="00156A0D" w:rsidRDefault="000A5C66" w:rsidP="00156A0D">
            <w:pPr>
              <w:spacing w:after="0" w:line="240" w:lineRule="auto"/>
              <w:jc w:val="left"/>
              <w:rPr>
                <w:rFonts w:cs="Arial"/>
                <w:b/>
                <w:bCs/>
                <w:color w:val="FFFFFF"/>
                <w:sz w:val="18"/>
                <w:szCs w:val="18"/>
                <w:lang w:eastAsia="en-AU"/>
              </w:rPr>
            </w:pPr>
            <w:r>
              <w:rPr>
                <w:rFonts w:cs="Arial"/>
                <w:b/>
                <w:bCs/>
                <w:color w:val="FFFFFF"/>
                <w:sz w:val="18"/>
                <w:szCs w:val="18"/>
                <w:lang w:eastAsia="en-AU"/>
              </w:rPr>
              <w:t>All regions total</w:t>
            </w:r>
          </w:p>
        </w:tc>
        <w:tc>
          <w:tcPr>
            <w:tcW w:w="1120" w:type="dxa"/>
            <w:tcBorders>
              <w:top w:val="single" w:sz="4" w:space="0" w:color="5E8A00"/>
              <w:bottom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364,400 </w:t>
            </w:r>
          </w:p>
        </w:tc>
        <w:tc>
          <w:tcPr>
            <w:tcW w:w="1120" w:type="dxa"/>
            <w:tcBorders>
              <w:top w:val="single" w:sz="4" w:space="0" w:color="5E8A00"/>
              <w:bottom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363,900 </w:t>
            </w:r>
          </w:p>
        </w:tc>
        <w:tc>
          <w:tcPr>
            <w:tcW w:w="1120" w:type="dxa"/>
            <w:tcBorders>
              <w:top w:val="single" w:sz="4" w:space="0" w:color="5E8A00"/>
              <w:bottom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412,600 </w:t>
            </w:r>
          </w:p>
        </w:tc>
        <w:tc>
          <w:tcPr>
            <w:tcW w:w="1120" w:type="dxa"/>
            <w:tcBorders>
              <w:top w:val="single" w:sz="4" w:space="0" w:color="5E8A00"/>
              <w:bottom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532,200 </w:t>
            </w:r>
          </w:p>
        </w:tc>
        <w:tc>
          <w:tcPr>
            <w:tcW w:w="1100" w:type="dxa"/>
            <w:tcBorders>
              <w:top w:val="single" w:sz="4" w:space="0" w:color="5E8A00"/>
              <w:bottom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656,800 </w:t>
            </w:r>
          </w:p>
        </w:tc>
        <w:tc>
          <w:tcPr>
            <w:tcW w:w="1120" w:type="dxa"/>
            <w:tcBorders>
              <w:top w:val="single" w:sz="4" w:space="0" w:color="5E8A00"/>
              <w:bottom w:val="single" w:sz="4" w:space="0" w:color="5E8A00"/>
              <w:right w:val="single" w:sz="4" w:space="0" w:color="5E8A00"/>
            </w:tcBorders>
            <w:shd w:val="clear" w:color="000000" w:fill="5E8A00"/>
            <w:noWrap/>
            <w:vAlign w:val="bottom"/>
            <w:hideMark/>
          </w:tcPr>
          <w:p w:rsidR="00156A0D" w:rsidRPr="00156A0D" w:rsidRDefault="00156A0D" w:rsidP="00F034AF">
            <w:pPr>
              <w:spacing w:after="0" w:line="240" w:lineRule="auto"/>
              <w:ind w:firstLineChars="100" w:firstLine="181"/>
              <w:jc w:val="right"/>
              <w:rPr>
                <w:rFonts w:cs="Arial"/>
                <w:b/>
                <w:bCs/>
                <w:color w:val="FFFFFF"/>
                <w:sz w:val="18"/>
                <w:szCs w:val="18"/>
                <w:lang w:eastAsia="en-AU"/>
              </w:rPr>
            </w:pPr>
            <w:r w:rsidRPr="00156A0D">
              <w:rPr>
                <w:rFonts w:cs="Arial"/>
                <w:b/>
                <w:bCs/>
                <w:color w:val="FFFFFF"/>
                <w:sz w:val="18"/>
                <w:szCs w:val="18"/>
                <w:lang w:eastAsia="en-AU"/>
              </w:rPr>
              <w:t>80%</w:t>
            </w:r>
          </w:p>
        </w:tc>
      </w:tr>
      <w:tr w:rsidR="00156A0D" w:rsidRPr="00156A0D" w:rsidTr="002A1A81">
        <w:trPr>
          <w:trHeight w:hRule="exact" w:val="284"/>
        </w:trPr>
        <w:tc>
          <w:tcPr>
            <w:tcW w:w="1960" w:type="dxa"/>
            <w:tcBorders>
              <w:top w:val="single" w:sz="4" w:space="0" w:color="5E8A00"/>
              <w:left w:val="single" w:sz="4" w:space="0" w:color="5E8A00"/>
              <w:bottom w:val="single" w:sz="4" w:space="0" w:color="5E8A00"/>
              <w:right w:val="single" w:sz="4" w:space="0" w:color="5E8A00"/>
            </w:tcBorders>
            <w:shd w:val="clear" w:color="000000" w:fill="FFFFFF"/>
            <w:noWrap/>
            <w:vAlign w:val="bottom"/>
            <w:hideMark/>
          </w:tcPr>
          <w:p w:rsidR="00156A0D" w:rsidRPr="00156A0D" w:rsidRDefault="00156A0D" w:rsidP="00156A0D">
            <w:pPr>
              <w:spacing w:after="0" w:line="240" w:lineRule="auto"/>
              <w:jc w:val="left"/>
              <w:rPr>
                <w:rFonts w:cs="Arial"/>
                <w:color w:val="3E5B00"/>
                <w:sz w:val="18"/>
                <w:szCs w:val="18"/>
                <w:lang w:eastAsia="en-AU"/>
              </w:rPr>
            </w:pPr>
            <w:r w:rsidRPr="00156A0D">
              <w:rPr>
                <w:rFonts w:cs="Arial"/>
                <w:color w:val="3E5B00"/>
                <w:sz w:val="18"/>
                <w:szCs w:val="18"/>
                <w:lang w:eastAsia="en-AU"/>
              </w:rPr>
              <w:t>Other</w:t>
            </w:r>
            <w:r>
              <w:rPr>
                <w:rFonts w:cs="Arial"/>
                <w:color w:val="3E5B00"/>
                <w:sz w:val="18"/>
                <w:szCs w:val="18"/>
                <w:lang w:eastAsia="en-AU"/>
              </w:rPr>
              <w:t>*</w:t>
            </w:r>
          </w:p>
        </w:tc>
        <w:tc>
          <w:tcPr>
            <w:tcW w:w="112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17,400 </w:t>
            </w:r>
          </w:p>
        </w:tc>
        <w:tc>
          <w:tcPr>
            <w:tcW w:w="112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13,400 </w:t>
            </w:r>
          </w:p>
        </w:tc>
        <w:tc>
          <w:tcPr>
            <w:tcW w:w="112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15,100 </w:t>
            </w:r>
          </w:p>
        </w:tc>
        <w:tc>
          <w:tcPr>
            <w:tcW w:w="112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17,600 </w:t>
            </w:r>
          </w:p>
        </w:tc>
        <w:tc>
          <w:tcPr>
            <w:tcW w:w="110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 xml:space="preserve">15,000 </w:t>
            </w:r>
          </w:p>
        </w:tc>
        <w:tc>
          <w:tcPr>
            <w:tcW w:w="1120" w:type="dxa"/>
            <w:tcBorders>
              <w:top w:val="single" w:sz="4" w:space="0" w:color="5E8A00"/>
              <w:left w:val="nil"/>
              <w:bottom w:val="single" w:sz="4" w:space="0" w:color="5E8A00"/>
              <w:right w:val="single" w:sz="4" w:space="0" w:color="5E8A00"/>
            </w:tcBorders>
            <w:shd w:val="clear" w:color="auto" w:fill="auto"/>
            <w:noWrap/>
            <w:vAlign w:val="bottom"/>
            <w:hideMark/>
          </w:tcPr>
          <w:p w:rsidR="00156A0D" w:rsidRPr="00156A0D" w:rsidRDefault="00156A0D" w:rsidP="00156A0D">
            <w:pPr>
              <w:spacing w:after="0" w:line="240" w:lineRule="auto"/>
              <w:jc w:val="right"/>
              <w:rPr>
                <w:rFonts w:cs="Arial"/>
                <w:sz w:val="18"/>
                <w:szCs w:val="18"/>
                <w:lang w:eastAsia="en-AU"/>
              </w:rPr>
            </w:pPr>
            <w:r w:rsidRPr="00156A0D">
              <w:rPr>
                <w:rFonts w:cs="Arial"/>
                <w:sz w:val="18"/>
                <w:szCs w:val="18"/>
                <w:lang w:eastAsia="en-AU"/>
              </w:rPr>
              <w:t>-13%</w:t>
            </w:r>
          </w:p>
        </w:tc>
      </w:tr>
      <w:tr w:rsidR="00156A0D" w:rsidRPr="00156A0D" w:rsidTr="002A1A81">
        <w:trPr>
          <w:trHeight w:hRule="exact" w:val="284"/>
        </w:trPr>
        <w:tc>
          <w:tcPr>
            <w:tcW w:w="1960" w:type="dxa"/>
            <w:tcBorders>
              <w:top w:val="single" w:sz="4" w:space="0" w:color="5E8A00"/>
              <w:left w:val="single" w:sz="4" w:space="0" w:color="5E8A00"/>
              <w:bottom w:val="nil"/>
            </w:tcBorders>
            <w:shd w:val="clear" w:color="000000" w:fill="5E8A00"/>
            <w:noWrap/>
            <w:vAlign w:val="bottom"/>
            <w:hideMark/>
          </w:tcPr>
          <w:p w:rsidR="00156A0D" w:rsidRPr="00156A0D" w:rsidRDefault="00156A0D" w:rsidP="00156A0D">
            <w:pPr>
              <w:spacing w:after="0" w:line="240" w:lineRule="auto"/>
              <w:jc w:val="left"/>
              <w:rPr>
                <w:rFonts w:cs="Arial"/>
                <w:b/>
                <w:bCs/>
                <w:color w:val="FFFFFF"/>
                <w:sz w:val="18"/>
                <w:szCs w:val="18"/>
                <w:lang w:eastAsia="en-AU"/>
              </w:rPr>
            </w:pPr>
            <w:r w:rsidRPr="00156A0D">
              <w:rPr>
                <w:rFonts w:cs="Arial"/>
                <w:b/>
                <w:bCs/>
                <w:color w:val="FFFFFF"/>
                <w:sz w:val="18"/>
                <w:szCs w:val="18"/>
                <w:lang w:eastAsia="en-AU"/>
              </w:rPr>
              <w:t>Total VET</w:t>
            </w:r>
          </w:p>
        </w:tc>
        <w:tc>
          <w:tcPr>
            <w:tcW w:w="1120" w:type="dxa"/>
            <w:tcBorders>
              <w:top w:val="single" w:sz="4" w:space="0" w:color="5E8A00"/>
              <w:bottom w:val="nil"/>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381,300 </w:t>
            </w:r>
          </w:p>
        </w:tc>
        <w:tc>
          <w:tcPr>
            <w:tcW w:w="1120" w:type="dxa"/>
            <w:tcBorders>
              <w:top w:val="single" w:sz="4" w:space="0" w:color="5E8A00"/>
              <w:bottom w:val="nil"/>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376,800 </w:t>
            </w:r>
          </w:p>
        </w:tc>
        <w:tc>
          <w:tcPr>
            <w:tcW w:w="1120" w:type="dxa"/>
            <w:tcBorders>
              <w:top w:val="single" w:sz="4" w:space="0" w:color="5E8A00"/>
              <w:bottom w:val="nil"/>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426,900 </w:t>
            </w:r>
          </w:p>
        </w:tc>
        <w:tc>
          <w:tcPr>
            <w:tcW w:w="1120" w:type="dxa"/>
            <w:tcBorders>
              <w:top w:val="single" w:sz="4" w:space="0" w:color="5E8A00"/>
              <w:bottom w:val="nil"/>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548,700 </w:t>
            </w:r>
          </w:p>
        </w:tc>
        <w:tc>
          <w:tcPr>
            <w:tcW w:w="1100" w:type="dxa"/>
            <w:tcBorders>
              <w:top w:val="single" w:sz="4" w:space="0" w:color="5E8A00"/>
              <w:bottom w:val="nil"/>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 xml:space="preserve">670,400 </w:t>
            </w:r>
          </w:p>
        </w:tc>
        <w:tc>
          <w:tcPr>
            <w:tcW w:w="1120" w:type="dxa"/>
            <w:tcBorders>
              <w:top w:val="single" w:sz="4" w:space="0" w:color="5E8A00"/>
              <w:bottom w:val="nil"/>
              <w:right w:val="single" w:sz="4" w:space="0" w:color="5E8A00"/>
            </w:tcBorders>
            <w:shd w:val="clear" w:color="000000" w:fill="5E8A00"/>
            <w:noWrap/>
            <w:vAlign w:val="bottom"/>
            <w:hideMark/>
          </w:tcPr>
          <w:p w:rsidR="00156A0D" w:rsidRPr="00156A0D" w:rsidRDefault="00156A0D" w:rsidP="00156A0D">
            <w:pPr>
              <w:spacing w:after="0" w:line="240" w:lineRule="auto"/>
              <w:jc w:val="right"/>
              <w:rPr>
                <w:rFonts w:cs="Arial"/>
                <w:b/>
                <w:bCs/>
                <w:color w:val="FFFFFF"/>
                <w:sz w:val="18"/>
                <w:szCs w:val="18"/>
                <w:lang w:eastAsia="en-AU"/>
              </w:rPr>
            </w:pPr>
            <w:r w:rsidRPr="00156A0D">
              <w:rPr>
                <w:rFonts w:cs="Arial"/>
                <w:b/>
                <w:bCs/>
                <w:color w:val="FFFFFF"/>
                <w:sz w:val="18"/>
                <w:szCs w:val="18"/>
                <w:lang w:eastAsia="en-AU"/>
              </w:rPr>
              <w:t>76%</w:t>
            </w:r>
          </w:p>
        </w:tc>
      </w:tr>
    </w:tbl>
    <w:p w:rsidR="00EE6BD1" w:rsidRPr="00156A0D" w:rsidRDefault="00156A0D" w:rsidP="00EE6BD1">
      <w:pPr>
        <w:jc w:val="left"/>
        <w:rPr>
          <w:rFonts w:cs="Arial"/>
          <w:bCs/>
          <w:sz w:val="16"/>
          <w:szCs w:val="16"/>
        </w:rPr>
      </w:pPr>
      <w:r w:rsidRPr="00156A0D">
        <w:rPr>
          <w:rFonts w:cs="Arial"/>
          <w:bCs/>
          <w:sz w:val="16"/>
          <w:szCs w:val="16"/>
        </w:rPr>
        <w:t>*Other: online and workplace delivery.</w:t>
      </w:r>
    </w:p>
    <w:p w:rsidR="00E30EDD" w:rsidRDefault="00EE6BD1" w:rsidP="00EE6BD1">
      <w:pPr>
        <w:jc w:val="left"/>
        <w:rPr>
          <w:rFonts w:cs="Arial"/>
        </w:rPr>
      </w:pPr>
      <w:r w:rsidRPr="001F29E3">
        <w:rPr>
          <w:rFonts w:cs="Arial"/>
        </w:rPr>
        <w:t xml:space="preserve"> </w:t>
      </w:r>
    </w:p>
    <w:p w:rsidR="00156A0D" w:rsidRDefault="00156A0D" w:rsidP="00156A0D">
      <w:pPr>
        <w:pStyle w:val="Caption"/>
        <w:spacing w:after="0"/>
        <w:jc w:val="left"/>
        <w:rPr>
          <w:rFonts w:cs="Arial"/>
        </w:rPr>
      </w:pPr>
      <w:r w:rsidRPr="001F29E3">
        <w:rPr>
          <w:rFonts w:cs="Arial"/>
        </w:rPr>
        <w:t>Table 1.</w:t>
      </w:r>
      <w:r>
        <w:rPr>
          <w:rFonts w:cs="Arial"/>
        </w:rPr>
        <w:t>1</w:t>
      </w:r>
      <w:r w:rsidR="004D1F77">
        <w:rPr>
          <w:rFonts w:cs="Arial"/>
        </w:rPr>
        <w:t>1</w:t>
      </w:r>
      <w:r w:rsidR="00001AF8">
        <w:rPr>
          <w:rFonts w:cs="Arial"/>
        </w:rPr>
        <w:t>.2</w:t>
      </w:r>
      <w:r w:rsidRPr="001F29E3">
        <w:rPr>
          <w:rFonts w:cs="Arial"/>
        </w:rPr>
        <w:t xml:space="preserve">: Government subsidised enrolments by departmental region, </w:t>
      </w:r>
      <w:r>
        <w:rPr>
          <w:rFonts w:cs="Arial"/>
        </w:rPr>
        <w:t>Q</w:t>
      </w:r>
      <w:r w:rsidR="00C87E89">
        <w:rPr>
          <w:rFonts w:cs="Arial"/>
        </w:rPr>
        <w:t>3</w:t>
      </w:r>
      <w:r>
        <w:rPr>
          <w:rFonts w:cs="Arial"/>
        </w:rPr>
        <w:t xml:space="preserve"> 2011, </w:t>
      </w:r>
      <w:r w:rsidRPr="001F29E3">
        <w:rPr>
          <w:rFonts w:cs="Arial"/>
        </w:rPr>
        <w:t>Q</w:t>
      </w:r>
      <w:r w:rsidR="00C87E89">
        <w:rPr>
          <w:rFonts w:cs="Arial"/>
        </w:rPr>
        <w:t>3</w:t>
      </w:r>
      <w:r w:rsidRPr="001F29E3">
        <w:rPr>
          <w:rFonts w:cs="Arial"/>
        </w:rPr>
        <w:t xml:space="preserve"> 2012 </w:t>
      </w:r>
      <w:r w:rsidR="0032113A">
        <w:rPr>
          <w:rFonts w:cs="Arial"/>
        </w:rPr>
        <w:br/>
      </w:r>
      <w:r w:rsidRPr="001F29E3">
        <w:rPr>
          <w:rFonts w:cs="Arial"/>
        </w:rPr>
        <w:t>and Q</w:t>
      </w:r>
      <w:r w:rsidR="00C87E89">
        <w:rPr>
          <w:rFonts w:cs="Arial"/>
        </w:rPr>
        <w:t>3</w:t>
      </w:r>
      <w:r w:rsidRPr="001F29E3">
        <w:rPr>
          <w:rFonts w:cs="Arial"/>
        </w:rPr>
        <w:t xml:space="preserve"> 2013</w:t>
      </w:r>
    </w:p>
    <w:tbl>
      <w:tblPr>
        <w:tblW w:w="8227" w:type="dxa"/>
        <w:tblInd w:w="103" w:type="dxa"/>
        <w:tblLayout w:type="fixed"/>
        <w:tblLook w:val="04A0" w:firstRow="1" w:lastRow="0" w:firstColumn="1" w:lastColumn="0" w:noHBand="0" w:noVBand="1"/>
      </w:tblPr>
      <w:tblGrid>
        <w:gridCol w:w="1990"/>
        <w:gridCol w:w="1247"/>
        <w:gridCol w:w="1247"/>
        <w:gridCol w:w="1248"/>
        <w:gridCol w:w="1247"/>
        <w:gridCol w:w="1248"/>
      </w:tblGrid>
      <w:tr w:rsidR="00047065" w:rsidRPr="00047065" w:rsidTr="00047065">
        <w:trPr>
          <w:trHeight w:hRule="exact" w:val="760"/>
        </w:trPr>
        <w:tc>
          <w:tcPr>
            <w:tcW w:w="1990" w:type="dxa"/>
            <w:tcBorders>
              <w:top w:val="single" w:sz="4" w:space="0" w:color="5E8A00"/>
              <w:left w:val="single" w:sz="4" w:space="0" w:color="5E8A00"/>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rPr>
                <w:rFonts w:cs="Arial"/>
                <w:b/>
                <w:bCs/>
                <w:color w:val="FFFFFF"/>
                <w:sz w:val="18"/>
                <w:szCs w:val="18"/>
                <w:lang w:eastAsia="en-AU"/>
              </w:rPr>
            </w:pPr>
            <w:r w:rsidRPr="00047065">
              <w:rPr>
                <w:rFonts w:cs="Arial"/>
                <w:b/>
                <w:bCs/>
                <w:color w:val="FFFFFF"/>
                <w:sz w:val="18"/>
                <w:szCs w:val="18"/>
                <w:lang w:eastAsia="en-AU"/>
              </w:rPr>
              <w:t>Delivery Location</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Q3 2011</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Q3 2012</w:t>
            </w:r>
          </w:p>
        </w:tc>
        <w:tc>
          <w:tcPr>
            <w:tcW w:w="1248" w:type="dxa"/>
            <w:tcBorders>
              <w:top w:val="single" w:sz="4" w:space="0" w:color="5E8A00"/>
              <w:left w:val="nil"/>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Q3 2013</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 change</w:t>
            </w:r>
            <w:r w:rsidRPr="00047065">
              <w:rPr>
                <w:rFonts w:cs="Arial"/>
                <w:b/>
                <w:bCs/>
                <w:color w:val="FFFFFF"/>
                <w:sz w:val="18"/>
                <w:szCs w:val="18"/>
                <w:lang w:eastAsia="en-AU"/>
              </w:rPr>
              <w:br/>
              <w:t>Q3 2011-Q3 2013 </w:t>
            </w:r>
          </w:p>
        </w:tc>
        <w:tc>
          <w:tcPr>
            <w:tcW w:w="1248" w:type="dxa"/>
            <w:tcBorders>
              <w:top w:val="single" w:sz="4" w:space="0" w:color="5E8A00"/>
              <w:left w:val="nil"/>
              <w:bottom w:val="single" w:sz="4" w:space="0" w:color="5E8A00"/>
              <w:right w:val="single" w:sz="4" w:space="0" w:color="5E8A00"/>
            </w:tcBorders>
            <w:shd w:val="clear" w:color="000000" w:fill="5E8A00"/>
            <w:vAlign w:val="center"/>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 change</w:t>
            </w:r>
            <w:r w:rsidRPr="00047065">
              <w:rPr>
                <w:rFonts w:cs="Arial"/>
                <w:b/>
                <w:bCs/>
                <w:color w:val="FFFFFF"/>
                <w:sz w:val="18"/>
                <w:szCs w:val="18"/>
                <w:lang w:eastAsia="en-AU"/>
              </w:rPr>
              <w:br/>
              <w:t>Q3 2012-Q3 2013</w:t>
            </w:r>
          </w:p>
        </w:tc>
      </w:tr>
      <w:tr w:rsidR="00047065" w:rsidRPr="00047065" w:rsidTr="00047065">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left"/>
              <w:rPr>
                <w:rFonts w:cs="Arial"/>
                <w:color w:val="3E5B00"/>
                <w:sz w:val="18"/>
                <w:szCs w:val="18"/>
                <w:lang w:eastAsia="en-AU"/>
              </w:rPr>
            </w:pPr>
            <w:r w:rsidRPr="00047065">
              <w:rPr>
                <w:rFonts w:cs="Arial"/>
                <w:color w:val="3E5B00"/>
                <w:sz w:val="18"/>
                <w:szCs w:val="18"/>
                <w:lang w:eastAsia="en-AU"/>
              </w:rPr>
              <w:t>South-Western</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161,300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231,400</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203,900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26%</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-12%</w:t>
            </w:r>
          </w:p>
        </w:tc>
      </w:tr>
      <w:tr w:rsidR="00047065" w:rsidRPr="00047065" w:rsidTr="00047065">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left"/>
              <w:rPr>
                <w:rFonts w:cs="Arial"/>
                <w:color w:val="3E5B00"/>
                <w:sz w:val="18"/>
                <w:szCs w:val="18"/>
                <w:lang w:eastAsia="en-AU"/>
              </w:rPr>
            </w:pPr>
            <w:r w:rsidRPr="00047065">
              <w:rPr>
                <w:rFonts w:cs="Arial"/>
                <w:color w:val="3E5B00"/>
                <w:sz w:val="18"/>
                <w:szCs w:val="18"/>
                <w:lang w:eastAsia="en-AU"/>
              </w:rPr>
              <w:t>North-Western</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81,000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107,400</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95,200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18%</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-11%</w:t>
            </w:r>
          </w:p>
        </w:tc>
      </w:tr>
      <w:tr w:rsidR="00047065" w:rsidRPr="00047065" w:rsidTr="00047065">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left"/>
              <w:rPr>
                <w:rFonts w:cs="Arial"/>
                <w:color w:val="3E5B00"/>
                <w:sz w:val="18"/>
                <w:szCs w:val="18"/>
                <w:lang w:eastAsia="en-AU"/>
              </w:rPr>
            </w:pPr>
            <w:r w:rsidRPr="00047065">
              <w:rPr>
                <w:rFonts w:cs="Arial"/>
                <w:color w:val="3E5B00"/>
                <w:sz w:val="18"/>
                <w:szCs w:val="18"/>
                <w:lang w:eastAsia="en-AU"/>
              </w:rPr>
              <w:t>North-Eastern</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87,200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96,900</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98,500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13%</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2%</w:t>
            </w:r>
          </w:p>
        </w:tc>
      </w:tr>
      <w:tr w:rsidR="00047065" w:rsidRPr="00047065" w:rsidTr="00047065">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left"/>
              <w:rPr>
                <w:rFonts w:cs="Arial"/>
                <w:color w:val="3E5B00"/>
                <w:sz w:val="18"/>
                <w:szCs w:val="18"/>
                <w:lang w:eastAsia="en-AU"/>
              </w:rPr>
            </w:pPr>
            <w:r w:rsidRPr="00047065">
              <w:rPr>
                <w:rFonts w:cs="Arial"/>
                <w:color w:val="3E5B00"/>
                <w:sz w:val="18"/>
                <w:szCs w:val="18"/>
                <w:lang w:eastAsia="en-AU"/>
              </w:rPr>
              <w:t>South-Eastern</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97,300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133,900</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124,200</w:t>
            </w:r>
          </w:p>
        </w:tc>
        <w:tc>
          <w:tcPr>
            <w:tcW w:w="1247"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28%</w:t>
            </w:r>
          </w:p>
        </w:tc>
        <w:tc>
          <w:tcPr>
            <w:tcW w:w="1248" w:type="dxa"/>
            <w:tcBorders>
              <w:top w:val="nil"/>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-7%</w:t>
            </w:r>
          </w:p>
        </w:tc>
      </w:tr>
      <w:tr w:rsidR="00047065" w:rsidRPr="00047065" w:rsidTr="00047065">
        <w:trPr>
          <w:trHeight w:hRule="exact" w:val="284"/>
        </w:trPr>
        <w:tc>
          <w:tcPr>
            <w:tcW w:w="1990" w:type="dxa"/>
            <w:tcBorders>
              <w:top w:val="nil"/>
              <w:left w:val="single" w:sz="4" w:space="0" w:color="5E8A00"/>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left"/>
              <w:rPr>
                <w:rFonts w:cs="Arial"/>
                <w:b/>
                <w:bCs/>
                <w:color w:val="FFFFFF"/>
                <w:sz w:val="18"/>
                <w:szCs w:val="18"/>
                <w:lang w:eastAsia="en-AU"/>
              </w:rPr>
            </w:pPr>
            <w:r w:rsidRPr="00047065">
              <w:rPr>
                <w:rFonts w:cs="Arial"/>
                <w:b/>
                <w:bCs/>
                <w:color w:val="FFFFFF"/>
                <w:sz w:val="18"/>
                <w:szCs w:val="18"/>
                <w:lang w:eastAsia="en-AU"/>
              </w:rPr>
              <w:t>All Regions Total</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425,900</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567,400</w:t>
            </w:r>
          </w:p>
        </w:tc>
        <w:tc>
          <w:tcPr>
            <w:tcW w:w="1248"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519,900</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22%</w:t>
            </w:r>
          </w:p>
        </w:tc>
        <w:tc>
          <w:tcPr>
            <w:tcW w:w="1248"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-8%</w:t>
            </w:r>
          </w:p>
        </w:tc>
      </w:tr>
      <w:tr w:rsidR="00047065" w:rsidRPr="00047065" w:rsidTr="00047065">
        <w:trPr>
          <w:trHeight w:hRule="exact" w:val="284"/>
        </w:trPr>
        <w:tc>
          <w:tcPr>
            <w:tcW w:w="1990" w:type="dxa"/>
            <w:tcBorders>
              <w:top w:val="single" w:sz="4" w:space="0" w:color="5E8A00"/>
              <w:left w:val="single" w:sz="4" w:space="0" w:color="5E8A00"/>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left"/>
              <w:rPr>
                <w:rFonts w:cs="Arial"/>
                <w:color w:val="3E5B00"/>
                <w:sz w:val="18"/>
                <w:szCs w:val="18"/>
                <w:lang w:eastAsia="en-AU"/>
              </w:rPr>
            </w:pPr>
            <w:r w:rsidRPr="00047065">
              <w:rPr>
                <w:rFonts w:cs="Arial"/>
                <w:color w:val="3E5B00"/>
                <w:sz w:val="18"/>
                <w:szCs w:val="18"/>
                <w:lang w:eastAsia="en-AU"/>
              </w:rPr>
              <w:t>Other</w:t>
            </w:r>
          </w:p>
        </w:tc>
        <w:tc>
          <w:tcPr>
            <w:tcW w:w="1247" w:type="dxa"/>
            <w:tcBorders>
              <w:top w:val="single" w:sz="4" w:space="0" w:color="5E8A00"/>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12,100</w:t>
            </w:r>
          </w:p>
        </w:tc>
        <w:tc>
          <w:tcPr>
            <w:tcW w:w="1247" w:type="dxa"/>
            <w:tcBorders>
              <w:top w:val="single" w:sz="4" w:space="0" w:color="5E8A00"/>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jc w:val="right"/>
              <w:rPr>
                <w:rFonts w:cs="Arial"/>
                <w:sz w:val="18"/>
                <w:szCs w:val="18"/>
                <w:lang w:eastAsia="en-AU"/>
              </w:rPr>
            </w:pPr>
            <w:r w:rsidRPr="00047065">
              <w:rPr>
                <w:rFonts w:cs="Arial"/>
                <w:sz w:val="18"/>
                <w:szCs w:val="18"/>
                <w:lang w:eastAsia="en-AU"/>
              </w:rPr>
              <w:t>13,400</w:t>
            </w:r>
          </w:p>
        </w:tc>
        <w:tc>
          <w:tcPr>
            <w:tcW w:w="1248" w:type="dxa"/>
            <w:tcBorders>
              <w:top w:val="single" w:sz="4" w:space="0" w:color="5E8A00"/>
              <w:left w:val="nil"/>
              <w:bottom w:val="single" w:sz="4" w:space="0" w:color="5E8A00"/>
              <w:right w:val="single" w:sz="4" w:space="0" w:color="5E8A00"/>
            </w:tcBorders>
            <w:shd w:val="clear" w:color="000000" w:fill="FFFFFF"/>
            <w:noWrap/>
            <w:vAlign w:val="bottom"/>
            <w:hideMark/>
          </w:tcPr>
          <w:p w:rsidR="00047065" w:rsidRPr="00047065" w:rsidRDefault="00047065" w:rsidP="00047065">
            <w:pPr>
              <w:spacing w:after="0" w:line="240" w:lineRule="auto"/>
              <w:jc w:val="right"/>
              <w:rPr>
                <w:rFonts w:cs="Arial"/>
                <w:color w:val="3E5B00"/>
                <w:sz w:val="18"/>
                <w:szCs w:val="18"/>
                <w:lang w:eastAsia="en-AU"/>
              </w:rPr>
            </w:pPr>
            <w:r w:rsidRPr="00047065">
              <w:rPr>
                <w:rFonts w:cs="Arial"/>
                <w:color w:val="3E5B00"/>
                <w:sz w:val="18"/>
                <w:szCs w:val="18"/>
                <w:lang w:eastAsia="en-AU"/>
              </w:rPr>
              <w:t>11,100</w:t>
            </w:r>
          </w:p>
        </w:tc>
        <w:tc>
          <w:tcPr>
            <w:tcW w:w="1247" w:type="dxa"/>
            <w:tcBorders>
              <w:top w:val="single" w:sz="4" w:space="0" w:color="5E8A00"/>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-8%</w:t>
            </w:r>
          </w:p>
        </w:tc>
        <w:tc>
          <w:tcPr>
            <w:tcW w:w="1248" w:type="dxa"/>
            <w:tcBorders>
              <w:top w:val="single" w:sz="4" w:space="0" w:color="5E8A00"/>
              <w:left w:val="nil"/>
              <w:bottom w:val="single" w:sz="4" w:space="0" w:color="5E8A00"/>
              <w:right w:val="single" w:sz="4" w:space="0" w:color="5E8A00"/>
            </w:tcBorders>
            <w:shd w:val="clear" w:color="auto" w:fill="auto"/>
            <w:noWrap/>
            <w:vAlign w:val="bottom"/>
            <w:hideMark/>
          </w:tcPr>
          <w:p w:rsidR="00047065" w:rsidRPr="00047065" w:rsidRDefault="00047065" w:rsidP="00047065">
            <w:pPr>
              <w:spacing w:after="0" w:line="240" w:lineRule="auto"/>
              <w:ind w:firstLineChars="100" w:firstLine="180"/>
              <w:jc w:val="right"/>
              <w:rPr>
                <w:rFonts w:cs="Arial"/>
                <w:sz w:val="18"/>
                <w:szCs w:val="18"/>
                <w:lang w:eastAsia="en-AU"/>
              </w:rPr>
            </w:pPr>
            <w:r w:rsidRPr="00047065">
              <w:rPr>
                <w:rFonts w:cs="Arial"/>
                <w:sz w:val="18"/>
                <w:szCs w:val="18"/>
                <w:lang w:eastAsia="en-AU"/>
              </w:rPr>
              <w:t>-17%</w:t>
            </w:r>
          </w:p>
        </w:tc>
      </w:tr>
      <w:tr w:rsidR="00047065" w:rsidRPr="00047065" w:rsidTr="00047065">
        <w:trPr>
          <w:trHeight w:hRule="exact" w:val="284"/>
        </w:trPr>
        <w:tc>
          <w:tcPr>
            <w:tcW w:w="1990" w:type="dxa"/>
            <w:tcBorders>
              <w:top w:val="nil"/>
              <w:left w:val="single" w:sz="4" w:space="0" w:color="5E8A00"/>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left"/>
              <w:rPr>
                <w:rFonts w:cs="Arial"/>
                <w:b/>
                <w:bCs/>
                <w:color w:val="FFFFFF"/>
                <w:sz w:val="18"/>
                <w:szCs w:val="18"/>
                <w:lang w:eastAsia="en-AU"/>
              </w:rPr>
            </w:pPr>
            <w:r w:rsidRPr="00047065">
              <w:rPr>
                <w:rFonts w:cs="Arial"/>
                <w:b/>
                <w:bCs/>
                <w:color w:val="FFFFFF"/>
                <w:sz w:val="18"/>
                <w:szCs w:val="18"/>
                <w:lang w:eastAsia="en-AU"/>
              </w:rPr>
              <w:t>Total VET</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436,800</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579,700</w:t>
            </w:r>
          </w:p>
        </w:tc>
        <w:tc>
          <w:tcPr>
            <w:tcW w:w="1248"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jc w:val="right"/>
              <w:rPr>
                <w:rFonts w:cs="Arial"/>
                <w:b/>
                <w:bCs/>
                <w:color w:val="FFFFFF"/>
                <w:sz w:val="18"/>
                <w:szCs w:val="18"/>
                <w:lang w:eastAsia="en-AU"/>
              </w:rPr>
            </w:pPr>
            <w:r w:rsidRPr="00047065">
              <w:rPr>
                <w:rFonts w:cs="Arial"/>
                <w:b/>
                <w:bCs/>
                <w:color w:val="FFFFFF"/>
                <w:sz w:val="18"/>
                <w:szCs w:val="18"/>
                <w:lang w:eastAsia="en-AU"/>
              </w:rPr>
              <w:t>529,900</w:t>
            </w:r>
          </w:p>
        </w:tc>
        <w:tc>
          <w:tcPr>
            <w:tcW w:w="1247"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21%</w:t>
            </w:r>
          </w:p>
        </w:tc>
        <w:tc>
          <w:tcPr>
            <w:tcW w:w="1248" w:type="dxa"/>
            <w:tcBorders>
              <w:top w:val="nil"/>
              <w:left w:val="nil"/>
              <w:bottom w:val="nil"/>
              <w:right w:val="single" w:sz="4" w:space="0" w:color="5E8A00"/>
            </w:tcBorders>
            <w:shd w:val="clear" w:color="000000" w:fill="5E8A00"/>
            <w:noWrap/>
            <w:vAlign w:val="bottom"/>
            <w:hideMark/>
          </w:tcPr>
          <w:p w:rsidR="00047065" w:rsidRPr="00047065" w:rsidRDefault="00047065" w:rsidP="00047065">
            <w:pPr>
              <w:spacing w:after="0" w:line="240" w:lineRule="auto"/>
              <w:ind w:firstLineChars="100" w:firstLine="181"/>
              <w:jc w:val="right"/>
              <w:rPr>
                <w:rFonts w:cs="Arial"/>
                <w:b/>
                <w:bCs/>
                <w:color w:val="FFFFFF"/>
                <w:sz w:val="18"/>
                <w:szCs w:val="18"/>
                <w:lang w:eastAsia="en-AU"/>
              </w:rPr>
            </w:pPr>
            <w:r w:rsidRPr="00047065">
              <w:rPr>
                <w:rFonts w:cs="Arial"/>
                <w:b/>
                <w:bCs/>
                <w:color w:val="FFFFFF"/>
                <w:sz w:val="18"/>
                <w:szCs w:val="18"/>
                <w:lang w:eastAsia="en-AU"/>
              </w:rPr>
              <w:t>-9%</w:t>
            </w:r>
          </w:p>
        </w:tc>
      </w:tr>
    </w:tbl>
    <w:p w:rsidR="00156A0D" w:rsidRPr="00156A0D" w:rsidRDefault="00156A0D" w:rsidP="00156A0D">
      <w:pPr>
        <w:jc w:val="left"/>
        <w:rPr>
          <w:rFonts w:cs="Arial"/>
          <w:bCs/>
          <w:sz w:val="16"/>
          <w:szCs w:val="16"/>
        </w:rPr>
      </w:pPr>
      <w:r w:rsidRPr="00156A0D">
        <w:rPr>
          <w:rFonts w:cs="Arial"/>
          <w:bCs/>
          <w:sz w:val="16"/>
          <w:szCs w:val="16"/>
        </w:rPr>
        <w:t>*Other: online and workplace delivery.</w:t>
      </w:r>
    </w:p>
    <w:p w:rsidR="00156A0D" w:rsidRPr="001F29E3" w:rsidRDefault="00156A0D" w:rsidP="00EE6BD1">
      <w:pPr>
        <w:jc w:val="left"/>
        <w:rPr>
          <w:rFonts w:cs="Arial"/>
        </w:rPr>
      </w:pPr>
    </w:p>
    <w:p w:rsidR="007A070F" w:rsidRDefault="007A070F">
      <w:pPr>
        <w:spacing w:after="0" w:line="240" w:lineRule="auto"/>
        <w:jc w:val="left"/>
        <w:rPr>
          <w:rFonts w:cs="Arial"/>
          <w:b/>
          <w:bCs/>
          <w:color w:val="76923C" w:themeColor="accent3" w:themeShade="BF"/>
          <w:sz w:val="18"/>
          <w:szCs w:val="16"/>
        </w:rPr>
      </w:pPr>
      <w:r>
        <w:rPr>
          <w:rFonts w:cs="Arial"/>
        </w:rPr>
        <w:br w:type="page"/>
      </w:r>
    </w:p>
    <w:p w:rsidR="00E30EDD" w:rsidRPr="001F29E3" w:rsidRDefault="00E30EDD" w:rsidP="000A1C0E">
      <w:pPr>
        <w:pStyle w:val="Caption"/>
        <w:spacing w:after="0"/>
        <w:jc w:val="left"/>
        <w:rPr>
          <w:rFonts w:cs="Arial"/>
        </w:rPr>
      </w:pPr>
      <w:r w:rsidRPr="001F29E3">
        <w:rPr>
          <w:rFonts w:cs="Arial"/>
        </w:rPr>
        <w:lastRenderedPageBreak/>
        <w:t>Table 1.</w:t>
      </w:r>
      <w:r w:rsidR="00022B50">
        <w:rPr>
          <w:rFonts w:cs="Arial"/>
        </w:rPr>
        <w:t>1</w:t>
      </w:r>
      <w:r w:rsidR="004D1F77">
        <w:rPr>
          <w:rFonts w:cs="Arial"/>
        </w:rPr>
        <w:t>2</w:t>
      </w:r>
      <w:r w:rsidR="000A1C0E">
        <w:rPr>
          <w:rFonts w:cs="Arial"/>
        </w:rPr>
        <w:t>.1</w:t>
      </w:r>
      <w:r w:rsidRPr="001F29E3">
        <w:rPr>
          <w:rFonts w:cs="Arial"/>
        </w:rPr>
        <w:t>: Government subsidised enrolments by regional area, 2008–2012</w:t>
      </w:r>
    </w:p>
    <w:tbl>
      <w:tblPr>
        <w:tblW w:w="8660" w:type="dxa"/>
        <w:tblInd w:w="103" w:type="dxa"/>
        <w:tblLook w:val="04A0" w:firstRow="1" w:lastRow="0" w:firstColumn="1" w:lastColumn="0" w:noHBand="0" w:noVBand="1"/>
      </w:tblPr>
      <w:tblGrid>
        <w:gridCol w:w="2132"/>
        <w:gridCol w:w="1134"/>
        <w:gridCol w:w="992"/>
        <w:gridCol w:w="1062"/>
        <w:gridCol w:w="1120"/>
        <w:gridCol w:w="1100"/>
        <w:gridCol w:w="1120"/>
      </w:tblGrid>
      <w:tr w:rsidR="00FD0A55" w:rsidRPr="00FD0A55" w:rsidTr="00B56F89">
        <w:trPr>
          <w:trHeight w:val="762"/>
        </w:trPr>
        <w:tc>
          <w:tcPr>
            <w:tcW w:w="2132" w:type="dxa"/>
            <w:tcBorders>
              <w:top w:val="single" w:sz="4" w:space="0" w:color="5E8A00"/>
              <w:left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left"/>
              <w:rPr>
                <w:rFonts w:cs="Arial"/>
                <w:b/>
                <w:bCs/>
                <w:color w:val="FFFFFF"/>
                <w:sz w:val="18"/>
                <w:szCs w:val="18"/>
                <w:lang w:eastAsia="en-AU"/>
              </w:rPr>
            </w:pPr>
            <w:r w:rsidRPr="00FD0A55">
              <w:rPr>
                <w:rFonts w:cs="Arial"/>
                <w:b/>
                <w:bCs/>
                <w:color w:val="FFFFFF"/>
                <w:sz w:val="18"/>
                <w:szCs w:val="18"/>
                <w:lang w:eastAsia="en-AU"/>
              </w:rPr>
              <w:t>Delivery Location</w:t>
            </w:r>
          </w:p>
        </w:tc>
        <w:tc>
          <w:tcPr>
            <w:tcW w:w="1134" w:type="dxa"/>
            <w:tcBorders>
              <w:top w:val="single" w:sz="4" w:space="0" w:color="5E8A00"/>
              <w:bottom w:val="single" w:sz="4" w:space="0" w:color="5E8A00"/>
            </w:tcBorders>
            <w:shd w:val="clear" w:color="000000" w:fill="5E8A00"/>
            <w:vAlign w:val="center"/>
            <w:hideMark/>
          </w:tcPr>
          <w:p w:rsidR="00FD0A55" w:rsidRPr="00FD0A55" w:rsidRDefault="00FD0A55" w:rsidP="00F034AF">
            <w:pPr>
              <w:spacing w:after="0" w:line="240" w:lineRule="auto"/>
              <w:ind w:firstLineChars="100" w:firstLine="181"/>
              <w:jc w:val="right"/>
              <w:rPr>
                <w:rFonts w:cs="Arial"/>
                <w:b/>
                <w:bCs/>
                <w:color w:val="FFFFFF"/>
                <w:sz w:val="18"/>
                <w:szCs w:val="18"/>
                <w:lang w:eastAsia="en-AU"/>
              </w:rPr>
            </w:pPr>
            <w:r w:rsidRPr="00FD0A55">
              <w:rPr>
                <w:rFonts w:cs="Arial"/>
                <w:b/>
                <w:bCs/>
                <w:color w:val="FFFFFF"/>
                <w:sz w:val="18"/>
                <w:szCs w:val="18"/>
                <w:lang w:eastAsia="en-AU"/>
              </w:rPr>
              <w:t>2008</w:t>
            </w:r>
          </w:p>
        </w:tc>
        <w:tc>
          <w:tcPr>
            <w:tcW w:w="992" w:type="dxa"/>
            <w:tcBorders>
              <w:top w:val="single" w:sz="4" w:space="0" w:color="5E8A00"/>
              <w:bottom w:val="single" w:sz="4" w:space="0" w:color="5E8A00"/>
            </w:tcBorders>
            <w:shd w:val="clear" w:color="000000" w:fill="5E8A00"/>
            <w:vAlign w:val="center"/>
            <w:hideMark/>
          </w:tcPr>
          <w:p w:rsidR="00FD0A55" w:rsidRPr="00FD0A55" w:rsidRDefault="00FD0A55" w:rsidP="00F034AF">
            <w:pPr>
              <w:spacing w:after="0" w:line="240" w:lineRule="auto"/>
              <w:ind w:firstLineChars="100" w:firstLine="181"/>
              <w:jc w:val="right"/>
              <w:rPr>
                <w:rFonts w:cs="Arial"/>
                <w:b/>
                <w:bCs/>
                <w:color w:val="FFFFFF"/>
                <w:sz w:val="18"/>
                <w:szCs w:val="18"/>
                <w:lang w:eastAsia="en-AU"/>
              </w:rPr>
            </w:pPr>
            <w:r w:rsidRPr="00FD0A55">
              <w:rPr>
                <w:rFonts w:cs="Arial"/>
                <w:b/>
                <w:bCs/>
                <w:color w:val="FFFFFF"/>
                <w:sz w:val="18"/>
                <w:szCs w:val="18"/>
                <w:lang w:eastAsia="en-AU"/>
              </w:rPr>
              <w:t>2009</w:t>
            </w:r>
          </w:p>
        </w:tc>
        <w:tc>
          <w:tcPr>
            <w:tcW w:w="1062" w:type="dxa"/>
            <w:tcBorders>
              <w:top w:val="single" w:sz="4" w:space="0" w:color="5E8A00"/>
              <w:bottom w:val="single" w:sz="4" w:space="0" w:color="5E8A00"/>
            </w:tcBorders>
            <w:shd w:val="clear" w:color="000000" w:fill="5E8A00"/>
            <w:vAlign w:val="center"/>
            <w:hideMark/>
          </w:tcPr>
          <w:p w:rsidR="00FD0A55" w:rsidRPr="00FD0A55" w:rsidRDefault="00FD0A55" w:rsidP="00F034AF">
            <w:pPr>
              <w:spacing w:after="0" w:line="240" w:lineRule="auto"/>
              <w:ind w:firstLineChars="100" w:firstLine="181"/>
              <w:jc w:val="right"/>
              <w:rPr>
                <w:rFonts w:cs="Arial"/>
                <w:b/>
                <w:bCs/>
                <w:color w:val="FFFFFF"/>
                <w:sz w:val="18"/>
                <w:szCs w:val="18"/>
                <w:lang w:eastAsia="en-AU"/>
              </w:rPr>
            </w:pPr>
            <w:r w:rsidRPr="00FD0A55">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FD0A55" w:rsidRPr="00FD0A55" w:rsidRDefault="00FD0A55" w:rsidP="00F034AF">
            <w:pPr>
              <w:spacing w:after="0" w:line="240" w:lineRule="auto"/>
              <w:ind w:firstLineChars="100" w:firstLine="181"/>
              <w:jc w:val="right"/>
              <w:rPr>
                <w:rFonts w:cs="Arial"/>
                <w:b/>
                <w:bCs/>
                <w:color w:val="FFFFFF"/>
                <w:sz w:val="18"/>
                <w:szCs w:val="18"/>
                <w:lang w:eastAsia="en-AU"/>
              </w:rPr>
            </w:pPr>
            <w:r w:rsidRPr="00FD0A55">
              <w:rPr>
                <w:rFonts w:cs="Arial"/>
                <w:b/>
                <w:bCs/>
                <w:color w:val="FFFFFF"/>
                <w:sz w:val="18"/>
                <w:szCs w:val="18"/>
                <w:lang w:eastAsia="en-AU"/>
              </w:rPr>
              <w:t>2011</w:t>
            </w:r>
          </w:p>
        </w:tc>
        <w:tc>
          <w:tcPr>
            <w:tcW w:w="1100" w:type="dxa"/>
            <w:tcBorders>
              <w:top w:val="single" w:sz="4" w:space="0" w:color="5E8A00"/>
              <w:bottom w:val="single" w:sz="4" w:space="0" w:color="5E8A00"/>
            </w:tcBorders>
            <w:shd w:val="clear" w:color="000000" w:fill="5E8A00"/>
            <w:vAlign w:val="center"/>
            <w:hideMark/>
          </w:tcPr>
          <w:p w:rsidR="00FD0A55" w:rsidRPr="00FD0A55" w:rsidRDefault="00FD0A55" w:rsidP="00F034AF">
            <w:pPr>
              <w:spacing w:after="0" w:line="240" w:lineRule="auto"/>
              <w:ind w:firstLineChars="100" w:firstLine="181"/>
              <w:jc w:val="right"/>
              <w:rPr>
                <w:rFonts w:cs="Arial"/>
                <w:b/>
                <w:bCs/>
                <w:color w:val="FFFFFF"/>
                <w:sz w:val="18"/>
                <w:szCs w:val="18"/>
                <w:lang w:eastAsia="en-AU"/>
              </w:rPr>
            </w:pPr>
            <w:r w:rsidRPr="00FD0A55">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 change</w:t>
            </w:r>
            <w:r w:rsidRPr="00FD0A55">
              <w:rPr>
                <w:rFonts w:cs="Arial"/>
                <w:b/>
                <w:bCs/>
                <w:color w:val="FFFFFF"/>
                <w:sz w:val="18"/>
                <w:szCs w:val="18"/>
                <w:lang w:eastAsia="en-AU"/>
              </w:rPr>
              <w:br/>
              <w:t>2008-2012</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Barwon South West</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28,800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31,800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35,800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50,100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62,500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117%</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Grampians</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14,600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16,200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15,000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17,200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18,900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29%</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 xml:space="preserve">Loddon </w:t>
            </w:r>
            <w:proofErr w:type="spellStart"/>
            <w:r w:rsidRPr="00FD0A55">
              <w:rPr>
                <w:rFonts w:cs="Arial"/>
                <w:color w:val="3E5B00"/>
                <w:sz w:val="18"/>
                <w:szCs w:val="18"/>
                <w:lang w:eastAsia="en-AU"/>
              </w:rPr>
              <w:t>Mallee</w:t>
            </w:r>
            <w:proofErr w:type="spellEnd"/>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23,600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27,900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28,300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32,800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37,100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57%</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Hume</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29,100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26,000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24,700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27,300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34,400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18%</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Gippsland</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26,700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22,400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22,500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20,500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19,700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-26%</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Eastern Metropolitan</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55,500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52,200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60,100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73,600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76,000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37%</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Western Metropolitan</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76,300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67,900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88,600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135,800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186,400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144%</w:t>
            </w:r>
          </w:p>
        </w:tc>
      </w:tr>
      <w:tr w:rsidR="00FD0A55" w:rsidRPr="00FD0A55" w:rsidTr="00FD0A55">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Southern Metropolitan</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63,600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67,700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81,800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107,600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137,400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116%</w:t>
            </w:r>
          </w:p>
        </w:tc>
      </w:tr>
      <w:tr w:rsidR="00FD0A55" w:rsidRPr="00FD0A55" w:rsidTr="00B56F8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FD0A55" w:rsidRPr="00FD0A55" w:rsidRDefault="00FD0A55" w:rsidP="00FD0A55">
            <w:pPr>
              <w:spacing w:after="0" w:line="240" w:lineRule="auto"/>
              <w:jc w:val="left"/>
              <w:rPr>
                <w:rFonts w:cs="Arial"/>
                <w:color w:val="3E5B00"/>
                <w:sz w:val="18"/>
                <w:szCs w:val="18"/>
                <w:lang w:eastAsia="en-AU"/>
              </w:rPr>
            </w:pPr>
            <w:r w:rsidRPr="00FD0A55">
              <w:rPr>
                <w:rFonts w:cs="Arial"/>
                <w:color w:val="3E5B00"/>
                <w:sz w:val="18"/>
                <w:szCs w:val="18"/>
                <w:lang w:eastAsia="en-AU"/>
              </w:rPr>
              <w:t>Northern Metropolitan</w:t>
            </w:r>
          </w:p>
        </w:tc>
        <w:tc>
          <w:tcPr>
            <w:tcW w:w="1134"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46,900</w:t>
            </w:r>
          </w:p>
        </w:tc>
        <w:tc>
          <w:tcPr>
            <w:tcW w:w="99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52,400</w:t>
            </w:r>
          </w:p>
        </w:tc>
        <w:tc>
          <w:tcPr>
            <w:tcW w:w="1062"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56,400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68,700</w:t>
            </w:r>
          </w:p>
        </w:tc>
        <w:tc>
          <w:tcPr>
            <w:tcW w:w="110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87,300</w:t>
            </w:r>
          </w:p>
        </w:tc>
        <w:tc>
          <w:tcPr>
            <w:tcW w:w="1120" w:type="dxa"/>
            <w:tcBorders>
              <w:top w:val="nil"/>
              <w:left w:val="nil"/>
              <w:bottom w:val="single" w:sz="4" w:space="0" w:color="5E8A00"/>
              <w:right w:val="single" w:sz="4" w:space="0" w:color="5E8A00"/>
            </w:tcBorders>
            <w:shd w:val="clear" w:color="auto" w:fill="auto"/>
            <w:noWrap/>
            <w:vAlign w:val="center"/>
            <w:hideMark/>
          </w:tcPr>
          <w:p w:rsidR="00FD0A55" w:rsidRPr="00FD0A55" w:rsidRDefault="00FD0A55" w:rsidP="00FD0A55">
            <w:pPr>
              <w:spacing w:after="0" w:line="240" w:lineRule="auto"/>
              <w:jc w:val="right"/>
              <w:rPr>
                <w:rFonts w:cs="Arial"/>
                <w:sz w:val="18"/>
                <w:szCs w:val="18"/>
                <w:lang w:eastAsia="en-AU"/>
              </w:rPr>
            </w:pPr>
            <w:r w:rsidRPr="00FD0A55">
              <w:rPr>
                <w:rFonts w:cs="Arial"/>
                <w:sz w:val="18"/>
                <w:szCs w:val="18"/>
                <w:lang w:eastAsia="en-AU"/>
              </w:rPr>
              <w:t>86%</w:t>
            </w:r>
          </w:p>
        </w:tc>
      </w:tr>
      <w:tr w:rsidR="00FD0A55" w:rsidRPr="00FD0A55" w:rsidTr="00B56F89">
        <w:trPr>
          <w:trHeight w:hRule="exact" w:val="284"/>
        </w:trPr>
        <w:tc>
          <w:tcPr>
            <w:tcW w:w="2132" w:type="dxa"/>
            <w:tcBorders>
              <w:top w:val="single" w:sz="4" w:space="0" w:color="5E8A00"/>
              <w:left w:val="single" w:sz="4" w:space="0" w:color="5E8A00"/>
              <w:bottom w:val="single" w:sz="4" w:space="0" w:color="5E8A00"/>
            </w:tcBorders>
            <w:shd w:val="clear" w:color="000000" w:fill="5E8A00"/>
            <w:noWrap/>
            <w:vAlign w:val="bottom"/>
            <w:hideMark/>
          </w:tcPr>
          <w:p w:rsidR="00FD0A55" w:rsidRPr="00FD0A55" w:rsidRDefault="00FD0A55" w:rsidP="000A5C66">
            <w:pPr>
              <w:spacing w:after="0" w:line="240" w:lineRule="auto"/>
              <w:jc w:val="left"/>
              <w:rPr>
                <w:rFonts w:cs="Arial"/>
                <w:b/>
                <w:bCs/>
                <w:color w:val="FFFFFF"/>
                <w:sz w:val="18"/>
                <w:szCs w:val="18"/>
                <w:lang w:eastAsia="en-AU"/>
              </w:rPr>
            </w:pPr>
            <w:r w:rsidRPr="00FD0A55">
              <w:rPr>
                <w:rFonts w:cs="Arial"/>
                <w:b/>
                <w:bCs/>
                <w:color w:val="FFFFFF"/>
                <w:sz w:val="18"/>
                <w:szCs w:val="18"/>
                <w:lang w:eastAsia="en-AU"/>
              </w:rPr>
              <w:t>Total</w:t>
            </w:r>
            <w:r w:rsidR="000A5C66">
              <w:rPr>
                <w:rFonts w:cs="Arial"/>
                <w:b/>
                <w:bCs/>
                <w:color w:val="FFFFFF"/>
                <w:sz w:val="18"/>
                <w:szCs w:val="18"/>
                <w:lang w:eastAsia="en-AU"/>
              </w:rPr>
              <w:t xml:space="preserve"> Regions total</w:t>
            </w:r>
          </w:p>
        </w:tc>
        <w:tc>
          <w:tcPr>
            <w:tcW w:w="1134" w:type="dxa"/>
            <w:tcBorders>
              <w:top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364,400</w:t>
            </w:r>
          </w:p>
        </w:tc>
        <w:tc>
          <w:tcPr>
            <w:tcW w:w="992" w:type="dxa"/>
            <w:tcBorders>
              <w:top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363,900</w:t>
            </w:r>
          </w:p>
        </w:tc>
        <w:tc>
          <w:tcPr>
            <w:tcW w:w="1062" w:type="dxa"/>
            <w:tcBorders>
              <w:top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412,600</w:t>
            </w:r>
          </w:p>
        </w:tc>
        <w:tc>
          <w:tcPr>
            <w:tcW w:w="1120" w:type="dxa"/>
            <w:tcBorders>
              <w:top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532,200</w:t>
            </w:r>
          </w:p>
        </w:tc>
        <w:tc>
          <w:tcPr>
            <w:tcW w:w="1100" w:type="dxa"/>
            <w:tcBorders>
              <w:top w:val="single" w:sz="4" w:space="0" w:color="5E8A00"/>
              <w:bottom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656,800</w:t>
            </w:r>
          </w:p>
        </w:tc>
        <w:tc>
          <w:tcPr>
            <w:tcW w:w="1120" w:type="dxa"/>
            <w:tcBorders>
              <w:top w:val="single" w:sz="4" w:space="0" w:color="5E8A00"/>
              <w:bottom w:val="single" w:sz="4" w:space="0" w:color="5E8A00"/>
              <w:right w:val="single" w:sz="4" w:space="0" w:color="5E8A00"/>
            </w:tcBorders>
            <w:shd w:val="clear" w:color="000000" w:fill="5E8A00"/>
            <w:noWrap/>
            <w:vAlign w:val="center"/>
            <w:hideMark/>
          </w:tcPr>
          <w:p w:rsidR="00FD0A55" w:rsidRPr="00FD0A55" w:rsidRDefault="00FD0A55" w:rsidP="00FD0A55">
            <w:pPr>
              <w:spacing w:after="0" w:line="240" w:lineRule="auto"/>
              <w:jc w:val="right"/>
              <w:rPr>
                <w:rFonts w:cs="Arial"/>
                <w:b/>
                <w:bCs/>
                <w:color w:val="FFFFFF"/>
                <w:sz w:val="18"/>
                <w:szCs w:val="18"/>
                <w:lang w:eastAsia="en-AU"/>
              </w:rPr>
            </w:pPr>
            <w:r w:rsidRPr="00FD0A55">
              <w:rPr>
                <w:rFonts w:cs="Arial"/>
                <w:b/>
                <w:bCs/>
                <w:color w:val="FFFFFF"/>
                <w:sz w:val="18"/>
                <w:szCs w:val="18"/>
                <w:lang w:eastAsia="en-AU"/>
              </w:rPr>
              <w:t>80%</w:t>
            </w:r>
          </w:p>
        </w:tc>
      </w:tr>
    </w:tbl>
    <w:p w:rsidR="00E30EDD" w:rsidRPr="001F29E3" w:rsidRDefault="00E30EDD" w:rsidP="00EE6BD1">
      <w:pPr>
        <w:jc w:val="left"/>
        <w:rPr>
          <w:rFonts w:cs="Arial"/>
        </w:rPr>
      </w:pPr>
    </w:p>
    <w:p w:rsidR="00FD0A55" w:rsidRDefault="00204000" w:rsidP="000A1C0E">
      <w:pPr>
        <w:pStyle w:val="Caption"/>
        <w:spacing w:after="0"/>
        <w:jc w:val="left"/>
        <w:rPr>
          <w:rFonts w:cs="Arial"/>
        </w:rPr>
      </w:pPr>
      <w:r w:rsidRPr="001F29E3">
        <w:rPr>
          <w:rFonts w:cs="Arial"/>
        </w:rPr>
        <w:t xml:space="preserve"> </w:t>
      </w:r>
      <w:r w:rsidR="00FD0A55" w:rsidRPr="001F29E3">
        <w:rPr>
          <w:rFonts w:cs="Arial"/>
        </w:rPr>
        <w:t>Table 1.</w:t>
      </w:r>
      <w:r w:rsidR="000A1C0E">
        <w:rPr>
          <w:rFonts w:cs="Arial"/>
        </w:rPr>
        <w:t>1</w:t>
      </w:r>
      <w:r w:rsidR="004D1F77">
        <w:rPr>
          <w:rFonts w:cs="Arial"/>
        </w:rPr>
        <w:t>2</w:t>
      </w:r>
      <w:r w:rsidR="000A1C0E">
        <w:rPr>
          <w:rFonts w:cs="Arial"/>
        </w:rPr>
        <w:t>.2</w:t>
      </w:r>
      <w:r w:rsidR="00FD0A55" w:rsidRPr="001F29E3">
        <w:rPr>
          <w:rFonts w:cs="Arial"/>
        </w:rPr>
        <w:t xml:space="preserve">: Government subsidised enrolments by regional area, </w:t>
      </w:r>
      <w:r w:rsidR="00FD0A55">
        <w:rPr>
          <w:rFonts w:cs="Arial"/>
        </w:rPr>
        <w:t>Q</w:t>
      </w:r>
      <w:r w:rsidR="00CF0797">
        <w:rPr>
          <w:rFonts w:cs="Arial"/>
        </w:rPr>
        <w:t>3</w:t>
      </w:r>
      <w:r w:rsidR="00FD0A55">
        <w:rPr>
          <w:rFonts w:cs="Arial"/>
        </w:rPr>
        <w:t xml:space="preserve"> 2011, Q</w:t>
      </w:r>
      <w:r w:rsidR="00CF0797">
        <w:rPr>
          <w:rFonts w:cs="Arial"/>
        </w:rPr>
        <w:t>3</w:t>
      </w:r>
      <w:r w:rsidR="00FD0A55" w:rsidRPr="001F29E3">
        <w:rPr>
          <w:rFonts w:cs="Arial"/>
        </w:rPr>
        <w:t xml:space="preserve"> 2012 and Q</w:t>
      </w:r>
      <w:r w:rsidR="00CF0797">
        <w:rPr>
          <w:rFonts w:cs="Arial"/>
        </w:rPr>
        <w:t>3</w:t>
      </w:r>
      <w:r w:rsidR="00FD0A55" w:rsidRPr="001F29E3">
        <w:rPr>
          <w:rFonts w:cs="Arial"/>
        </w:rPr>
        <w:t xml:space="preserve"> 2013</w:t>
      </w:r>
    </w:p>
    <w:tbl>
      <w:tblPr>
        <w:tblW w:w="7943" w:type="dxa"/>
        <w:tblInd w:w="103" w:type="dxa"/>
        <w:tblLayout w:type="fixed"/>
        <w:tblLook w:val="04A0" w:firstRow="1" w:lastRow="0" w:firstColumn="1" w:lastColumn="0" w:noHBand="0" w:noVBand="1"/>
      </w:tblPr>
      <w:tblGrid>
        <w:gridCol w:w="2132"/>
        <w:gridCol w:w="1162"/>
        <w:gridCol w:w="1162"/>
        <w:gridCol w:w="1162"/>
        <w:gridCol w:w="1162"/>
        <w:gridCol w:w="1163"/>
      </w:tblGrid>
      <w:tr w:rsidR="00CF0797" w:rsidRPr="00CF0797" w:rsidTr="00CF0797">
        <w:trPr>
          <w:trHeight w:hRule="exact" w:val="760"/>
        </w:trPr>
        <w:tc>
          <w:tcPr>
            <w:tcW w:w="213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left"/>
              <w:rPr>
                <w:rFonts w:cs="Arial"/>
                <w:b/>
                <w:bCs/>
                <w:color w:val="FFFFFF"/>
                <w:sz w:val="18"/>
                <w:szCs w:val="18"/>
                <w:lang w:eastAsia="en-AU"/>
              </w:rPr>
            </w:pPr>
            <w:r w:rsidRPr="00CF0797">
              <w:rPr>
                <w:rFonts w:cs="Arial"/>
                <w:b/>
                <w:bCs/>
                <w:color w:val="FFFFFF"/>
                <w:sz w:val="18"/>
                <w:szCs w:val="18"/>
                <w:lang w:eastAsia="en-AU"/>
              </w:rPr>
              <w:t>Delivery Location</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CF0797" w:rsidRPr="00CF0797" w:rsidRDefault="00CF0797" w:rsidP="00CF0797">
            <w:pPr>
              <w:spacing w:after="0" w:line="240" w:lineRule="auto"/>
              <w:ind w:firstLineChars="100" w:firstLine="181"/>
              <w:jc w:val="right"/>
              <w:rPr>
                <w:rFonts w:cs="Arial"/>
                <w:b/>
                <w:bCs/>
                <w:color w:val="FFFFFF"/>
                <w:sz w:val="18"/>
                <w:szCs w:val="18"/>
                <w:lang w:eastAsia="en-AU"/>
              </w:rPr>
            </w:pPr>
            <w:r w:rsidRPr="00CF0797">
              <w:rPr>
                <w:rFonts w:cs="Arial"/>
                <w:b/>
                <w:bCs/>
                <w:color w:val="FFFFFF"/>
                <w:sz w:val="18"/>
                <w:szCs w:val="18"/>
                <w:lang w:eastAsia="en-AU"/>
              </w:rPr>
              <w:t>Q3 2011</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CF0797" w:rsidRPr="00CF0797" w:rsidRDefault="00CF0797" w:rsidP="00CF0797">
            <w:pPr>
              <w:spacing w:after="0" w:line="240" w:lineRule="auto"/>
              <w:ind w:firstLineChars="100" w:firstLine="181"/>
              <w:jc w:val="right"/>
              <w:rPr>
                <w:rFonts w:cs="Arial"/>
                <w:b/>
                <w:bCs/>
                <w:color w:val="FFFFFF"/>
                <w:sz w:val="18"/>
                <w:szCs w:val="18"/>
                <w:lang w:eastAsia="en-AU"/>
              </w:rPr>
            </w:pPr>
            <w:r w:rsidRPr="00CF0797">
              <w:rPr>
                <w:rFonts w:cs="Arial"/>
                <w:b/>
                <w:bCs/>
                <w:color w:val="FFFFFF"/>
                <w:sz w:val="18"/>
                <w:szCs w:val="18"/>
                <w:lang w:eastAsia="en-AU"/>
              </w:rPr>
              <w:t>Q3 2012</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CF0797" w:rsidRPr="00CF0797" w:rsidRDefault="00CF0797" w:rsidP="00CF0797">
            <w:pPr>
              <w:spacing w:after="0" w:line="240" w:lineRule="auto"/>
              <w:ind w:firstLineChars="100" w:firstLine="181"/>
              <w:jc w:val="right"/>
              <w:rPr>
                <w:rFonts w:cs="Arial"/>
                <w:b/>
                <w:bCs/>
                <w:color w:val="FFFFFF"/>
                <w:sz w:val="18"/>
                <w:szCs w:val="18"/>
                <w:lang w:eastAsia="en-AU"/>
              </w:rPr>
            </w:pPr>
            <w:r w:rsidRPr="00CF0797">
              <w:rPr>
                <w:rFonts w:cs="Arial"/>
                <w:b/>
                <w:bCs/>
                <w:color w:val="FFFFFF"/>
                <w:sz w:val="18"/>
                <w:szCs w:val="18"/>
                <w:lang w:eastAsia="en-AU"/>
              </w:rPr>
              <w:t>Q3 2013</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 change</w:t>
            </w:r>
            <w:r w:rsidRPr="00CF0797">
              <w:rPr>
                <w:rFonts w:cs="Arial"/>
                <w:b/>
                <w:bCs/>
                <w:color w:val="FFFFFF"/>
                <w:sz w:val="18"/>
                <w:szCs w:val="18"/>
                <w:lang w:eastAsia="en-AU"/>
              </w:rPr>
              <w:br/>
              <w:t>Q3 2011-Q3 2013 </w:t>
            </w:r>
          </w:p>
        </w:tc>
        <w:tc>
          <w:tcPr>
            <w:tcW w:w="1163" w:type="dxa"/>
            <w:tcBorders>
              <w:top w:val="single" w:sz="4" w:space="0" w:color="5E8A00"/>
              <w:left w:val="nil"/>
              <w:bottom w:val="single" w:sz="4" w:space="0" w:color="5E8A00"/>
              <w:right w:val="single" w:sz="4" w:space="0" w:color="5E8A00"/>
            </w:tcBorders>
            <w:shd w:val="clear" w:color="000000" w:fill="5E8A00"/>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 change</w:t>
            </w:r>
            <w:r w:rsidRPr="00CF0797">
              <w:rPr>
                <w:rFonts w:cs="Arial"/>
                <w:b/>
                <w:bCs/>
                <w:color w:val="FFFFFF"/>
                <w:sz w:val="18"/>
                <w:szCs w:val="18"/>
                <w:lang w:eastAsia="en-AU"/>
              </w:rPr>
              <w:br/>
              <w:t>Q3 2012-Q3 2013</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Barwon South West</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40,200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55,300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39,400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-29%</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Grampians</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13,900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16,100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14,600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5%</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-9%</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 xml:space="preserve">Loddon </w:t>
            </w:r>
            <w:proofErr w:type="spellStart"/>
            <w:r w:rsidRPr="00CF0797">
              <w:rPr>
                <w:rFonts w:cs="Arial"/>
                <w:color w:val="3E5B00"/>
                <w:sz w:val="18"/>
                <w:szCs w:val="18"/>
                <w:lang w:eastAsia="en-AU"/>
              </w:rPr>
              <w:t>Mallee</w:t>
            </w:r>
            <w:proofErr w:type="spellEnd"/>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26,500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31,400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26,500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0%</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-16%</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Hume</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21,600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28,500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39,200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81%</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38%</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Gippsland</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16,500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17,100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14,600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-12%</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-14%</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Eastern Metropolitan</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65,500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68,400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59,400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-9%</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-13%</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Western Metropolitan</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107,200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160,000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150,000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40%</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-6%</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Southern Metropolitan</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80,700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116,800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109,600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36%</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-6%</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CF0797" w:rsidRPr="00CF0797" w:rsidRDefault="00CF0797" w:rsidP="00CF0797">
            <w:pPr>
              <w:spacing w:after="0" w:line="240" w:lineRule="auto"/>
              <w:jc w:val="left"/>
              <w:rPr>
                <w:rFonts w:cs="Arial"/>
                <w:color w:val="3E5B00"/>
                <w:sz w:val="18"/>
                <w:szCs w:val="18"/>
                <w:lang w:eastAsia="en-AU"/>
              </w:rPr>
            </w:pPr>
            <w:r w:rsidRPr="00CF0797">
              <w:rPr>
                <w:rFonts w:cs="Arial"/>
                <w:color w:val="3E5B00"/>
                <w:sz w:val="18"/>
                <w:szCs w:val="18"/>
                <w:lang w:eastAsia="en-AU"/>
              </w:rPr>
              <w:t>Northern Metropolitan</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54,400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76,000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68,700</w:t>
            </w:r>
          </w:p>
        </w:tc>
        <w:tc>
          <w:tcPr>
            <w:tcW w:w="1162"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26%</w:t>
            </w:r>
          </w:p>
        </w:tc>
        <w:tc>
          <w:tcPr>
            <w:tcW w:w="1163" w:type="dxa"/>
            <w:tcBorders>
              <w:top w:val="nil"/>
              <w:left w:val="nil"/>
              <w:bottom w:val="single" w:sz="4" w:space="0" w:color="5E8A00"/>
              <w:right w:val="single" w:sz="4" w:space="0" w:color="5E8A00"/>
            </w:tcBorders>
            <w:shd w:val="clear" w:color="auto" w:fill="auto"/>
            <w:noWrap/>
            <w:vAlign w:val="center"/>
            <w:hideMark/>
          </w:tcPr>
          <w:p w:rsidR="00CF0797" w:rsidRPr="00CF0797" w:rsidRDefault="00CF0797" w:rsidP="00CF0797">
            <w:pPr>
              <w:spacing w:after="0" w:line="240" w:lineRule="auto"/>
              <w:jc w:val="right"/>
              <w:rPr>
                <w:rFonts w:cs="Arial"/>
                <w:sz w:val="18"/>
                <w:szCs w:val="18"/>
                <w:lang w:eastAsia="en-AU"/>
              </w:rPr>
            </w:pPr>
            <w:r w:rsidRPr="00CF0797">
              <w:rPr>
                <w:rFonts w:cs="Arial"/>
                <w:sz w:val="18"/>
                <w:szCs w:val="18"/>
                <w:lang w:eastAsia="en-AU"/>
              </w:rPr>
              <w:t>-10%</w:t>
            </w:r>
          </w:p>
        </w:tc>
      </w:tr>
      <w:tr w:rsidR="00CF0797" w:rsidRPr="00CF0797" w:rsidTr="00CF0797">
        <w:trPr>
          <w:trHeight w:hRule="exact" w:val="284"/>
        </w:trPr>
        <w:tc>
          <w:tcPr>
            <w:tcW w:w="2132" w:type="dxa"/>
            <w:tcBorders>
              <w:top w:val="nil"/>
              <w:left w:val="single" w:sz="4" w:space="0" w:color="5E8A00"/>
              <w:bottom w:val="single" w:sz="4" w:space="0" w:color="5E8A00"/>
              <w:right w:val="single" w:sz="4" w:space="0" w:color="5E8A00"/>
            </w:tcBorders>
            <w:shd w:val="clear" w:color="000000" w:fill="5E8A00"/>
            <w:noWrap/>
            <w:vAlign w:val="bottom"/>
            <w:hideMark/>
          </w:tcPr>
          <w:p w:rsidR="00CF0797" w:rsidRPr="00CF0797" w:rsidRDefault="00CF0797" w:rsidP="00CF0797">
            <w:pPr>
              <w:spacing w:after="0" w:line="240" w:lineRule="auto"/>
              <w:jc w:val="left"/>
              <w:rPr>
                <w:rFonts w:cs="Arial"/>
                <w:b/>
                <w:bCs/>
                <w:color w:val="FFFFFF"/>
                <w:sz w:val="18"/>
                <w:szCs w:val="18"/>
                <w:lang w:eastAsia="en-AU"/>
              </w:rPr>
            </w:pPr>
            <w:r w:rsidRPr="00CF0797">
              <w:rPr>
                <w:rFonts w:cs="Arial"/>
                <w:b/>
                <w:bCs/>
                <w:color w:val="FFFFFF"/>
                <w:sz w:val="18"/>
                <w:szCs w:val="18"/>
                <w:lang w:eastAsia="en-AU"/>
              </w:rPr>
              <w:t>All Regions Total</w:t>
            </w:r>
          </w:p>
        </w:tc>
        <w:tc>
          <w:tcPr>
            <w:tcW w:w="1162" w:type="dxa"/>
            <w:tcBorders>
              <w:top w:val="nil"/>
              <w:left w:val="nil"/>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425,900</w:t>
            </w:r>
          </w:p>
        </w:tc>
        <w:tc>
          <w:tcPr>
            <w:tcW w:w="1162" w:type="dxa"/>
            <w:tcBorders>
              <w:top w:val="nil"/>
              <w:left w:val="nil"/>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567,400</w:t>
            </w:r>
          </w:p>
        </w:tc>
        <w:tc>
          <w:tcPr>
            <w:tcW w:w="1162" w:type="dxa"/>
            <w:tcBorders>
              <w:top w:val="nil"/>
              <w:left w:val="nil"/>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519,900</w:t>
            </w:r>
          </w:p>
        </w:tc>
        <w:tc>
          <w:tcPr>
            <w:tcW w:w="1162" w:type="dxa"/>
            <w:tcBorders>
              <w:top w:val="nil"/>
              <w:left w:val="nil"/>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22%</w:t>
            </w:r>
          </w:p>
        </w:tc>
        <w:tc>
          <w:tcPr>
            <w:tcW w:w="1163" w:type="dxa"/>
            <w:tcBorders>
              <w:top w:val="nil"/>
              <w:left w:val="nil"/>
              <w:bottom w:val="single" w:sz="4" w:space="0" w:color="5E8A00"/>
              <w:right w:val="single" w:sz="4" w:space="0" w:color="5E8A00"/>
            </w:tcBorders>
            <w:shd w:val="clear" w:color="000000" w:fill="5E8A00"/>
            <w:noWrap/>
            <w:vAlign w:val="center"/>
            <w:hideMark/>
          </w:tcPr>
          <w:p w:rsidR="00CF0797" w:rsidRPr="00CF0797" w:rsidRDefault="00CF0797" w:rsidP="00CF0797">
            <w:pPr>
              <w:spacing w:after="0" w:line="240" w:lineRule="auto"/>
              <w:jc w:val="right"/>
              <w:rPr>
                <w:rFonts w:cs="Arial"/>
                <w:b/>
                <w:bCs/>
                <w:color w:val="FFFFFF"/>
                <w:sz w:val="18"/>
                <w:szCs w:val="18"/>
                <w:lang w:eastAsia="en-AU"/>
              </w:rPr>
            </w:pPr>
            <w:r w:rsidRPr="00CF0797">
              <w:rPr>
                <w:rFonts w:cs="Arial"/>
                <w:b/>
                <w:bCs/>
                <w:color w:val="FFFFFF"/>
                <w:sz w:val="18"/>
                <w:szCs w:val="18"/>
                <w:lang w:eastAsia="en-AU"/>
              </w:rPr>
              <w:t>-8%</w:t>
            </w:r>
          </w:p>
        </w:tc>
      </w:tr>
    </w:tbl>
    <w:p w:rsidR="003A5E44" w:rsidRDefault="003A5E44" w:rsidP="00EE6BD1">
      <w:pPr>
        <w:jc w:val="left"/>
        <w:rPr>
          <w:rFonts w:cs="Arial"/>
        </w:rPr>
      </w:pPr>
    </w:p>
    <w:p w:rsidR="003A5E44" w:rsidRDefault="003A5E44" w:rsidP="00EE6BD1">
      <w:pPr>
        <w:jc w:val="left"/>
        <w:rPr>
          <w:rFonts w:cs="Arial"/>
        </w:rPr>
      </w:pPr>
    </w:p>
    <w:p w:rsidR="00194286" w:rsidRDefault="00194286" w:rsidP="00194286">
      <w:pPr>
        <w:pStyle w:val="Heading3"/>
      </w:pPr>
      <w:r>
        <w:t>Regional Participation</w:t>
      </w:r>
    </w:p>
    <w:p w:rsidR="00194286" w:rsidRDefault="00CD4ED8" w:rsidP="00194286">
      <w:pPr>
        <w:rPr>
          <w:rFonts w:cs="Arial"/>
        </w:rPr>
      </w:pPr>
      <w:r>
        <w:rPr>
          <w:rFonts w:cs="Arial"/>
        </w:rPr>
        <w:t>T</w:t>
      </w:r>
      <w:r w:rsidR="00194286">
        <w:rPr>
          <w:rFonts w:cs="Arial"/>
        </w:rPr>
        <w:t xml:space="preserve">his section </w:t>
      </w:r>
      <w:r>
        <w:rPr>
          <w:rFonts w:cs="Arial"/>
        </w:rPr>
        <w:t xml:space="preserve">presents data on </w:t>
      </w:r>
      <w:r w:rsidR="00151BF0">
        <w:rPr>
          <w:rFonts w:cs="Arial"/>
        </w:rPr>
        <w:t>students undertaking government subsidised training</w:t>
      </w:r>
      <w:r>
        <w:rPr>
          <w:rFonts w:cs="Arial"/>
        </w:rPr>
        <w:t xml:space="preserve"> by </w:t>
      </w:r>
      <w:r w:rsidR="00736BBD">
        <w:rPr>
          <w:rFonts w:cs="Arial"/>
        </w:rPr>
        <w:t xml:space="preserve">the </w:t>
      </w:r>
      <w:r>
        <w:rPr>
          <w:rFonts w:cs="Arial"/>
        </w:rPr>
        <w:t>area where they live</w:t>
      </w:r>
      <w:r w:rsidR="00151BF0">
        <w:rPr>
          <w:rFonts w:cs="Arial"/>
        </w:rPr>
        <w:t xml:space="preserve"> in</w:t>
      </w:r>
      <w:r>
        <w:rPr>
          <w:rFonts w:cs="Arial"/>
        </w:rPr>
        <w:t xml:space="preserve">. Areas are defined as four departmental regions or nine regional areas. </w:t>
      </w:r>
      <w:r w:rsidR="00194286">
        <w:rPr>
          <w:rFonts w:cs="Arial"/>
        </w:rPr>
        <w:t xml:space="preserve">Students may undertake their training locally or travel to locations outside their region. </w:t>
      </w:r>
    </w:p>
    <w:p w:rsidR="00194286" w:rsidRDefault="00194286" w:rsidP="00194286">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194286" w:rsidRPr="002B5A8D" w:rsidTr="00194286">
        <w:trPr>
          <w:trHeight w:val="495"/>
        </w:trPr>
        <w:tc>
          <w:tcPr>
            <w:tcW w:w="9088" w:type="dxa"/>
          </w:tcPr>
          <w:p w:rsidR="00194286" w:rsidRPr="00E94245" w:rsidRDefault="00194286" w:rsidP="00194286">
            <w:pPr>
              <w:pStyle w:val="Heading3"/>
            </w:pPr>
            <w:r w:rsidRPr="00E94245">
              <w:t>Key Points</w:t>
            </w:r>
          </w:p>
          <w:p w:rsidR="00194286" w:rsidRPr="00E94245" w:rsidRDefault="00194286" w:rsidP="00194286"/>
          <w:p w:rsidR="00194286" w:rsidRDefault="00194286" w:rsidP="00194286">
            <w:pPr>
              <w:pStyle w:val="ListBullet"/>
              <w:numPr>
                <w:ilvl w:val="0"/>
                <w:numId w:val="14"/>
              </w:numPr>
              <w:ind w:right="113"/>
              <w:jc w:val="left"/>
              <w:rPr>
                <w:rFonts w:cs="Arial"/>
              </w:rPr>
            </w:pPr>
            <w:r w:rsidRPr="00E94245">
              <w:rPr>
                <w:rFonts w:cs="Arial"/>
              </w:rPr>
              <w:t xml:space="preserve">Similar to the overall state-wide trend, </w:t>
            </w:r>
            <w:r w:rsidR="00CD4ED8" w:rsidRPr="00E94245">
              <w:rPr>
                <w:rFonts w:cs="Arial"/>
              </w:rPr>
              <w:t>the number</w:t>
            </w:r>
            <w:r w:rsidR="00E94245" w:rsidRPr="00E94245">
              <w:rPr>
                <w:rFonts w:cs="Arial"/>
              </w:rPr>
              <w:t>s</w:t>
            </w:r>
            <w:r w:rsidR="00CD4ED8" w:rsidRPr="00E94245">
              <w:rPr>
                <w:rFonts w:cs="Arial"/>
              </w:rPr>
              <w:t xml:space="preserve"> of students </w:t>
            </w:r>
            <w:r w:rsidR="00E94245">
              <w:rPr>
                <w:rFonts w:cs="Arial"/>
              </w:rPr>
              <w:t xml:space="preserve">who </w:t>
            </w:r>
            <w:r w:rsidR="00CD4ED8" w:rsidRPr="00E94245">
              <w:rPr>
                <w:rFonts w:cs="Arial"/>
              </w:rPr>
              <w:t xml:space="preserve">participated in government subsidised training </w:t>
            </w:r>
            <w:r w:rsidR="00E94245">
              <w:rPr>
                <w:rFonts w:cs="Arial"/>
              </w:rPr>
              <w:t xml:space="preserve">from </w:t>
            </w:r>
            <w:r w:rsidRPr="00E94245">
              <w:rPr>
                <w:rFonts w:cs="Arial"/>
              </w:rPr>
              <w:t>four department</w:t>
            </w:r>
            <w:r w:rsidR="006A6E19">
              <w:rPr>
                <w:rFonts w:cs="Arial"/>
              </w:rPr>
              <w:t>al</w:t>
            </w:r>
            <w:r w:rsidRPr="00E94245">
              <w:rPr>
                <w:rFonts w:cs="Arial"/>
              </w:rPr>
              <w:t xml:space="preserve"> regions in Q3 2013 were lower compared to Q3 2012, but higher compared to Q3 2011.  </w:t>
            </w:r>
          </w:p>
          <w:p w:rsidR="00E94245" w:rsidRDefault="00E94245" w:rsidP="00E94245">
            <w:pPr>
              <w:pStyle w:val="ListBullet"/>
              <w:numPr>
                <w:ilvl w:val="0"/>
                <w:numId w:val="14"/>
              </w:numPr>
              <w:ind w:right="113"/>
              <w:jc w:val="left"/>
              <w:rPr>
                <w:rFonts w:cs="Arial"/>
              </w:rPr>
            </w:pPr>
            <w:r>
              <w:rPr>
                <w:rFonts w:cs="Arial"/>
              </w:rPr>
              <w:t>When data was f</w:t>
            </w:r>
            <w:r w:rsidRPr="008F56CF">
              <w:rPr>
                <w:rFonts w:cs="Arial"/>
              </w:rPr>
              <w:t>urther disaggrega</w:t>
            </w:r>
            <w:r>
              <w:rPr>
                <w:rFonts w:cs="Arial"/>
              </w:rPr>
              <w:t xml:space="preserve">ted </w:t>
            </w:r>
            <w:r w:rsidRPr="008F56CF">
              <w:rPr>
                <w:rFonts w:cs="Arial"/>
              </w:rPr>
              <w:t xml:space="preserve">into nine regional areas, </w:t>
            </w:r>
            <w:r>
              <w:rPr>
                <w:rFonts w:cs="Arial"/>
              </w:rPr>
              <w:t xml:space="preserve">they </w:t>
            </w:r>
            <w:r w:rsidRPr="008F56CF">
              <w:rPr>
                <w:rFonts w:cs="Arial"/>
              </w:rPr>
              <w:t xml:space="preserve">show </w:t>
            </w:r>
            <w:r>
              <w:rPr>
                <w:rFonts w:cs="Arial"/>
              </w:rPr>
              <w:t>that there were some regional variations against the overall state-wide trend</w:t>
            </w:r>
            <w:r w:rsidRPr="008F56CF">
              <w:rPr>
                <w:rFonts w:cs="Arial"/>
              </w:rPr>
              <w:t xml:space="preserve">: </w:t>
            </w:r>
          </w:p>
          <w:p w:rsidR="00E94245" w:rsidRDefault="00B46CF3" w:rsidP="00E94245">
            <w:pPr>
              <w:pStyle w:val="ListBullet"/>
              <w:numPr>
                <w:ilvl w:val="1"/>
                <w:numId w:val="14"/>
              </w:numPr>
              <w:ind w:left="859" w:right="113" w:hanging="425"/>
              <w:jc w:val="left"/>
              <w:rPr>
                <w:rFonts w:cs="Arial"/>
              </w:rPr>
            </w:pPr>
            <w:r>
              <w:rPr>
                <w:rFonts w:cs="Arial"/>
              </w:rPr>
              <w:t xml:space="preserve">The number of </w:t>
            </w:r>
            <w:r w:rsidR="00151BF0">
              <w:rPr>
                <w:rFonts w:cs="Arial"/>
              </w:rPr>
              <w:t>students undertaking government subsidised training</w:t>
            </w:r>
            <w:r>
              <w:rPr>
                <w:rFonts w:cs="Arial"/>
              </w:rPr>
              <w:t xml:space="preserve"> who lived in Gippsland regional area in Q3 2013 was lower compared to </w:t>
            </w:r>
            <w:r w:rsidR="00E94245">
              <w:rPr>
                <w:rFonts w:cs="Arial"/>
              </w:rPr>
              <w:t>Q3 2011 and Q3 2012</w:t>
            </w:r>
            <w:r w:rsidR="000618E6">
              <w:rPr>
                <w:rFonts w:cs="Arial"/>
              </w:rPr>
              <w:t>. The decline in student numbers in Q3 2013 was across all age groups.</w:t>
            </w:r>
          </w:p>
          <w:p w:rsidR="00CD6397" w:rsidRDefault="00B46CF3" w:rsidP="000618E6">
            <w:pPr>
              <w:pStyle w:val="ListBullet"/>
              <w:numPr>
                <w:ilvl w:val="1"/>
                <w:numId w:val="14"/>
              </w:numPr>
              <w:ind w:left="859" w:right="113" w:hanging="425"/>
              <w:jc w:val="left"/>
              <w:rPr>
                <w:rFonts w:cs="Arial"/>
              </w:rPr>
            </w:pPr>
            <w:r>
              <w:rPr>
                <w:rFonts w:cs="Arial"/>
              </w:rPr>
              <w:t xml:space="preserve">The numbers of government subsidised students from Barwon South West and Loddon </w:t>
            </w:r>
            <w:proofErr w:type="spellStart"/>
            <w:r>
              <w:rPr>
                <w:rFonts w:cs="Arial"/>
              </w:rPr>
              <w:t>Mallee</w:t>
            </w:r>
            <w:proofErr w:type="spellEnd"/>
            <w:r>
              <w:rPr>
                <w:rFonts w:cs="Arial"/>
              </w:rPr>
              <w:t xml:space="preserve"> regional areas in Q3 2013 were lower compared to Q3 2012, but similar to Q3 2011</w:t>
            </w:r>
            <w:r w:rsidR="006A6E19">
              <w:rPr>
                <w:rFonts w:cs="Arial"/>
              </w:rPr>
              <w:t>.</w:t>
            </w:r>
          </w:p>
          <w:p w:rsidR="00194286" w:rsidRPr="000618E6" w:rsidRDefault="00BA2A7C" w:rsidP="00BA2A7C">
            <w:pPr>
              <w:pStyle w:val="ListBullet"/>
              <w:numPr>
                <w:ilvl w:val="0"/>
                <w:numId w:val="14"/>
              </w:numPr>
              <w:ind w:right="113"/>
              <w:jc w:val="left"/>
              <w:rPr>
                <w:rFonts w:cs="Arial"/>
              </w:rPr>
            </w:pPr>
            <w:r>
              <w:rPr>
                <w:rFonts w:cs="Arial"/>
              </w:rPr>
              <w:t xml:space="preserve">In terms of </w:t>
            </w:r>
            <w:r w:rsidR="00396399">
              <w:rPr>
                <w:rFonts w:cs="Arial"/>
              </w:rPr>
              <w:t xml:space="preserve">the </w:t>
            </w:r>
            <w:r>
              <w:rPr>
                <w:rFonts w:cs="Arial"/>
              </w:rPr>
              <w:t>participation rate of students aged 15-64 in government subsidised vocational education and training i</w:t>
            </w:r>
            <w:r w:rsidR="00CD6397">
              <w:rPr>
                <w:rFonts w:cs="Arial"/>
              </w:rPr>
              <w:t xml:space="preserve">n Q3 2013, Hume regional area had the highest </w:t>
            </w:r>
            <w:r w:rsidR="00396399">
              <w:rPr>
                <w:rFonts w:cs="Arial"/>
              </w:rPr>
              <w:t xml:space="preserve">estimated </w:t>
            </w:r>
            <w:r w:rsidR="00CD6397">
              <w:rPr>
                <w:rFonts w:cs="Arial"/>
              </w:rPr>
              <w:t>participation rate</w:t>
            </w:r>
            <w:r>
              <w:rPr>
                <w:rFonts w:cs="Arial"/>
              </w:rPr>
              <w:t xml:space="preserve">, followed by Barwon South West regional area. The lowest participation rate was in Eastern Metropolitan regional area.  </w:t>
            </w:r>
          </w:p>
        </w:tc>
      </w:tr>
    </w:tbl>
    <w:p w:rsidR="00194286" w:rsidRPr="002B5A8D" w:rsidRDefault="00194286" w:rsidP="00194286">
      <w:pPr>
        <w:jc w:val="left"/>
        <w:rPr>
          <w:rFonts w:cs="Arial"/>
          <w:highlight w:val="yellow"/>
        </w:rPr>
      </w:pPr>
      <w:r w:rsidRPr="002B5A8D">
        <w:rPr>
          <w:rFonts w:cs="Arial"/>
          <w:b/>
          <w:bCs/>
          <w:highlight w:val="yellow"/>
        </w:rPr>
        <w:br w:type="page"/>
      </w:r>
    </w:p>
    <w:p w:rsidR="00194286" w:rsidRPr="002B5A8D" w:rsidRDefault="00194286" w:rsidP="00194286">
      <w:pPr>
        <w:rPr>
          <w:rFonts w:cs="Arial"/>
          <w:highlight w:val="yellow"/>
        </w:rPr>
      </w:pPr>
    </w:p>
    <w:p w:rsidR="00194286" w:rsidRDefault="00CD4ED8" w:rsidP="00194286">
      <w:pPr>
        <w:pStyle w:val="Caption"/>
        <w:spacing w:after="0"/>
        <w:jc w:val="left"/>
        <w:rPr>
          <w:rFonts w:cs="Arial"/>
        </w:rPr>
      </w:pPr>
      <w:r w:rsidRPr="00CD4ED8">
        <w:rPr>
          <w:rFonts w:cs="Arial"/>
        </w:rPr>
        <w:t>Table 1.13</w:t>
      </w:r>
      <w:r w:rsidR="00194286" w:rsidRPr="00CD4ED8">
        <w:rPr>
          <w:rFonts w:cs="Arial"/>
        </w:rPr>
        <w:t>.1: Government</w:t>
      </w:r>
      <w:r w:rsidR="00194286" w:rsidRPr="00115C86">
        <w:rPr>
          <w:rFonts w:cs="Arial"/>
        </w:rPr>
        <w:t xml:space="preserve"> subsidised </w:t>
      </w:r>
      <w:r w:rsidR="00437FA9">
        <w:rPr>
          <w:rFonts w:cs="Arial"/>
        </w:rPr>
        <w:t xml:space="preserve">students by residential </w:t>
      </w:r>
      <w:r w:rsidR="00786BCD">
        <w:rPr>
          <w:rFonts w:cs="Arial"/>
        </w:rPr>
        <w:t>location</w:t>
      </w:r>
      <w:r w:rsidR="00437FA9">
        <w:rPr>
          <w:rFonts w:cs="Arial"/>
        </w:rPr>
        <w:t xml:space="preserve"> </w:t>
      </w:r>
      <w:r w:rsidR="00786BCD">
        <w:rPr>
          <w:rFonts w:cs="Arial"/>
        </w:rPr>
        <w:t xml:space="preserve">- </w:t>
      </w:r>
      <w:r w:rsidR="00194286" w:rsidRPr="00115C86">
        <w:rPr>
          <w:rFonts w:cs="Arial"/>
        </w:rPr>
        <w:t>departmental region, 2008–2012</w:t>
      </w:r>
    </w:p>
    <w:tbl>
      <w:tblPr>
        <w:tblW w:w="8652" w:type="dxa"/>
        <w:tblInd w:w="103" w:type="dxa"/>
        <w:tblLayout w:type="fixed"/>
        <w:tblLook w:val="04A0" w:firstRow="1" w:lastRow="0" w:firstColumn="1" w:lastColumn="0" w:noHBand="0" w:noVBand="1"/>
      </w:tblPr>
      <w:tblGrid>
        <w:gridCol w:w="1848"/>
        <w:gridCol w:w="1134"/>
        <w:gridCol w:w="1134"/>
        <w:gridCol w:w="1134"/>
        <w:gridCol w:w="1134"/>
        <w:gridCol w:w="1134"/>
        <w:gridCol w:w="1134"/>
      </w:tblGrid>
      <w:tr w:rsidR="00437FA9" w:rsidRPr="00437FA9" w:rsidTr="00437FA9">
        <w:trPr>
          <w:trHeight w:hRule="exact" w:val="760"/>
        </w:trPr>
        <w:tc>
          <w:tcPr>
            <w:tcW w:w="1848" w:type="dxa"/>
            <w:tcBorders>
              <w:top w:val="single" w:sz="4" w:space="0" w:color="5E8A00"/>
              <w:left w:val="single" w:sz="4" w:space="0" w:color="5E8A00"/>
              <w:bottom w:val="single" w:sz="4" w:space="0" w:color="5E8A00"/>
              <w:right w:val="single" w:sz="4" w:space="0" w:color="5E8A00"/>
            </w:tcBorders>
            <w:shd w:val="clear" w:color="000000" w:fill="5E8A00"/>
            <w:vAlign w:val="center"/>
            <w:hideMark/>
          </w:tcPr>
          <w:p w:rsidR="00437FA9" w:rsidRPr="00437FA9" w:rsidRDefault="00786BCD" w:rsidP="00786BCD">
            <w:pPr>
              <w:spacing w:after="0" w:line="240" w:lineRule="auto"/>
              <w:jc w:val="left"/>
              <w:rPr>
                <w:rFonts w:cs="Arial"/>
                <w:b/>
                <w:bCs/>
                <w:color w:val="FFFFFF"/>
                <w:sz w:val="18"/>
                <w:szCs w:val="18"/>
                <w:lang w:eastAsia="en-AU"/>
              </w:rPr>
            </w:pPr>
            <w:r>
              <w:rPr>
                <w:rFonts w:cs="Arial"/>
                <w:b/>
                <w:bCs/>
                <w:color w:val="FFFFFF"/>
                <w:sz w:val="18"/>
                <w:szCs w:val="18"/>
                <w:lang w:eastAsia="en-AU"/>
              </w:rPr>
              <w:t>Residential location</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2008</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2009</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2010</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change</w:t>
            </w:r>
            <w:r w:rsidRPr="00437FA9">
              <w:rPr>
                <w:rFonts w:cs="Arial"/>
                <w:b/>
                <w:bCs/>
                <w:color w:val="FFFFFF"/>
                <w:sz w:val="18"/>
                <w:szCs w:val="18"/>
                <w:lang w:eastAsia="en-AU"/>
              </w:rPr>
              <w:br/>
              <w:t>2008-2012</w:t>
            </w:r>
          </w:p>
        </w:tc>
      </w:tr>
      <w:tr w:rsidR="00437FA9" w:rsidRPr="00437FA9" w:rsidTr="00437FA9">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South-Western</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75,700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100,900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114,200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153,900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199,200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163%</w:t>
            </w:r>
          </w:p>
        </w:tc>
      </w:tr>
      <w:tr w:rsidR="00437FA9" w:rsidRPr="00437FA9" w:rsidTr="00437FA9">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North-Western</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69,700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67,700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75,800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97,600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111,100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59%</w:t>
            </w:r>
          </w:p>
        </w:tc>
      </w:tr>
      <w:tr w:rsidR="00437FA9" w:rsidRPr="00437FA9" w:rsidTr="00437FA9">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North-Eastern</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65,500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64,800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71,600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89,000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101,700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55%</w:t>
            </w:r>
          </w:p>
        </w:tc>
      </w:tr>
      <w:tr w:rsidR="00437FA9" w:rsidRPr="00437FA9" w:rsidTr="00437FA9">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South-Eastern</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78,900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80,000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92,000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115,800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137,300 </w:t>
            </w:r>
          </w:p>
        </w:tc>
        <w:tc>
          <w:tcPr>
            <w:tcW w:w="113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74%</w:t>
            </w:r>
          </w:p>
        </w:tc>
      </w:tr>
      <w:tr w:rsidR="00437FA9" w:rsidRPr="00437FA9" w:rsidTr="00437FA9">
        <w:trPr>
          <w:trHeight w:hRule="exact" w:val="284"/>
        </w:trPr>
        <w:tc>
          <w:tcPr>
            <w:tcW w:w="1848" w:type="dxa"/>
            <w:tcBorders>
              <w:top w:val="nil"/>
              <w:left w:val="single" w:sz="4" w:space="0" w:color="5E8A00"/>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left"/>
              <w:rPr>
                <w:rFonts w:cs="Arial"/>
                <w:b/>
                <w:bCs/>
                <w:color w:val="FFFFFF"/>
                <w:sz w:val="18"/>
                <w:szCs w:val="18"/>
                <w:lang w:eastAsia="en-AU"/>
              </w:rPr>
            </w:pPr>
            <w:r w:rsidRPr="00437FA9">
              <w:rPr>
                <w:rFonts w:cs="Arial"/>
                <w:b/>
                <w:bCs/>
                <w:color w:val="FFFFFF"/>
                <w:sz w:val="18"/>
                <w:szCs w:val="18"/>
                <w:lang w:eastAsia="en-AU"/>
              </w:rPr>
              <w:t>All Regions Total</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289,800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293,400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331,900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424,500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502,400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73%</w:t>
            </w:r>
          </w:p>
        </w:tc>
      </w:tr>
      <w:tr w:rsidR="00437FA9" w:rsidRPr="00437FA9" w:rsidTr="00437FA9">
        <w:trPr>
          <w:trHeight w:hRule="exact" w:val="284"/>
        </w:trPr>
        <w:tc>
          <w:tcPr>
            <w:tcW w:w="1848" w:type="dxa"/>
            <w:tcBorders>
              <w:top w:val="single" w:sz="4" w:space="0" w:color="5E8A00"/>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Other</w:t>
            </w:r>
            <w:r>
              <w:rPr>
                <w:rFonts w:cs="Arial"/>
                <w:color w:val="3E5B00"/>
                <w:sz w:val="18"/>
                <w:szCs w:val="18"/>
                <w:lang w:eastAsia="en-AU"/>
              </w:rPr>
              <w:t>*</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4,900 </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6,200 </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7,300 </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5,800 </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 xml:space="preserve">7,400 </w:t>
            </w:r>
          </w:p>
        </w:tc>
        <w:tc>
          <w:tcPr>
            <w:tcW w:w="113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51%</w:t>
            </w:r>
          </w:p>
        </w:tc>
      </w:tr>
      <w:tr w:rsidR="00437FA9" w:rsidRPr="00437FA9" w:rsidTr="00437FA9">
        <w:trPr>
          <w:trHeight w:hRule="exact" w:val="284"/>
        </w:trPr>
        <w:tc>
          <w:tcPr>
            <w:tcW w:w="1848" w:type="dxa"/>
            <w:tcBorders>
              <w:top w:val="nil"/>
              <w:left w:val="single" w:sz="4" w:space="0" w:color="5E8A00"/>
              <w:bottom w:val="nil"/>
              <w:right w:val="single" w:sz="4" w:space="0" w:color="5E8A00"/>
            </w:tcBorders>
            <w:shd w:val="clear" w:color="000000" w:fill="5E8A00"/>
            <w:noWrap/>
            <w:vAlign w:val="bottom"/>
            <w:hideMark/>
          </w:tcPr>
          <w:p w:rsidR="00437FA9" w:rsidRPr="00437FA9" w:rsidRDefault="00786BCD" w:rsidP="00437FA9">
            <w:pPr>
              <w:spacing w:after="0" w:line="240" w:lineRule="auto"/>
              <w:jc w:val="left"/>
              <w:rPr>
                <w:rFonts w:cs="Arial"/>
                <w:b/>
                <w:bCs/>
                <w:color w:val="FFFFFF"/>
                <w:sz w:val="18"/>
                <w:szCs w:val="18"/>
                <w:lang w:eastAsia="en-AU"/>
              </w:rPr>
            </w:pPr>
            <w:r>
              <w:rPr>
                <w:rFonts w:cs="Arial"/>
                <w:b/>
                <w:bCs/>
                <w:color w:val="FFFFFF"/>
                <w:sz w:val="18"/>
                <w:szCs w:val="18"/>
                <w:lang w:eastAsia="en-AU"/>
              </w:rPr>
              <w:t>Total students</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294,700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299,600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339,200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430,300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 xml:space="preserve">509,800 </w:t>
            </w:r>
          </w:p>
        </w:tc>
        <w:tc>
          <w:tcPr>
            <w:tcW w:w="113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73%</w:t>
            </w:r>
          </w:p>
        </w:tc>
      </w:tr>
    </w:tbl>
    <w:p w:rsidR="00115C86" w:rsidRDefault="00437FA9" w:rsidP="00115C86">
      <w:r w:rsidRPr="00115C86">
        <w:rPr>
          <w:rFonts w:cs="Arial"/>
          <w:bCs/>
          <w:sz w:val="16"/>
          <w:szCs w:val="16"/>
        </w:rPr>
        <w:t>*Other</w:t>
      </w:r>
      <w:r w:rsidR="00786BCD">
        <w:rPr>
          <w:rFonts w:cs="Arial"/>
          <w:bCs/>
          <w:sz w:val="16"/>
          <w:szCs w:val="16"/>
        </w:rPr>
        <w:t xml:space="preserve"> includes n</w:t>
      </w:r>
      <w:r w:rsidRPr="00115C86">
        <w:rPr>
          <w:rFonts w:cs="Arial"/>
          <w:bCs/>
          <w:sz w:val="16"/>
          <w:szCs w:val="16"/>
        </w:rPr>
        <w:t>ot stated</w:t>
      </w:r>
      <w:r>
        <w:rPr>
          <w:rFonts w:cs="Arial"/>
          <w:bCs/>
          <w:sz w:val="16"/>
          <w:szCs w:val="16"/>
        </w:rPr>
        <w:t xml:space="preserve">, </w:t>
      </w:r>
      <w:r w:rsidR="00786BCD">
        <w:rPr>
          <w:rFonts w:cs="Arial"/>
          <w:bCs/>
          <w:sz w:val="16"/>
          <w:szCs w:val="16"/>
        </w:rPr>
        <w:t>unknown, i</w:t>
      </w:r>
      <w:r>
        <w:rPr>
          <w:rFonts w:cs="Arial"/>
          <w:bCs/>
          <w:sz w:val="16"/>
          <w:szCs w:val="16"/>
        </w:rPr>
        <w:t>nterstate or overseas</w:t>
      </w:r>
      <w:r w:rsidRPr="00115C86">
        <w:rPr>
          <w:rFonts w:cs="Arial"/>
          <w:bCs/>
          <w:sz w:val="16"/>
          <w:szCs w:val="16"/>
        </w:rPr>
        <w:t>.</w:t>
      </w:r>
    </w:p>
    <w:p w:rsidR="00115C86" w:rsidRPr="00115C86" w:rsidRDefault="00115C86" w:rsidP="00115C86"/>
    <w:p w:rsidR="00194286" w:rsidRDefault="00194286" w:rsidP="00194286">
      <w:pPr>
        <w:pStyle w:val="Caption"/>
        <w:spacing w:after="0"/>
        <w:jc w:val="left"/>
        <w:rPr>
          <w:rFonts w:cs="Arial"/>
        </w:rPr>
      </w:pPr>
      <w:r w:rsidRPr="00115C86">
        <w:rPr>
          <w:rFonts w:cs="Arial"/>
        </w:rPr>
        <w:t>Table 1.1</w:t>
      </w:r>
      <w:r w:rsidR="00CD4ED8">
        <w:rPr>
          <w:rFonts w:cs="Arial"/>
        </w:rPr>
        <w:t>3</w:t>
      </w:r>
      <w:r w:rsidRPr="00115C86">
        <w:rPr>
          <w:rFonts w:cs="Arial"/>
        </w:rPr>
        <w:t xml:space="preserve">.2: </w:t>
      </w:r>
      <w:r w:rsidR="00437FA9" w:rsidRPr="00115C86">
        <w:rPr>
          <w:rFonts w:cs="Arial"/>
        </w:rPr>
        <w:t xml:space="preserve">Government subsidised </w:t>
      </w:r>
      <w:r w:rsidR="00786BCD">
        <w:rPr>
          <w:rFonts w:cs="Arial"/>
        </w:rPr>
        <w:t xml:space="preserve">students by </w:t>
      </w:r>
      <w:r w:rsidR="001777F9">
        <w:rPr>
          <w:rFonts w:cs="Arial"/>
        </w:rPr>
        <w:t xml:space="preserve">residential location </w:t>
      </w:r>
      <w:r w:rsidR="00786BCD">
        <w:rPr>
          <w:rFonts w:cs="Arial"/>
        </w:rPr>
        <w:t xml:space="preserve">- </w:t>
      </w:r>
      <w:r w:rsidR="00437FA9" w:rsidRPr="00115C86">
        <w:rPr>
          <w:rFonts w:cs="Arial"/>
        </w:rPr>
        <w:t>departmental region</w:t>
      </w:r>
      <w:r w:rsidRPr="00115C86">
        <w:rPr>
          <w:rFonts w:cs="Arial"/>
        </w:rPr>
        <w:t xml:space="preserve">, Q3 2011, </w:t>
      </w:r>
      <w:r w:rsidR="00437FA9">
        <w:rPr>
          <w:rFonts w:cs="Arial"/>
        </w:rPr>
        <w:br/>
      </w:r>
      <w:r w:rsidRPr="00115C86">
        <w:rPr>
          <w:rFonts w:cs="Arial"/>
        </w:rPr>
        <w:t>Q3 2012 and Q3 2013</w:t>
      </w:r>
    </w:p>
    <w:tbl>
      <w:tblPr>
        <w:tblW w:w="8369" w:type="dxa"/>
        <w:tblInd w:w="103" w:type="dxa"/>
        <w:tblLayout w:type="fixed"/>
        <w:tblLook w:val="04A0" w:firstRow="1" w:lastRow="0" w:firstColumn="1" w:lastColumn="0" w:noHBand="0" w:noVBand="1"/>
      </w:tblPr>
      <w:tblGrid>
        <w:gridCol w:w="1848"/>
        <w:gridCol w:w="1304"/>
        <w:gridCol w:w="1304"/>
        <w:gridCol w:w="1304"/>
        <w:gridCol w:w="1304"/>
        <w:gridCol w:w="1305"/>
      </w:tblGrid>
      <w:tr w:rsidR="00437FA9" w:rsidRPr="00437FA9" w:rsidTr="00786BCD">
        <w:trPr>
          <w:trHeight w:hRule="exact" w:val="760"/>
        </w:trPr>
        <w:tc>
          <w:tcPr>
            <w:tcW w:w="1848" w:type="dxa"/>
            <w:tcBorders>
              <w:top w:val="single" w:sz="4" w:space="0" w:color="5E8A00"/>
              <w:left w:val="single" w:sz="4" w:space="0" w:color="5E8A00"/>
              <w:bottom w:val="single" w:sz="4" w:space="0" w:color="5E8A00"/>
              <w:right w:val="single" w:sz="4" w:space="0" w:color="5E8A00"/>
            </w:tcBorders>
            <w:shd w:val="clear" w:color="000000" w:fill="5E8A00"/>
            <w:vAlign w:val="center"/>
            <w:hideMark/>
          </w:tcPr>
          <w:p w:rsidR="00437FA9" w:rsidRPr="00437FA9" w:rsidRDefault="001777F9" w:rsidP="00437FA9">
            <w:pPr>
              <w:spacing w:after="0" w:line="240" w:lineRule="auto"/>
              <w:jc w:val="left"/>
              <w:rPr>
                <w:rFonts w:cs="Arial"/>
                <w:b/>
                <w:bCs/>
                <w:color w:val="FFFFFF"/>
                <w:sz w:val="18"/>
                <w:szCs w:val="18"/>
                <w:lang w:eastAsia="en-AU"/>
              </w:rPr>
            </w:pPr>
            <w:r>
              <w:rPr>
                <w:rFonts w:cs="Arial"/>
                <w:b/>
                <w:bCs/>
                <w:color w:val="FFFFFF"/>
                <w:sz w:val="18"/>
                <w:szCs w:val="18"/>
                <w:lang w:eastAsia="en-AU"/>
              </w:rPr>
              <w:t>Residential location</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Q3 2011</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Q3 2012</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Q3 2013</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 change</w:t>
            </w:r>
            <w:r w:rsidRPr="00437FA9">
              <w:rPr>
                <w:rFonts w:cs="Arial"/>
                <w:b/>
                <w:bCs/>
                <w:color w:val="FFFFFF"/>
                <w:sz w:val="18"/>
                <w:szCs w:val="18"/>
                <w:lang w:eastAsia="en-AU"/>
              </w:rPr>
              <w:br/>
              <w:t>Q3 2011-Q3 2013 </w:t>
            </w:r>
          </w:p>
        </w:tc>
        <w:tc>
          <w:tcPr>
            <w:tcW w:w="1305" w:type="dxa"/>
            <w:tcBorders>
              <w:top w:val="single" w:sz="4" w:space="0" w:color="5E8A00"/>
              <w:left w:val="nil"/>
              <w:bottom w:val="single" w:sz="4" w:space="0" w:color="5E8A00"/>
              <w:right w:val="single" w:sz="4" w:space="0" w:color="5E8A00"/>
            </w:tcBorders>
            <w:shd w:val="clear" w:color="000000" w:fill="5E8A00"/>
            <w:vAlign w:val="center"/>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 change</w:t>
            </w:r>
            <w:r w:rsidRPr="00437FA9">
              <w:rPr>
                <w:rFonts w:cs="Arial"/>
                <w:b/>
                <w:bCs/>
                <w:color w:val="FFFFFF"/>
                <w:sz w:val="18"/>
                <w:szCs w:val="18"/>
                <w:lang w:eastAsia="en-AU"/>
              </w:rPr>
              <w:br/>
              <w:t>Q3 2012-Q3 2013 </w:t>
            </w:r>
          </w:p>
        </w:tc>
      </w:tr>
      <w:tr w:rsidR="00437FA9" w:rsidRPr="00437FA9" w:rsidTr="00786BCD">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South-Western</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120,200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172,600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152,800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27%</w:t>
            </w:r>
          </w:p>
        </w:tc>
        <w:tc>
          <w:tcPr>
            <w:tcW w:w="1305"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-11%</w:t>
            </w:r>
          </w:p>
        </w:tc>
      </w:tr>
      <w:tr w:rsidR="00437FA9" w:rsidRPr="00437FA9" w:rsidTr="00786BCD">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North-Western</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80,300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96,000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86,100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7%</w:t>
            </w:r>
          </w:p>
        </w:tc>
        <w:tc>
          <w:tcPr>
            <w:tcW w:w="1305"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-10%</w:t>
            </w:r>
          </w:p>
        </w:tc>
      </w:tr>
      <w:tr w:rsidR="00437FA9" w:rsidRPr="00437FA9" w:rsidTr="00786BCD">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North-Eastern</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73,700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89,300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78,700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7%</w:t>
            </w:r>
          </w:p>
        </w:tc>
        <w:tc>
          <w:tcPr>
            <w:tcW w:w="1305"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-12%</w:t>
            </w:r>
          </w:p>
        </w:tc>
      </w:tr>
      <w:tr w:rsidR="00437FA9" w:rsidRPr="00437FA9" w:rsidTr="00786BCD">
        <w:trPr>
          <w:trHeight w:hRule="exact" w:val="284"/>
        </w:trPr>
        <w:tc>
          <w:tcPr>
            <w:tcW w:w="1848" w:type="dxa"/>
            <w:tcBorders>
              <w:top w:val="nil"/>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South-Eastern</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94,100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120,200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108,800</w:t>
            </w:r>
          </w:p>
        </w:tc>
        <w:tc>
          <w:tcPr>
            <w:tcW w:w="1304"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16%</w:t>
            </w:r>
          </w:p>
        </w:tc>
        <w:tc>
          <w:tcPr>
            <w:tcW w:w="1305" w:type="dxa"/>
            <w:tcBorders>
              <w:top w:val="nil"/>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-9%</w:t>
            </w:r>
          </w:p>
        </w:tc>
      </w:tr>
      <w:tr w:rsidR="00437FA9" w:rsidRPr="00437FA9" w:rsidTr="00786BCD">
        <w:trPr>
          <w:trHeight w:hRule="exact" w:val="284"/>
        </w:trPr>
        <w:tc>
          <w:tcPr>
            <w:tcW w:w="1848" w:type="dxa"/>
            <w:tcBorders>
              <w:top w:val="nil"/>
              <w:left w:val="single" w:sz="4" w:space="0" w:color="5E8A00"/>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left"/>
              <w:rPr>
                <w:rFonts w:cs="Arial"/>
                <w:b/>
                <w:bCs/>
                <w:color w:val="FFFFFF"/>
                <w:sz w:val="18"/>
                <w:szCs w:val="18"/>
                <w:lang w:eastAsia="en-AU"/>
              </w:rPr>
            </w:pPr>
            <w:r w:rsidRPr="00437FA9">
              <w:rPr>
                <w:rFonts w:cs="Arial"/>
                <w:b/>
                <w:bCs/>
                <w:color w:val="FFFFFF"/>
                <w:sz w:val="18"/>
                <w:szCs w:val="18"/>
                <w:lang w:eastAsia="en-AU"/>
              </w:rPr>
              <w:t>All Regions Total</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345,800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436,400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390,900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13%</w:t>
            </w:r>
          </w:p>
        </w:tc>
        <w:tc>
          <w:tcPr>
            <w:tcW w:w="1305"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-10%</w:t>
            </w:r>
          </w:p>
        </w:tc>
      </w:tr>
      <w:tr w:rsidR="00437FA9" w:rsidRPr="00437FA9" w:rsidTr="00786BCD">
        <w:trPr>
          <w:trHeight w:hRule="exact" w:val="284"/>
        </w:trPr>
        <w:tc>
          <w:tcPr>
            <w:tcW w:w="1848" w:type="dxa"/>
            <w:tcBorders>
              <w:top w:val="single" w:sz="4" w:space="0" w:color="5E8A00"/>
              <w:left w:val="single" w:sz="4" w:space="0" w:color="5E8A00"/>
              <w:bottom w:val="single" w:sz="4" w:space="0" w:color="5E8A00"/>
              <w:right w:val="single" w:sz="4" w:space="0" w:color="5E8A00"/>
            </w:tcBorders>
            <w:shd w:val="clear" w:color="000000" w:fill="FFFFFF"/>
            <w:noWrap/>
            <w:vAlign w:val="bottom"/>
            <w:hideMark/>
          </w:tcPr>
          <w:p w:rsidR="00437FA9" w:rsidRPr="00437FA9" w:rsidRDefault="00437FA9" w:rsidP="00437FA9">
            <w:pPr>
              <w:spacing w:after="0" w:line="240" w:lineRule="auto"/>
              <w:jc w:val="left"/>
              <w:rPr>
                <w:rFonts w:cs="Arial"/>
                <w:color w:val="3E5B00"/>
                <w:sz w:val="18"/>
                <w:szCs w:val="18"/>
                <w:lang w:eastAsia="en-AU"/>
              </w:rPr>
            </w:pPr>
            <w:r w:rsidRPr="00437FA9">
              <w:rPr>
                <w:rFonts w:cs="Arial"/>
                <w:color w:val="3E5B00"/>
                <w:sz w:val="18"/>
                <w:szCs w:val="18"/>
                <w:lang w:eastAsia="en-AU"/>
              </w:rPr>
              <w:t>Other*</w:t>
            </w:r>
          </w:p>
        </w:tc>
        <w:tc>
          <w:tcPr>
            <w:tcW w:w="130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4,800</w:t>
            </w:r>
          </w:p>
        </w:tc>
        <w:tc>
          <w:tcPr>
            <w:tcW w:w="130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jc w:val="right"/>
              <w:rPr>
                <w:rFonts w:cs="Arial"/>
                <w:sz w:val="18"/>
                <w:szCs w:val="18"/>
                <w:lang w:eastAsia="en-AU"/>
              </w:rPr>
            </w:pPr>
            <w:r w:rsidRPr="00437FA9">
              <w:rPr>
                <w:rFonts w:cs="Arial"/>
                <w:sz w:val="18"/>
                <w:szCs w:val="18"/>
                <w:lang w:eastAsia="en-AU"/>
              </w:rPr>
              <w:t>6,100</w:t>
            </w:r>
          </w:p>
        </w:tc>
        <w:tc>
          <w:tcPr>
            <w:tcW w:w="1304" w:type="dxa"/>
            <w:tcBorders>
              <w:top w:val="single" w:sz="4" w:space="0" w:color="5E8A00"/>
              <w:left w:val="nil"/>
              <w:bottom w:val="single" w:sz="4" w:space="0" w:color="5E8A00"/>
              <w:right w:val="single" w:sz="4" w:space="0" w:color="5E8A00"/>
            </w:tcBorders>
            <w:shd w:val="clear" w:color="000000" w:fill="FFFFFF"/>
            <w:noWrap/>
            <w:vAlign w:val="bottom"/>
            <w:hideMark/>
          </w:tcPr>
          <w:p w:rsidR="00437FA9" w:rsidRPr="00786BCD" w:rsidRDefault="00437FA9" w:rsidP="00437FA9">
            <w:pPr>
              <w:spacing w:after="0" w:line="240" w:lineRule="auto"/>
              <w:jc w:val="right"/>
              <w:rPr>
                <w:rFonts w:cs="Arial"/>
                <w:sz w:val="18"/>
                <w:szCs w:val="18"/>
                <w:lang w:eastAsia="en-AU"/>
              </w:rPr>
            </w:pPr>
            <w:r w:rsidRPr="00786BCD">
              <w:rPr>
                <w:rFonts w:cs="Arial"/>
                <w:sz w:val="18"/>
                <w:szCs w:val="18"/>
                <w:lang w:eastAsia="en-AU"/>
              </w:rPr>
              <w:t>6,000</w:t>
            </w:r>
          </w:p>
        </w:tc>
        <w:tc>
          <w:tcPr>
            <w:tcW w:w="1304"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26%</w:t>
            </w:r>
          </w:p>
        </w:tc>
        <w:tc>
          <w:tcPr>
            <w:tcW w:w="1305" w:type="dxa"/>
            <w:tcBorders>
              <w:top w:val="single" w:sz="4" w:space="0" w:color="5E8A00"/>
              <w:left w:val="nil"/>
              <w:bottom w:val="single" w:sz="4" w:space="0" w:color="5E8A00"/>
              <w:right w:val="single" w:sz="4" w:space="0" w:color="5E8A00"/>
            </w:tcBorders>
            <w:shd w:val="clear" w:color="auto" w:fill="auto"/>
            <w:noWrap/>
            <w:vAlign w:val="bottom"/>
            <w:hideMark/>
          </w:tcPr>
          <w:p w:rsidR="00437FA9" w:rsidRPr="00437FA9" w:rsidRDefault="00437FA9" w:rsidP="00437FA9">
            <w:pPr>
              <w:spacing w:after="0" w:line="240" w:lineRule="auto"/>
              <w:ind w:firstLineChars="100" w:firstLine="180"/>
              <w:jc w:val="right"/>
              <w:rPr>
                <w:rFonts w:cs="Arial"/>
                <w:sz w:val="18"/>
                <w:szCs w:val="18"/>
                <w:lang w:eastAsia="en-AU"/>
              </w:rPr>
            </w:pPr>
            <w:r w:rsidRPr="00437FA9">
              <w:rPr>
                <w:rFonts w:cs="Arial"/>
                <w:sz w:val="18"/>
                <w:szCs w:val="18"/>
                <w:lang w:eastAsia="en-AU"/>
              </w:rPr>
              <w:t>-2%</w:t>
            </w:r>
          </w:p>
        </w:tc>
      </w:tr>
      <w:tr w:rsidR="00437FA9" w:rsidRPr="00437FA9" w:rsidTr="00786BCD">
        <w:trPr>
          <w:trHeight w:hRule="exact" w:val="284"/>
        </w:trPr>
        <w:tc>
          <w:tcPr>
            <w:tcW w:w="1848" w:type="dxa"/>
            <w:tcBorders>
              <w:top w:val="nil"/>
              <w:left w:val="single" w:sz="4" w:space="0" w:color="5E8A00"/>
              <w:bottom w:val="nil"/>
              <w:right w:val="single" w:sz="4" w:space="0" w:color="5E8A00"/>
            </w:tcBorders>
            <w:shd w:val="clear" w:color="000000" w:fill="5E8A00"/>
            <w:noWrap/>
            <w:vAlign w:val="bottom"/>
            <w:hideMark/>
          </w:tcPr>
          <w:p w:rsidR="00437FA9" w:rsidRPr="00437FA9" w:rsidRDefault="00786BCD" w:rsidP="00437FA9">
            <w:pPr>
              <w:spacing w:after="0" w:line="240" w:lineRule="auto"/>
              <w:jc w:val="left"/>
              <w:rPr>
                <w:rFonts w:cs="Arial"/>
                <w:b/>
                <w:bCs/>
                <w:color w:val="FFFFFF"/>
                <w:sz w:val="18"/>
                <w:szCs w:val="18"/>
                <w:lang w:eastAsia="en-AU"/>
              </w:rPr>
            </w:pPr>
            <w:r>
              <w:rPr>
                <w:rFonts w:cs="Arial"/>
                <w:b/>
                <w:bCs/>
                <w:color w:val="FFFFFF"/>
                <w:sz w:val="18"/>
                <w:szCs w:val="18"/>
                <w:lang w:eastAsia="en-AU"/>
              </w:rPr>
              <w:t>Total students</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350,500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442,500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jc w:val="right"/>
              <w:rPr>
                <w:rFonts w:cs="Arial"/>
                <w:b/>
                <w:bCs/>
                <w:color w:val="FFFFFF"/>
                <w:sz w:val="18"/>
                <w:szCs w:val="18"/>
                <w:lang w:eastAsia="en-AU"/>
              </w:rPr>
            </w:pPr>
            <w:r w:rsidRPr="00437FA9">
              <w:rPr>
                <w:rFonts w:cs="Arial"/>
                <w:b/>
                <w:bCs/>
                <w:color w:val="FFFFFF"/>
                <w:sz w:val="18"/>
                <w:szCs w:val="18"/>
                <w:lang w:eastAsia="en-AU"/>
              </w:rPr>
              <w:t>396,900</w:t>
            </w:r>
          </w:p>
        </w:tc>
        <w:tc>
          <w:tcPr>
            <w:tcW w:w="1304"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13%</w:t>
            </w:r>
          </w:p>
        </w:tc>
        <w:tc>
          <w:tcPr>
            <w:tcW w:w="1305" w:type="dxa"/>
            <w:tcBorders>
              <w:top w:val="nil"/>
              <w:left w:val="nil"/>
              <w:bottom w:val="nil"/>
              <w:right w:val="single" w:sz="4" w:space="0" w:color="5E8A00"/>
            </w:tcBorders>
            <w:shd w:val="clear" w:color="000000" w:fill="5E8A00"/>
            <w:noWrap/>
            <w:vAlign w:val="bottom"/>
            <w:hideMark/>
          </w:tcPr>
          <w:p w:rsidR="00437FA9" w:rsidRPr="00437FA9" w:rsidRDefault="00437FA9" w:rsidP="00437FA9">
            <w:pPr>
              <w:spacing w:after="0" w:line="240" w:lineRule="auto"/>
              <w:ind w:firstLineChars="100" w:firstLine="181"/>
              <w:jc w:val="right"/>
              <w:rPr>
                <w:rFonts w:cs="Arial"/>
                <w:b/>
                <w:bCs/>
                <w:color w:val="FFFFFF"/>
                <w:sz w:val="18"/>
                <w:szCs w:val="18"/>
                <w:lang w:eastAsia="en-AU"/>
              </w:rPr>
            </w:pPr>
            <w:r w:rsidRPr="00437FA9">
              <w:rPr>
                <w:rFonts w:cs="Arial"/>
                <w:b/>
                <w:bCs/>
                <w:color w:val="FFFFFF"/>
                <w:sz w:val="18"/>
                <w:szCs w:val="18"/>
                <w:lang w:eastAsia="en-AU"/>
              </w:rPr>
              <w:t>-10%</w:t>
            </w:r>
          </w:p>
        </w:tc>
      </w:tr>
    </w:tbl>
    <w:p w:rsidR="00786BCD" w:rsidRDefault="00786BCD" w:rsidP="00786BCD">
      <w:r w:rsidRPr="00115C86">
        <w:rPr>
          <w:rFonts w:cs="Arial"/>
          <w:bCs/>
          <w:sz w:val="16"/>
          <w:szCs w:val="16"/>
        </w:rPr>
        <w:t>*Other</w:t>
      </w:r>
      <w:r>
        <w:rPr>
          <w:rFonts w:cs="Arial"/>
          <w:bCs/>
          <w:sz w:val="16"/>
          <w:szCs w:val="16"/>
        </w:rPr>
        <w:t xml:space="preserve"> includes n</w:t>
      </w:r>
      <w:r w:rsidRPr="00115C86">
        <w:rPr>
          <w:rFonts w:cs="Arial"/>
          <w:bCs/>
          <w:sz w:val="16"/>
          <w:szCs w:val="16"/>
        </w:rPr>
        <w:t>ot stated</w:t>
      </w:r>
      <w:r>
        <w:rPr>
          <w:rFonts w:cs="Arial"/>
          <w:bCs/>
          <w:sz w:val="16"/>
          <w:szCs w:val="16"/>
        </w:rPr>
        <w:t>, unknown, interstate or overseas</w:t>
      </w:r>
      <w:r w:rsidRPr="00115C86">
        <w:rPr>
          <w:rFonts w:cs="Arial"/>
          <w:bCs/>
          <w:sz w:val="16"/>
          <w:szCs w:val="16"/>
        </w:rPr>
        <w:t>.</w:t>
      </w:r>
    </w:p>
    <w:p w:rsidR="00194286" w:rsidRPr="002B5A8D" w:rsidRDefault="00194286" w:rsidP="00194286">
      <w:pPr>
        <w:spacing w:after="0" w:line="240" w:lineRule="auto"/>
        <w:jc w:val="left"/>
        <w:rPr>
          <w:rFonts w:cs="Arial"/>
          <w:b/>
          <w:bCs/>
          <w:color w:val="76923C" w:themeColor="accent3" w:themeShade="BF"/>
          <w:sz w:val="18"/>
          <w:szCs w:val="16"/>
          <w:highlight w:val="yellow"/>
        </w:rPr>
      </w:pPr>
      <w:r w:rsidRPr="002B5A8D">
        <w:rPr>
          <w:rFonts w:cs="Arial"/>
          <w:highlight w:val="yellow"/>
        </w:rPr>
        <w:br w:type="page"/>
      </w:r>
    </w:p>
    <w:p w:rsidR="00194286" w:rsidRDefault="00194286" w:rsidP="00194286">
      <w:pPr>
        <w:pStyle w:val="Caption"/>
        <w:spacing w:after="0"/>
        <w:jc w:val="left"/>
        <w:rPr>
          <w:rFonts w:cs="Arial"/>
        </w:rPr>
      </w:pPr>
      <w:r w:rsidRPr="00CD4ED8">
        <w:rPr>
          <w:rFonts w:cs="Arial"/>
        </w:rPr>
        <w:lastRenderedPageBreak/>
        <w:t>Table 1.1</w:t>
      </w:r>
      <w:r w:rsidR="00CD4ED8" w:rsidRPr="00CD4ED8">
        <w:rPr>
          <w:rFonts w:cs="Arial"/>
        </w:rPr>
        <w:t>4</w:t>
      </w:r>
      <w:r w:rsidRPr="00CD4ED8">
        <w:rPr>
          <w:rFonts w:cs="Arial"/>
        </w:rPr>
        <w:t xml:space="preserve">.1: </w:t>
      </w:r>
      <w:r w:rsidR="00786BCD" w:rsidRPr="00CD4ED8">
        <w:rPr>
          <w:rFonts w:cs="Arial"/>
        </w:rPr>
        <w:t>Government</w:t>
      </w:r>
      <w:r w:rsidR="00786BCD" w:rsidRPr="00786BCD">
        <w:rPr>
          <w:rFonts w:cs="Arial"/>
        </w:rPr>
        <w:t xml:space="preserve"> subsidised students </w:t>
      </w:r>
      <w:r w:rsidR="00786BCD">
        <w:rPr>
          <w:rFonts w:cs="Arial"/>
        </w:rPr>
        <w:t>by residential area</w:t>
      </w:r>
      <w:r w:rsidR="00786BCD" w:rsidRPr="00786BCD">
        <w:rPr>
          <w:rFonts w:cs="Arial"/>
        </w:rPr>
        <w:t xml:space="preserve"> </w:t>
      </w:r>
      <w:r w:rsidR="00786BCD">
        <w:rPr>
          <w:rFonts w:cs="Arial"/>
        </w:rPr>
        <w:t>–</w:t>
      </w:r>
      <w:r w:rsidR="00786BCD" w:rsidRPr="00786BCD">
        <w:rPr>
          <w:rFonts w:cs="Arial"/>
        </w:rPr>
        <w:t xml:space="preserve"> </w:t>
      </w:r>
      <w:r w:rsidR="00786BCD">
        <w:rPr>
          <w:rFonts w:cs="Arial"/>
        </w:rPr>
        <w:t>regional area</w:t>
      </w:r>
      <w:r w:rsidRPr="00786BCD">
        <w:rPr>
          <w:rFonts w:cs="Arial"/>
        </w:rPr>
        <w:t>, 2008–2012</w:t>
      </w:r>
    </w:p>
    <w:tbl>
      <w:tblPr>
        <w:tblW w:w="8652" w:type="dxa"/>
        <w:tblInd w:w="103" w:type="dxa"/>
        <w:tblLayout w:type="fixed"/>
        <w:tblLook w:val="04A0" w:firstRow="1" w:lastRow="0" w:firstColumn="1" w:lastColumn="0" w:noHBand="0" w:noVBand="1"/>
      </w:tblPr>
      <w:tblGrid>
        <w:gridCol w:w="2132"/>
        <w:gridCol w:w="1086"/>
        <w:gridCol w:w="1087"/>
        <w:gridCol w:w="1087"/>
        <w:gridCol w:w="1086"/>
        <w:gridCol w:w="1087"/>
        <w:gridCol w:w="1087"/>
      </w:tblGrid>
      <w:tr w:rsidR="001777F9" w:rsidRPr="001777F9" w:rsidTr="001777F9">
        <w:trPr>
          <w:trHeight w:hRule="exact" w:val="760"/>
        </w:trPr>
        <w:tc>
          <w:tcPr>
            <w:tcW w:w="213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left"/>
              <w:rPr>
                <w:rFonts w:cs="Arial"/>
                <w:b/>
                <w:bCs/>
                <w:color w:val="FFFFFF"/>
                <w:sz w:val="18"/>
                <w:szCs w:val="18"/>
                <w:lang w:eastAsia="en-AU"/>
              </w:rPr>
            </w:pPr>
            <w:r w:rsidRPr="001777F9">
              <w:rPr>
                <w:rFonts w:cs="Arial"/>
                <w:b/>
                <w:bCs/>
                <w:color w:val="FFFFFF"/>
                <w:sz w:val="18"/>
                <w:szCs w:val="18"/>
                <w:lang w:eastAsia="en-AU"/>
              </w:rPr>
              <w:t>Residential location</w:t>
            </w:r>
          </w:p>
        </w:tc>
        <w:tc>
          <w:tcPr>
            <w:tcW w:w="1086"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2008</w:t>
            </w:r>
          </w:p>
        </w:tc>
        <w:tc>
          <w:tcPr>
            <w:tcW w:w="1087"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2009</w:t>
            </w:r>
          </w:p>
        </w:tc>
        <w:tc>
          <w:tcPr>
            <w:tcW w:w="1087"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2010</w:t>
            </w:r>
          </w:p>
        </w:tc>
        <w:tc>
          <w:tcPr>
            <w:tcW w:w="1086"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2011</w:t>
            </w:r>
          </w:p>
        </w:tc>
        <w:tc>
          <w:tcPr>
            <w:tcW w:w="1087"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2012</w:t>
            </w:r>
          </w:p>
        </w:tc>
        <w:tc>
          <w:tcPr>
            <w:tcW w:w="1087"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 change</w:t>
            </w:r>
            <w:r w:rsidRPr="001777F9">
              <w:rPr>
                <w:rFonts w:cs="Arial"/>
                <w:b/>
                <w:bCs/>
                <w:color w:val="FFFFFF"/>
                <w:sz w:val="18"/>
                <w:szCs w:val="18"/>
                <w:lang w:eastAsia="en-AU"/>
              </w:rPr>
              <w:br/>
              <w:t>2008-2012</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Barwon South West</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24,500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26,300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29,000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36,100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41,300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68%</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Grampians</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13,900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14,400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15,400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18,400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21,400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53%</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 xml:space="preserve">Loddon </w:t>
            </w:r>
            <w:proofErr w:type="spellStart"/>
            <w:r w:rsidRPr="001777F9">
              <w:rPr>
                <w:rFonts w:cs="Arial"/>
                <w:color w:val="3E5B00"/>
                <w:sz w:val="18"/>
                <w:szCs w:val="18"/>
                <w:lang w:eastAsia="en-AU"/>
              </w:rPr>
              <w:t>Mallee</w:t>
            </w:r>
            <w:proofErr w:type="spellEnd"/>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20,500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21,000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21,900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27,400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31,500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53%</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Hume</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19,900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20,000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23,200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26,500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24%</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Gippsland</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21,900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19,100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20,700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21,200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Eastern Metropolitan</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44,300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44,900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51,600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65,800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75,200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70%</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Western Metropolitan</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37,200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40,300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48,200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67,500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89,700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141%</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Southern Metropolitan</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57,000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60,900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71,400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94,300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116,100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104%</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Northern Metropolitan</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49,100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46,600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53,900</w:t>
            </w:r>
          </w:p>
        </w:tc>
        <w:tc>
          <w:tcPr>
            <w:tcW w:w="1086"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70,300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79,600</w:t>
            </w:r>
          </w:p>
        </w:tc>
        <w:tc>
          <w:tcPr>
            <w:tcW w:w="1087"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62%</w:t>
            </w:r>
          </w:p>
        </w:tc>
      </w:tr>
      <w:tr w:rsidR="001777F9" w:rsidRPr="001777F9" w:rsidTr="001777F9">
        <w:trPr>
          <w:trHeight w:hRule="exact" w:val="284"/>
        </w:trPr>
        <w:tc>
          <w:tcPr>
            <w:tcW w:w="2132" w:type="dxa"/>
            <w:tcBorders>
              <w:top w:val="nil"/>
              <w:left w:val="single" w:sz="4" w:space="0" w:color="5E8A00"/>
              <w:bottom w:val="single" w:sz="4" w:space="0" w:color="5E8A00"/>
              <w:right w:val="single" w:sz="4" w:space="0" w:color="5E8A00"/>
            </w:tcBorders>
            <w:shd w:val="clear" w:color="000000" w:fill="5E8A00"/>
            <w:noWrap/>
            <w:vAlign w:val="bottom"/>
            <w:hideMark/>
          </w:tcPr>
          <w:p w:rsidR="001777F9" w:rsidRPr="001777F9" w:rsidRDefault="001777F9" w:rsidP="001777F9">
            <w:pPr>
              <w:spacing w:after="0" w:line="240" w:lineRule="auto"/>
              <w:jc w:val="left"/>
              <w:rPr>
                <w:rFonts w:cs="Arial"/>
                <w:b/>
                <w:bCs/>
                <w:color w:val="FFFFFF"/>
                <w:sz w:val="18"/>
                <w:szCs w:val="18"/>
                <w:lang w:eastAsia="en-AU"/>
              </w:rPr>
            </w:pPr>
            <w:r w:rsidRPr="001777F9">
              <w:rPr>
                <w:rFonts w:cs="Arial"/>
                <w:b/>
                <w:bCs/>
                <w:color w:val="FFFFFF"/>
                <w:sz w:val="18"/>
                <w:szCs w:val="18"/>
                <w:lang w:eastAsia="en-AU"/>
              </w:rPr>
              <w:t>All Regions Total</w:t>
            </w:r>
          </w:p>
        </w:tc>
        <w:tc>
          <w:tcPr>
            <w:tcW w:w="1086"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289,800</w:t>
            </w:r>
          </w:p>
        </w:tc>
        <w:tc>
          <w:tcPr>
            <w:tcW w:w="1087"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293,400</w:t>
            </w:r>
          </w:p>
        </w:tc>
        <w:tc>
          <w:tcPr>
            <w:tcW w:w="1087"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331,900</w:t>
            </w:r>
          </w:p>
        </w:tc>
        <w:tc>
          <w:tcPr>
            <w:tcW w:w="1086"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424,500</w:t>
            </w:r>
          </w:p>
        </w:tc>
        <w:tc>
          <w:tcPr>
            <w:tcW w:w="1087"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502,400</w:t>
            </w:r>
          </w:p>
        </w:tc>
        <w:tc>
          <w:tcPr>
            <w:tcW w:w="1087"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73%</w:t>
            </w:r>
          </w:p>
        </w:tc>
      </w:tr>
    </w:tbl>
    <w:p w:rsidR="00786BCD" w:rsidRDefault="00786BCD" w:rsidP="00786BCD"/>
    <w:p w:rsidR="00194286" w:rsidRDefault="00194286" w:rsidP="00194286">
      <w:pPr>
        <w:pStyle w:val="Caption"/>
        <w:spacing w:after="0"/>
        <w:jc w:val="left"/>
        <w:rPr>
          <w:rFonts w:cs="Arial"/>
        </w:rPr>
      </w:pPr>
      <w:r w:rsidRPr="00786BCD">
        <w:rPr>
          <w:rFonts w:cs="Arial"/>
        </w:rPr>
        <w:t>Table 1.1</w:t>
      </w:r>
      <w:r w:rsidR="00CD4ED8">
        <w:rPr>
          <w:rFonts w:cs="Arial"/>
        </w:rPr>
        <w:t>4</w:t>
      </w:r>
      <w:r w:rsidRPr="00786BCD">
        <w:rPr>
          <w:rFonts w:cs="Arial"/>
        </w:rPr>
        <w:t xml:space="preserve">.2: Government subsidised </w:t>
      </w:r>
      <w:r w:rsidR="001777F9" w:rsidRPr="00786BCD">
        <w:rPr>
          <w:rFonts w:cs="Arial"/>
        </w:rPr>
        <w:t xml:space="preserve">students </w:t>
      </w:r>
      <w:r w:rsidR="001777F9">
        <w:rPr>
          <w:rFonts w:cs="Arial"/>
        </w:rPr>
        <w:t>by residential area</w:t>
      </w:r>
      <w:r w:rsidR="001777F9" w:rsidRPr="00786BCD">
        <w:rPr>
          <w:rFonts w:cs="Arial"/>
        </w:rPr>
        <w:t xml:space="preserve"> </w:t>
      </w:r>
      <w:r w:rsidR="001777F9">
        <w:rPr>
          <w:rFonts w:cs="Arial"/>
        </w:rPr>
        <w:t>–</w:t>
      </w:r>
      <w:r w:rsidR="001777F9" w:rsidRPr="00786BCD">
        <w:rPr>
          <w:rFonts w:cs="Arial"/>
        </w:rPr>
        <w:t xml:space="preserve"> </w:t>
      </w:r>
      <w:r w:rsidR="001777F9">
        <w:rPr>
          <w:rFonts w:cs="Arial"/>
        </w:rPr>
        <w:t>regional area</w:t>
      </w:r>
      <w:r w:rsidRPr="00786BCD">
        <w:rPr>
          <w:rFonts w:cs="Arial"/>
        </w:rPr>
        <w:t xml:space="preserve">, Q3 2011, </w:t>
      </w:r>
      <w:r w:rsidR="001777F9">
        <w:rPr>
          <w:rFonts w:cs="Arial"/>
        </w:rPr>
        <w:br/>
      </w:r>
      <w:r w:rsidRPr="00786BCD">
        <w:rPr>
          <w:rFonts w:cs="Arial"/>
        </w:rPr>
        <w:t>Q3 2012 and Q3 2013</w:t>
      </w:r>
    </w:p>
    <w:tbl>
      <w:tblPr>
        <w:tblW w:w="7980" w:type="dxa"/>
        <w:tblInd w:w="103" w:type="dxa"/>
        <w:tblLook w:val="04A0" w:firstRow="1" w:lastRow="0" w:firstColumn="1" w:lastColumn="0" w:noHBand="0" w:noVBand="1"/>
      </w:tblPr>
      <w:tblGrid>
        <w:gridCol w:w="2400"/>
        <w:gridCol w:w="1120"/>
        <w:gridCol w:w="1120"/>
        <w:gridCol w:w="1120"/>
        <w:gridCol w:w="1120"/>
        <w:gridCol w:w="1100"/>
      </w:tblGrid>
      <w:tr w:rsidR="001777F9" w:rsidRPr="001777F9" w:rsidTr="001777F9">
        <w:trPr>
          <w:trHeight w:hRule="exact" w:val="760"/>
        </w:trPr>
        <w:tc>
          <w:tcPr>
            <w:tcW w:w="24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left"/>
              <w:rPr>
                <w:rFonts w:cs="Arial"/>
                <w:b/>
                <w:bCs/>
                <w:color w:val="FFFFFF"/>
                <w:sz w:val="18"/>
                <w:szCs w:val="18"/>
                <w:lang w:eastAsia="en-AU"/>
              </w:rPr>
            </w:pPr>
            <w:r w:rsidRPr="001777F9">
              <w:rPr>
                <w:rFonts w:cs="Arial"/>
                <w:b/>
                <w:bCs/>
                <w:color w:val="FFFFFF"/>
                <w:sz w:val="18"/>
                <w:szCs w:val="18"/>
                <w:lang w:eastAsia="en-AU"/>
              </w:rPr>
              <w:t>Residential location</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ind w:firstLineChars="100" w:firstLine="181"/>
              <w:jc w:val="right"/>
              <w:rPr>
                <w:rFonts w:cs="Arial"/>
                <w:b/>
                <w:bCs/>
                <w:color w:val="FFFFFF"/>
                <w:sz w:val="18"/>
                <w:szCs w:val="18"/>
                <w:lang w:eastAsia="en-AU"/>
              </w:rPr>
            </w:pPr>
            <w:r w:rsidRPr="001777F9">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 change</w:t>
            </w:r>
            <w:r w:rsidRPr="001777F9">
              <w:rPr>
                <w:rFonts w:cs="Arial"/>
                <w:b/>
                <w:bCs/>
                <w:color w:val="FFFFFF"/>
                <w:sz w:val="18"/>
                <w:szCs w:val="18"/>
                <w:lang w:eastAsia="en-AU"/>
              </w:rPr>
              <w:br/>
              <w:t>Q3 2011-Q3 2013 </w:t>
            </w:r>
          </w:p>
        </w:tc>
        <w:tc>
          <w:tcPr>
            <w:tcW w:w="1100" w:type="dxa"/>
            <w:tcBorders>
              <w:top w:val="single" w:sz="4" w:space="0" w:color="5E8A00"/>
              <w:left w:val="nil"/>
              <w:bottom w:val="single" w:sz="4" w:space="0" w:color="5E8A00"/>
              <w:right w:val="single" w:sz="4" w:space="0" w:color="5E8A00"/>
            </w:tcBorders>
            <w:shd w:val="clear" w:color="000000" w:fill="5E8A00"/>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 change</w:t>
            </w:r>
            <w:r w:rsidRPr="001777F9">
              <w:rPr>
                <w:rFonts w:cs="Arial"/>
                <w:b/>
                <w:bCs/>
                <w:color w:val="FFFFFF"/>
                <w:sz w:val="18"/>
                <w:szCs w:val="18"/>
                <w:lang w:eastAsia="en-AU"/>
              </w:rPr>
              <w:br/>
              <w:t>Q3 2012-Q3 2013</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Barwon South West</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29,500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35,600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29,700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0%</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-17%</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Grampians</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15,000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18,100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15,900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-12%</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 xml:space="preserve">Loddon </w:t>
            </w:r>
            <w:proofErr w:type="spellStart"/>
            <w:r w:rsidRPr="001777F9">
              <w:rPr>
                <w:rFonts w:cs="Arial"/>
                <w:color w:val="3E5B00"/>
                <w:sz w:val="18"/>
                <w:szCs w:val="18"/>
                <w:lang w:eastAsia="en-AU"/>
              </w:rPr>
              <w:t>Mallee</w:t>
            </w:r>
            <w:proofErr w:type="spellEnd"/>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22,200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26,900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22,300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0%</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-17%</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Hume</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18,600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22,500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21,800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17%</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Gippsland</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17,700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18,700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16,600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-11%</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Eastern Metropolitan</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55,100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66,800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56,800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-15%</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Western Metropolitan</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53,200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77,100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71,700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35%</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Southern Metropolitan</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76,400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101,500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92,200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21%</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-9%</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FFFFFF"/>
            <w:noWrap/>
            <w:vAlign w:val="bottom"/>
            <w:hideMark/>
          </w:tcPr>
          <w:p w:rsidR="001777F9" w:rsidRPr="001777F9" w:rsidRDefault="001777F9" w:rsidP="001777F9">
            <w:pPr>
              <w:spacing w:after="0" w:line="240" w:lineRule="auto"/>
              <w:jc w:val="left"/>
              <w:rPr>
                <w:rFonts w:cs="Arial"/>
                <w:color w:val="3E5B00"/>
                <w:sz w:val="18"/>
                <w:szCs w:val="18"/>
                <w:lang w:eastAsia="en-AU"/>
              </w:rPr>
            </w:pPr>
            <w:r w:rsidRPr="001777F9">
              <w:rPr>
                <w:rFonts w:cs="Arial"/>
                <w:color w:val="3E5B00"/>
                <w:sz w:val="18"/>
                <w:szCs w:val="18"/>
                <w:lang w:eastAsia="en-AU"/>
              </w:rPr>
              <w:t>Northern Metropolitan</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58,100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69,100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63,800</w:t>
            </w:r>
          </w:p>
        </w:tc>
        <w:tc>
          <w:tcPr>
            <w:tcW w:w="112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10%</w:t>
            </w:r>
          </w:p>
        </w:tc>
        <w:tc>
          <w:tcPr>
            <w:tcW w:w="1100" w:type="dxa"/>
            <w:tcBorders>
              <w:top w:val="nil"/>
              <w:left w:val="nil"/>
              <w:bottom w:val="single" w:sz="4" w:space="0" w:color="5E8A00"/>
              <w:right w:val="single" w:sz="4" w:space="0" w:color="5E8A00"/>
            </w:tcBorders>
            <w:shd w:val="clear" w:color="auto" w:fill="auto"/>
            <w:noWrap/>
            <w:vAlign w:val="center"/>
            <w:hideMark/>
          </w:tcPr>
          <w:p w:rsidR="001777F9" w:rsidRPr="001777F9" w:rsidRDefault="001777F9" w:rsidP="001777F9">
            <w:pPr>
              <w:spacing w:after="0" w:line="240" w:lineRule="auto"/>
              <w:jc w:val="right"/>
              <w:rPr>
                <w:rFonts w:cs="Arial"/>
                <w:sz w:val="18"/>
                <w:szCs w:val="18"/>
                <w:lang w:eastAsia="en-AU"/>
              </w:rPr>
            </w:pPr>
            <w:r w:rsidRPr="001777F9">
              <w:rPr>
                <w:rFonts w:cs="Arial"/>
                <w:sz w:val="18"/>
                <w:szCs w:val="18"/>
                <w:lang w:eastAsia="en-AU"/>
              </w:rPr>
              <w:t>-8%</w:t>
            </w:r>
          </w:p>
        </w:tc>
      </w:tr>
      <w:tr w:rsidR="001777F9" w:rsidRPr="001777F9" w:rsidTr="001777F9">
        <w:trPr>
          <w:trHeight w:hRule="exact" w:val="284"/>
        </w:trPr>
        <w:tc>
          <w:tcPr>
            <w:tcW w:w="2400" w:type="dxa"/>
            <w:tcBorders>
              <w:top w:val="nil"/>
              <w:left w:val="single" w:sz="4" w:space="0" w:color="5E8A00"/>
              <w:bottom w:val="single" w:sz="4" w:space="0" w:color="5E8A00"/>
              <w:right w:val="single" w:sz="4" w:space="0" w:color="5E8A00"/>
            </w:tcBorders>
            <w:shd w:val="clear" w:color="000000" w:fill="5E8A00"/>
            <w:noWrap/>
            <w:vAlign w:val="bottom"/>
            <w:hideMark/>
          </w:tcPr>
          <w:p w:rsidR="001777F9" w:rsidRPr="001777F9" w:rsidRDefault="001777F9" w:rsidP="001777F9">
            <w:pPr>
              <w:spacing w:after="0" w:line="240" w:lineRule="auto"/>
              <w:jc w:val="left"/>
              <w:rPr>
                <w:rFonts w:cs="Arial"/>
                <w:b/>
                <w:bCs/>
                <w:color w:val="FFFFFF"/>
                <w:sz w:val="18"/>
                <w:szCs w:val="18"/>
                <w:lang w:eastAsia="en-AU"/>
              </w:rPr>
            </w:pPr>
            <w:r w:rsidRPr="001777F9">
              <w:rPr>
                <w:rFonts w:cs="Arial"/>
                <w:b/>
                <w:bCs/>
                <w:color w:val="FFFFFF"/>
                <w:sz w:val="18"/>
                <w:szCs w:val="18"/>
                <w:lang w:eastAsia="en-AU"/>
              </w:rPr>
              <w:t>All Regions Total</w:t>
            </w:r>
          </w:p>
        </w:tc>
        <w:tc>
          <w:tcPr>
            <w:tcW w:w="1120"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345,800</w:t>
            </w:r>
          </w:p>
        </w:tc>
        <w:tc>
          <w:tcPr>
            <w:tcW w:w="1120"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436,400</w:t>
            </w:r>
          </w:p>
        </w:tc>
        <w:tc>
          <w:tcPr>
            <w:tcW w:w="1120"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390,900</w:t>
            </w:r>
          </w:p>
        </w:tc>
        <w:tc>
          <w:tcPr>
            <w:tcW w:w="1120"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13%</w:t>
            </w:r>
          </w:p>
        </w:tc>
        <w:tc>
          <w:tcPr>
            <w:tcW w:w="1100" w:type="dxa"/>
            <w:tcBorders>
              <w:top w:val="nil"/>
              <w:left w:val="nil"/>
              <w:bottom w:val="single" w:sz="4" w:space="0" w:color="5E8A00"/>
              <w:right w:val="single" w:sz="4" w:space="0" w:color="5E8A00"/>
            </w:tcBorders>
            <w:shd w:val="clear" w:color="000000" w:fill="5E8A00"/>
            <w:noWrap/>
            <w:vAlign w:val="center"/>
            <w:hideMark/>
          </w:tcPr>
          <w:p w:rsidR="001777F9" w:rsidRPr="001777F9" w:rsidRDefault="001777F9" w:rsidP="001777F9">
            <w:pPr>
              <w:spacing w:after="0" w:line="240" w:lineRule="auto"/>
              <w:jc w:val="right"/>
              <w:rPr>
                <w:rFonts w:cs="Arial"/>
                <w:b/>
                <w:bCs/>
                <w:color w:val="FFFFFF"/>
                <w:sz w:val="18"/>
                <w:szCs w:val="18"/>
                <w:lang w:eastAsia="en-AU"/>
              </w:rPr>
            </w:pPr>
            <w:r w:rsidRPr="001777F9">
              <w:rPr>
                <w:rFonts w:cs="Arial"/>
                <w:b/>
                <w:bCs/>
                <w:color w:val="FFFFFF"/>
                <w:sz w:val="18"/>
                <w:szCs w:val="18"/>
                <w:lang w:eastAsia="en-AU"/>
              </w:rPr>
              <w:t>-10%</w:t>
            </w:r>
          </w:p>
        </w:tc>
      </w:tr>
    </w:tbl>
    <w:p w:rsidR="001777F9" w:rsidRDefault="001777F9" w:rsidP="001777F9"/>
    <w:p w:rsidR="00CD6397" w:rsidRDefault="00CD6397" w:rsidP="00764C90">
      <w:pPr>
        <w:pStyle w:val="Caption"/>
        <w:spacing w:after="0"/>
        <w:jc w:val="left"/>
        <w:rPr>
          <w:rFonts w:cs="Arial"/>
        </w:rPr>
      </w:pPr>
    </w:p>
    <w:p w:rsidR="00CD6397" w:rsidRDefault="00CD6397">
      <w:pPr>
        <w:spacing w:after="0" w:line="240" w:lineRule="auto"/>
        <w:jc w:val="left"/>
        <w:rPr>
          <w:rFonts w:cs="Arial"/>
          <w:b/>
          <w:bCs/>
          <w:color w:val="76923C" w:themeColor="accent3" w:themeShade="BF"/>
          <w:sz w:val="18"/>
          <w:szCs w:val="16"/>
        </w:rPr>
      </w:pPr>
      <w:r>
        <w:rPr>
          <w:rFonts w:cs="Arial"/>
        </w:rPr>
        <w:br w:type="page"/>
      </w:r>
    </w:p>
    <w:p w:rsidR="001777F9" w:rsidRPr="00764C90" w:rsidRDefault="00764C90" w:rsidP="00764C90">
      <w:pPr>
        <w:pStyle w:val="Caption"/>
        <w:spacing w:after="0"/>
        <w:jc w:val="left"/>
        <w:rPr>
          <w:rFonts w:cs="Arial"/>
        </w:rPr>
      </w:pPr>
      <w:r>
        <w:rPr>
          <w:rFonts w:cs="Arial"/>
        </w:rPr>
        <w:lastRenderedPageBreak/>
        <w:t xml:space="preserve">Figure </w:t>
      </w:r>
      <w:r w:rsidRPr="00786BCD">
        <w:rPr>
          <w:rFonts w:cs="Arial"/>
        </w:rPr>
        <w:t>1.</w:t>
      </w:r>
      <w:r>
        <w:rPr>
          <w:rFonts w:cs="Arial"/>
        </w:rPr>
        <w:t>5</w:t>
      </w:r>
      <w:r w:rsidRPr="00786BCD">
        <w:rPr>
          <w:rFonts w:cs="Arial"/>
        </w:rPr>
        <w:t xml:space="preserve">: </w:t>
      </w:r>
      <w:r w:rsidR="00396399">
        <w:rPr>
          <w:rFonts w:cs="Arial"/>
        </w:rPr>
        <w:t>Estimated p</w:t>
      </w:r>
      <w:r>
        <w:rPr>
          <w:rFonts w:cs="Arial"/>
        </w:rPr>
        <w:t>articipation rate</w:t>
      </w:r>
      <w:r w:rsidR="00CD6397">
        <w:rPr>
          <w:rStyle w:val="FootnoteReference"/>
        </w:rPr>
        <w:footnoteReference w:id="5"/>
      </w:r>
      <w:r>
        <w:rPr>
          <w:rFonts w:cs="Arial"/>
        </w:rPr>
        <w:t xml:space="preserve"> of students aged 15-64 in g</w:t>
      </w:r>
      <w:r w:rsidRPr="00786BCD">
        <w:rPr>
          <w:rFonts w:cs="Arial"/>
        </w:rPr>
        <w:t xml:space="preserve">overnment subsidised </w:t>
      </w:r>
      <w:r>
        <w:rPr>
          <w:rFonts w:cs="Arial"/>
        </w:rPr>
        <w:t>training by regional area, Q3 2013</w:t>
      </w:r>
    </w:p>
    <w:p w:rsidR="00764C90" w:rsidRDefault="00326DBB" w:rsidP="00194286">
      <w:pPr>
        <w:jc w:val="left"/>
        <w:rPr>
          <w:rFonts w:cs="Arial"/>
        </w:rPr>
      </w:pPr>
      <w:r>
        <w:rPr>
          <w:rFonts w:cs="Arial"/>
          <w:noProof/>
          <w:lang w:eastAsia="en-AU"/>
        </w:rPr>
        <w:drawing>
          <wp:inline distT="0" distB="0" distL="0" distR="0" wp14:anchorId="0C8FF2C2" wp14:editId="0960A192">
            <wp:extent cx="5774400" cy="2559600"/>
            <wp:effectExtent l="0" t="0" r="0" b="0"/>
            <wp:docPr id="233" name="Picture 233" descr="This chart presents the particiaption rate of students aged 15-64 in government subsidised training by nine regional area in Q3 2013." title="Figure 1.5: Estimated participation rate  of students aged 15-64 in government subsidised training by regional area,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400" cy="2559600"/>
                    </a:xfrm>
                    <a:prstGeom prst="rect">
                      <a:avLst/>
                    </a:prstGeom>
                    <a:noFill/>
                  </pic:spPr>
                </pic:pic>
              </a:graphicData>
            </a:graphic>
          </wp:inline>
        </w:drawing>
      </w:r>
    </w:p>
    <w:p w:rsidR="003A5E44" w:rsidRDefault="003A5E44" w:rsidP="00EE6BD1">
      <w:pPr>
        <w:jc w:val="left"/>
        <w:rPr>
          <w:rFonts w:cs="Arial"/>
        </w:rPr>
      </w:pPr>
    </w:p>
    <w:p w:rsidR="003A5E44" w:rsidRDefault="003A5E44" w:rsidP="00EE6BD1">
      <w:pPr>
        <w:jc w:val="left"/>
        <w:rPr>
          <w:rFonts w:cs="Arial"/>
        </w:rPr>
      </w:pPr>
    </w:p>
    <w:p w:rsidR="002D4C03" w:rsidRPr="001F29E3" w:rsidRDefault="002D4C03" w:rsidP="00EE6BD1">
      <w:pPr>
        <w:jc w:val="left"/>
        <w:rPr>
          <w:rFonts w:cs="Arial"/>
        </w:rPr>
      </w:pPr>
      <w:r w:rsidRPr="001F29E3">
        <w:rPr>
          <w:rFonts w:cs="Arial"/>
          <w:b/>
          <w:bCs/>
        </w:rPr>
        <w:br w:type="page"/>
      </w:r>
    </w:p>
    <w:p w:rsidR="00351166" w:rsidRPr="001F29E3" w:rsidRDefault="00F31E54" w:rsidP="00A9260A">
      <w:pPr>
        <w:pStyle w:val="Heading2"/>
      </w:pPr>
      <w:bookmarkStart w:id="58" w:name="_Toc372613428"/>
      <w:r w:rsidRPr="001F29E3">
        <w:lastRenderedPageBreak/>
        <w:t xml:space="preserve">Government Subsidised </w:t>
      </w:r>
      <w:r w:rsidR="00A50357" w:rsidRPr="001F29E3">
        <w:t>D</w:t>
      </w:r>
      <w:r w:rsidR="00351166" w:rsidRPr="001F29E3">
        <w:t xml:space="preserve">elivery by </w:t>
      </w:r>
      <w:r w:rsidR="00A50357" w:rsidRPr="001F29E3">
        <w:t>P</w:t>
      </w:r>
      <w:r w:rsidR="00351166" w:rsidRPr="001F29E3">
        <w:t xml:space="preserve">rovider </w:t>
      </w:r>
      <w:r w:rsidR="00A50357" w:rsidRPr="001F29E3">
        <w:t>T</w:t>
      </w:r>
      <w:r w:rsidR="00351166" w:rsidRPr="001F29E3">
        <w:t>ype</w:t>
      </w:r>
      <w:bookmarkEnd w:id="58"/>
    </w:p>
    <w:p w:rsidR="00927329" w:rsidRPr="001F29E3" w:rsidRDefault="00927329" w:rsidP="00927329">
      <w:pPr>
        <w:spacing w:after="0"/>
        <w:rPr>
          <w:rFonts w:cs="Arial"/>
        </w:rPr>
      </w:pPr>
    </w:p>
    <w:p w:rsidR="007F6FCA" w:rsidRPr="001F29E3" w:rsidRDefault="007F6FCA" w:rsidP="007F6FCA">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7F6FCA" w:rsidRPr="001F29E3" w:rsidTr="007F6FCA">
        <w:trPr>
          <w:trHeight w:val="518"/>
        </w:trPr>
        <w:tc>
          <w:tcPr>
            <w:tcW w:w="9088" w:type="dxa"/>
          </w:tcPr>
          <w:p w:rsidR="007F6FCA" w:rsidRDefault="007F6FCA" w:rsidP="007F6FCA">
            <w:pPr>
              <w:pStyle w:val="Heading3"/>
            </w:pPr>
            <w:r w:rsidRPr="008A1997">
              <w:t>Key Points</w:t>
            </w:r>
          </w:p>
          <w:p w:rsidR="00A326AF" w:rsidRPr="00A326AF" w:rsidRDefault="00A326AF" w:rsidP="00A326AF"/>
          <w:p w:rsidR="007F6FCA" w:rsidRPr="004E28E6" w:rsidRDefault="002B5A8D" w:rsidP="007F6FCA">
            <w:pPr>
              <w:pStyle w:val="ListBullet"/>
              <w:numPr>
                <w:ilvl w:val="0"/>
                <w:numId w:val="8"/>
              </w:numPr>
              <w:ind w:right="113"/>
              <w:jc w:val="left"/>
              <w:rPr>
                <w:rFonts w:cs="Arial"/>
              </w:rPr>
            </w:pPr>
            <w:r w:rsidRPr="004E28E6">
              <w:rPr>
                <w:rFonts w:cs="Arial"/>
              </w:rPr>
              <w:t xml:space="preserve">The number of government subsidised enrolments in </w:t>
            </w:r>
            <w:r w:rsidR="0048695A">
              <w:rPr>
                <w:rFonts w:cs="Arial"/>
              </w:rPr>
              <w:t xml:space="preserve">the </w:t>
            </w:r>
            <w:r w:rsidR="007F6FCA" w:rsidRPr="004E28E6">
              <w:rPr>
                <w:rFonts w:cs="Arial"/>
              </w:rPr>
              <w:t xml:space="preserve">TAFE </w:t>
            </w:r>
            <w:r w:rsidRPr="004E28E6">
              <w:rPr>
                <w:rFonts w:cs="Arial"/>
              </w:rPr>
              <w:t xml:space="preserve">sector </w:t>
            </w:r>
            <w:r w:rsidR="004E28E6" w:rsidRPr="004E28E6">
              <w:rPr>
                <w:rFonts w:cs="Arial"/>
              </w:rPr>
              <w:t xml:space="preserve">(233,300) </w:t>
            </w:r>
            <w:r w:rsidRPr="004E28E6">
              <w:rPr>
                <w:rFonts w:cs="Arial"/>
              </w:rPr>
              <w:t xml:space="preserve">in Q3 2013 was marginally lower than that in </w:t>
            </w:r>
            <w:r w:rsidR="007F6FCA" w:rsidRPr="004E28E6">
              <w:rPr>
                <w:rFonts w:cs="Arial"/>
              </w:rPr>
              <w:t>Private RTOs sector</w:t>
            </w:r>
            <w:r w:rsidRPr="004E28E6">
              <w:rPr>
                <w:rFonts w:cs="Arial"/>
              </w:rPr>
              <w:t xml:space="preserve"> (</w:t>
            </w:r>
            <w:r w:rsidR="004E28E6" w:rsidRPr="004E28E6">
              <w:rPr>
                <w:rFonts w:cs="Arial"/>
              </w:rPr>
              <w:t>239,300)</w:t>
            </w:r>
            <w:r w:rsidR="007F6FCA" w:rsidRPr="004E28E6">
              <w:rPr>
                <w:rFonts w:cs="Arial"/>
              </w:rPr>
              <w:t xml:space="preserve">. </w:t>
            </w:r>
          </w:p>
          <w:p w:rsidR="007F6FCA" w:rsidRPr="004E28E6" w:rsidRDefault="007F6FCA" w:rsidP="007F6FCA">
            <w:pPr>
              <w:pStyle w:val="ListBullet"/>
              <w:numPr>
                <w:ilvl w:val="0"/>
                <w:numId w:val="8"/>
              </w:numPr>
              <w:ind w:right="113"/>
              <w:jc w:val="left"/>
              <w:rPr>
                <w:rFonts w:cs="Arial"/>
              </w:rPr>
            </w:pPr>
            <w:r w:rsidRPr="004E28E6">
              <w:rPr>
                <w:rFonts w:cs="Arial"/>
              </w:rPr>
              <w:t xml:space="preserve">The proportional share of government subsidised delivery at AQF levels in TAFE, Private RTOs and ACE sectors suggests each sector has a different focus with various strengths and specialisation in the courses that they delivered.  </w:t>
            </w:r>
          </w:p>
          <w:p w:rsidR="007F6FCA" w:rsidRPr="004E28E6" w:rsidRDefault="007F6FCA" w:rsidP="007F6FCA">
            <w:pPr>
              <w:pStyle w:val="ListBullet"/>
              <w:numPr>
                <w:ilvl w:val="0"/>
                <w:numId w:val="8"/>
              </w:numPr>
              <w:ind w:right="113"/>
              <w:jc w:val="left"/>
              <w:rPr>
                <w:rFonts w:cs="Arial"/>
              </w:rPr>
            </w:pPr>
            <w:r w:rsidRPr="004E28E6">
              <w:rPr>
                <w:rFonts w:cs="Arial"/>
              </w:rPr>
              <w:t xml:space="preserve">For example, </w:t>
            </w:r>
            <w:r w:rsidR="003F61CF" w:rsidRPr="004E28E6">
              <w:rPr>
                <w:rFonts w:cs="Arial"/>
              </w:rPr>
              <w:t xml:space="preserve">the </w:t>
            </w:r>
            <w:r w:rsidRPr="004E28E6">
              <w:rPr>
                <w:rFonts w:cs="Arial"/>
              </w:rPr>
              <w:t>TAFE sector had a large share of government subsidised enrolments in Mining, Electricity, Gas, Water &amp; Waste Services, Construction, Information Media &amp; Telecommunications, and Professional, Scientific and Technical Services in Q</w:t>
            </w:r>
            <w:r w:rsidR="004E28E6" w:rsidRPr="004E28E6">
              <w:rPr>
                <w:rFonts w:cs="Arial"/>
              </w:rPr>
              <w:t>3</w:t>
            </w:r>
            <w:r w:rsidRPr="004E28E6">
              <w:rPr>
                <w:rFonts w:cs="Arial"/>
              </w:rPr>
              <w:t xml:space="preserve"> 2013. Private </w:t>
            </w:r>
            <w:proofErr w:type="gramStart"/>
            <w:r w:rsidRPr="004E28E6">
              <w:rPr>
                <w:rFonts w:cs="Arial"/>
              </w:rPr>
              <w:t>RTOs</w:t>
            </w:r>
            <w:proofErr w:type="gramEnd"/>
            <w:r w:rsidRPr="004E28E6">
              <w:rPr>
                <w:rFonts w:cs="Arial"/>
              </w:rPr>
              <w:t xml:space="preserve"> sector had a large share of delivery in Wholesale Trade, Retail Trade, Accommodation &amp; Food Services, Transport, Postal &amp; Warehousing, Financial &amp; Insurance Services, and Administrative &amp; Support Services. </w:t>
            </w:r>
          </w:p>
          <w:p w:rsidR="007F6FCA" w:rsidRPr="004E28E6" w:rsidRDefault="007F6FCA" w:rsidP="007F6FCA">
            <w:pPr>
              <w:pStyle w:val="ListBullet"/>
              <w:numPr>
                <w:ilvl w:val="0"/>
                <w:numId w:val="8"/>
              </w:numPr>
              <w:ind w:right="113"/>
              <w:jc w:val="left"/>
              <w:rPr>
                <w:rFonts w:cs="Arial"/>
              </w:rPr>
            </w:pPr>
            <w:r w:rsidRPr="004E28E6">
              <w:rPr>
                <w:rFonts w:cs="Arial"/>
              </w:rPr>
              <w:t xml:space="preserve">In terms of the proportional share of </w:t>
            </w:r>
            <w:r w:rsidR="005C59EC">
              <w:rPr>
                <w:rFonts w:cs="Arial"/>
              </w:rPr>
              <w:t xml:space="preserve">the </w:t>
            </w:r>
            <w:r w:rsidRPr="004E28E6">
              <w:rPr>
                <w:rFonts w:cs="Arial"/>
              </w:rPr>
              <w:t>deliver</w:t>
            </w:r>
            <w:r w:rsidR="005C59EC">
              <w:rPr>
                <w:rFonts w:cs="Arial"/>
              </w:rPr>
              <w:t xml:space="preserve">y of </w:t>
            </w:r>
            <w:r w:rsidRPr="004E28E6">
              <w:rPr>
                <w:rFonts w:cs="Arial"/>
              </w:rPr>
              <w:t xml:space="preserve">government subsidised training within </w:t>
            </w:r>
            <w:r w:rsidR="005C59EC">
              <w:rPr>
                <w:rFonts w:cs="Arial"/>
              </w:rPr>
              <w:t xml:space="preserve">each </w:t>
            </w:r>
            <w:r w:rsidRPr="004E28E6">
              <w:rPr>
                <w:rFonts w:cs="Arial"/>
              </w:rPr>
              <w:t>the sector, Foundation Skills and LOTE</w:t>
            </w:r>
            <w:r w:rsidR="005C59EC">
              <w:rPr>
                <w:rFonts w:cs="Arial"/>
              </w:rPr>
              <w:t xml:space="preserve"> course</w:t>
            </w:r>
            <w:r w:rsidRPr="004E28E6">
              <w:rPr>
                <w:rFonts w:cs="Arial"/>
              </w:rPr>
              <w:t xml:space="preserve"> enrolments accounted for the largest area of training in both TAFE and ACE sectors (3</w:t>
            </w:r>
            <w:r w:rsidR="004E28E6" w:rsidRPr="004E28E6">
              <w:rPr>
                <w:rFonts w:cs="Arial"/>
              </w:rPr>
              <w:t>5</w:t>
            </w:r>
            <w:r w:rsidRPr="004E28E6">
              <w:rPr>
                <w:rFonts w:cs="Arial"/>
              </w:rPr>
              <w:t xml:space="preserve"> per cent and 5</w:t>
            </w:r>
            <w:r w:rsidR="004E28E6" w:rsidRPr="004E28E6">
              <w:rPr>
                <w:rFonts w:cs="Arial"/>
              </w:rPr>
              <w:t>1</w:t>
            </w:r>
            <w:r w:rsidRPr="004E28E6">
              <w:rPr>
                <w:rFonts w:cs="Arial"/>
              </w:rPr>
              <w:t xml:space="preserve"> per cent, respectively). For the Private RTOs sector, Health Care and Social Assistance had the largest share (18 per cent).</w:t>
            </w:r>
          </w:p>
          <w:p w:rsidR="007F6FCA" w:rsidRDefault="007F6FCA" w:rsidP="005C59EC">
            <w:pPr>
              <w:pStyle w:val="ListBullet"/>
              <w:numPr>
                <w:ilvl w:val="0"/>
                <w:numId w:val="8"/>
              </w:numPr>
              <w:ind w:right="113"/>
              <w:jc w:val="left"/>
              <w:rPr>
                <w:rFonts w:cs="Arial"/>
              </w:rPr>
            </w:pPr>
            <w:r w:rsidRPr="004E28E6">
              <w:rPr>
                <w:rFonts w:cs="Arial"/>
              </w:rPr>
              <w:t xml:space="preserve">Government subsidised enrolments at Certificate III and IV levels made up the largest share of </w:t>
            </w:r>
            <w:r w:rsidR="005C59EC">
              <w:rPr>
                <w:rFonts w:cs="Arial"/>
              </w:rPr>
              <w:t>courses</w:t>
            </w:r>
            <w:r w:rsidRPr="004E28E6">
              <w:rPr>
                <w:rFonts w:cs="Arial"/>
              </w:rPr>
              <w:t xml:space="preserve"> in TAFE (46 per cent) and Private RTOs (6</w:t>
            </w:r>
            <w:r w:rsidR="004E28E6" w:rsidRPr="004E28E6">
              <w:rPr>
                <w:rFonts w:cs="Arial"/>
              </w:rPr>
              <w:t>7</w:t>
            </w:r>
            <w:r w:rsidRPr="004E28E6">
              <w:rPr>
                <w:rFonts w:cs="Arial"/>
              </w:rPr>
              <w:t xml:space="preserve"> per cent)</w:t>
            </w:r>
            <w:r w:rsidR="003F61CF" w:rsidRPr="004E28E6">
              <w:rPr>
                <w:rFonts w:cs="Arial"/>
              </w:rPr>
              <w:t>.</w:t>
            </w:r>
          </w:p>
          <w:p w:rsidR="00E6294B" w:rsidRPr="00414EFB" w:rsidRDefault="00E6294B" w:rsidP="005C59EC">
            <w:pPr>
              <w:pStyle w:val="ListBullet"/>
              <w:numPr>
                <w:ilvl w:val="0"/>
                <w:numId w:val="8"/>
              </w:numPr>
              <w:ind w:right="113"/>
              <w:jc w:val="left"/>
              <w:rPr>
                <w:rFonts w:cs="Arial"/>
              </w:rPr>
            </w:pPr>
            <w:r>
              <w:rPr>
                <w:rFonts w:cs="Arial"/>
              </w:rPr>
              <w:t xml:space="preserve">TAFEs account for 60 per cent of the proportional share of the delivery of Foundation and LOTE course of </w:t>
            </w:r>
            <w:proofErr w:type="gramStart"/>
            <w:r>
              <w:rPr>
                <w:rFonts w:cs="Arial"/>
              </w:rPr>
              <w:t>study,</w:t>
            </w:r>
            <w:proofErr w:type="gramEnd"/>
            <w:r>
              <w:rPr>
                <w:rFonts w:cs="Arial"/>
              </w:rPr>
              <w:t xml:space="preserve"> Private RTOs account for 29 per cent and ACE 12 per cent.</w:t>
            </w:r>
          </w:p>
        </w:tc>
      </w:tr>
    </w:tbl>
    <w:p w:rsidR="007F6FCA" w:rsidRDefault="007F6FCA" w:rsidP="00BA7BAF">
      <w:pPr>
        <w:pStyle w:val="Caption"/>
        <w:spacing w:after="0"/>
        <w:jc w:val="left"/>
        <w:rPr>
          <w:rFonts w:cs="Arial"/>
          <w:highlight w:val="yellow"/>
        </w:rPr>
      </w:pPr>
    </w:p>
    <w:p w:rsidR="007F6FCA" w:rsidRDefault="007F6FCA" w:rsidP="00BA7BAF">
      <w:pPr>
        <w:pStyle w:val="Caption"/>
        <w:spacing w:after="0"/>
        <w:jc w:val="left"/>
        <w:rPr>
          <w:rFonts w:cs="Arial"/>
          <w:highlight w:val="yellow"/>
        </w:rPr>
      </w:pPr>
    </w:p>
    <w:p w:rsidR="00BA7BAF" w:rsidRDefault="003D0C76" w:rsidP="00BA7BAF">
      <w:pPr>
        <w:pStyle w:val="Caption"/>
        <w:spacing w:after="0"/>
        <w:jc w:val="left"/>
        <w:rPr>
          <w:rFonts w:cs="Arial"/>
        </w:rPr>
      </w:pPr>
      <w:r w:rsidRPr="001F29E3">
        <w:rPr>
          <w:rFonts w:cs="Arial"/>
        </w:rPr>
        <w:t>Table 1</w:t>
      </w:r>
      <w:r>
        <w:rPr>
          <w:rFonts w:cs="Arial"/>
        </w:rPr>
        <w:t>.1</w:t>
      </w:r>
      <w:r w:rsidR="00321ED2">
        <w:rPr>
          <w:rFonts w:cs="Arial"/>
        </w:rPr>
        <w:t>5</w:t>
      </w:r>
      <w:r w:rsidRPr="001F29E3">
        <w:rPr>
          <w:rFonts w:cs="Arial"/>
        </w:rPr>
        <w:t xml:space="preserve">: Government subsidised </w:t>
      </w:r>
      <w:r>
        <w:rPr>
          <w:rFonts w:cs="Arial"/>
        </w:rPr>
        <w:t>delivery</w:t>
      </w:r>
      <w:r w:rsidRPr="001F29E3">
        <w:rPr>
          <w:rFonts w:cs="Arial"/>
        </w:rPr>
        <w:t xml:space="preserve"> by </w:t>
      </w:r>
      <w:r>
        <w:rPr>
          <w:rFonts w:cs="Arial"/>
        </w:rPr>
        <w:t>provider number</w:t>
      </w:r>
      <w:r w:rsidR="00A516C2">
        <w:rPr>
          <w:rFonts w:cs="Arial"/>
        </w:rPr>
        <w:t>*</w:t>
      </w:r>
      <w:r>
        <w:rPr>
          <w:rFonts w:cs="Arial"/>
        </w:rPr>
        <w:t>, 2008–2012, Q</w:t>
      </w:r>
      <w:r w:rsidR="00793C19">
        <w:rPr>
          <w:rFonts w:cs="Arial"/>
        </w:rPr>
        <w:t>3</w:t>
      </w:r>
      <w:r>
        <w:rPr>
          <w:rFonts w:cs="Arial"/>
        </w:rPr>
        <w:t xml:space="preserve"> 2011, </w:t>
      </w:r>
      <w:r w:rsidRPr="001F29E3">
        <w:rPr>
          <w:rFonts w:cs="Arial"/>
        </w:rPr>
        <w:t>Q</w:t>
      </w:r>
      <w:r w:rsidR="00793C19">
        <w:rPr>
          <w:rFonts w:cs="Arial"/>
        </w:rPr>
        <w:t>3</w:t>
      </w:r>
      <w:r w:rsidRPr="001F29E3">
        <w:rPr>
          <w:rFonts w:cs="Arial"/>
        </w:rPr>
        <w:t xml:space="preserve"> 2012 and </w:t>
      </w:r>
      <w:r w:rsidR="00A326AF">
        <w:rPr>
          <w:rFonts w:cs="Arial"/>
        </w:rPr>
        <w:br/>
      </w:r>
      <w:r w:rsidRPr="001F29E3">
        <w:rPr>
          <w:rFonts w:cs="Arial"/>
        </w:rPr>
        <w:t>Q</w:t>
      </w:r>
      <w:r w:rsidR="00793C19">
        <w:rPr>
          <w:rFonts w:cs="Arial"/>
        </w:rPr>
        <w:t>3</w:t>
      </w:r>
      <w:r w:rsidRPr="001F29E3">
        <w:rPr>
          <w:rFonts w:cs="Arial"/>
        </w:rPr>
        <w:t xml:space="preserve"> 2013</w:t>
      </w:r>
    </w:p>
    <w:tbl>
      <w:tblPr>
        <w:tblW w:w="9147" w:type="dxa"/>
        <w:tblInd w:w="108" w:type="dxa"/>
        <w:tblLook w:val="04A0" w:firstRow="1" w:lastRow="0" w:firstColumn="1" w:lastColumn="0" w:noHBand="0" w:noVBand="1"/>
      </w:tblPr>
      <w:tblGrid>
        <w:gridCol w:w="720"/>
        <w:gridCol w:w="1020"/>
        <w:gridCol w:w="1020"/>
        <w:gridCol w:w="1020"/>
        <w:gridCol w:w="1020"/>
        <w:gridCol w:w="1020"/>
        <w:gridCol w:w="267"/>
        <w:gridCol w:w="1020"/>
        <w:gridCol w:w="1020"/>
        <w:gridCol w:w="1020"/>
      </w:tblGrid>
      <w:tr w:rsidR="00793C19" w:rsidRPr="00793C19" w:rsidTr="00793C19">
        <w:trPr>
          <w:trHeight w:val="645"/>
        </w:trPr>
        <w:tc>
          <w:tcPr>
            <w:tcW w:w="72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793C19" w:rsidRPr="00793C19" w:rsidRDefault="00793C19" w:rsidP="00793C19">
            <w:pPr>
              <w:spacing w:after="0" w:line="240" w:lineRule="auto"/>
              <w:ind w:firstLineChars="100" w:firstLine="161"/>
              <w:jc w:val="left"/>
              <w:rPr>
                <w:rFonts w:cs="Arial"/>
                <w:b/>
                <w:bCs/>
                <w:color w:val="FFFFFF"/>
                <w:sz w:val="16"/>
                <w:szCs w:val="16"/>
                <w:lang w:eastAsia="en-AU"/>
              </w:rPr>
            </w:pPr>
            <w:r w:rsidRPr="00793C19">
              <w:rPr>
                <w:rFonts w:cs="Arial"/>
                <w:b/>
                <w:bCs/>
                <w:color w:val="FFFFFF"/>
                <w:sz w:val="16"/>
                <w:szCs w:val="16"/>
                <w:lang w:eastAsia="en-AU"/>
              </w:rPr>
              <w:t> </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2008</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2009</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2010</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2011</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2012</w:t>
            </w:r>
          </w:p>
        </w:tc>
        <w:tc>
          <w:tcPr>
            <w:tcW w:w="267"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 </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Q3 2011</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Q3 2012</w:t>
            </w:r>
          </w:p>
        </w:tc>
        <w:tc>
          <w:tcPr>
            <w:tcW w:w="10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6"/>
                <w:szCs w:val="16"/>
                <w:lang w:eastAsia="en-AU"/>
              </w:rPr>
            </w:pPr>
            <w:r w:rsidRPr="00793C19">
              <w:rPr>
                <w:rFonts w:cs="Arial"/>
                <w:b/>
                <w:bCs/>
                <w:color w:val="FFFFFF"/>
                <w:sz w:val="16"/>
                <w:szCs w:val="16"/>
                <w:lang w:eastAsia="en-AU"/>
              </w:rPr>
              <w:t>Q3 2013</w:t>
            </w:r>
          </w:p>
        </w:tc>
      </w:tr>
      <w:tr w:rsidR="00793C19" w:rsidRPr="00793C19" w:rsidTr="00793C19">
        <w:trPr>
          <w:trHeight w:val="345"/>
        </w:trPr>
        <w:tc>
          <w:tcPr>
            <w:tcW w:w="720" w:type="dxa"/>
            <w:tcBorders>
              <w:top w:val="nil"/>
              <w:left w:val="single" w:sz="4" w:space="0" w:color="5E8A00"/>
              <w:bottom w:val="single" w:sz="4" w:space="0" w:color="5E8A00"/>
              <w:right w:val="single" w:sz="4" w:space="0" w:color="5E8A00"/>
            </w:tcBorders>
            <w:shd w:val="clear" w:color="000000" w:fill="FFFFFF"/>
            <w:noWrap/>
            <w:vAlign w:val="bottom"/>
            <w:hideMark/>
          </w:tcPr>
          <w:p w:rsidR="00793C19" w:rsidRPr="00793C19" w:rsidRDefault="00793C19" w:rsidP="00793C19">
            <w:pPr>
              <w:spacing w:after="0" w:line="240" w:lineRule="auto"/>
              <w:jc w:val="left"/>
              <w:rPr>
                <w:rFonts w:cs="Arial"/>
                <w:color w:val="3E5B00"/>
                <w:sz w:val="16"/>
                <w:szCs w:val="16"/>
                <w:lang w:eastAsia="en-AU"/>
              </w:rPr>
            </w:pPr>
            <w:r w:rsidRPr="00793C19">
              <w:rPr>
                <w:rFonts w:cs="Arial"/>
                <w:color w:val="3E5B00"/>
                <w:sz w:val="16"/>
                <w:szCs w:val="16"/>
                <w:lang w:eastAsia="en-AU"/>
              </w:rPr>
              <w:t>ACE</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342</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320</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316</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309</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298</w:t>
            </w:r>
          </w:p>
        </w:tc>
        <w:tc>
          <w:tcPr>
            <w:tcW w:w="267"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291</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286</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272</w:t>
            </w:r>
          </w:p>
        </w:tc>
      </w:tr>
      <w:tr w:rsidR="00793C19" w:rsidRPr="00793C19" w:rsidTr="00793C19">
        <w:trPr>
          <w:trHeight w:val="345"/>
        </w:trPr>
        <w:tc>
          <w:tcPr>
            <w:tcW w:w="720" w:type="dxa"/>
            <w:tcBorders>
              <w:top w:val="nil"/>
              <w:left w:val="single" w:sz="4" w:space="0" w:color="5E8A00"/>
              <w:bottom w:val="single" w:sz="4" w:space="0" w:color="5E8A00"/>
              <w:right w:val="single" w:sz="4" w:space="0" w:color="5E8A00"/>
            </w:tcBorders>
            <w:shd w:val="clear" w:color="000000" w:fill="FFFFFF"/>
            <w:noWrap/>
            <w:vAlign w:val="bottom"/>
            <w:hideMark/>
          </w:tcPr>
          <w:p w:rsidR="00793C19" w:rsidRPr="00793C19" w:rsidRDefault="00793C19" w:rsidP="00793C19">
            <w:pPr>
              <w:spacing w:after="0" w:line="240" w:lineRule="auto"/>
              <w:jc w:val="left"/>
              <w:rPr>
                <w:rFonts w:cs="Arial"/>
                <w:color w:val="3E5B00"/>
                <w:sz w:val="16"/>
                <w:szCs w:val="16"/>
                <w:lang w:eastAsia="en-AU"/>
              </w:rPr>
            </w:pPr>
            <w:r w:rsidRPr="00793C19">
              <w:rPr>
                <w:rFonts w:cs="Arial"/>
                <w:color w:val="3E5B00"/>
                <w:sz w:val="16"/>
                <w:szCs w:val="16"/>
                <w:lang w:eastAsia="en-AU"/>
              </w:rPr>
              <w:t>PRIV</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201</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246</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344</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422</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445</w:t>
            </w:r>
          </w:p>
        </w:tc>
        <w:tc>
          <w:tcPr>
            <w:tcW w:w="267"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405</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432</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426</w:t>
            </w:r>
          </w:p>
        </w:tc>
      </w:tr>
      <w:tr w:rsidR="00793C19" w:rsidRPr="00793C19" w:rsidTr="00793C19">
        <w:trPr>
          <w:trHeight w:val="345"/>
        </w:trPr>
        <w:tc>
          <w:tcPr>
            <w:tcW w:w="720" w:type="dxa"/>
            <w:tcBorders>
              <w:top w:val="nil"/>
              <w:left w:val="single" w:sz="4" w:space="0" w:color="5E8A00"/>
              <w:bottom w:val="single" w:sz="4" w:space="0" w:color="5E8A00"/>
              <w:right w:val="single" w:sz="4" w:space="0" w:color="5E8A00"/>
            </w:tcBorders>
            <w:shd w:val="clear" w:color="000000" w:fill="FFFFFF"/>
            <w:noWrap/>
            <w:vAlign w:val="bottom"/>
            <w:hideMark/>
          </w:tcPr>
          <w:p w:rsidR="00793C19" w:rsidRPr="00793C19" w:rsidRDefault="00793C19" w:rsidP="00793C19">
            <w:pPr>
              <w:spacing w:after="0" w:line="240" w:lineRule="auto"/>
              <w:jc w:val="left"/>
              <w:rPr>
                <w:rFonts w:cs="Arial"/>
                <w:color w:val="3E5B00"/>
                <w:sz w:val="16"/>
                <w:szCs w:val="16"/>
                <w:lang w:eastAsia="en-AU"/>
              </w:rPr>
            </w:pPr>
            <w:r w:rsidRPr="00793C19">
              <w:rPr>
                <w:rFonts w:cs="Arial"/>
                <w:color w:val="3E5B00"/>
                <w:sz w:val="16"/>
                <w:szCs w:val="16"/>
                <w:lang w:eastAsia="en-AU"/>
              </w:rPr>
              <w:t>TAFE</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267"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c>
          <w:tcPr>
            <w:tcW w:w="10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18</w:t>
            </w:r>
          </w:p>
        </w:tc>
      </w:tr>
    </w:tbl>
    <w:p w:rsidR="00A516C2" w:rsidRPr="001F29E3" w:rsidRDefault="00A516C2" w:rsidP="00A516C2">
      <w:pPr>
        <w:spacing w:after="0" w:line="240" w:lineRule="auto"/>
        <w:rPr>
          <w:rFonts w:cs="Arial"/>
          <w:sz w:val="16"/>
          <w:szCs w:val="16"/>
        </w:rPr>
      </w:pPr>
      <w:r>
        <w:rPr>
          <w:rFonts w:cs="Arial"/>
          <w:sz w:val="16"/>
          <w:szCs w:val="16"/>
        </w:rPr>
        <w:t>* The</w:t>
      </w:r>
      <w:r w:rsidR="002967D9">
        <w:rPr>
          <w:rFonts w:cs="Arial"/>
          <w:sz w:val="16"/>
          <w:szCs w:val="16"/>
        </w:rPr>
        <w:t xml:space="preserve"> above providers include those providing pre-accredited and accredited subsidised </w:t>
      </w:r>
      <w:r w:rsidR="00734456">
        <w:rPr>
          <w:rFonts w:cs="Arial"/>
          <w:sz w:val="16"/>
          <w:szCs w:val="16"/>
        </w:rPr>
        <w:t>training</w:t>
      </w:r>
      <w:r w:rsidR="002967D9">
        <w:rPr>
          <w:rFonts w:cs="Arial"/>
          <w:sz w:val="16"/>
          <w:szCs w:val="16"/>
        </w:rPr>
        <w:t>. The number of training provider</w:t>
      </w:r>
      <w:r w:rsidR="00734456">
        <w:rPr>
          <w:rFonts w:cs="Arial"/>
          <w:sz w:val="16"/>
          <w:szCs w:val="16"/>
        </w:rPr>
        <w:t>s</w:t>
      </w:r>
      <w:r w:rsidR="002967D9">
        <w:rPr>
          <w:rFonts w:cs="Arial"/>
          <w:sz w:val="16"/>
          <w:szCs w:val="16"/>
        </w:rPr>
        <w:t xml:space="preserve"> with a 2013 Service Agreement </w:t>
      </w:r>
      <w:r w:rsidR="00734456">
        <w:rPr>
          <w:rFonts w:cs="Arial"/>
          <w:sz w:val="16"/>
          <w:szCs w:val="16"/>
        </w:rPr>
        <w:t>was</w:t>
      </w:r>
      <w:r w:rsidR="002967D9">
        <w:rPr>
          <w:rFonts w:cs="Arial"/>
          <w:sz w:val="16"/>
          <w:szCs w:val="16"/>
        </w:rPr>
        <w:t xml:space="preserve"> 488 </w:t>
      </w:r>
      <w:r w:rsidR="00734456">
        <w:rPr>
          <w:rFonts w:cs="Arial"/>
          <w:sz w:val="16"/>
          <w:szCs w:val="16"/>
        </w:rPr>
        <w:t xml:space="preserve">as </w:t>
      </w:r>
      <w:r w:rsidR="002967D9">
        <w:rPr>
          <w:rFonts w:cs="Arial"/>
          <w:sz w:val="16"/>
          <w:szCs w:val="16"/>
        </w:rPr>
        <w:t xml:space="preserve">at </w:t>
      </w:r>
      <w:r w:rsidR="00513F4D">
        <w:rPr>
          <w:rFonts w:cs="Arial"/>
          <w:sz w:val="16"/>
          <w:szCs w:val="16"/>
        </w:rPr>
        <w:t>November</w:t>
      </w:r>
      <w:r w:rsidR="002967D9">
        <w:rPr>
          <w:rFonts w:cs="Arial"/>
          <w:sz w:val="16"/>
          <w:szCs w:val="16"/>
        </w:rPr>
        <w:t xml:space="preserve"> 2013</w:t>
      </w:r>
      <w:r w:rsidR="00513F4D">
        <w:rPr>
          <w:rFonts w:cs="Arial"/>
          <w:sz w:val="16"/>
          <w:szCs w:val="16"/>
        </w:rPr>
        <w:t>.</w:t>
      </w:r>
    </w:p>
    <w:p w:rsidR="00A326AF" w:rsidRPr="00A326AF" w:rsidRDefault="00A326AF" w:rsidP="00A326AF"/>
    <w:p w:rsidR="00927329" w:rsidRPr="001F29E3" w:rsidRDefault="00927329" w:rsidP="00BA7BAF">
      <w:pPr>
        <w:pStyle w:val="Caption"/>
        <w:spacing w:after="0"/>
        <w:jc w:val="left"/>
        <w:rPr>
          <w:rFonts w:cs="Arial"/>
        </w:rPr>
      </w:pPr>
      <w:r w:rsidRPr="001F29E3">
        <w:rPr>
          <w:rFonts w:cs="Arial"/>
        </w:rPr>
        <w:t>Table 1</w:t>
      </w:r>
      <w:r w:rsidR="001A618D">
        <w:rPr>
          <w:rFonts w:cs="Arial"/>
        </w:rPr>
        <w:t>.1</w:t>
      </w:r>
      <w:r w:rsidR="00321ED2">
        <w:rPr>
          <w:rFonts w:cs="Arial"/>
        </w:rPr>
        <w:t>6</w:t>
      </w:r>
      <w:r w:rsidR="00BA7BAF">
        <w:rPr>
          <w:rFonts w:cs="Arial"/>
        </w:rPr>
        <w:t>.1</w:t>
      </w:r>
      <w:r w:rsidR="00C53935" w:rsidRPr="001F29E3">
        <w:rPr>
          <w:rFonts w:cs="Arial"/>
        </w:rPr>
        <w:t xml:space="preserve">: Government subsidised enrolments by </w:t>
      </w:r>
      <w:r w:rsidRPr="001F29E3">
        <w:rPr>
          <w:rFonts w:cs="Arial"/>
        </w:rPr>
        <w:t>provider type, 2008–2012</w:t>
      </w:r>
    </w:p>
    <w:tbl>
      <w:tblPr>
        <w:tblW w:w="8080" w:type="dxa"/>
        <w:tblInd w:w="108" w:type="dxa"/>
        <w:tblLook w:val="04A0" w:firstRow="1" w:lastRow="0" w:firstColumn="1" w:lastColumn="0" w:noHBand="0" w:noVBand="1"/>
      </w:tblPr>
      <w:tblGrid>
        <w:gridCol w:w="1360"/>
        <w:gridCol w:w="1120"/>
        <w:gridCol w:w="1120"/>
        <w:gridCol w:w="1120"/>
        <w:gridCol w:w="1120"/>
        <w:gridCol w:w="1120"/>
        <w:gridCol w:w="1120"/>
      </w:tblGrid>
      <w:tr w:rsidR="00BA7BAF" w:rsidRPr="00BA7BAF" w:rsidTr="00B56F89">
        <w:trPr>
          <w:trHeight w:hRule="exact" w:val="760"/>
        </w:trPr>
        <w:tc>
          <w:tcPr>
            <w:tcW w:w="1360" w:type="dxa"/>
            <w:tcBorders>
              <w:top w:val="single" w:sz="4" w:space="0" w:color="5E8A00"/>
              <w:left w:val="single" w:sz="4" w:space="0" w:color="5E8A00"/>
              <w:bottom w:val="single" w:sz="4" w:space="0" w:color="5E8A00"/>
            </w:tcBorders>
            <w:shd w:val="clear" w:color="000000" w:fill="5E8A00"/>
            <w:noWrap/>
            <w:vAlign w:val="center"/>
            <w:hideMark/>
          </w:tcPr>
          <w:p w:rsidR="00BA7BAF" w:rsidRPr="00BA7BAF" w:rsidRDefault="00BA7BAF" w:rsidP="00F034AF">
            <w:pPr>
              <w:spacing w:after="0" w:line="240" w:lineRule="auto"/>
              <w:ind w:firstLineChars="100" w:firstLine="181"/>
              <w:jc w:val="left"/>
              <w:rPr>
                <w:rFonts w:cs="Arial"/>
                <w:b/>
                <w:bCs/>
                <w:color w:val="FFFFFF"/>
                <w:sz w:val="18"/>
                <w:szCs w:val="18"/>
                <w:lang w:eastAsia="en-AU"/>
              </w:rPr>
            </w:pPr>
            <w:r w:rsidRPr="00BA7BAF">
              <w:rPr>
                <w:rFonts w:cs="Arial"/>
                <w:b/>
                <w:bCs/>
                <w:color w:val="FFFFFF"/>
                <w:sz w:val="18"/>
                <w:szCs w:val="18"/>
                <w:lang w:eastAsia="en-AU"/>
              </w:rPr>
              <w:t> </w:t>
            </w:r>
          </w:p>
        </w:tc>
        <w:tc>
          <w:tcPr>
            <w:tcW w:w="1120" w:type="dxa"/>
            <w:tcBorders>
              <w:top w:val="single" w:sz="4" w:space="0" w:color="5E8A00"/>
              <w:bottom w:val="single" w:sz="4" w:space="0" w:color="5E8A00"/>
            </w:tcBorders>
            <w:shd w:val="clear" w:color="000000" w:fill="5E8A00"/>
            <w:vAlign w:val="center"/>
            <w:hideMark/>
          </w:tcPr>
          <w:p w:rsidR="00BA7BAF" w:rsidRPr="00BA7BAF" w:rsidRDefault="00BA7BAF" w:rsidP="00F034AF">
            <w:pPr>
              <w:spacing w:after="0" w:line="240" w:lineRule="auto"/>
              <w:ind w:firstLineChars="100" w:firstLine="181"/>
              <w:jc w:val="right"/>
              <w:rPr>
                <w:rFonts w:cs="Arial"/>
                <w:b/>
                <w:bCs/>
                <w:color w:val="FFFFFF"/>
                <w:sz w:val="18"/>
                <w:szCs w:val="18"/>
                <w:lang w:eastAsia="en-AU"/>
              </w:rPr>
            </w:pPr>
            <w:r w:rsidRPr="00BA7BAF">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BA7BAF" w:rsidRPr="00BA7BAF" w:rsidRDefault="00BA7BAF" w:rsidP="00F034AF">
            <w:pPr>
              <w:spacing w:after="0" w:line="240" w:lineRule="auto"/>
              <w:ind w:firstLineChars="100" w:firstLine="181"/>
              <w:jc w:val="right"/>
              <w:rPr>
                <w:rFonts w:cs="Arial"/>
                <w:b/>
                <w:bCs/>
                <w:color w:val="FFFFFF"/>
                <w:sz w:val="18"/>
                <w:szCs w:val="18"/>
                <w:lang w:eastAsia="en-AU"/>
              </w:rPr>
            </w:pPr>
            <w:r w:rsidRPr="00BA7BAF">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BA7BAF" w:rsidRPr="00BA7BAF" w:rsidRDefault="00BA7BAF" w:rsidP="00F034AF">
            <w:pPr>
              <w:spacing w:after="0" w:line="240" w:lineRule="auto"/>
              <w:ind w:firstLineChars="100" w:firstLine="181"/>
              <w:jc w:val="right"/>
              <w:rPr>
                <w:rFonts w:cs="Arial"/>
                <w:b/>
                <w:bCs/>
                <w:color w:val="FFFFFF"/>
                <w:sz w:val="18"/>
                <w:szCs w:val="18"/>
                <w:lang w:eastAsia="en-AU"/>
              </w:rPr>
            </w:pPr>
            <w:r w:rsidRPr="00BA7BAF">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BA7BAF" w:rsidRPr="00BA7BAF" w:rsidRDefault="00BA7BAF" w:rsidP="00F034AF">
            <w:pPr>
              <w:spacing w:after="0" w:line="240" w:lineRule="auto"/>
              <w:ind w:firstLineChars="100" w:firstLine="181"/>
              <w:jc w:val="right"/>
              <w:rPr>
                <w:rFonts w:cs="Arial"/>
                <w:b/>
                <w:bCs/>
                <w:color w:val="FFFFFF"/>
                <w:sz w:val="18"/>
                <w:szCs w:val="18"/>
                <w:lang w:eastAsia="en-AU"/>
              </w:rPr>
            </w:pPr>
            <w:r w:rsidRPr="00BA7BAF">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BA7BAF" w:rsidRPr="00BA7BAF" w:rsidRDefault="00BA7BAF" w:rsidP="00F034AF">
            <w:pPr>
              <w:spacing w:after="0" w:line="240" w:lineRule="auto"/>
              <w:ind w:firstLineChars="100" w:firstLine="181"/>
              <w:jc w:val="right"/>
              <w:rPr>
                <w:rFonts w:cs="Arial"/>
                <w:b/>
                <w:bCs/>
                <w:color w:val="FFFFFF"/>
                <w:sz w:val="18"/>
                <w:szCs w:val="18"/>
                <w:lang w:eastAsia="en-AU"/>
              </w:rPr>
            </w:pPr>
            <w:r w:rsidRPr="00BA7BAF">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change</w:t>
            </w:r>
            <w:r w:rsidRPr="00BA7BAF">
              <w:rPr>
                <w:rFonts w:cs="Arial"/>
                <w:b/>
                <w:bCs/>
                <w:color w:val="FFFFFF"/>
                <w:sz w:val="18"/>
                <w:szCs w:val="18"/>
                <w:lang w:eastAsia="en-AU"/>
              </w:rPr>
              <w:br/>
              <w:t>2008-2012</w:t>
            </w:r>
          </w:p>
        </w:tc>
      </w:tr>
      <w:tr w:rsidR="00BA7BAF" w:rsidRPr="00BA7BAF" w:rsidTr="00BA7BAF">
        <w:trPr>
          <w:trHeight w:hRule="exact" w:val="284"/>
        </w:trPr>
        <w:tc>
          <w:tcPr>
            <w:tcW w:w="1360" w:type="dxa"/>
            <w:tcBorders>
              <w:top w:val="nil"/>
              <w:left w:val="single" w:sz="4" w:space="0" w:color="5E8A00"/>
              <w:bottom w:val="single" w:sz="4" w:space="0" w:color="5E8A00"/>
              <w:right w:val="single" w:sz="4" w:space="0" w:color="5E8A00"/>
            </w:tcBorders>
            <w:shd w:val="clear" w:color="000000" w:fill="FFFFFF"/>
            <w:noWrap/>
            <w:vAlign w:val="bottom"/>
            <w:hideMark/>
          </w:tcPr>
          <w:p w:rsidR="00BA7BAF" w:rsidRPr="00BA7BAF" w:rsidRDefault="00BA7BAF" w:rsidP="00BA7BAF">
            <w:pPr>
              <w:spacing w:after="0" w:line="240" w:lineRule="auto"/>
              <w:jc w:val="left"/>
              <w:rPr>
                <w:rFonts w:cs="Arial"/>
                <w:color w:val="3E5B00"/>
                <w:sz w:val="18"/>
                <w:szCs w:val="18"/>
                <w:lang w:eastAsia="en-AU"/>
              </w:rPr>
            </w:pPr>
            <w:r w:rsidRPr="00BA7BAF">
              <w:rPr>
                <w:rFonts w:cs="Arial"/>
                <w:color w:val="3E5B00"/>
                <w:sz w:val="18"/>
                <w:szCs w:val="18"/>
                <w:lang w:eastAsia="en-AU"/>
              </w:rPr>
              <w:t>ACE</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73,800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68,300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63,800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64,600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80,200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9%</w:t>
            </w:r>
          </w:p>
        </w:tc>
      </w:tr>
      <w:tr w:rsidR="00BA7BAF" w:rsidRPr="00BA7BAF" w:rsidTr="00BA7BAF">
        <w:trPr>
          <w:trHeight w:hRule="exact" w:val="284"/>
        </w:trPr>
        <w:tc>
          <w:tcPr>
            <w:tcW w:w="1360" w:type="dxa"/>
            <w:tcBorders>
              <w:top w:val="nil"/>
              <w:left w:val="single" w:sz="4" w:space="0" w:color="5E8A00"/>
              <w:bottom w:val="single" w:sz="4" w:space="0" w:color="5E8A00"/>
              <w:right w:val="single" w:sz="4" w:space="0" w:color="5E8A00"/>
            </w:tcBorders>
            <w:shd w:val="clear" w:color="000000" w:fill="FFFFFF"/>
            <w:noWrap/>
            <w:vAlign w:val="bottom"/>
            <w:hideMark/>
          </w:tcPr>
          <w:p w:rsidR="00BA7BAF" w:rsidRPr="00BA7BAF" w:rsidRDefault="00BA7BAF" w:rsidP="00BA7BAF">
            <w:pPr>
              <w:spacing w:after="0" w:line="240" w:lineRule="auto"/>
              <w:jc w:val="left"/>
              <w:rPr>
                <w:rFonts w:cs="Arial"/>
                <w:color w:val="3E5B00"/>
                <w:sz w:val="18"/>
                <w:szCs w:val="18"/>
                <w:lang w:eastAsia="en-AU"/>
              </w:rPr>
            </w:pPr>
            <w:r w:rsidRPr="00BA7BAF">
              <w:rPr>
                <w:rFonts w:cs="Arial"/>
                <w:color w:val="3E5B00"/>
                <w:sz w:val="18"/>
                <w:szCs w:val="18"/>
                <w:lang w:eastAsia="en-AU"/>
              </w:rPr>
              <w:t>PRIV</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54,000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57,400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99,800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220,700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308,800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472%</w:t>
            </w:r>
          </w:p>
        </w:tc>
      </w:tr>
      <w:tr w:rsidR="00BA7BAF" w:rsidRPr="00BA7BAF" w:rsidTr="00B56F89">
        <w:trPr>
          <w:trHeight w:hRule="exact" w:val="284"/>
        </w:trPr>
        <w:tc>
          <w:tcPr>
            <w:tcW w:w="1360" w:type="dxa"/>
            <w:tcBorders>
              <w:top w:val="nil"/>
              <w:left w:val="single" w:sz="4" w:space="0" w:color="5E8A00"/>
              <w:bottom w:val="single" w:sz="4" w:space="0" w:color="5E8A00"/>
              <w:right w:val="single" w:sz="4" w:space="0" w:color="5E8A00"/>
            </w:tcBorders>
            <w:shd w:val="clear" w:color="000000" w:fill="FFFFFF"/>
            <w:noWrap/>
            <w:vAlign w:val="bottom"/>
            <w:hideMark/>
          </w:tcPr>
          <w:p w:rsidR="00BA7BAF" w:rsidRPr="00BA7BAF" w:rsidRDefault="00BA7BAF" w:rsidP="00BA7BAF">
            <w:pPr>
              <w:spacing w:after="0" w:line="240" w:lineRule="auto"/>
              <w:jc w:val="left"/>
              <w:rPr>
                <w:rFonts w:cs="Arial"/>
                <w:color w:val="3E5B00"/>
                <w:sz w:val="18"/>
                <w:szCs w:val="18"/>
                <w:lang w:eastAsia="en-AU"/>
              </w:rPr>
            </w:pPr>
            <w:r w:rsidRPr="00BA7BAF">
              <w:rPr>
                <w:rFonts w:cs="Arial"/>
                <w:color w:val="3E5B00"/>
                <w:sz w:val="18"/>
                <w:szCs w:val="18"/>
                <w:lang w:eastAsia="en-AU"/>
              </w:rPr>
              <w:t>TAFE</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253,500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251,100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263,300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263,500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 xml:space="preserve">281,400 </w:t>
            </w:r>
          </w:p>
        </w:tc>
        <w:tc>
          <w:tcPr>
            <w:tcW w:w="1120" w:type="dxa"/>
            <w:tcBorders>
              <w:top w:val="nil"/>
              <w:left w:val="nil"/>
              <w:bottom w:val="single" w:sz="4" w:space="0" w:color="5E8A00"/>
              <w:right w:val="single" w:sz="4" w:space="0" w:color="5E8A00"/>
            </w:tcBorders>
            <w:shd w:val="clear" w:color="auto" w:fill="auto"/>
            <w:noWrap/>
            <w:vAlign w:val="center"/>
            <w:hideMark/>
          </w:tcPr>
          <w:p w:rsidR="00BA7BAF" w:rsidRPr="00BA7BAF" w:rsidRDefault="00BA7BAF" w:rsidP="00BA7BAF">
            <w:pPr>
              <w:spacing w:after="0" w:line="240" w:lineRule="auto"/>
              <w:jc w:val="right"/>
              <w:rPr>
                <w:rFonts w:cs="Arial"/>
                <w:sz w:val="18"/>
                <w:szCs w:val="18"/>
                <w:lang w:eastAsia="en-AU"/>
              </w:rPr>
            </w:pPr>
            <w:r w:rsidRPr="00BA7BAF">
              <w:rPr>
                <w:rFonts w:cs="Arial"/>
                <w:sz w:val="18"/>
                <w:szCs w:val="18"/>
                <w:lang w:eastAsia="en-AU"/>
              </w:rPr>
              <w:t>11%</w:t>
            </w:r>
          </w:p>
        </w:tc>
      </w:tr>
      <w:tr w:rsidR="00BA7BAF" w:rsidRPr="00BA7BAF" w:rsidTr="00B56F89">
        <w:trPr>
          <w:trHeight w:hRule="exact" w:val="284"/>
        </w:trPr>
        <w:tc>
          <w:tcPr>
            <w:tcW w:w="1360" w:type="dxa"/>
            <w:tcBorders>
              <w:top w:val="single" w:sz="4" w:space="0" w:color="5E8A00"/>
              <w:left w:val="single" w:sz="4" w:space="0" w:color="5E8A00"/>
              <w:bottom w:val="single" w:sz="4" w:space="0" w:color="5E8A00"/>
            </w:tcBorders>
            <w:shd w:val="clear" w:color="000000" w:fill="5E8A00"/>
            <w:noWrap/>
            <w:vAlign w:val="bottom"/>
            <w:hideMark/>
          </w:tcPr>
          <w:p w:rsidR="00BA7BAF" w:rsidRPr="00BA7BAF" w:rsidRDefault="00BA7BAF" w:rsidP="00BA7BAF">
            <w:pPr>
              <w:spacing w:after="0" w:line="240" w:lineRule="auto"/>
              <w:jc w:val="left"/>
              <w:rPr>
                <w:rFonts w:cs="Arial"/>
                <w:b/>
                <w:bCs/>
                <w:color w:val="FFFFFF"/>
                <w:sz w:val="18"/>
                <w:szCs w:val="18"/>
                <w:lang w:eastAsia="en-AU"/>
              </w:rPr>
            </w:pPr>
            <w:r w:rsidRPr="00BA7BAF">
              <w:rPr>
                <w:rFonts w:cs="Arial"/>
                <w:b/>
                <w:bCs/>
                <w:color w:val="FFFFFF"/>
                <w:sz w:val="18"/>
                <w:szCs w:val="18"/>
                <w:lang w:eastAsia="en-AU"/>
              </w:rPr>
              <w:t>Total</w:t>
            </w:r>
          </w:p>
        </w:tc>
        <w:tc>
          <w:tcPr>
            <w:tcW w:w="1120" w:type="dxa"/>
            <w:tcBorders>
              <w:top w:val="single" w:sz="4" w:space="0" w:color="5E8A00"/>
              <w:bottom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xml:space="preserve">381,300 </w:t>
            </w:r>
          </w:p>
        </w:tc>
        <w:tc>
          <w:tcPr>
            <w:tcW w:w="1120" w:type="dxa"/>
            <w:tcBorders>
              <w:top w:val="single" w:sz="4" w:space="0" w:color="5E8A00"/>
              <w:bottom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xml:space="preserve">376,800 </w:t>
            </w:r>
          </w:p>
        </w:tc>
        <w:tc>
          <w:tcPr>
            <w:tcW w:w="1120" w:type="dxa"/>
            <w:tcBorders>
              <w:top w:val="single" w:sz="4" w:space="0" w:color="5E8A00"/>
              <w:bottom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xml:space="preserve">426,900 </w:t>
            </w:r>
          </w:p>
        </w:tc>
        <w:tc>
          <w:tcPr>
            <w:tcW w:w="1120" w:type="dxa"/>
            <w:tcBorders>
              <w:top w:val="single" w:sz="4" w:space="0" w:color="5E8A00"/>
              <w:bottom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xml:space="preserve">548,700 </w:t>
            </w:r>
          </w:p>
        </w:tc>
        <w:tc>
          <w:tcPr>
            <w:tcW w:w="1120" w:type="dxa"/>
            <w:tcBorders>
              <w:top w:val="single" w:sz="4" w:space="0" w:color="5E8A00"/>
              <w:bottom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 xml:space="preserve">670,400 </w:t>
            </w:r>
          </w:p>
        </w:tc>
        <w:tc>
          <w:tcPr>
            <w:tcW w:w="1120" w:type="dxa"/>
            <w:tcBorders>
              <w:top w:val="single" w:sz="4" w:space="0" w:color="5E8A00"/>
              <w:bottom w:val="single" w:sz="4" w:space="0" w:color="5E8A00"/>
              <w:right w:val="single" w:sz="4" w:space="0" w:color="5E8A00"/>
            </w:tcBorders>
            <w:shd w:val="clear" w:color="000000" w:fill="5E8A00"/>
            <w:noWrap/>
            <w:vAlign w:val="center"/>
            <w:hideMark/>
          </w:tcPr>
          <w:p w:rsidR="00BA7BAF" w:rsidRPr="00BA7BAF" w:rsidRDefault="00BA7BAF" w:rsidP="00BA7BAF">
            <w:pPr>
              <w:spacing w:after="0" w:line="240" w:lineRule="auto"/>
              <w:jc w:val="right"/>
              <w:rPr>
                <w:rFonts w:cs="Arial"/>
                <w:b/>
                <w:bCs/>
                <w:color w:val="FFFFFF"/>
                <w:sz w:val="18"/>
                <w:szCs w:val="18"/>
                <w:lang w:eastAsia="en-AU"/>
              </w:rPr>
            </w:pPr>
            <w:r w:rsidRPr="00BA7BAF">
              <w:rPr>
                <w:rFonts w:cs="Arial"/>
                <w:b/>
                <w:bCs/>
                <w:color w:val="FFFFFF"/>
                <w:sz w:val="18"/>
                <w:szCs w:val="18"/>
                <w:lang w:eastAsia="en-AU"/>
              </w:rPr>
              <w:t>76%</w:t>
            </w:r>
          </w:p>
        </w:tc>
      </w:tr>
    </w:tbl>
    <w:p w:rsidR="00927329" w:rsidRDefault="00927329" w:rsidP="00927329">
      <w:pPr>
        <w:rPr>
          <w:rFonts w:cs="Arial"/>
        </w:rPr>
      </w:pPr>
    </w:p>
    <w:p w:rsidR="00BA7BAF" w:rsidRDefault="00BA7BAF" w:rsidP="00BA7BAF">
      <w:pPr>
        <w:pStyle w:val="Caption"/>
        <w:spacing w:after="0"/>
        <w:jc w:val="left"/>
        <w:rPr>
          <w:rFonts w:cs="Arial"/>
        </w:rPr>
      </w:pPr>
      <w:r w:rsidRPr="001F29E3">
        <w:rPr>
          <w:rFonts w:cs="Arial"/>
        </w:rPr>
        <w:t>Table 1</w:t>
      </w:r>
      <w:r>
        <w:rPr>
          <w:rFonts w:cs="Arial"/>
        </w:rPr>
        <w:t>.1</w:t>
      </w:r>
      <w:r w:rsidR="00321ED2">
        <w:rPr>
          <w:rFonts w:cs="Arial"/>
        </w:rPr>
        <w:t>6</w:t>
      </w:r>
      <w:r>
        <w:rPr>
          <w:rFonts w:cs="Arial"/>
        </w:rPr>
        <w:t>.2</w:t>
      </w:r>
      <w:r w:rsidRPr="001F29E3">
        <w:rPr>
          <w:rFonts w:cs="Arial"/>
        </w:rPr>
        <w:t xml:space="preserve">: Government subsidised enrolments by provider type, </w:t>
      </w:r>
      <w:r>
        <w:rPr>
          <w:rFonts w:cs="Arial"/>
        </w:rPr>
        <w:t>Q</w:t>
      </w:r>
      <w:r w:rsidR="00793C19">
        <w:rPr>
          <w:rFonts w:cs="Arial"/>
        </w:rPr>
        <w:t>3</w:t>
      </w:r>
      <w:r>
        <w:rPr>
          <w:rFonts w:cs="Arial"/>
        </w:rPr>
        <w:t xml:space="preserve"> 2011, </w:t>
      </w:r>
      <w:r w:rsidRPr="001F29E3">
        <w:rPr>
          <w:rFonts w:cs="Arial"/>
        </w:rPr>
        <w:t>Q</w:t>
      </w:r>
      <w:r w:rsidR="00793C19">
        <w:rPr>
          <w:rFonts w:cs="Arial"/>
        </w:rPr>
        <w:t>3</w:t>
      </w:r>
      <w:r w:rsidRPr="001F29E3">
        <w:rPr>
          <w:rFonts w:cs="Arial"/>
        </w:rPr>
        <w:t xml:space="preserve"> 2012 and Q</w:t>
      </w:r>
      <w:r w:rsidR="00793C19">
        <w:rPr>
          <w:rFonts w:cs="Arial"/>
        </w:rPr>
        <w:t>3</w:t>
      </w:r>
      <w:r w:rsidRPr="001F29E3">
        <w:rPr>
          <w:rFonts w:cs="Arial"/>
        </w:rPr>
        <w:t xml:space="preserve"> 2013</w:t>
      </w:r>
    </w:p>
    <w:tbl>
      <w:tblPr>
        <w:tblW w:w="6960" w:type="dxa"/>
        <w:tblInd w:w="103" w:type="dxa"/>
        <w:tblLook w:val="04A0" w:firstRow="1" w:lastRow="0" w:firstColumn="1" w:lastColumn="0" w:noHBand="0" w:noVBand="1"/>
      </w:tblPr>
      <w:tblGrid>
        <w:gridCol w:w="1360"/>
        <w:gridCol w:w="1120"/>
        <w:gridCol w:w="1120"/>
        <w:gridCol w:w="1120"/>
        <w:gridCol w:w="1120"/>
        <w:gridCol w:w="1120"/>
      </w:tblGrid>
      <w:tr w:rsidR="00793C19" w:rsidRPr="00793C19" w:rsidTr="00793C19">
        <w:trPr>
          <w:trHeight w:hRule="exact" w:val="760"/>
        </w:trPr>
        <w:tc>
          <w:tcPr>
            <w:tcW w:w="1360" w:type="dxa"/>
            <w:tcBorders>
              <w:top w:val="single" w:sz="4" w:space="0" w:color="5E8A00"/>
              <w:left w:val="single" w:sz="4" w:space="0" w:color="5E8A00"/>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ind w:firstLineChars="100" w:firstLine="181"/>
              <w:jc w:val="right"/>
              <w:rPr>
                <w:rFonts w:cs="Arial"/>
                <w:b/>
                <w:bCs/>
                <w:color w:val="FFFFFF"/>
                <w:sz w:val="18"/>
                <w:szCs w:val="18"/>
                <w:lang w:eastAsia="en-AU"/>
              </w:rPr>
            </w:pPr>
            <w:r w:rsidRPr="00793C19">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 change</w:t>
            </w:r>
            <w:r w:rsidRPr="00793C19">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 change</w:t>
            </w:r>
            <w:r w:rsidRPr="00793C19">
              <w:rPr>
                <w:rFonts w:cs="Arial"/>
                <w:b/>
                <w:bCs/>
                <w:color w:val="FFFFFF"/>
                <w:sz w:val="18"/>
                <w:szCs w:val="18"/>
                <w:lang w:eastAsia="en-AU"/>
              </w:rPr>
              <w:br/>
              <w:t>Q3 2012-Q3 2013</w:t>
            </w:r>
          </w:p>
        </w:tc>
      </w:tr>
      <w:tr w:rsidR="00793C19" w:rsidRPr="00793C19" w:rsidTr="00793C19">
        <w:trPr>
          <w:trHeight w:hRule="exact" w:val="284"/>
        </w:trPr>
        <w:tc>
          <w:tcPr>
            <w:tcW w:w="1360" w:type="dxa"/>
            <w:tcBorders>
              <w:top w:val="nil"/>
              <w:left w:val="single" w:sz="4" w:space="0" w:color="5E8A00"/>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left"/>
              <w:rPr>
                <w:rFonts w:cs="Arial"/>
                <w:sz w:val="18"/>
                <w:szCs w:val="18"/>
                <w:lang w:eastAsia="en-AU"/>
              </w:rPr>
            </w:pPr>
            <w:r w:rsidRPr="00793C19">
              <w:rPr>
                <w:rFonts w:cs="Arial"/>
                <w:sz w:val="18"/>
                <w:szCs w:val="18"/>
                <w:lang w:eastAsia="en-AU"/>
              </w:rPr>
              <w:t xml:space="preserve"> ACE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47,800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62,300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57,300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20%</w:t>
            </w:r>
          </w:p>
        </w:tc>
        <w:tc>
          <w:tcPr>
            <w:tcW w:w="1120" w:type="dxa"/>
            <w:tcBorders>
              <w:top w:val="nil"/>
              <w:left w:val="nil"/>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-8%</w:t>
            </w:r>
          </w:p>
        </w:tc>
      </w:tr>
      <w:tr w:rsidR="00793C19" w:rsidRPr="00793C19" w:rsidTr="00793C19">
        <w:trPr>
          <w:trHeight w:hRule="exact" w:val="284"/>
        </w:trPr>
        <w:tc>
          <w:tcPr>
            <w:tcW w:w="1360" w:type="dxa"/>
            <w:tcBorders>
              <w:top w:val="nil"/>
              <w:left w:val="single" w:sz="4" w:space="0" w:color="5E8A00"/>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left"/>
              <w:rPr>
                <w:rFonts w:cs="Arial"/>
                <w:sz w:val="18"/>
                <w:szCs w:val="18"/>
                <w:lang w:eastAsia="en-AU"/>
              </w:rPr>
            </w:pPr>
            <w:r w:rsidRPr="00793C19">
              <w:rPr>
                <w:rFonts w:cs="Arial"/>
                <w:sz w:val="18"/>
                <w:szCs w:val="18"/>
                <w:lang w:eastAsia="en-AU"/>
              </w:rPr>
              <w:t xml:space="preserve"> PRIV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157,500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255,100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239,300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52%</w:t>
            </w:r>
          </w:p>
        </w:tc>
        <w:tc>
          <w:tcPr>
            <w:tcW w:w="1120" w:type="dxa"/>
            <w:tcBorders>
              <w:top w:val="nil"/>
              <w:left w:val="nil"/>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-6%</w:t>
            </w:r>
          </w:p>
        </w:tc>
      </w:tr>
      <w:tr w:rsidR="00793C19" w:rsidRPr="00793C19" w:rsidTr="00793C19">
        <w:trPr>
          <w:trHeight w:hRule="exact" w:val="284"/>
        </w:trPr>
        <w:tc>
          <w:tcPr>
            <w:tcW w:w="1360" w:type="dxa"/>
            <w:tcBorders>
              <w:top w:val="nil"/>
              <w:left w:val="single" w:sz="4" w:space="0" w:color="5E8A00"/>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left"/>
              <w:rPr>
                <w:rFonts w:cs="Arial"/>
                <w:sz w:val="18"/>
                <w:szCs w:val="18"/>
                <w:lang w:eastAsia="en-AU"/>
              </w:rPr>
            </w:pPr>
            <w:r w:rsidRPr="00793C19">
              <w:rPr>
                <w:rFonts w:cs="Arial"/>
                <w:sz w:val="18"/>
                <w:szCs w:val="18"/>
                <w:lang w:eastAsia="en-AU"/>
              </w:rPr>
              <w:t xml:space="preserve"> TAFE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231,500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262,200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 xml:space="preserve">233,300 </w:t>
            </w:r>
          </w:p>
        </w:tc>
        <w:tc>
          <w:tcPr>
            <w:tcW w:w="1120" w:type="dxa"/>
            <w:tcBorders>
              <w:top w:val="nil"/>
              <w:left w:val="nil"/>
              <w:bottom w:val="single" w:sz="4" w:space="0" w:color="5E8A00"/>
              <w:right w:val="single" w:sz="4" w:space="0" w:color="5E8A00"/>
            </w:tcBorders>
            <w:shd w:val="clear" w:color="auto" w:fill="auto"/>
            <w:noWrap/>
            <w:vAlign w:val="center"/>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w:t>
            </w:r>
          </w:p>
        </w:tc>
        <w:tc>
          <w:tcPr>
            <w:tcW w:w="1120" w:type="dxa"/>
            <w:tcBorders>
              <w:top w:val="nil"/>
              <w:left w:val="nil"/>
              <w:bottom w:val="single" w:sz="4" w:space="0" w:color="5E8A00"/>
              <w:right w:val="single" w:sz="4" w:space="0" w:color="5E8A00"/>
            </w:tcBorders>
            <w:shd w:val="clear" w:color="auto" w:fill="auto"/>
            <w:noWrap/>
            <w:vAlign w:val="bottom"/>
            <w:hideMark/>
          </w:tcPr>
          <w:p w:rsidR="00793C19" w:rsidRPr="00793C19" w:rsidRDefault="00793C19" w:rsidP="00793C19">
            <w:pPr>
              <w:spacing w:after="0" w:line="240" w:lineRule="auto"/>
              <w:jc w:val="right"/>
              <w:rPr>
                <w:rFonts w:cs="Arial"/>
                <w:sz w:val="18"/>
                <w:szCs w:val="18"/>
                <w:lang w:eastAsia="en-AU"/>
              </w:rPr>
            </w:pPr>
            <w:r w:rsidRPr="00793C19">
              <w:rPr>
                <w:rFonts w:cs="Arial"/>
                <w:sz w:val="18"/>
                <w:szCs w:val="18"/>
                <w:lang w:eastAsia="en-AU"/>
              </w:rPr>
              <w:t>-11%</w:t>
            </w:r>
          </w:p>
        </w:tc>
      </w:tr>
      <w:tr w:rsidR="00793C19" w:rsidRPr="00793C19" w:rsidTr="00793C19">
        <w:trPr>
          <w:trHeight w:hRule="exact" w:val="284"/>
        </w:trPr>
        <w:tc>
          <w:tcPr>
            <w:tcW w:w="1360" w:type="dxa"/>
            <w:tcBorders>
              <w:top w:val="nil"/>
              <w:left w:val="single" w:sz="4" w:space="0" w:color="5E8A00"/>
              <w:bottom w:val="single" w:sz="4" w:space="0" w:color="5E8A00"/>
              <w:right w:val="single" w:sz="4" w:space="0" w:color="5E8A00"/>
            </w:tcBorders>
            <w:shd w:val="clear" w:color="000000" w:fill="5E8A00"/>
            <w:noWrap/>
            <w:vAlign w:val="bottom"/>
            <w:hideMark/>
          </w:tcPr>
          <w:p w:rsidR="00793C19" w:rsidRPr="00793C19" w:rsidRDefault="00793C19" w:rsidP="00793C19">
            <w:pPr>
              <w:spacing w:after="0" w:line="240" w:lineRule="auto"/>
              <w:jc w:val="left"/>
              <w:rPr>
                <w:rFonts w:cs="Arial"/>
                <w:b/>
                <w:bCs/>
                <w:color w:val="FFFFFF"/>
                <w:sz w:val="18"/>
                <w:szCs w:val="18"/>
                <w:lang w:eastAsia="en-AU"/>
              </w:rPr>
            </w:pPr>
            <w:r w:rsidRPr="00793C19">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 xml:space="preserve">436,800 </w:t>
            </w:r>
          </w:p>
        </w:tc>
        <w:tc>
          <w:tcPr>
            <w:tcW w:w="1120" w:type="dxa"/>
            <w:tcBorders>
              <w:top w:val="nil"/>
              <w:left w:val="nil"/>
              <w:bottom w:val="nil"/>
              <w:right w:val="single" w:sz="4" w:space="0" w:color="5E8A00"/>
            </w:tcBorders>
            <w:shd w:val="clear" w:color="000000" w:fill="5E8A00"/>
            <w:noWrap/>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 xml:space="preserve">579,700 </w:t>
            </w:r>
          </w:p>
        </w:tc>
        <w:tc>
          <w:tcPr>
            <w:tcW w:w="1120" w:type="dxa"/>
            <w:tcBorders>
              <w:top w:val="nil"/>
              <w:left w:val="nil"/>
              <w:bottom w:val="nil"/>
              <w:right w:val="single" w:sz="4" w:space="0" w:color="5E8A00"/>
            </w:tcBorders>
            <w:shd w:val="clear" w:color="000000" w:fill="5E8A00"/>
            <w:noWrap/>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 xml:space="preserve">529,900 </w:t>
            </w:r>
          </w:p>
        </w:tc>
        <w:tc>
          <w:tcPr>
            <w:tcW w:w="1120" w:type="dxa"/>
            <w:tcBorders>
              <w:top w:val="nil"/>
              <w:left w:val="nil"/>
              <w:bottom w:val="nil"/>
              <w:right w:val="single" w:sz="4" w:space="0" w:color="5E8A00"/>
            </w:tcBorders>
            <w:shd w:val="clear" w:color="000000" w:fill="5E8A00"/>
            <w:noWrap/>
            <w:vAlign w:val="center"/>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21%</w:t>
            </w:r>
          </w:p>
        </w:tc>
        <w:tc>
          <w:tcPr>
            <w:tcW w:w="1120" w:type="dxa"/>
            <w:tcBorders>
              <w:top w:val="nil"/>
              <w:left w:val="nil"/>
              <w:bottom w:val="single" w:sz="4" w:space="0" w:color="5E8A00"/>
              <w:right w:val="single" w:sz="4" w:space="0" w:color="5E8A00"/>
            </w:tcBorders>
            <w:shd w:val="clear" w:color="000000" w:fill="5E8A00"/>
            <w:noWrap/>
            <w:vAlign w:val="bottom"/>
            <w:hideMark/>
          </w:tcPr>
          <w:p w:rsidR="00793C19" w:rsidRPr="00793C19" w:rsidRDefault="00793C19" w:rsidP="00793C19">
            <w:pPr>
              <w:spacing w:after="0" w:line="240" w:lineRule="auto"/>
              <w:jc w:val="right"/>
              <w:rPr>
                <w:rFonts w:cs="Arial"/>
                <w:b/>
                <w:bCs/>
                <w:color w:val="FFFFFF"/>
                <w:sz w:val="18"/>
                <w:szCs w:val="18"/>
                <w:lang w:eastAsia="en-AU"/>
              </w:rPr>
            </w:pPr>
            <w:r w:rsidRPr="00793C19">
              <w:rPr>
                <w:rFonts w:cs="Arial"/>
                <w:b/>
                <w:bCs/>
                <w:color w:val="FFFFFF"/>
                <w:sz w:val="18"/>
                <w:szCs w:val="18"/>
                <w:lang w:eastAsia="en-AU"/>
              </w:rPr>
              <w:t>-9%</w:t>
            </w:r>
          </w:p>
        </w:tc>
      </w:tr>
    </w:tbl>
    <w:p w:rsidR="00A326AF" w:rsidRDefault="00A326AF" w:rsidP="001A618D">
      <w:pPr>
        <w:pStyle w:val="Caption"/>
        <w:jc w:val="left"/>
        <w:rPr>
          <w:rFonts w:cs="Arial"/>
        </w:rPr>
      </w:pPr>
    </w:p>
    <w:p w:rsidR="004E28E6" w:rsidRDefault="004E28E6">
      <w:pPr>
        <w:spacing w:after="0" w:line="240" w:lineRule="auto"/>
        <w:jc w:val="left"/>
        <w:rPr>
          <w:rFonts w:cs="Arial"/>
          <w:b/>
          <w:bCs/>
          <w:color w:val="76923C" w:themeColor="accent3" w:themeShade="BF"/>
          <w:sz w:val="18"/>
          <w:szCs w:val="16"/>
        </w:rPr>
      </w:pPr>
    </w:p>
    <w:p w:rsidR="00F31E54" w:rsidRPr="001F29E3" w:rsidRDefault="00F31E54" w:rsidP="001A618D">
      <w:pPr>
        <w:pStyle w:val="Caption"/>
        <w:jc w:val="left"/>
        <w:rPr>
          <w:rFonts w:cs="Arial"/>
        </w:rPr>
      </w:pPr>
      <w:r w:rsidRPr="001F29E3">
        <w:rPr>
          <w:rFonts w:cs="Arial"/>
        </w:rPr>
        <w:t>Figure 1.</w:t>
      </w:r>
      <w:r w:rsidR="00321ED2">
        <w:rPr>
          <w:rFonts w:cs="Arial"/>
        </w:rPr>
        <w:t>6</w:t>
      </w:r>
      <w:r w:rsidR="002F07A2">
        <w:rPr>
          <w:rFonts w:cs="Arial"/>
        </w:rPr>
        <w:t>: Proportional s</w:t>
      </w:r>
      <w:r w:rsidR="005C59EC">
        <w:rPr>
          <w:rFonts w:cs="Arial"/>
        </w:rPr>
        <w:t>hare of G</w:t>
      </w:r>
      <w:r w:rsidRPr="001F29E3">
        <w:rPr>
          <w:rFonts w:cs="Arial"/>
        </w:rPr>
        <w:t xml:space="preserve">overnment subsidised enrolments by provider type, </w:t>
      </w:r>
      <w:r w:rsidR="00793C19">
        <w:rPr>
          <w:rFonts w:cs="Arial"/>
        </w:rPr>
        <w:t xml:space="preserve">Q3 2011, </w:t>
      </w:r>
      <w:r w:rsidRPr="001F29E3">
        <w:rPr>
          <w:rFonts w:cs="Arial"/>
        </w:rPr>
        <w:t>Q</w:t>
      </w:r>
      <w:r w:rsidR="00793C19">
        <w:rPr>
          <w:rFonts w:cs="Arial"/>
        </w:rPr>
        <w:t>3</w:t>
      </w:r>
      <w:r w:rsidRPr="001F29E3">
        <w:rPr>
          <w:rFonts w:cs="Arial"/>
        </w:rPr>
        <w:t xml:space="preserve"> 2012 and Q</w:t>
      </w:r>
      <w:r w:rsidR="00793C19">
        <w:rPr>
          <w:rFonts w:cs="Arial"/>
        </w:rPr>
        <w:t>3</w:t>
      </w:r>
      <w:r w:rsidRPr="001F29E3">
        <w:rPr>
          <w:rFonts w:cs="Arial"/>
        </w:rPr>
        <w:t xml:space="preserve"> 2013</w:t>
      </w:r>
    </w:p>
    <w:p w:rsidR="00C53935" w:rsidRPr="001F29E3" w:rsidRDefault="00793C19" w:rsidP="00D5609A">
      <w:pPr>
        <w:jc w:val="left"/>
        <w:rPr>
          <w:rFonts w:cs="Arial"/>
        </w:rPr>
      </w:pPr>
      <w:r>
        <w:rPr>
          <w:rFonts w:cs="Arial"/>
          <w:noProof/>
          <w:lang w:eastAsia="en-AU"/>
        </w:rPr>
        <w:drawing>
          <wp:inline distT="0" distB="0" distL="0" distR="0" wp14:anchorId="5B230E24" wp14:editId="6AE26C71">
            <wp:extent cx="5231130" cy="3011805"/>
            <wp:effectExtent l="0" t="0" r="0" b="0"/>
            <wp:docPr id="30" name="Picture 30" descr="This chart presents the percentage of government subsidised enrolments in TAFE, private RTOs and ACE sectors in Q3 2011, Q3 2012 and Q3 2013." title="Figure 1.6: Proportional share of Government subsidised enrolments by provider type,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3011805"/>
                    </a:xfrm>
                    <a:prstGeom prst="rect">
                      <a:avLst/>
                    </a:prstGeom>
                    <a:noFill/>
                  </pic:spPr>
                </pic:pic>
              </a:graphicData>
            </a:graphic>
          </wp:inline>
        </w:drawing>
      </w:r>
    </w:p>
    <w:p w:rsidR="00F31E54" w:rsidRDefault="00F31E54" w:rsidP="00927329">
      <w:pPr>
        <w:rPr>
          <w:rFonts w:cs="Arial"/>
        </w:rPr>
      </w:pPr>
    </w:p>
    <w:p w:rsidR="00E5780A" w:rsidRDefault="001B6ED9" w:rsidP="00E5780A">
      <w:pPr>
        <w:pStyle w:val="Caption"/>
        <w:spacing w:before="240" w:after="0"/>
        <w:ind w:right="-11"/>
        <w:jc w:val="left"/>
      </w:pPr>
      <w:r>
        <w:t xml:space="preserve">Table </w:t>
      </w:r>
      <w:r w:rsidR="00E5780A">
        <w:t>1.1</w:t>
      </w:r>
      <w:r w:rsidR="00321ED2">
        <w:t>7</w:t>
      </w:r>
      <w:r>
        <w:t xml:space="preserve">: </w:t>
      </w:r>
      <w:r w:rsidRPr="001B6ED9">
        <w:t>Government subsidised enrolments</w:t>
      </w:r>
      <w:r>
        <w:t xml:space="preserve"> (</w:t>
      </w:r>
      <w:r w:rsidRPr="001B6ED9">
        <w:t>AQF1+</w:t>
      </w:r>
      <w:r>
        <w:t>)</w:t>
      </w:r>
      <w:r w:rsidRPr="001B6ED9">
        <w:t xml:space="preserve">, proportional </w:t>
      </w:r>
      <w:r w:rsidR="00F1035A">
        <w:t>share</w:t>
      </w:r>
      <w:r w:rsidRPr="001B6ED9">
        <w:t xml:space="preserve"> across provider types by industry</w:t>
      </w:r>
      <w:r>
        <w:t>, Q</w:t>
      </w:r>
      <w:r w:rsidR="00597113">
        <w:t>3</w:t>
      </w:r>
      <w:r>
        <w:t xml:space="preserve"> 2013</w:t>
      </w:r>
    </w:p>
    <w:tbl>
      <w:tblPr>
        <w:tblW w:w="7740" w:type="dxa"/>
        <w:tblInd w:w="103" w:type="dxa"/>
        <w:tblLook w:val="04A0" w:firstRow="1" w:lastRow="0" w:firstColumn="1" w:lastColumn="0" w:noHBand="0" w:noVBand="1"/>
      </w:tblPr>
      <w:tblGrid>
        <w:gridCol w:w="3900"/>
        <w:gridCol w:w="960"/>
        <w:gridCol w:w="960"/>
        <w:gridCol w:w="960"/>
        <w:gridCol w:w="960"/>
      </w:tblGrid>
      <w:tr w:rsidR="00597113" w:rsidRPr="00597113" w:rsidTr="00597113">
        <w:trPr>
          <w:trHeight w:hRule="exact" w:val="760"/>
        </w:trPr>
        <w:tc>
          <w:tcPr>
            <w:tcW w:w="3900" w:type="dxa"/>
            <w:tcBorders>
              <w:top w:val="single" w:sz="4" w:space="0" w:color="5E8A00"/>
              <w:left w:val="single" w:sz="4" w:space="0" w:color="5E8A00"/>
              <w:bottom w:val="single" w:sz="4" w:space="0" w:color="5E8A00"/>
              <w:right w:val="single" w:sz="4" w:space="0" w:color="5E8A00"/>
            </w:tcBorders>
            <w:shd w:val="clear" w:color="000000" w:fill="5E8A00"/>
            <w:vAlign w:val="center"/>
            <w:hideMark/>
          </w:tcPr>
          <w:p w:rsidR="00597113" w:rsidRPr="00597113" w:rsidRDefault="00597113" w:rsidP="00597113">
            <w:pPr>
              <w:spacing w:after="0" w:line="240" w:lineRule="auto"/>
              <w:ind w:firstLineChars="100" w:firstLine="161"/>
              <w:jc w:val="right"/>
              <w:rPr>
                <w:rFonts w:cs="Arial"/>
                <w:b/>
                <w:bCs/>
                <w:color w:val="FFFFFF"/>
                <w:sz w:val="16"/>
                <w:szCs w:val="16"/>
                <w:lang w:eastAsia="en-AU"/>
              </w:rPr>
            </w:pPr>
            <w:r w:rsidRPr="00597113">
              <w:rPr>
                <w:rFonts w:cs="Arial"/>
                <w:b/>
                <w:bCs/>
                <w:color w:val="FFFFFF"/>
                <w:sz w:val="16"/>
                <w:szCs w:val="16"/>
                <w:lang w:eastAsia="en-AU"/>
              </w:rPr>
              <w:t> </w:t>
            </w:r>
          </w:p>
        </w:tc>
        <w:tc>
          <w:tcPr>
            <w:tcW w:w="960" w:type="dxa"/>
            <w:tcBorders>
              <w:top w:val="single" w:sz="4" w:space="0" w:color="5E8A00"/>
              <w:left w:val="nil"/>
              <w:bottom w:val="single" w:sz="4" w:space="0" w:color="5E8A00"/>
              <w:right w:val="single" w:sz="4" w:space="0" w:color="5E8A00"/>
            </w:tcBorders>
            <w:shd w:val="clear" w:color="000000" w:fill="5E8A00"/>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TAFE</w:t>
            </w:r>
          </w:p>
        </w:tc>
        <w:tc>
          <w:tcPr>
            <w:tcW w:w="960" w:type="dxa"/>
            <w:tcBorders>
              <w:top w:val="single" w:sz="4" w:space="0" w:color="5E8A00"/>
              <w:left w:val="nil"/>
              <w:bottom w:val="single" w:sz="4" w:space="0" w:color="5E8A00"/>
              <w:right w:val="single" w:sz="4" w:space="0" w:color="5E8A00"/>
            </w:tcBorders>
            <w:shd w:val="clear" w:color="000000" w:fill="5E8A00"/>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Private RTOs</w:t>
            </w:r>
          </w:p>
        </w:tc>
        <w:tc>
          <w:tcPr>
            <w:tcW w:w="960" w:type="dxa"/>
            <w:tcBorders>
              <w:top w:val="single" w:sz="4" w:space="0" w:color="5E8A00"/>
              <w:left w:val="nil"/>
              <w:bottom w:val="single" w:sz="4" w:space="0" w:color="5E8A00"/>
              <w:right w:val="single" w:sz="4" w:space="0" w:color="5E8A00"/>
            </w:tcBorders>
            <w:shd w:val="clear" w:color="000000" w:fill="5E8A00"/>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ACE</w:t>
            </w:r>
          </w:p>
        </w:tc>
        <w:tc>
          <w:tcPr>
            <w:tcW w:w="960" w:type="dxa"/>
            <w:tcBorders>
              <w:top w:val="single" w:sz="4" w:space="0" w:color="5E8A00"/>
              <w:left w:val="nil"/>
              <w:bottom w:val="single" w:sz="4" w:space="0" w:color="5E8A00"/>
              <w:right w:val="single" w:sz="4" w:space="0" w:color="5E8A00"/>
            </w:tcBorders>
            <w:shd w:val="clear" w:color="000000" w:fill="5E8A00"/>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Total (number)</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A: Agriculture, Forestry and Fishing</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5,300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B: Mining</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79%</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300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C: Manufacturing</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38%</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62%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32,900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D: Electricity, Gas, Water and Waste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84%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16%</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600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E: Construction</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49,400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F: Wholesale Trade</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84%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800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G: Retail Trade</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13,200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H: Accommodation and Food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23,100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I: Transport, Postal and Warehousing</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77%</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31,200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J: Information Media and Telecommunications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81%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17%</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3,100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K: Financial and Insurance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86%</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2,700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L: Rental, Hiring and Real Estate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49%</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1,500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M: Professional, Scientific and Technical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95%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9,900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N: Administrative and Support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27%</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70%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12,200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O: Public Administration and Safety</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67%</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6,600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P: Education and Training</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47%</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10,000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Q: Health Care and Social Assistance</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58%</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11%</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72,500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R: Arts and Recreation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14,100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S: Other Services</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54%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18,100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T: Cross-industry</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28%</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68%</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52,200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U: Foundation Skills and LOTE</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60%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29%</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12%</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130,200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FFFFFF"/>
            <w:noWrap/>
            <w:vAlign w:val="bottom"/>
            <w:hideMark/>
          </w:tcPr>
          <w:p w:rsidR="00597113" w:rsidRPr="00597113" w:rsidRDefault="00597113" w:rsidP="00597113">
            <w:pPr>
              <w:spacing w:after="0" w:line="240" w:lineRule="auto"/>
              <w:jc w:val="left"/>
              <w:rPr>
                <w:rFonts w:cs="Arial"/>
                <w:color w:val="3E5B00"/>
                <w:sz w:val="16"/>
                <w:szCs w:val="16"/>
                <w:lang w:eastAsia="en-AU"/>
              </w:rPr>
            </w:pPr>
            <w:r w:rsidRPr="00597113">
              <w:rPr>
                <w:rFonts w:cs="Arial"/>
                <w:color w:val="3E5B00"/>
                <w:sz w:val="16"/>
                <w:szCs w:val="16"/>
                <w:lang w:eastAsia="en-AU"/>
              </w:rPr>
              <w:t>Not applicable / Unknown</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36%</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44%</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20%</w:t>
            </w:r>
          </w:p>
        </w:tc>
        <w:tc>
          <w:tcPr>
            <w:tcW w:w="960" w:type="dxa"/>
            <w:tcBorders>
              <w:top w:val="nil"/>
              <w:left w:val="nil"/>
              <w:bottom w:val="single" w:sz="4" w:space="0" w:color="5E8A00"/>
              <w:right w:val="single" w:sz="4" w:space="0" w:color="5E8A00"/>
            </w:tcBorders>
            <w:shd w:val="clear" w:color="auto" w:fill="auto"/>
            <w:noWrap/>
            <w:vAlign w:val="center"/>
            <w:hideMark/>
          </w:tcPr>
          <w:p w:rsidR="00597113" w:rsidRPr="00597113" w:rsidRDefault="00597113" w:rsidP="00597113">
            <w:pPr>
              <w:spacing w:after="0" w:line="240" w:lineRule="auto"/>
              <w:jc w:val="right"/>
              <w:rPr>
                <w:rFonts w:cs="Arial"/>
                <w:sz w:val="16"/>
                <w:szCs w:val="16"/>
                <w:lang w:eastAsia="en-AU"/>
              </w:rPr>
            </w:pPr>
            <w:r w:rsidRPr="00597113">
              <w:rPr>
                <w:rFonts w:cs="Arial"/>
                <w:sz w:val="16"/>
                <w:szCs w:val="16"/>
                <w:lang w:eastAsia="en-AU"/>
              </w:rPr>
              <w:t xml:space="preserve">300 </w:t>
            </w:r>
          </w:p>
        </w:tc>
      </w:tr>
      <w:tr w:rsidR="00597113" w:rsidRPr="00597113" w:rsidTr="00597113">
        <w:trPr>
          <w:trHeight w:hRule="exact" w:val="284"/>
        </w:trPr>
        <w:tc>
          <w:tcPr>
            <w:tcW w:w="3900" w:type="dxa"/>
            <w:tcBorders>
              <w:top w:val="nil"/>
              <w:left w:val="single" w:sz="4" w:space="0" w:color="5E8A00"/>
              <w:bottom w:val="single" w:sz="4" w:space="0" w:color="5E8A00"/>
              <w:right w:val="single" w:sz="4" w:space="0" w:color="5E8A00"/>
            </w:tcBorders>
            <w:shd w:val="clear" w:color="000000" w:fill="5E8A00"/>
            <w:noWrap/>
            <w:vAlign w:val="bottom"/>
            <w:hideMark/>
          </w:tcPr>
          <w:p w:rsidR="00597113" w:rsidRPr="00597113" w:rsidRDefault="00597113" w:rsidP="00597113">
            <w:pPr>
              <w:spacing w:after="0" w:line="240" w:lineRule="auto"/>
              <w:jc w:val="left"/>
              <w:rPr>
                <w:rFonts w:cs="Arial"/>
                <w:b/>
                <w:bCs/>
                <w:color w:val="FFFFFF"/>
                <w:sz w:val="16"/>
                <w:szCs w:val="16"/>
                <w:lang w:eastAsia="en-AU"/>
              </w:rPr>
            </w:pPr>
            <w:r w:rsidRPr="00597113">
              <w:rPr>
                <w:rFonts w:cs="Arial"/>
                <w:b/>
                <w:bCs/>
                <w:color w:val="FFFFFF"/>
                <w:sz w:val="16"/>
                <w:szCs w:val="16"/>
                <w:lang w:eastAsia="en-AU"/>
              </w:rPr>
              <w:t>Total (AQF1+)</w:t>
            </w:r>
          </w:p>
        </w:tc>
        <w:tc>
          <w:tcPr>
            <w:tcW w:w="960" w:type="dxa"/>
            <w:tcBorders>
              <w:top w:val="nil"/>
              <w:left w:val="nil"/>
              <w:bottom w:val="single" w:sz="4" w:space="0" w:color="5E8A00"/>
              <w:right w:val="single" w:sz="4" w:space="0" w:color="5E8A00"/>
            </w:tcBorders>
            <w:shd w:val="clear" w:color="000000" w:fill="5E8A00"/>
            <w:noWrap/>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45%</w:t>
            </w:r>
          </w:p>
        </w:tc>
        <w:tc>
          <w:tcPr>
            <w:tcW w:w="960" w:type="dxa"/>
            <w:tcBorders>
              <w:top w:val="nil"/>
              <w:left w:val="nil"/>
              <w:bottom w:val="single" w:sz="4" w:space="0" w:color="5E8A00"/>
              <w:right w:val="single" w:sz="4" w:space="0" w:color="5E8A00"/>
            </w:tcBorders>
            <w:shd w:val="clear" w:color="000000" w:fill="5E8A00"/>
            <w:noWrap/>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49%</w:t>
            </w:r>
          </w:p>
        </w:tc>
        <w:tc>
          <w:tcPr>
            <w:tcW w:w="960" w:type="dxa"/>
            <w:tcBorders>
              <w:top w:val="nil"/>
              <w:left w:val="nil"/>
              <w:bottom w:val="single" w:sz="4" w:space="0" w:color="5E8A00"/>
              <w:right w:val="single" w:sz="4" w:space="0" w:color="5E8A00"/>
            </w:tcBorders>
            <w:shd w:val="clear" w:color="000000" w:fill="5E8A00"/>
            <w:noWrap/>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6%</w:t>
            </w:r>
          </w:p>
        </w:tc>
        <w:tc>
          <w:tcPr>
            <w:tcW w:w="960" w:type="dxa"/>
            <w:tcBorders>
              <w:top w:val="nil"/>
              <w:left w:val="nil"/>
              <w:bottom w:val="single" w:sz="4" w:space="0" w:color="5E8A00"/>
              <w:right w:val="single" w:sz="4" w:space="0" w:color="5E8A00"/>
            </w:tcBorders>
            <w:shd w:val="clear" w:color="000000" w:fill="5E8A00"/>
            <w:noWrap/>
            <w:vAlign w:val="center"/>
            <w:hideMark/>
          </w:tcPr>
          <w:p w:rsidR="00597113" w:rsidRPr="00597113" w:rsidRDefault="00597113" w:rsidP="00597113">
            <w:pPr>
              <w:spacing w:after="0" w:line="240" w:lineRule="auto"/>
              <w:jc w:val="right"/>
              <w:rPr>
                <w:rFonts w:cs="Arial"/>
                <w:b/>
                <w:bCs/>
                <w:color w:val="FFFFFF"/>
                <w:sz w:val="16"/>
                <w:szCs w:val="16"/>
                <w:lang w:eastAsia="en-AU"/>
              </w:rPr>
            </w:pPr>
            <w:r w:rsidRPr="00597113">
              <w:rPr>
                <w:rFonts w:cs="Arial"/>
                <w:b/>
                <w:bCs/>
                <w:color w:val="FFFFFF"/>
                <w:sz w:val="16"/>
                <w:szCs w:val="16"/>
                <w:lang w:eastAsia="en-AU"/>
              </w:rPr>
              <w:t xml:space="preserve">490,300 </w:t>
            </w:r>
          </w:p>
        </w:tc>
      </w:tr>
    </w:tbl>
    <w:p w:rsidR="00597113" w:rsidRDefault="00597113" w:rsidP="00597113"/>
    <w:p w:rsidR="00597113" w:rsidRPr="00597113" w:rsidRDefault="00597113" w:rsidP="00597113"/>
    <w:p w:rsidR="00D5609A" w:rsidRDefault="007F6FCA" w:rsidP="005C0406">
      <w:pPr>
        <w:spacing w:after="0" w:line="240" w:lineRule="auto"/>
        <w:jc w:val="left"/>
      </w:pPr>
      <w:r>
        <w:br w:type="page"/>
      </w:r>
      <w:r w:rsidR="00D5609A">
        <w:lastRenderedPageBreak/>
        <w:t>Table</w:t>
      </w:r>
      <w:r>
        <w:t xml:space="preserve"> 1.</w:t>
      </w:r>
      <w:r w:rsidR="005654CD">
        <w:t>1</w:t>
      </w:r>
      <w:r w:rsidR="00321ED2">
        <w:t>8</w:t>
      </w:r>
      <w:r w:rsidR="00D5609A">
        <w:t xml:space="preserve">: </w:t>
      </w:r>
      <w:r w:rsidR="004D38C7">
        <w:t>Government subsidised enrolments (AQF1+), s</w:t>
      </w:r>
      <w:r w:rsidR="00D5609A">
        <w:t xml:space="preserve">ummary of </w:t>
      </w:r>
      <w:r w:rsidR="004D38C7">
        <w:t xml:space="preserve">selected </w:t>
      </w:r>
      <w:r w:rsidR="00D5609A">
        <w:t xml:space="preserve">characteristics </w:t>
      </w:r>
      <w:r w:rsidR="004D38C7">
        <w:t>within provider type</w:t>
      </w:r>
      <w:r w:rsidR="00D5609A">
        <w:t>, Q</w:t>
      </w:r>
      <w:r w:rsidR="00A213A6">
        <w:t>3</w:t>
      </w:r>
      <w:r w:rsidR="00D5609A">
        <w:t xml:space="preserve"> 2013</w:t>
      </w:r>
    </w:p>
    <w:p w:rsidR="00387EC4" w:rsidRDefault="00D17AF1" w:rsidP="00387EC4">
      <w:r w:rsidRPr="00D17AF1">
        <w:rPr>
          <w:noProof/>
          <w:lang w:eastAsia="en-AU"/>
        </w:rPr>
        <w:drawing>
          <wp:inline distT="0" distB="0" distL="0" distR="0" wp14:anchorId="0B672470" wp14:editId="0EED9A0F">
            <wp:extent cx="6400800" cy="6339600"/>
            <wp:effectExtent l="0" t="0" r="0" b="4445"/>
            <wp:docPr id="12" name="Picture 12" descr="This table provides summary information of selected characteristics within TAFE, private RTOs and ACE sectors in Q3 2013." title="Table 1.18: Government subsidised enrolments (AQF1+), summary of selected characteristics within provider type,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339600"/>
                    </a:xfrm>
                    <a:prstGeom prst="rect">
                      <a:avLst/>
                    </a:prstGeom>
                    <a:noFill/>
                    <a:ln>
                      <a:noFill/>
                    </a:ln>
                  </pic:spPr>
                </pic:pic>
              </a:graphicData>
            </a:graphic>
          </wp:inline>
        </w:drawing>
      </w:r>
    </w:p>
    <w:p w:rsidR="00387EC4" w:rsidRPr="00387EC4" w:rsidRDefault="00387EC4" w:rsidP="00387EC4"/>
    <w:p w:rsidR="00D66F93" w:rsidRPr="00D66F93" w:rsidRDefault="00D66F93" w:rsidP="00D66F93"/>
    <w:p w:rsidR="00F05803" w:rsidRDefault="00F05803">
      <w:pPr>
        <w:spacing w:after="0" w:line="240" w:lineRule="auto"/>
        <w:jc w:val="left"/>
        <w:rPr>
          <w:rFonts w:cs="Arial"/>
          <w:bCs/>
          <w:iCs/>
          <w:color w:val="76923C" w:themeColor="accent3" w:themeShade="BF"/>
          <w:sz w:val="28"/>
          <w:szCs w:val="28"/>
        </w:rPr>
      </w:pPr>
      <w:bookmarkStart w:id="59" w:name="_Toc329936444"/>
      <w:r>
        <w:br w:type="page"/>
      </w:r>
    </w:p>
    <w:p w:rsidR="00351166" w:rsidRPr="001F29E3" w:rsidRDefault="00351166" w:rsidP="00A9260A">
      <w:pPr>
        <w:pStyle w:val="Heading2"/>
      </w:pPr>
      <w:bookmarkStart w:id="60" w:name="_Toc372613429"/>
      <w:r w:rsidRPr="001F29E3">
        <w:lastRenderedPageBreak/>
        <w:t>Adult, Community and Further Education (ACFE) Performance</w:t>
      </w:r>
      <w:bookmarkEnd w:id="60"/>
      <w:r w:rsidRPr="001F29E3">
        <w:t xml:space="preserve"> </w:t>
      </w:r>
    </w:p>
    <w:p w:rsidR="00351166" w:rsidRDefault="00351166" w:rsidP="00351166">
      <w:pPr>
        <w:rPr>
          <w:rFonts w:cs="Arial"/>
        </w:rPr>
      </w:pPr>
    </w:p>
    <w:bookmarkEnd w:id="59"/>
    <w:p w:rsidR="00BC577E" w:rsidRDefault="00BC577E" w:rsidP="00BC577E">
      <w:pPr>
        <w:pStyle w:val="Heading3"/>
      </w:pPr>
      <w:r>
        <w:t>Learn Local (ACE) Pre-accredited and Accredited training</w:t>
      </w:r>
    </w:p>
    <w:p w:rsidR="00BC577E" w:rsidRPr="000E0F46" w:rsidRDefault="00BC577E" w:rsidP="00BC577E">
      <w:r w:rsidRPr="000E0F46">
        <w:t xml:space="preserve">Through the Adult, Community and Further Education (ACFE) Board, the Victorian Government funds </w:t>
      </w:r>
      <w:r>
        <w:t xml:space="preserve">298 </w:t>
      </w:r>
      <w:hyperlink r:id="rId26" w:history="1">
        <w:r w:rsidRPr="000E0F46">
          <w:t xml:space="preserve">Learn Local </w:t>
        </w:r>
        <w:r>
          <w:t xml:space="preserve">adult and community education (ACE) </w:t>
        </w:r>
        <w:r w:rsidRPr="000E0F46">
          <w:t>organisations</w:t>
        </w:r>
      </w:hyperlink>
      <w:r w:rsidRPr="000E0F46">
        <w:t xml:space="preserve">, </w:t>
      </w:r>
      <w:r>
        <w:t xml:space="preserve">including </w:t>
      </w:r>
      <w:r w:rsidRPr="000E0F46">
        <w:t xml:space="preserve">two adult education institutions, the </w:t>
      </w:r>
      <w:r w:rsidR="009C74CF">
        <w:t>Council for Adult Education (</w:t>
      </w:r>
      <w:hyperlink r:id="rId27" w:history="1">
        <w:r w:rsidRPr="000E0F46">
          <w:t>CAE</w:t>
        </w:r>
      </w:hyperlink>
      <w:r w:rsidR="009C74CF">
        <w:t>)</w:t>
      </w:r>
      <w:r w:rsidRPr="000E0F46">
        <w:t xml:space="preserve"> and </w:t>
      </w:r>
      <w:r w:rsidR="009C74CF">
        <w:t>Adult Multicultural Education Services (</w:t>
      </w:r>
      <w:hyperlink r:id="rId28" w:history="1">
        <w:r w:rsidRPr="000E0F46">
          <w:t>AMES</w:t>
        </w:r>
      </w:hyperlink>
      <w:r w:rsidR="009C74CF">
        <w:t>)</w:t>
      </w:r>
      <w:r>
        <w:t xml:space="preserve"> </w:t>
      </w:r>
      <w:r w:rsidRPr="000E0F46">
        <w:t xml:space="preserve">to </w:t>
      </w:r>
      <w:r>
        <w:t xml:space="preserve">deliver pre-accredited training to </w:t>
      </w:r>
      <w:r w:rsidRPr="000E0F46">
        <w:t>Victorians with limited prior educational attainment and</w:t>
      </w:r>
      <w:r>
        <w:t xml:space="preserve"> limited </w:t>
      </w:r>
      <w:r w:rsidRPr="000E0F46">
        <w:t>access to vocational education and training. Learn Local</w:t>
      </w:r>
      <w:r>
        <w:t xml:space="preserve"> providers</w:t>
      </w:r>
      <w:r w:rsidRPr="000E0F46">
        <w:t xml:space="preserve"> support learners’ personal development in the knowledge, skills and attributes necessary to participate in society and secure employment.</w:t>
      </w:r>
      <w:r>
        <w:t xml:space="preserve"> In addition to pre-accredited program delivery, there are 117 Learn Local providers that additionally are registered training organisations (RTOs) delivering accredited provision. This chapter of the report provides a snapshot of the contribution of the Learn Local (ACE) sector to government funded vocational training in Victoria.</w:t>
      </w:r>
    </w:p>
    <w:p w:rsidR="00BC577E" w:rsidRDefault="00BC577E" w:rsidP="00BC577E">
      <w:r w:rsidRPr="000E0F46">
        <w:t xml:space="preserve">The Victorian Government recently launched </w:t>
      </w:r>
      <w:r w:rsidRPr="00C97271">
        <w:rPr>
          <w:i/>
        </w:rPr>
        <w:t>Learn Local: Focusing on the Future</w:t>
      </w:r>
      <w:r w:rsidRPr="000E0F46">
        <w:t>. This strategy has been developed by the Department of Education and Early Childhood Development and the ACFE Board in consultation with Learn Local peak bodies and providers. The strategy recognises Learn Local</w:t>
      </w:r>
      <w:r>
        <w:t xml:space="preserve"> providers’ </w:t>
      </w:r>
      <w:r w:rsidRPr="000E0F46">
        <w:t xml:space="preserve">current opportunities and challenges in the context of recent training market reforms and confirms </w:t>
      </w:r>
      <w:r>
        <w:t xml:space="preserve">their </w:t>
      </w:r>
      <w:r w:rsidRPr="000E0F46">
        <w:t xml:space="preserve">role in providing a supportive and inclusive learning environment for people to engage in high quality training. </w:t>
      </w:r>
      <w:r w:rsidRPr="00C97271">
        <w:rPr>
          <w:i/>
        </w:rPr>
        <w:t>Learn Local: Focusing on the Future</w:t>
      </w:r>
      <w:r w:rsidRPr="000E0F46">
        <w:t xml:space="preserve"> sets out the actions that government will undertake to help the sector meet its potential, sharpen its focus and improve its sustainability and responsiveness. </w:t>
      </w:r>
    </w:p>
    <w:p w:rsidR="00BC577E" w:rsidRDefault="00BC577E" w:rsidP="00BC577E">
      <w:r>
        <w:t>The ratio between pre-accredited and accredited progr</w:t>
      </w:r>
      <w:r w:rsidR="009C74CF">
        <w:t>ams in Q3 2013 was consistent with</w:t>
      </w:r>
      <w:r>
        <w:t xml:space="preserve"> previous years, where pre-accredited activity comprised 43 per cent of all Learn Local providers’ Government funded enrolments and accredited activity was 57 per cent of Learn Local delivery to date (respectively </w:t>
      </w:r>
      <w:r w:rsidRPr="006D6E7B">
        <w:t>24,800 course enrolments and 32,500 course enrolments</w:t>
      </w:r>
      <w:r w:rsidRPr="00647565">
        <w:t>)</w:t>
      </w:r>
      <w:r>
        <w:t>.</w:t>
      </w:r>
    </w:p>
    <w:p w:rsidR="002D2B4D" w:rsidRDefault="002D2B4D" w:rsidP="002D2B4D">
      <w:pPr>
        <w:rPr>
          <w:rFonts w:cs="Arial"/>
          <w:b/>
          <w:bCs/>
          <w:color w:val="76923C" w:themeColor="accent3" w:themeShade="BF"/>
          <w:szCs w:val="19"/>
        </w:rPr>
      </w:pPr>
    </w:p>
    <w:p w:rsidR="002D2B4D" w:rsidRDefault="00BC577E" w:rsidP="00BC577E">
      <w:pPr>
        <w:pStyle w:val="Heading3"/>
      </w:pPr>
      <w:r>
        <w:t>Learn Local (</w:t>
      </w:r>
      <w:r w:rsidR="002D2B4D" w:rsidRPr="00EE522F">
        <w:t>ACE</w:t>
      </w:r>
      <w:r>
        <w:t>)</w:t>
      </w:r>
      <w:r w:rsidR="002D2B4D" w:rsidRPr="00EE522F">
        <w:t xml:space="preserve"> </w:t>
      </w:r>
      <w:r w:rsidR="002D2B4D">
        <w:t>Pre-accredited training</w:t>
      </w:r>
    </w:p>
    <w:p w:rsidR="00513F4D" w:rsidRPr="00513F4D" w:rsidRDefault="00513F4D" w:rsidP="00513F4D"/>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Caption w:val="Key Points"/>
        <w:tblDescription w:val="Key Points&#10;&#10;Of the Learn Local (ACE) sector’s total annual delivery to Q3 2013, the delivery of pre-accredited enrolments included an additional purchased 9,300 pre-accredited enrolments over the Q2 reported level, an increase of 38 per cent. This represents an across the board increase in purchased delivery, including increased delivery for the critical priority of improving the digital literacy of the Victorian workforce.&#10;The Learn Locals’ pre-accredited enrolments in Q3 2013 had increased 10 per cent on Q3 2012 levels and 21 per cent on Q3 2011 levels, in line with the annual increases in ACFE Board allocated scheduled hours to Learn Local providers.&#10;Learn Locals’ pre-accredited delivery particularly in the South Western and North Eastern regions in Q3 2013 had significant reported increases when compared to the same period in 2011 and 2012 (respectively 40 per cent and 24 per cent more pre-accredited enrolments). The increases occurred across metropolitan, regional and rural areas. &#10;Pre-accredited delivery by Learn Local (ACE) providers in Q3 2013 increased in all ACFE Board Priority Learner group categories. For example, there were 700 more unemployed Victorians in pre-accredited training in the period Q3 2012 to Q2 2013 (a 19 per cent increase). However, the Q3 2013 learners numbered an additional 1,300 additional unemployed learners on Q3 2011 (a 39 per cent increase). Similarly, Culturally and Linguistically Diverse (CALD) learners increased in pre-accredited programs by 5 per cent on Q3 2012 (an additional 200 learners). The increase of CALD learners in pre-accredited programs from Q3 2011 to Q3 2013 was an additional 1,300 learners (a 36 per cent increase)."/>
      </w:tblPr>
      <w:tblGrid>
        <w:gridCol w:w="9180"/>
      </w:tblGrid>
      <w:tr w:rsidR="002D2B4D" w:rsidTr="008825B1">
        <w:trPr>
          <w:tblHeader/>
        </w:trPr>
        <w:tc>
          <w:tcPr>
            <w:tcW w:w="9180" w:type="dxa"/>
            <w:shd w:val="clear" w:color="auto" w:fill="auto"/>
          </w:tcPr>
          <w:p w:rsidR="002D2B4D" w:rsidRDefault="002D2B4D" w:rsidP="002D2B4D">
            <w:pPr>
              <w:pStyle w:val="Heading3"/>
              <w:outlineLvl w:val="2"/>
            </w:pPr>
            <w:r w:rsidRPr="001F29E3">
              <w:t>Key Points</w:t>
            </w:r>
          </w:p>
          <w:p w:rsidR="000321D7" w:rsidRPr="000321D7" w:rsidRDefault="000321D7" w:rsidP="000321D7"/>
          <w:p w:rsidR="00BC577E" w:rsidRPr="00C171CC" w:rsidRDefault="00BC577E" w:rsidP="00BC577E">
            <w:pPr>
              <w:pStyle w:val="ListBullet"/>
              <w:numPr>
                <w:ilvl w:val="0"/>
                <w:numId w:val="10"/>
              </w:numPr>
              <w:ind w:right="113"/>
              <w:rPr>
                <w:rFonts w:cs="Arial"/>
              </w:rPr>
            </w:pPr>
            <w:r w:rsidRPr="00C171CC">
              <w:rPr>
                <w:rFonts w:cs="Arial"/>
              </w:rPr>
              <w:t>Of the Learn Local (ACE) sector’s total annual delivery to Q3 2013, the delivery of pre-accredited enrolments included an additional purchased 9,300 pre-accredited enrolments over the Q2 reported level, an increase of 38 per cent. This represents an across the board increase in purchased delivery, including increased delivery for the critical priority of improving the digital literacy of the Victorian workforce.</w:t>
            </w:r>
          </w:p>
          <w:p w:rsidR="00BC577E" w:rsidRPr="00C171CC" w:rsidRDefault="00BC577E" w:rsidP="00BC577E">
            <w:pPr>
              <w:pStyle w:val="ListBullet"/>
              <w:numPr>
                <w:ilvl w:val="0"/>
                <w:numId w:val="10"/>
              </w:numPr>
              <w:ind w:right="113"/>
              <w:rPr>
                <w:rFonts w:cs="Arial"/>
                <w:b/>
                <w:bCs/>
                <w:color w:val="76923C" w:themeColor="accent3" w:themeShade="BF"/>
                <w:szCs w:val="19"/>
              </w:rPr>
            </w:pPr>
            <w:r w:rsidRPr="00C171CC">
              <w:rPr>
                <w:rFonts w:cs="Arial"/>
              </w:rPr>
              <w:t>The Learn Locals’ pre-accredited enrolments in Q3 2013 had increased 10 per cent on Q3 2012 levels and 21 per cent on Q3 2011 levels, in line with the annual increases in ACFE Board allocated scheduled hours to Learn Local providers.</w:t>
            </w:r>
          </w:p>
          <w:p w:rsidR="00BC577E" w:rsidRPr="00C171CC" w:rsidRDefault="00BC577E" w:rsidP="00BC577E">
            <w:pPr>
              <w:pStyle w:val="ListBullet"/>
              <w:numPr>
                <w:ilvl w:val="0"/>
                <w:numId w:val="10"/>
              </w:numPr>
              <w:ind w:right="113"/>
              <w:rPr>
                <w:rFonts w:cs="Arial"/>
                <w:b/>
                <w:bCs/>
                <w:color w:val="76923C" w:themeColor="accent3" w:themeShade="BF"/>
                <w:szCs w:val="19"/>
              </w:rPr>
            </w:pPr>
            <w:r w:rsidRPr="00C171CC">
              <w:rPr>
                <w:rFonts w:cs="Arial"/>
              </w:rPr>
              <w:t>Learn Locals’ pre-accredited delivery particularly in the South West</w:t>
            </w:r>
            <w:r w:rsidR="00A501BA" w:rsidRPr="00C171CC">
              <w:rPr>
                <w:rFonts w:cs="Arial"/>
              </w:rPr>
              <w:t>ern</w:t>
            </w:r>
            <w:r w:rsidRPr="00C171CC">
              <w:rPr>
                <w:rFonts w:cs="Arial"/>
              </w:rPr>
              <w:t xml:space="preserve"> and North East</w:t>
            </w:r>
            <w:r w:rsidR="00A501BA" w:rsidRPr="00C171CC">
              <w:rPr>
                <w:rFonts w:cs="Arial"/>
              </w:rPr>
              <w:t>ern</w:t>
            </w:r>
            <w:r w:rsidRPr="00C171CC">
              <w:rPr>
                <w:rFonts w:cs="Arial"/>
              </w:rPr>
              <w:t xml:space="preserve"> regions in Q3 2013 had significant reported increases when compared to the same period in 2011 and 2012 (respectively 40 per cent and 24 per cent more pre-accredited enrolments). The increases occurred across metropolitan, regional and rural areas. </w:t>
            </w:r>
          </w:p>
          <w:p w:rsidR="002D2B4D" w:rsidRDefault="00C171CC" w:rsidP="00A501BA">
            <w:pPr>
              <w:pStyle w:val="ListBullet"/>
              <w:numPr>
                <w:ilvl w:val="0"/>
                <w:numId w:val="10"/>
              </w:numPr>
              <w:ind w:right="113"/>
              <w:rPr>
                <w:rFonts w:cs="Arial"/>
                <w:b/>
                <w:bCs/>
                <w:color w:val="76923C" w:themeColor="accent3" w:themeShade="BF"/>
                <w:szCs w:val="19"/>
              </w:rPr>
            </w:pPr>
            <w:r w:rsidRPr="00284C71">
              <w:rPr>
                <w:rFonts w:cs="Arial"/>
              </w:rPr>
              <w:t xml:space="preserve">Pre-accredited delivery by Learn Local (ACE) providers in Q3 2013 increased in all ACFE Board Priority Learner group categories. For example, there were </w:t>
            </w:r>
            <w:r>
              <w:rPr>
                <w:rFonts w:cs="Arial"/>
              </w:rPr>
              <w:t>700 more unemployed Victorians in pre-accredited training in the period Q3 2012 to Q2 2013 (a 19 per cent</w:t>
            </w:r>
            <w:r w:rsidRPr="00284C71">
              <w:rPr>
                <w:rFonts w:cs="Arial"/>
              </w:rPr>
              <w:t xml:space="preserve"> </w:t>
            </w:r>
            <w:r>
              <w:rPr>
                <w:rFonts w:cs="Arial"/>
              </w:rPr>
              <w:t xml:space="preserve">increase). However, the Q3 2013 learners numbered an additional </w:t>
            </w:r>
            <w:r w:rsidRPr="00284C71">
              <w:rPr>
                <w:rFonts w:cs="Arial"/>
              </w:rPr>
              <w:t xml:space="preserve">1,300 additional unemployed </w:t>
            </w:r>
            <w:r>
              <w:rPr>
                <w:rFonts w:cs="Arial"/>
              </w:rPr>
              <w:t xml:space="preserve">learners </w:t>
            </w:r>
            <w:r w:rsidRPr="00284C71">
              <w:rPr>
                <w:rFonts w:cs="Arial"/>
              </w:rPr>
              <w:t>on Q3 2011 (a 3</w:t>
            </w:r>
            <w:r>
              <w:rPr>
                <w:rFonts w:cs="Arial"/>
              </w:rPr>
              <w:t>9</w:t>
            </w:r>
            <w:r w:rsidRPr="00284C71">
              <w:rPr>
                <w:rFonts w:cs="Arial"/>
              </w:rPr>
              <w:t xml:space="preserve"> per cent increase). Similarly, </w:t>
            </w:r>
            <w:proofErr w:type="gramStart"/>
            <w:r w:rsidRPr="00284C71">
              <w:rPr>
                <w:rFonts w:cs="Arial"/>
              </w:rPr>
              <w:t>Culturally</w:t>
            </w:r>
            <w:proofErr w:type="gramEnd"/>
            <w:r w:rsidRPr="00284C71">
              <w:rPr>
                <w:rFonts w:cs="Arial"/>
              </w:rPr>
              <w:t xml:space="preserve"> and Linguistically Diverse </w:t>
            </w:r>
            <w:r>
              <w:rPr>
                <w:rFonts w:cs="Arial"/>
              </w:rPr>
              <w:t xml:space="preserve">(CALD) learners increased in pre-accredited programs by 5 per cent on Q3 2012 (an additional 200 learners). The increase of CALD learners in pre-accredited programs from Q3 2011 to Q3 2013 was an additional </w:t>
            </w:r>
            <w:r w:rsidRPr="00284C71">
              <w:rPr>
                <w:rFonts w:cs="Arial"/>
              </w:rPr>
              <w:t>1,300 learners (a 36 per cent increase).</w:t>
            </w:r>
          </w:p>
        </w:tc>
      </w:tr>
    </w:tbl>
    <w:p w:rsidR="002D2B4D" w:rsidRPr="001F29E3" w:rsidRDefault="002D2B4D" w:rsidP="002D2B4D">
      <w:pPr>
        <w:rPr>
          <w:rFonts w:cs="Arial"/>
        </w:rPr>
      </w:pPr>
    </w:p>
    <w:p w:rsidR="000321D7" w:rsidRDefault="000321D7">
      <w:pPr>
        <w:spacing w:after="0" w:line="240" w:lineRule="auto"/>
        <w:jc w:val="left"/>
        <w:rPr>
          <w:rFonts w:cs="Arial"/>
          <w:b/>
          <w:bCs/>
          <w:color w:val="76923C" w:themeColor="accent3" w:themeShade="BF"/>
          <w:sz w:val="18"/>
          <w:szCs w:val="16"/>
        </w:rPr>
      </w:pPr>
      <w:r>
        <w:rPr>
          <w:rFonts w:cs="Arial"/>
        </w:rPr>
        <w:br w:type="page"/>
      </w:r>
    </w:p>
    <w:p w:rsidR="002D2B4D" w:rsidRDefault="002D2B4D" w:rsidP="002D2B4D">
      <w:pPr>
        <w:pStyle w:val="Caption"/>
        <w:spacing w:after="0"/>
        <w:jc w:val="left"/>
        <w:rPr>
          <w:rFonts w:cs="Arial"/>
        </w:rPr>
      </w:pPr>
      <w:r>
        <w:rPr>
          <w:rFonts w:cs="Arial"/>
        </w:rPr>
        <w:lastRenderedPageBreak/>
        <w:t>Table 1.</w:t>
      </w:r>
      <w:r w:rsidRPr="001F29E3">
        <w:rPr>
          <w:rFonts w:cs="Arial"/>
        </w:rPr>
        <w:t>1</w:t>
      </w:r>
      <w:r w:rsidR="009D524A">
        <w:rPr>
          <w:rFonts w:cs="Arial"/>
        </w:rPr>
        <w:t>9</w:t>
      </w:r>
      <w:r>
        <w:rPr>
          <w:rFonts w:cs="Arial"/>
        </w:rPr>
        <w:t>.1</w:t>
      </w:r>
      <w:r w:rsidRPr="001F29E3">
        <w:rPr>
          <w:rFonts w:cs="Arial"/>
        </w:rPr>
        <w:t xml:space="preserve">: Government subsidised </w:t>
      </w:r>
      <w:r>
        <w:rPr>
          <w:rFonts w:cs="Arial"/>
        </w:rPr>
        <w:t>pre-</w:t>
      </w:r>
      <w:r w:rsidRPr="00367714">
        <w:rPr>
          <w:rFonts w:cs="Arial"/>
        </w:rPr>
        <w:t>accredited</w:t>
      </w:r>
      <w:r>
        <w:rPr>
          <w:rFonts w:cs="Arial"/>
        </w:rPr>
        <w:t xml:space="preserve"> training</w:t>
      </w:r>
      <w:r w:rsidRPr="001F29E3">
        <w:rPr>
          <w:rFonts w:cs="Arial"/>
        </w:rPr>
        <w:t>,</w:t>
      </w:r>
      <w:r w:rsidR="007F2111">
        <w:rPr>
          <w:rFonts w:cs="Arial"/>
        </w:rPr>
        <w:t xml:space="preserve"> Learn Local (ACE) providers,</w:t>
      </w:r>
      <w:r w:rsidRPr="001F29E3">
        <w:rPr>
          <w:rFonts w:cs="Arial"/>
        </w:rPr>
        <w:t xml:space="preserve"> 2008-2012</w:t>
      </w:r>
    </w:p>
    <w:tbl>
      <w:tblPr>
        <w:tblW w:w="9592" w:type="dxa"/>
        <w:tblInd w:w="108" w:type="dxa"/>
        <w:tblLayout w:type="fixed"/>
        <w:tblLook w:val="04A0" w:firstRow="1" w:lastRow="0" w:firstColumn="1" w:lastColumn="0" w:noHBand="0" w:noVBand="1"/>
      </w:tblPr>
      <w:tblGrid>
        <w:gridCol w:w="2835"/>
        <w:gridCol w:w="1126"/>
        <w:gridCol w:w="1126"/>
        <w:gridCol w:w="1126"/>
        <w:gridCol w:w="1126"/>
        <w:gridCol w:w="1126"/>
        <w:gridCol w:w="1127"/>
      </w:tblGrid>
      <w:tr w:rsidR="002D2B4D" w:rsidRPr="00367714" w:rsidTr="002D2B4D">
        <w:trPr>
          <w:trHeight w:hRule="exact" w:val="760"/>
        </w:trPr>
        <w:tc>
          <w:tcPr>
            <w:tcW w:w="2835"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67714" w:rsidRDefault="002D2B4D" w:rsidP="002D2B4D">
            <w:pPr>
              <w:spacing w:after="0" w:line="240" w:lineRule="auto"/>
              <w:ind w:firstLineChars="100" w:firstLine="181"/>
              <w:jc w:val="left"/>
              <w:rPr>
                <w:rFonts w:cs="Arial"/>
                <w:b/>
                <w:bCs/>
                <w:color w:val="FFFFFF"/>
                <w:sz w:val="18"/>
                <w:szCs w:val="18"/>
                <w:lang w:eastAsia="en-AU"/>
              </w:rPr>
            </w:pPr>
            <w:r w:rsidRPr="00367714">
              <w:rPr>
                <w:rFonts w:cs="Arial"/>
                <w:b/>
                <w:bCs/>
                <w:color w:val="FFFFFF"/>
                <w:sz w:val="18"/>
                <w:szCs w:val="18"/>
                <w:lang w:eastAsia="en-AU"/>
              </w:rPr>
              <w:t> </w:t>
            </w:r>
          </w:p>
        </w:tc>
        <w:tc>
          <w:tcPr>
            <w:tcW w:w="1126"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2008</w:t>
            </w:r>
          </w:p>
        </w:tc>
        <w:tc>
          <w:tcPr>
            <w:tcW w:w="1126"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2009</w:t>
            </w:r>
          </w:p>
        </w:tc>
        <w:tc>
          <w:tcPr>
            <w:tcW w:w="1126"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2010</w:t>
            </w:r>
          </w:p>
        </w:tc>
        <w:tc>
          <w:tcPr>
            <w:tcW w:w="1126"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2011</w:t>
            </w:r>
          </w:p>
        </w:tc>
        <w:tc>
          <w:tcPr>
            <w:tcW w:w="1126"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2012</w:t>
            </w:r>
          </w:p>
        </w:tc>
        <w:tc>
          <w:tcPr>
            <w:tcW w:w="1127"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2008-2012</w:t>
            </w:r>
          </w:p>
        </w:tc>
      </w:tr>
      <w:tr w:rsidR="002D2B4D" w:rsidRPr="00367714" w:rsidTr="002D2B4D">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Course Enrolments</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45,800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38,100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36,700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31,200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34,500 </w:t>
            </w:r>
          </w:p>
        </w:tc>
        <w:tc>
          <w:tcPr>
            <w:tcW w:w="112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-25%</w:t>
            </w:r>
          </w:p>
        </w:tc>
      </w:tr>
      <w:tr w:rsidR="002D2B4D" w:rsidRPr="00367714" w:rsidTr="002D2B4D">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Student Contact Hours(millions)</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1.7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1.6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1.9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1.5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1.7 </w:t>
            </w:r>
          </w:p>
        </w:tc>
        <w:tc>
          <w:tcPr>
            <w:tcW w:w="112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0.2%</w:t>
            </w:r>
          </w:p>
        </w:tc>
      </w:tr>
      <w:tr w:rsidR="002D2B4D" w:rsidRPr="00367714" w:rsidTr="002D2B4D">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Students</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28,000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23,600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23,900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21,400 </w:t>
            </w:r>
          </w:p>
        </w:tc>
        <w:tc>
          <w:tcPr>
            <w:tcW w:w="1126"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24,200 </w:t>
            </w:r>
          </w:p>
        </w:tc>
        <w:tc>
          <w:tcPr>
            <w:tcW w:w="112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-14%</w:t>
            </w:r>
          </w:p>
        </w:tc>
      </w:tr>
    </w:tbl>
    <w:p w:rsidR="002D2B4D" w:rsidRDefault="002D2B4D" w:rsidP="002D2B4D"/>
    <w:p w:rsidR="002D2B4D" w:rsidRDefault="002D2B4D" w:rsidP="002D2B4D">
      <w:pPr>
        <w:pStyle w:val="Caption"/>
        <w:spacing w:after="0"/>
        <w:jc w:val="left"/>
        <w:rPr>
          <w:rFonts w:cs="Arial"/>
        </w:rPr>
      </w:pPr>
      <w:r>
        <w:rPr>
          <w:rFonts w:cs="Arial"/>
        </w:rPr>
        <w:t>Table 1.</w:t>
      </w:r>
      <w:r w:rsidRPr="001F29E3">
        <w:rPr>
          <w:rFonts w:cs="Arial"/>
        </w:rPr>
        <w:t>1</w:t>
      </w:r>
      <w:r w:rsidR="009D524A">
        <w:rPr>
          <w:rFonts w:cs="Arial"/>
        </w:rPr>
        <w:t>9</w:t>
      </w:r>
      <w:r>
        <w:rPr>
          <w:rFonts w:cs="Arial"/>
        </w:rPr>
        <w:t>.2</w:t>
      </w:r>
      <w:r w:rsidRPr="001F29E3">
        <w:rPr>
          <w:rFonts w:cs="Arial"/>
        </w:rPr>
        <w:t xml:space="preserve">: Government subsidised </w:t>
      </w:r>
      <w:r>
        <w:rPr>
          <w:rFonts w:cs="Arial"/>
        </w:rPr>
        <w:t>pre-</w:t>
      </w:r>
      <w:r w:rsidRPr="00367714">
        <w:rPr>
          <w:rFonts w:cs="Arial"/>
        </w:rPr>
        <w:t>accredited</w:t>
      </w:r>
      <w:r>
        <w:rPr>
          <w:rFonts w:cs="Arial"/>
        </w:rPr>
        <w:t xml:space="preserve"> training</w:t>
      </w:r>
      <w:r w:rsidRPr="001F29E3">
        <w:rPr>
          <w:rFonts w:cs="Arial"/>
        </w:rPr>
        <w:t xml:space="preserve">, </w:t>
      </w:r>
      <w:r w:rsidR="007F2111">
        <w:rPr>
          <w:rFonts w:cs="Arial"/>
        </w:rPr>
        <w:t xml:space="preserve">Learn Local (ACE) providers, </w:t>
      </w:r>
      <w:r>
        <w:rPr>
          <w:rFonts w:cs="Arial"/>
        </w:rPr>
        <w:t>Q3</w:t>
      </w:r>
      <w:r w:rsidRPr="001F29E3">
        <w:rPr>
          <w:rFonts w:cs="Arial"/>
        </w:rPr>
        <w:t xml:space="preserve"> </w:t>
      </w:r>
      <w:r>
        <w:rPr>
          <w:rFonts w:cs="Arial"/>
        </w:rPr>
        <w:t xml:space="preserve">2011, </w:t>
      </w:r>
      <w:r w:rsidR="007F2111">
        <w:rPr>
          <w:rFonts w:cs="Arial"/>
        </w:rPr>
        <w:br/>
      </w:r>
      <w:r>
        <w:rPr>
          <w:rFonts w:cs="Arial"/>
        </w:rPr>
        <w:t>Q3 2012 and Q3</w:t>
      </w:r>
      <w:r w:rsidRPr="001F29E3">
        <w:rPr>
          <w:rFonts w:cs="Arial"/>
        </w:rPr>
        <w:t xml:space="preserve"> 2013</w:t>
      </w:r>
    </w:p>
    <w:tbl>
      <w:tblPr>
        <w:tblW w:w="8660" w:type="dxa"/>
        <w:tblInd w:w="108" w:type="dxa"/>
        <w:tblLayout w:type="fixed"/>
        <w:tblLook w:val="04A0" w:firstRow="1" w:lastRow="0" w:firstColumn="1" w:lastColumn="0" w:noHBand="0" w:noVBand="1"/>
      </w:tblPr>
      <w:tblGrid>
        <w:gridCol w:w="2835"/>
        <w:gridCol w:w="1165"/>
        <w:gridCol w:w="1165"/>
        <w:gridCol w:w="1165"/>
        <w:gridCol w:w="1165"/>
        <w:gridCol w:w="1165"/>
      </w:tblGrid>
      <w:tr w:rsidR="002D2B4D" w:rsidRPr="00367714" w:rsidTr="007F2111">
        <w:trPr>
          <w:trHeight w:hRule="exact" w:val="760"/>
        </w:trPr>
        <w:tc>
          <w:tcPr>
            <w:tcW w:w="2835"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67714" w:rsidRDefault="002D2B4D" w:rsidP="002D2B4D">
            <w:pPr>
              <w:spacing w:after="0" w:line="240" w:lineRule="auto"/>
              <w:ind w:firstLineChars="100" w:firstLine="181"/>
              <w:jc w:val="left"/>
              <w:rPr>
                <w:rFonts w:cs="Arial"/>
                <w:b/>
                <w:bCs/>
                <w:color w:val="FFFFFF"/>
                <w:sz w:val="18"/>
                <w:szCs w:val="18"/>
                <w:lang w:eastAsia="en-AU"/>
              </w:rPr>
            </w:pPr>
            <w:r w:rsidRPr="00367714">
              <w:rPr>
                <w:rFonts w:cs="Arial"/>
                <w:b/>
                <w:bCs/>
                <w:color w:val="FFFFFF"/>
                <w:sz w:val="18"/>
                <w:szCs w:val="18"/>
                <w:lang w:eastAsia="en-AU"/>
              </w:rPr>
              <w:t> </w:t>
            </w:r>
          </w:p>
        </w:tc>
        <w:tc>
          <w:tcPr>
            <w:tcW w:w="116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2011</w:t>
            </w:r>
          </w:p>
        </w:tc>
        <w:tc>
          <w:tcPr>
            <w:tcW w:w="116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2012</w:t>
            </w:r>
          </w:p>
        </w:tc>
        <w:tc>
          <w:tcPr>
            <w:tcW w:w="116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2013</w:t>
            </w:r>
          </w:p>
        </w:tc>
        <w:tc>
          <w:tcPr>
            <w:tcW w:w="116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Q</w:t>
            </w:r>
            <w:r>
              <w:rPr>
                <w:rFonts w:cs="Arial"/>
                <w:b/>
                <w:bCs/>
                <w:color w:val="FFFFFF"/>
                <w:sz w:val="18"/>
                <w:szCs w:val="18"/>
                <w:lang w:eastAsia="en-AU"/>
              </w:rPr>
              <w:t>3</w:t>
            </w:r>
            <w:r w:rsidRPr="00367714">
              <w:rPr>
                <w:rFonts w:cs="Arial"/>
                <w:b/>
                <w:bCs/>
                <w:color w:val="FFFFFF"/>
                <w:sz w:val="18"/>
                <w:szCs w:val="18"/>
                <w:lang w:eastAsia="en-AU"/>
              </w:rPr>
              <w:t xml:space="preserve"> 2011 </w:t>
            </w:r>
            <w:r>
              <w:rPr>
                <w:rFonts w:cs="Arial"/>
                <w:b/>
                <w:bCs/>
                <w:color w:val="FFFFFF"/>
                <w:sz w:val="18"/>
                <w:szCs w:val="18"/>
                <w:lang w:eastAsia="en-AU"/>
              </w:rPr>
              <w:t>–</w:t>
            </w:r>
            <w:r w:rsidRPr="00367714">
              <w:rPr>
                <w:rFonts w:cs="Arial"/>
                <w:b/>
                <w:bCs/>
                <w:color w:val="FFFFFF"/>
                <w:sz w:val="18"/>
                <w:szCs w:val="18"/>
                <w:lang w:eastAsia="en-AU"/>
              </w:rPr>
              <w:t xml:space="preserve"> Q</w:t>
            </w:r>
            <w:r>
              <w:rPr>
                <w:rFonts w:cs="Arial"/>
                <w:b/>
                <w:bCs/>
                <w:color w:val="FFFFFF"/>
                <w:sz w:val="18"/>
                <w:szCs w:val="18"/>
                <w:lang w:eastAsia="en-AU"/>
              </w:rPr>
              <w:t>3</w:t>
            </w:r>
            <w:r w:rsidRPr="00367714">
              <w:rPr>
                <w:rFonts w:cs="Arial"/>
                <w:b/>
                <w:bCs/>
                <w:color w:val="FFFFFF"/>
                <w:sz w:val="18"/>
                <w:szCs w:val="18"/>
                <w:lang w:eastAsia="en-AU"/>
              </w:rPr>
              <w:t xml:space="preserve"> 2013</w:t>
            </w:r>
          </w:p>
        </w:tc>
        <w:tc>
          <w:tcPr>
            <w:tcW w:w="116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Q</w:t>
            </w:r>
            <w:r>
              <w:rPr>
                <w:rFonts w:cs="Arial"/>
                <w:b/>
                <w:bCs/>
                <w:color w:val="FFFFFF"/>
                <w:sz w:val="18"/>
                <w:szCs w:val="18"/>
                <w:lang w:eastAsia="en-AU"/>
              </w:rPr>
              <w:t>3</w:t>
            </w:r>
            <w:r w:rsidRPr="00367714">
              <w:rPr>
                <w:rFonts w:cs="Arial"/>
                <w:b/>
                <w:bCs/>
                <w:color w:val="FFFFFF"/>
                <w:sz w:val="18"/>
                <w:szCs w:val="18"/>
                <w:lang w:eastAsia="en-AU"/>
              </w:rPr>
              <w:t xml:space="preserve"> 2012 </w:t>
            </w:r>
            <w:r>
              <w:rPr>
                <w:rFonts w:cs="Arial"/>
                <w:b/>
                <w:bCs/>
                <w:color w:val="FFFFFF"/>
                <w:sz w:val="18"/>
                <w:szCs w:val="18"/>
                <w:lang w:eastAsia="en-AU"/>
              </w:rPr>
              <w:t>–</w:t>
            </w:r>
            <w:r w:rsidRPr="00367714">
              <w:rPr>
                <w:rFonts w:cs="Arial"/>
                <w:b/>
                <w:bCs/>
                <w:color w:val="FFFFFF"/>
                <w:sz w:val="18"/>
                <w:szCs w:val="18"/>
                <w:lang w:eastAsia="en-AU"/>
              </w:rPr>
              <w:t xml:space="preserve"> Q</w:t>
            </w:r>
            <w:r>
              <w:rPr>
                <w:rFonts w:cs="Arial"/>
                <w:b/>
                <w:bCs/>
                <w:color w:val="FFFFFF"/>
                <w:sz w:val="18"/>
                <w:szCs w:val="18"/>
                <w:lang w:eastAsia="en-AU"/>
              </w:rPr>
              <w:t>3</w:t>
            </w:r>
            <w:r w:rsidRPr="00367714">
              <w:rPr>
                <w:rFonts w:cs="Arial"/>
                <w:b/>
                <w:bCs/>
                <w:color w:val="FFFFFF"/>
                <w:sz w:val="18"/>
                <w:szCs w:val="18"/>
                <w:lang w:eastAsia="en-AU"/>
              </w:rPr>
              <w:t xml:space="preserve"> 2013</w:t>
            </w:r>
          </w:p>
        </w:tc>
      </w:tr>
      <w:tr w:rsidR="002D2B4D" w:rsidRPr="00367714" w:rsidTr="007F2111">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Course Enrolments</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20,400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22,500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24,800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21%</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10%</w:t>
            </w:r>
          </w:p>
        </w:tc>
      </w:tr>
      <w:tr w:rsidR="002D2B4D" w:rsidRPr="00367714" w:rsidTr="007F2111">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Student Contact Hours(millions)</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1.2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1.4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31%</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13%</w:t>
            </w:r>
          </w:p>
        </w:tc>
      </w:tr>
      <w:tr w:rsidR="002D2B4D" w:rsidRPr="00367714" w:rsidTr="007F2111">
        <w:trPr>
          <w:trHeight w:hRule="exact" w:val="284"/>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Students</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14,300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16,600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17,600 </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23%</w:t>
            </w:r>
          </w:p>
        </w:tc>
        <w:tc>
          <w:tcPr>
            <w:tcW w:w="1165"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6%</w:t>
            </w:r>
          </w:p>
        </w:tc>
      </w:tr>
    </w:tbl>
    <w:p w:rsidR="002D2B4D" w:rsidRDefault="002D2B4D" w:rsidP="002D2B4D">
      <w:pPr>
        <w:spacing w:after="0" w:line="240" w:lineRule="auto"/>
        <w:jc w:val="left"/>
        <w:rPr>
          <w:rFonts w:cs="Arial"/>
          <w:b/>
          <w:bCs/>
          <w:color w:val="76923C" w:themeColor="accent3" w:themeShade="BF"/>
          <w:sz w:val="18"/>
          <w:szCs w:val="16"/>
        </w:rPr>
      </w:pPr>
    </w:p>
    <w:p w:rsidR="00A501BA" w:rsidRDefault="00A501BA" w:rsidP="002D2B4D">
      <w:pPr>
        <w:spacing w:after="0" w:line="240" w:lineRule="auto"/>
        <w:jc w:val="left"/>
        <w:rPr>
          <w:rFonts w:cs="Arial"/>
          <w:b/>
          <w:bCs/>
          <w:color w:val="76923C" w:themeColor="accent3" w:themeShade="BF"/>
          <w:sz w:val="18"/>
          <w:szCs w:val="16"/>
        </w:rPr>
      </w:pPr>
    </w:p>
    <w:p w:rsidR="002D2B4D" w:rsidRPr="001F29E3" w:rsidRDefault="002D2B4D" w:rsidP="002D2B4D">
      <w:pPr>
        <w:pStyle w:val="Caption"/>
        <w:spacing w:after="0"/>
        <w:jc w:val="left"/>
        <w:rPr>
          <w:rFonts w:cs="Arial"/>
        </w:rPr>
      </w:pPr>
      <w:r w:rsidRPr="001F29E3">
        <w:rPr>
          <w:rFonts w:cs="Arial"/>
        </w:rPr>
        <w:t xml:space="preserve">Table </w:t>
      </w:r>
      <w:r>
        <w:rPr>
          <w:rFonts w:cs="Arial"/>
        </w:rPr>
        <w:t>1.</w:t>
      </w:r>
      <w:r w:rsidR="009D524A">
        <w:rPr>
          <w:rFonts w:cs="Arial"/>
        </w:rPr>
        <w:t>20</w:t>
      </w:r>
      <w:r>
        <w:rPr>
          <w:rFonts w:cs="Arial"/>
        </w:rPr>
        <w:t>.1: Government subsidised s</w:t>
      </w:r>
      <w:r w:rsidRPr="001F29E3">
        <w:rPr>
          <w:rFonts w:cs="Arial"/>
        </w:rPr>
        <w:t xml:space="preserve">tudents </w:t>
      </w:r>
      <w:r>
        <w:rPr>
          <w:rFonts w:cs="Arial"/>
        </w:rPr>
        <w:t>in pre-</w:t>
      </w:r>
      <w:r w:rsidRPr="00367714">
        <w:rPr>
          <w:rFonts w:cs="Arial"/>
        </w:rPr>
        <w:t>accredited</w:t>
      </w:r>
      <w:r>
        <w:rPr>
          <w:rFonts w:cs="Arial"/>
        </w:rPr>
        <w:t xml:space="preserve"> training</w:t>
      </w:r>
      <w:r w:rsidR="007F2111">
        <w:rPr>
          <w:rFonts w:cs="Arial"/>
        </w:rPr>
        <w:t xml:space="preserve"> with Learn Local (ACE) providers </w:t>
      </w:r>
      <w:r w:rsidRPr="001F29E3">
        <w:rPr>
          <w:rFonts w:cs="Arial"/>
        </w:rPr>
        <w:t xml:space="preserve">by </w:t>
      </w:r>
      <w:r>
        <w:rPr>
          <w:rFonts w:cs="Arial"/>
        </w:rPr>
        <w:t>d</w:t>
      </w:r>
      <w:r w:rsidRPr="001F29E3">
        <w:rPr>
          <w:rFonts w:cs="Arial"/>
        </w:rPr>
        <w:t>epartmental region, 2008</w:t>
      </w:r>
      <w:r>
        <w:rPr>
          <w:rFonts w:cs="Arial"/>
        </w:rPr>
        <w:t>-</w:t>
      </w:r>
      <w:r w:rsidRPr="001F29E3">
        <w:rPr>
          <w:rFonts w:cs="Arial"/>
        </w:rPr>
        <w:t>2012</w:t>
      </w:r>
    </w:p>
    <w:tbl>
      <w:tblPr>
        <w:tblW w:w="9219" w:type="dxa"/>
        <w:tblInd w:w="103" w:type="dxa"/>
        <w:tblLayout w:type="fixed"/>
        <w:tblLook w:val="04A0" w:firstRow="1" w:lastRow="0" w:firstColumn="1" w:lastColumn="0" w:noHBand="0" w:noVBand="1"/>
      </w:tblPr>
      <w:tblGrid>
        <w:gridCol w:w="2273"/>
        <w:gridCol w:w="1157"/>
        <w:gridCol w:w="1158"/>
        <w:gridCol w:w="1158"/>
        <w:gridCol w:w="1157"/>
        <w:gridCol w:w="1158"/>
        <w:gridCol w:w="1158"/>
      </w:tblGrid>
      <w:tr w:rsidR="002D2B4D" w:rsidRPr="00367714" w:rsidTr="00A501BA">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67714" w:rsidRDefault="002D2B4D" w:rsidP="002D2B4D">
            <w:pPr>
              <w:spacing w:after="0" w:line="240" w:lineRule="auto"/>
              <w:jc w:val="left"/>
              <w:rPr>
                <w:rFonts w:cs="Arial"/>
                <w:b/>
                <w:bCs/>
                <w:color w:val="FFFFFF"/>
                <w:sz w:val="18"/>
                <w:szCs w:val="18"/>
                <w:lang w:eastAsia="en-AU"/>
              </w:rPr>
            </w:pPr>
            <w:r w:rsidRPr="00367714">
              <w:rPr>
                <w:rFonts w:cs="Arial"/>
                <w:b/>
                <w:bCs/>
                <w:color w:val="FFFFFF"/>
                <w:sz w:val="18"/>
                <w:szCs w:val="18"/>
                <w:lang w:eastAsia="en-AU"/>
              </w:rPr>
              <w:t>Delivery Location</w:t>
            </w:r>
          </w:p>
        </w:tc>
        <w:tc>
          <w:tcPr>
            <w:tcW w:w="1157"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2008</w:t>
            </w:r>
          </w:p>
        </w:tc>
        <w:tc>
          <w:tcPr>
            <w:tcW w:w="1158"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2009</w:t>
            </w:r>
          </w:p>
        </w:tc>
        <w:tc>
          <w:tcPr>
            <w:tcW w:w="1158"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2010</w:t>
            </w:r>
          </w:p>
        </w:tc>
        <w:tc>
          <w:tcPr>
            <w:tcW w:w="1157"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2011</w:t>
            </w:r>
          </w:p>
        </w:tc>
        <w:tc>
          <w:tcPr>
            <w:tcW w:w="1158"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2012</w:t>
            </w:r>
          </w:p>
        </w:tc>
        <w:tc>
          <w:tcPr>
            <w:tcW w:w="1158"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2008-2012</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South-Western</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5,800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5,500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6,000 </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5,500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6,100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6%</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North-Western</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5,300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4,800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5,300 </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4,800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5,200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North-Eastern</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6,900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5,600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5,300 </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4,500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5,000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-28%</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South-Eastern</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10,000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7,700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6,500 </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5,900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6,500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-35%</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AEIs</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60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800 </w:t>
            </w:r>
          </w:p>
        </w:tc>
        <w:tc>
          <w:tcPr>
            <w:tcW w:w="1157"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700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1,300 </w:t>
            </w:r>
          </w:p>
        </w:tc>
        <w:tc>
          <w:tcPr>
            <w:tcW w:w="1158"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2071%</w:t>
            </w:r>
          </w:p>
        </w:tc>
      </w:tr>
      <w:tr w:rsidR="002D2B4D" w:rsidRPr="00367714" w:rsidTr="00A501BA">
        <w:trPr>
          <w:trHeight w:hRule="exact" w:val="284"/>
        </w:trPr>
        <w:tc>
          <w:tcPr>
            <w:tcW w:w="2273" w:type="dxa"/>
            <w:tcBorders>
              <w:top w:val="nil"/>
              <w:left w:val="single" w:sz="4" w:space="0" w:color="5E8A00"/>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left"/>
              <w:rPr>
                <w:rFonts w:cs="Arial"/>
                <w:b/>
                <w:bCs/>
                <w:color w:val="FFFFFF"/>
                <w:sz w:val="18"/>
                <w:szCs w:val="18"/>
                <w:lang w:eastAsia="en-AU"/>
              </w:rPr>
            </w:pPr>
            <w:r w:rsidRPr="00367714">
              <w:rPr>
                <w:rFonts w:cs="Arial"/>
                <w:b/>
                <w:bCs/>
                <w:color w:val="FFFFFF"/>
                <w:sz w:val="18"/>
                <w:szCs w:val="18"/>
                <w:lang w:eastAsia="en-AU"/>
              </w:rPr>
              <w:t>Total</w:t>
            </w:r>
          </w:p>
        </w:tc>
        <w:tc>
          <w:tcPr>
            <w:tcW w:w="1157"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28,000</w:t>
            </w:r>
          </w:p>
        </w:tc>
        <w:tc>
          <w:tcPr>
            <w:tcW w:w="1158"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23,600</w:t>
            </w:r>
          </w:p>
        </w:tc>
        <w:tc>
          <w:tcPr>
            <w:tcW w:w="1158"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23,900</w:t>
            </w:r>
          </w:p>
        </w:tc>
        <w:tc>
          <w:tcPr>
            <w:tcW w:w="1157"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21,400</w:t>
            </w:r>
          </w:p>
        </w:tc>
        <w:tc>
          <w:tcPr>
            <w:tcW w:w="1158"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24,200</w:t>
            </w:r>
          </w:p>
        </w:tc>
        <w:tc>
          <w:tcPr>
            <w:tcW w:w="1158" w:type="dxa"/>
            <w:tcBorders>
              <w:top w:val="nil"/>
              <w:left w:val="nil"/>
              <w:bottom w:val="nil"/>
              <w:right w:val="single" w:sz="4" w:space="0" w:color="5E8A00"/>
            </w:tcBorders>
            <w:shd w:val="clear" w:color="000000" w:fill="5E8A00"/>
            <w:noWrap/>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-14%</w:t>
            </w:r>
          </w:p>
        </w:tc>
      </w:tr>
    </w:tbl>
    <w:p w:rsidR="002D2B4D" w:rsidRPr="001F29E3" w:rsidRDefault="002D2B4D" w:rsidP="002D2B4D">
      <w:pPr>
        <w:rPr>
          <w:rFonts w:cs="Arial"/>
          <w:sz w:val="16"/>
          <w:szCs w:val="16"/>
        </w:rPr>
      </w:pPr>
      <w:r w:rsidRPr="001F29E3">
        <w:rPr>
          <w:rFonts w:cs="Arial"/>
          <w:sz w:val="16"/>
          <w:szCs w:val="16"/>
        </w:rPr>
        <w:t>AEIs: Adult Education Institutes</w:t>
      </w:r>
    </w:p>
    <w:p w:rsidR="002D2B4D" w:rsidRDefault="002D2B4D" w:rsidP="002D2B4D">
      <w:pPr>
        <w:pStyle w:val="Caption"/>
        <w:jc w:val="left"/>
        <w:rPr>
          <w:rFonts w:cs="Arial"/>
        </w:rPr>
      </w:pPr>
    </w:p>
    <w:p w:rsidR="002D2B4D" w:rsidRDefault="002D2B4D" w:rsidP="002D2B4D">
      <w:pPr>
        <w:pStyle w:val="Caption"/>
        <w:spacing w:after="0"/>
        <w:jc w:val="left"/>
      </w:pPr>
      <w:r w:rsidRPr="001F29E3">
        <w:rPr>
          <w:rFonts w:cs="Arial"/>
        </w:rPr>
        <w:t xml:space="preserve">Table </w:t>
      </w:r>
      <w:r w:rsidR="009D524A">
        <w:rPr>
          <w:rFonts w:cs="Arial"/>
        </w:rPr>
        <w:t>1.20</w:t>
      </w:r>
      <w:r>
        <w:rPr>
          <w:rFonts w:cs="Arial"/>
        </w:rPr>
        <w:t xml:space="preserve">.1: </w:t>
      </w:r>
      <w:r w:rsidR="007F2111">
        <w:rPr>
          <w:rFonts w:cs="Arial"/>
        </w:rPr>
        <w:t>Government subsidised s</w:t>
      </w:r>
      <w:r w:rsidR="007F2111" w:rsidRPr="001F29E3">
        <w:rPr>
          <w:rFonts w:cs="Arial"/>
        </w:rPr>
        <w:t xml:space="preserve">tudents </w:t>
      </w:r>
      <w:r w:rsidR="007F2111">
        <w:rPr>
          <w:rFonts w:cs="Arial"/>
        </w:rPr>
        <w:t>in pre-</w:t>
      </w:r>
      <w:r w:rsidR="007F2111" w:rsidRPr="00367714">
        <w:rPr>
          <w:rFonts w:cs="Arial"/>
        </w:rPr>
        <w:t>accredited</w:t>
      </w:r>
      <w:r w:rsidR="007F2111">
        <w:rPr>
          <w:rFonts w:cs="Arial"/>
        </w:rPr>
        <w:t xml:space="preserve"> training with Learn Local (ACE) providers </w:t>
      </w:r>
      <w:r w:rsidR="007F2111" w:rsidRPr="001F29E3">
        <w:rPr>
          <w:rFonts w:cs="Arial"/>
        </w:rPr>
        <w:t xml:space="preserve">by </w:t>
      </w:r>
      <w:r w:rsidR="007F2111">
        <w:rPr>
          <w:rFonts w:cs="Arial"/>
        </w:rPr>
        <w:t>d</w:t>
      </w:r>
      <w:r w:rsidR="007F2111" w:rsidRPr="001F29E3">
        <w:rPr>
          <w:rFonts w:cs="Arial"/>
        </w:rPr>
        <w:t>epartmental region</w:t>
      </w:r>
      <w:r w:rsidRPr="001F29E3">
        <w:rPr>
          <w:rFonts w:cs="Arial"/>
        </w:rPr>
        <w:t xml:space="preserve">, </w:t>
      </w:r>
      <w:r>
        <w:rPr>
          <w:rFonts w:cs="Arial"/>
        </w:rPr>
        <w:t>Q3</w:t>
      </w:r>
      <w:r w:rsidRPr="001F29E3">
        <w:rPr>
          <w:rFonts w:cs="Arial"/>
        </w:rPr>
        <w:t xml:space="preserve"> </w:t>
      </w:r>
      <w:r>
        <w:rPr>
          <w:rFonts w:cs="Arial"/>
        </w:rPr>
        <w:t>2011, Q3 2012 and Q3</w:t>
      </w:r>
      <w:r w:rsidRPr="001F29E3">
        <w:rPr>
          <w:rFonts w:cs="Arial"/>
        </w:rPr>
        <w:t xml:space="preserve"> 201</w:t>
      </w:r>
      <w:r>
        <w:rPr>
          <w:rFonts w:cs="Arial"/>
        </w:rPr>
        <w:t>3</w:t>
      </w:r>
    </w:p>
    <w:tbl>
      <w:tblPr>
        <w:tblW w:w="8840" w:type="dxa"/>
        <w:tblInd w:w="103" w:type="dxa"/>
        <w:tblLayout w:type="fixed"/>
        <w:tblLook w:val="04A0" w:firstRow="1" w:lastRow="0" w:firstColumn="1" w:lastColumn="0" w:noHBand="0" w:noVBand="1"/>
      </w:tblPr>
      <w:tblGrid>
        <w:gridCol w:w="2273"/>
        <w:gridCol w:w="1313"/>
        <w:gridCol w:w="1313"/>
        <w:gridCol w:w="1314"/>
        <w:gridCol w:w="1313"/>
        <w:gridCol w:w="1314"/>
      </w:tblGrid>
      <w:tr w:rsidR="002D2B4D" w:rsidRPr="00367714" w:rsidTr="00A501BA">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67714" w:rsidRDefault="002D2B4D" w:rsidP="002D2B4D">
            <w:pPr>
              <w:spacing w:after="0" w:line="240" w:lineRule="auto"/>
              <w:jc w:val="left"/>
              <w:rPr>
                <w:rFonts w:cs="Arial"/>
                <w:b/>
                <w:bCs/>
                <w:color w:val="FFFFFF"/>
                <w:sz w:val="18"/>
                <w:szCs w:val="18"/>
                <w:lang w:eastAsia="en-AU"/>
              </w:rPr>
            </w:pPr>
            <w:r w:rsidRPr="00367714">
              <w:rPr>
                <w:rFonts w:cs="Arial"/>
                <w:b/>
                <w:bCs/>
                <w:color w:val="FFFFFF"/>
                <w:sz w:val="18"/>
                <w:szCs w:val="18"/>
                <w:lang w:eastAsia="en-AU"/>
              </w:rPr>
              <w:t>Delivery Location</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2011</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2012</w:t>
            </w:r>
          </w:p>
        </w:tc>
        <w:tc>
          <w:tcPr>
            <w:tcW w:w="131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ind w:firstLineChars="100" w:firstLine="181"/>
              <w:jc w:val="right"/>
              <w:rPr>
                <w:rFonts w:cs="Arial"/>
                <w:b/>
                <w:bCs/>
                <w:color w:val="FFFFFF"/>
                <w:sz w:val="18"/>
                <w:szCs w:val="18"/>
                <w:lang w:eastAsia="en-AU"/>
              </w:rPr>
            </w:pPr>
            <w:r w:rsidRPr="00367714">
              <w:rPr>
                <w:rFonts w:cs="Arial"/>
                <w:b/>
                <w:bCs/>
                <w:color w:val="FFFFFF"/>
                <w:sz w:val="18"/>
                <w:szCs w:val="18"/>
                <w:lang w:eastAsia="en-AU"/>
              </w:rPr>
              <w:t>Q3 2013</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Q</w:t>
            </w:r>
            <w:r>
              <w:rPr>
                <w:rFonts w:cs="Arial"/>
                <w:b/>
                <w:bCs/>
                <w:color w:val="FFFFFF"/>
                <w:sz w:val="18"/>
                <w:szCs w:val="18"/>
                <w:lang w:eastAsia="en-AU"/>
              </w:rPr>
              <w:t>3</w:t>
            </w:r>
            <w:r w:rsidRPr="00367714">
              <w:rPr>
                <w:rFonts w:cs="Arial"/>
                <w:b/>
                <w:bCs/>
                <w:color w:val="FFFFFF"/>
                <w:sz w:val="18"/>
                <w:szCs w:val="18"/>
                <w:lang w:eastAsia="en-AU"/>
              </w:rPr>
              <w:t xml:space="preserve"> 2011 </w:t>
            </w:r>
            <w:r>
              <w:rPr>
                <w:rFonts w:cs="Arial"/>
                <w:b/>
                <w:bCs/>
                <w:color w:val="FFFFFF"/>
                <w:sz w:val="18"/>
                <w:szCs w:val="18"/>
                <w:lang w:eastAsia="en-AU"/>
              </w:rPr>
              <w:t>–</w:t>
            </w:r>
            <w:r w:rsidRPr="00367714">
              <w:rPr>
                <w:rFonts w:cs="Arial"/>
                <w:b/>
                <w:bCs/>
                <w:color w:val="FFFFFF"/>
                <w:sz w:val="18"/>
                <w:szCs w:val="18"/>
                <w:lang w:eastAsia="en-AU"/>
              </w:rPr>
              <w:t xml:space="preserve"> Q</w:t>
            </w:r>
            <w:r>
              <w:rPr>
                <w:rFonts w:cs="Arial"/>
                <w:b/>
                <w:bCs/>
                <w:color w:val="FFFFFF"/>
                <w:sz w:val="18"/>
                <w:szCs w:val="18"/>
                <w:lang w:eastAsia="en-AU"/>
              </w:rPr>
              <w:t>3</w:t>
            </w:r>
            <w:r w:rsidRPr="00367714">
              <w:rPr>
                <w:rFonts w:cs="Arial"/>
                <w:b/>
                <w:bCs/>
                <w:color w:val="FFFFFF"/>
                <w:sz w:val="18"/>
                <w:szCs w:val="18"/>
                <w:lang w:eastAsia="en-AU"/>
              </w:rPr>
              <w:t xml:space="preserve"> 2013</w:t>
            </w:r>
          </w:p>
        </w:tc>
        <w:tc>
          <w:tcPr>
            <w:tcW w:w="131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 change Q</w:t>
            </w:r>
            <w:r>
              <w:rPr>
                <w:rFonts w:cs="Arial"/>
                <w:b/>
                <w:bCs/>
                <w:color w:val="FFFFFF"/>
                <w:sz w:val="18"/>
                <w:szCs w:val="18"/>
                <w:lang w:eastAsia="en-AU"/>
              </w:rPr>
              <w:t>3</w:t>
            </w:r>
            <w:r w:rsidRPr="00367714">
              <w:rPr>
                <w:rFonts w:cs="Arial"/>
                <w:b/>
                <w:bCs/>
                <w:color w:val="FFFFFF"/>
                <w:sz w:val="18"/>
                <w:szCs w:val="18"/>
                <w:lang w:eastAsia="en-AU"/>
              </w:rPr>
              <w:t xml:space="preserve"> 2012 </w:t>
            </w:r>
            <w:r>
              <w:rPr>
                <w:rFonts w:cs="Arial"/>
                <w:b/>
                <w:bCs/>
                <w:color w:val="FFFFFF"/>
                <w:sz w:val="18"/>
                <w:szCs w:val="18"/>
                <w:lang w:eastAsia="en-AU"/>
              </w:rPr>
              <w:t>–</w:t>
            </w:r>
            <w:r w:rsidRPr="00367714">
              <w:rPr>
                <w:rFonts w:cs="Arial"/>
                <w:b/>
                <w:bCs/>
                <w:color w:val="FFFFFF"/>
                <w:sz w:val="18"/>
                <w:szCs w:val="18"/>
                <w:lang w:eastAsia="en-AU"/>
              </w:rPr>
              <w:t xml:space="preserve"> Q</w:t>
            </w:r>
            <w:r>
              <w:rPr>
                <w:rFonts w:cs="Arial"/>
                <w:b/>
                <w:bCs/>
                <w:color w:val="FFFFFF"/>
                <w:sz w:val="18"/>
                <w:szCs w:val="18"/>
                <w:lang w:eastAsia="en-AU"/>
              </w:rPr>
              <w:t>3</w:t>
            </w:r>
            <w:r w:rsidRPr="00367714">
              <w:rPr>
                <w:rFonts w:cs="Arial"/>
                <w:b/>
                <w:bCs/>
                <w:color w:val="FFFFFF"/>
                <w:sz w:val="18"/>
                <w:szCs w:val="18"/>
                <w:lang w:eastAsia="en-AU"/>
              </w:rPr>
              <w:t xml:space="preserve"> 2013</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South-Western</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3,400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4,000 </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4,700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40%</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19%</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North-Western</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3,500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3,500 </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3,700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5%</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4%</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North-Eastern</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2,900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3,600 </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3,600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24%</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South-Eastern</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4,500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4,700 </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4,900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10%</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5%</w:t>
            </w:r>
          </w:p>
        </w:tc>
      </w:tr>
      <w:tr w:rsidR="002D2B4D" w:rsidRPr="00367714" w:rsidTr="00A501BA">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67714" w:rsidRDefault="002D2B4D" w:rsidP="002D2B4D">
            <w:pPr>
              <w:spacing w:after="0" w:line="240" w:lineRule="auto"/>
              <w:jc w:val="left"/>
              <w:rPr>
                <w:rFonts w:cs="Arial"/>
                <w:color w:val="3E5B00"/>
                <w:sz w:val="18"/>
                <w:szCs w:val="18"/>
                <w:lang w:eastAsia="en-AU"/>
              </w:rPr>
            </w:pPr>
            <w:r w:rsidRPr="00367714">
              <w:rPr>
                <w:rFonts w:cs="Arial"/>
                <w:color w:val="3E5B00"/>
                <w:sz w:val="18"/>
                <w:szCs w:val="18"/>
                <w:lang w:eastAsia="en-AU"/>
              </w:rPr>
              <w:t>AEIs</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50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900 </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 xml:space="preserve">700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1171%</w:t>
            </w:r>
          </w:p>
        </w:tc>
        <w:tc>
          <w:tcPr>
            <w:tcW w:w="1314" w:type="dxa"/>
            <w:tcBorders>
              <w:top w:val="nil"/>
              <w:left w:val="nil"/>
              <w:bottom w:val="single" w:sz="4" w:space="0" w:color="5E8A00"/>
              <w:right w:val="single" w:sz="4" w:space="0" w:color="5E8A00"/>
            </w:tcBorders>
            <w:shd w:val="clear" w:color="auto" w:fill="auto"/>
            <w:noWrap/>
            <w:vAlign w:val="center"/>
            <w:hideMark/>
          </w:tcPr>
          <w:p w:rsidR="002D2B4D" w:rsidRPr="00367714" w:rsidRDefault="002D2B4D" w:rsidP="002D2B4D">
            <w:pPr>
              <w:spacing w:after="0" w:line="240" w:lineRule="auto"/>
              <w:jc w:val="right"/>
              <w:rPr>
                <w:rFonts w:cs="Arial"/>
                <w:sz w:val="18"/>
                <w:szCs w:val="18"/>
                <w:lang w:eastAsia="en-AU"/>
              </w:rPr>
            </w:pPr>
            <w:r w:rsidRPr="00367714">
              <w:rPr>
                <w:rFonts w:cs="Arial"/>
                <w:sz w:val="18"/>
                <w:szCs w:val="18"/>
                <w:lang w:eastAsia="en-AU"/>
              </w:rPr>
              <w:t>-27%</w:t>
            </w:r>
          </w:p>
        </w:tc>
      </w:tr>
      <w:tr w:rsidR="002D2B4D" w:rsidRPr="00367714" w:rsidTr="00A501BA">
        <w:trPr>
          <w:trHeight w:hRule="exact" w:val="284"/>
        </w:trPr>
        <w:tc>
          <w:tcPr>
            <w:tcW w:w="2273" w:type="dxa"/>
            <w:tcBorders>
              <w:top w:val="nil"/>
              <w:left w:val="single" w:sz="4" w:space="0" w:color="5E8A00"/>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left"/>
              <w:rPr>
                <w:rFonts w:cs="Arial"/>
                <w:b/>
                <w:bCs/>
                <w:color w:val="FFFFFF"/>
                <w:sz w:val="18"/>
                <w:szCs w:val="18"/>
                <w:lang w:eastAsia="en-AU"/>
              </w:rPr>
            </w:pPr>
            <w:r w:rsidRPr="00367714">
              <w:rPr>
                <w:rFonts w:cs="Arial"/>
                <w:b/>
                <w:bCs/>
                <w:color w:val="FFFFFF"/>
                <w:sz w:val="18"/>
                <w:szCs w:val="18"/>
                <w:lang w:eastAsia="en-AU"/>
              </w:rPr>
              <w:t>Total</w:t>
            </w:r>
          </w:p>
        </w:tc>
        <w:tc>
          <w:tcPr>
            <w:tcW w:w="1313" w:type="dxa"/>
            <w:tcBorders>
              <w:top w:val="nil"/>
              <w:left w:val="nil"/>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14,300</w:t>
            </w:r>
          </w:p>
        </w:tc>
        <w:tc>
          <w:tcPr>
            <w:tcW w:w="1313" w:type="dxa"/>
            <w:tcBorders>
              <w:top w:val="nil"/>
              <w:left w:val="nil"/>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16,600</w:t>
            </w:r>
          </w:p>
        </w:tc>
        <w:tc>
          <w:tcPr>
            <w:tcW w:w="1314" w:type="dxa"/>
            <w:tcBorders>
              <w:top w:val="nil"/>
              <w:left w:val="nil"/>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17,600</w:t>
            </w:r>
          </w:p>
        </w:tc>
        <w:tc>
          <w:tcPr>
            <w:tcW w:w="1313" w:type="dxa"/>
            <w:tcBorders>
              <w:top w:val="nil"/>
              <w:left w:val="nil"/>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23%</w:t>
            </w:r>
          </w:p>
        </w:tc>
        <w:tc>
          <w:tcPr>
            <w:tcW w:w="1314" w:type="dxa"/>
            <w:tcBorders>
              <w:top w:val="nil"/>
              <w:left w:val="nil"/>
              <w:bottom w:val="nil"/>
              <w:right w:val="single" w:sz="4" w:space="0" w:color="5E8A00"/>
            </w:tcBorders>
            <w:shd w:val="clear" w:color="000000" w:fill="5E8A00"/>
            <w:noWrap/>
            <w:vAlign w:val="bottom"/>
            <w:hideMark/>
          </w:tcPr>
          <w:p w:rsidR="002D2B4D" w:rsidRPr="00367714" w:rsidRDefault="002D2B4D" w:rsidP="002D2B4D">
            <w:pPr>
              <w:spacing w:after="0" w:line="240" w:lineRule="auto"/>
              <w:jc w:val="right"/>
              <w:rPr>
                <w:rFonts w:cs="Arial"/>
                <w:b/>
                <w:bCs/>
                <w:color w:val="FFFFFF"/>
                <w:sz w:val="18"/>
                <w:szCs w:val="18"/>
                <w:lang w:eastAsia="en-AU"/>
              </w:rPr>
            </w:pPr>
            <w:r w:rsidRPr="00367714">
              <w:rPr>
                <w:rFonts w:cs="Arial"/>
                <w:b/>
                <w:bCs/>
                <w:color w:val="FFFFFF"/>
                <w:sz w:val="18"/>
                <w:szCs w:val="18"/>
                <w:lang w:eastAsia="en-AU"/>
              </w:rPr>
              <w:t>6%</w:t>
            </w:r>
          </w:p>
        </w:tc>
      </w:tr>
    </w:tbl>
    <w:p w:rsidR="002D2B4D" w:rsidRDefault="002D2B4D" w:rsidP="002D2B4D">
      <w:pPr>
        <w:rPr>
          <w:rFonts w:cs="Arial"/>
          <w:sz w:val="16"/>
          <w:szCs w:val="16"/>
        </w:rPr>
      </w:pPr>
      <w:r w:rsidRPr="001F29E3">
        <w:rPr>
          <w:rFonts w:cs="Arial"/>
          <w:sz w:val="16"/>
          <w:szCs w:val="16"/>
        </w:rPr>
        <w:t>AEIs: Adult Education Institutes</w:t>
      </w:r>
    </w:p>
    <w:p w:rsidR="002D2B4D" w:rsidRDefault="002D2B4D" w:rsidP="002D2B4D">
      <w:pPr>
        <w:rPr>
          <w:rFonts w:cs="Arial"/>
          <w:sz w:val="16"/>
          <w:szCs w:val="16"/>
        </w:rPr>
      </w:pPr>
    </w:p>
    <w:p w:rsidR="00F00040" w:rsidRDefault="00F00040">
      <w:pPr>
        <w:spacing w:after="0" w:line="240" w:lineRule="auto"/>
        <w:jc w:val="left"/>
        <w:rPr>
          <w:rFonts w:cs="Arial"/>
          <w:b/>
          <w:bCs/>
          <w:color w:val="76923C" w:themeColor="accent3" w:themeShade="BF"/>
          <w:sz w:val="18"/>
          <w:szCs w:val="16"/>
        </w:rPr>
      </w:pPr>
      <w:r>
        <w:rPr>
          <w:rFonts w:cs="Arial"/>
        </w:rPr>
        <w:br w:type="page"/>
      </w:r>
    </w:p>
    <w:p w:rsidR="002D2B4D" w:rsidRPr="0016365F" w:rsidRDefault="002D2B4D" w:rsidP="002D2B4D">
      <w:pPr>
        <w:pStyle w:val="Caption"/>
        <w:spacing w:after="0"/>
        <w:jc w:val="left"/>
        <w:rPr>
          <w:rFonts w:cs="Arial"/>
        </w:rPr>
      </w:pPr>
      <w:r w:rsidRPr="001F29E3">
        <w:rPr>
          <w:rFonts w:cs="Arial"/>
        </w:rPr>
        <w:lastRenderedPageBreak/>
        <w:t>Figure 1.</w:t>
      </w:r>
      <w:r w:rsidR="009D524A">
        <w:rPr>
          <w:rFonts w:cs="Arial"/>
        </w:rPr>
        <w:t>7</w:t>
      </w:r>
      <w:r w:rsidRPr="001F29E3">
        <w:rPr>
          <w:rFonts w:cs="Arial"/>
        </w:rPr>
        <w:t xml:space="preserve">: </w:t>
      </w:r>
      <w:r w:rsidR="00A50E11" w:rsidRPr="001F29E3">
        <w:rPr>
          <w:rFonts w:cs="Arial"/>
        </w:rPr>
        <w:t xml:space="preserve">Government subsidised </w:t>
      </w:r>
      <w:r w:rsidR="00A50E11">
        <w:rPr>
          <w:rFonts w:cs="Arial"/>
        </w:rPr>
        <w:t>s</w:t>
      </w:r>
      <w:r w:rsidR="00A50E11" w:rsidRPr="001F29E3">
        <w:rPr>
          <w:rFonts w:cs="Arial"/>
        </w:rPr>
        <w:t xml:space="preserve">tudents </w:t>
      </w:r>
      <w:r w:rsidR="00A50E11">
        <w:rPr>
          <w:rFonts w:cs="Arial"/>
        </w:rPr>
        <w:t>in pre-</w:t>
      </w:r>
      <w:r w:rsidR="00A50E11" w:rsidRPr="00367714">
        <w:rPr>
          <w:rFonts w:cs="Arial"/>
        </w:rPr>
        <w:t>accredited</w:t>
      </w:r>
      <w:r w:rsidR="00A50E11">
        <w:rPr>
          <w:rFonts w:cs="Arial"/>
        </w:rPr>
        <w:t xml:space="preserve"> training</w:t>
      </w:r>
      <w:r w:rsidR="00A50E11" w:rsidRPr="001F29E3">
        <w:rPr>
          <w:rFonts w:cs="Arial"/>
        </w:rPr>
        <w:t xml:space="preserve"> </w:t>
      </w:r>
      <w:r w:rsidR="00A50E11">
        <w:rPr>
          <w:rFonts w:cs="Arial"/>
        </w:rPr>
        <w:t>with Learn Local (ACE) providers</w:t>
      </w:r>
      <w:r w:rsidR="00A50E11" w:rsidRPr="001F29E3">
        <w:rPr>
          <w:rFonts w:cs="Arial"/>
        </w:rPr>
        <w:t xml:space="preserve"> by regional area</w:t>
      </w:r>
      <w:r w:rsidRPr="001F29E3">
        <w:rPr>
          <w:rFonts w:cs="Arial"/>
        </w:rPr>
        <w:t>,</w:t>
      </w:r>
      <w:r w:rsidR="00A50E11">
        <w:rPr>
          <w:rFonts w:cs="Arial"/>
        </w:rPr>
        <w:t xml:space="preserve"> </w:t>
      </w:r>
      <w:r>
        <w:rPr>
          <w:rFonts w:cs="Arial"/>
        </w:rPr>
        <w:t xml:space="preserve">Q3 2011, </w:t>
      </w:r>
      <w:r w:rsidRPr="001F29E3">
        <w:rPr>
          <w:rFonts w:cs="Arial"/>
        </w:rPr>
        <w:t>Q</w:t>
      </w:r>
      <w:r>
        <w:rPr>
          <w:rFonts w:cs="Arial"/>
        </w:rPr>
        <w:t>3</w:t>
      </w:r>
      <w:r w:rsidRPr="001F29E3">
        <w:rPr>
          <w:rFonts w:cs="Arial"/>
        </w:rPr>
        <w:t xml:space="preserve"> 2012 </w:t>
      </w:r>
      <w:r>
        <w:rPr>
          <w:rFonts w:cs="Arial"/>
        </w:rPr>
        <w:t>and</w:t>
      </w:r>
      <w:r w:rsidRPr="001F29E3">
        <w:rPr>
          <w:rFonts w:cs="Arial"/>
        </w:rPr>
        <w:t xml:space="preserve"> Q</w:t>
      </w:r>
      <w:r>
        <w:rPr>
          <w:rFonts w:cs="Arial"/>
        </w:rPr>
        <w:t>3</w:t>
      </w:r>
      <w:r w:rsidRPr="001F29E3">
        <w:rPr>
          <w:rFonts w:cs="Arial"/>
        </w:rPr>
        <w:t xml:space="preserve"> 2013</w:t>
      </w:r>
    </w:p>
    <w:p w:rsidR="002D2B4D" w:rsidRDefault="002D2B4D" w:rsidP="002D2B4D">
      <w:pPr>
        <w:spacing w:after="0" w:line="240" w:lineRule="auto"/>
        <w:jc w:val="left"/>
      </w:pPr>
      <w:r>
        <w:rPr>
          <w:noProof/>
          <w:lang w:eastAsia="en-AU"/>
        </w:rPr>
        <w:drawing>
          <wp:inline distT="0" distB="0" distL="0" distR="0" wp14:anchorId="12B5F490" wp14:editId="6973F9DF">
            <wp:extent cx="6012000" cy="2408400"/>
            <wp:effectExtent l="0" t="0" r="0" b="0"/>
            <wp:docPr id="29" name="Picture 29" descr="This chart presents the number of students undertaking government subsidised pre-accredited training with Learn Local ACE providers in each of of the regional areas in Q3 2011, Q3 2012 and Q3 2013." title="Figure 1.7: Government subsidised students in pre-accredited training with Learn Local (ACE) providers by regional area,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2000" cy="2408400"/>
                    </a:xfrm>
                    <a:prstGeom prst="rect">
                      <a:avLst/>
                    </a:prstGeom>
                    <a:noFill/>
                  </pic:spPr>
                </pic:pic>
              </a:graphicData>
            </a:graphic>
          </wp:inline>
        </w:drawing>
      </w:r>
    </w:p>
    <w:tbl>
      <w:tblPr>
        <w:tblW w:w="4938" w:type="pct"/>
        <w:tblInd w:w="108" w:type="dxa"/>
        <w:tblLayout w:type="fixed"/>
        <w:tblLook w:val="04A0" w:firstRow="1" w:lastRow="0" w:firstColumn="1" w:lastColumn="0" w:noHBand="0" w:noVBand="1"/>
      </w:tblPr>
      <w:tblGrid>
        <w:gridCol w:w="993"/>
        <w:gridCol w:w="1842"/>
        <w:gridCol w:w="851"/>
        <w:gridCol w:w="1806"/>
        <w:gridCol w:w="901"/>
        <w:gridCol w:w="2780"/>
      </w:tblGrid>
      <w:tr w:rsidR="002D2B4D" w:rsidRPr="001F29E3" w:rsidTr="00A50E11">
        <w:trPr>
          <w:trHeight w:val="255"/>
        </w:trPr>
        <w:tc>
          <w:tcPr>
            <w:tcW w:w="993" w:type="dxa"/>
            <w:tcBorders>
              <w:top w:val="single" w:sz="4" w:space="0" w:color="85A644"/>
              <w:left w:val="single" w:sz="4"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BSW</w:t>
            </w:r>
          </w:p>
        </w:tc>
        <w:tc>
          <w:tcPr>
            <w:tcW w:w="1842"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Barwon South West</w:t>
            </w:r>
          </w:p>
        </w:tc>
        <w:tc>
          <w:tcPr>
            <w:tcW w:w="851"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HUM</w:t>
            </w:r>
          </w:p>
        </w:tc>
        <w:tc>
          <w:tcPr>
            <w:tcW w:w="1806"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Hume</w:t>
            </w:r>
          </w:p>
        </w:tc>
        <w:tc>
          <w:tcPr>
            <w:tcW w:w="901"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NWM</w:t>
            </w:r>
          </w:p>
        </w:tc>
        <w:tc>
          <w:tcPr>
            <w:tcW w:w="2780" w:type="dxa"/>
            <w:tcBorders>
              <w:top w:val="single" w:sz="4" w:space="0" w:color="85A644"/>
              <w:left w:val="single" w:sz="6" w:space="0" w:color="85A644"/>
              <w:bottom w:val="single" w:sz="6"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North Western Metropolitan</w:t>
            </w:r>
          </w:p>
        </w:tc>
      </w:tr>
      <w:tr w:rsidR="002D2B4D" w:rsidRPr="001F29E3" w:rsidTr="00A50E11">
        <w:trPr>
          <w:trHeight w:val="255"/>
        </w:trPr>
        <w:tc>
          <w:tcPr>
            <w:tcW w:w="993" w:type="dxa"/>
            <w:tcBorders>
              <w:top w:val="single" w:sz="6" w:space="0" w:color="85A644"/>
              <w:left w:val="single" w:sz="4"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GRA</w:t>
            </w:r>
          </w:p>
        </w:tc>
        <w:tc>
          <w:tcPr>
            <w:tcW w:w="1842"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Grampians</w:t>
            </w:r>
          </w:p>
        </w:tc>
        <w:tc>
          <w:tcPr>
            <w:tcW w:w="851"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GIP</w:t>
            </w:r>
          </w:p>
        </w:tc>
        <w:tc>
          <w:tcPr>
            <w:tcW w:w="1806"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Gippsland</w:t>
            </w:r>
          </w:p>
        </w:tc>
        <w:tc>
          <w:tcPr>
            <w:tcW w:w="901"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SM</w:t>
            </w:r>
          </w:p>
        </w:tc>
        <w:tc>
          <w:tcPr>
            <w:tcW w:w="2780" w:type="dxa"/>
            <w:tcBorders>
              <w:top w:val="single" w:sz="6" w:space="0" w:color="85A644"/>
              <w:left w:val="single" w:sz="6" w:space="0" w:color="85A644"/>
              <w:bottom w:val="single" w:sz="6"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Southern Metropolitan</w:t>
            </w:r>
          </w:p>
        </w:tc>
      </w:tr>
      <w:tr w:rsidR="002D2B4D" w:rsidRPr="001F29E3" w:rsidTr="00A50E11">
        <w:trPr>
          <w:trHeight w:val="255"/>
        </w:trPr>
        <w:tc>
          <w:tcPr>
            <w:tcW w:w="993" w:type="dxa"/>
            <w:tcBorders>
              <w:top w:val="single" w:sz="6" w:space="0" w:color="85A644"/>
              <w:left w:val="single" w:sz="4"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LMR</w:t>
            </w:r>
          </w:p>
        </w:tc>
        <w:tc>
          <w:tcPr>
            <w:tcW w:w="1842"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 xml:space="preserve">Loddon </w:t>
            </w:r>
            <w:proofErr w:type="spellStart"/>
            <w:r w:rsidRPr="001F29E3">
              <w:rPr>
                <w:rFonts w:cs="Arial"/>
                <w:color w:val="85A644"/>
                <w:sz w:val="16"/>
                <w:szCs w:val="16"/>
                <w:lang w:eastAsia="en-AU"/>
              </w:rPr>
              <w:t>Mallee</w:t>
            </w:r>
            <w:proofErr w:type="spellEnd"/>
          </w:p>
        </w:tc>
        <w:tc>
          <w:tcPr>
            <w:tcW w:w="851"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EM</w:t>
            </w:r>
          </w:p>
        </w:tc>
        <w:tc>
          <w:tcPr>
            <w:tcW w:w="1806"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Eastern Metropolitan</w:t>
            </w:r>
          </w:p>
        </w:tc>
        <w:tc>
          <w:tcPr>
            <w:tcW w:w="901"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AEIs</w:t>
            </w:r>
          </w:p>
        </w:tc>
        <w:tc>
          <w:tcPr>
            <w:tcW w:w="2780" w:type="dxa"/>
            <w:tcBorders>
              <w:top w:val="single" w:sz="6" w:space="0" w:color="85A644"/>
              <w:left w:val="single" w:sz="6" w:space="0" w:color="85A644"/>
              <w:bottom w:val="single" w:sz="4"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Adult Education Institutes</w:t>
            </w:r>
          </w:p>
        </w:tc>
      </w:tr>
    </w:tbl>
    <w:p w:rsidR="002D2B4D" w:rsidRDefault="002D2B4D" w:rsidP="002D2B4D">
      <w:pPr>
        <w:spacing w:after="0" w:line="240" w:lineRule="auto"/>
        <w:jc w:val="left"/>
      </w:pPr>
    </w:p>
    <w:p w:rsidR="00F00040" w:rsidRDefault="00F00040" w:rsidP="002D2B4D">
      <w:pPr>
        <w:pStyle w:val="Caption"/>
        <w:spacing w:after="0" w:line="240" w:lineRule="auto"/>
        <w:jc w:val="left"/>
        <w:rPr>
          <w:rFonts w:cs="Arial"/>
        </w:rPr>
      </w:pPr>
    </w:p>
    <w:p w:rsidR="002D2B4D" w:rsidRDefault="002D2B4D" w:rsidP="002D2B4D">
      <w:pPr>
        <w:pStyle w:val="Caption"/>
        <w:spacing w:after="0" w:line="240" w:lineRule="auto"/>
        <w:jc w:val="left"/>
        <w:rPr>
          <w:rFonts w:cs="Arial"/>
        </w:rPr>
      </w:pPr>
      <w:r>
        <w:rPr>
          <w:rFonts w:cs="Arial"/>
        </w:rPr>
        <w:t xml:space="preserve">Table </w:t>
      </w:r>
      <w:r w:rsidRPr="001F29E3">
        <w:rPr>
          <w:rFonts w:cs="Arial"/>
        </w:rPr>
        <w:t>1.</w:t>
      </w:r>
      <w:r w:rsidR="009D524A">
        <w:rPr>
          <w:rFonts w:cs="Arial"/>
        </w:rPr>
        <w:t>2</w:t>
      </w:r>
      <w:r>
        <w:rPr>
          <w:rFonts w:cs="Arial"/>
        </w:rPr>
        <w:t>1.1</w:t>
      </w:r>
      <w:r w:rsidRPr="001F29E3">
        <w:rPr>
          <w:rFonts w:cs="Arial"/>
        </w:rPr>
        <w:t xml:space="preserve">: </w:t>
      </w:r>
      <w:r w:rsidR="00A50E11" w:rsidRPr="001F29E3">
        <w:rPr>
          <w:rFonts w:cs="Arial"/>
        </w:rPr>
        <w:t xml:space="preserve">Government subsidised </w:t>
      </w:r>
      <w:r w:rsidR="00A50E11">
        <w:rPr>
          <w:rFonts w:cs="Arial"/>
        </w:rPr>
        <w:t xml:space="preserve">ACFE Board Priority Learners enrolled in </w:t>
      </w:r>
      <w:r w:rsidR="00A50E11" w:rsidRPr="001F29E3">
        <w:rPr>
          <w:rFonts w:cs="Arial"/>
        </w:rPr>
        <w:t xml:space="preserve">pre-accredited </w:t>
      </w:r>
      <w:r w:rsidR="00A50E11">
        <w:rPr>
          <w:rFonts w:cs="Arial"/>
        </w:rPr>
        <w:t>programs with Learn Local (ACE) providers</w:t>
      </w:r>
      <w:r>
        <w:rPr>
          <w:rFonts w:cs="Arial"/>
        </w:rPr>
        <w:t>, 2008-2012</w:t>
      </w:r>
    </w:p>
    <w:tbl>
      <w:tblPr>
        <w:tblW w:w="9503" w:type="dxa"/>
        <w:tblLayout w:type="fixed"/>
        <w:tblCellMar>
          <w:left w:w="0" w:type="dxa"/>
          <w:right w:w="0" w:type="dxa"/>
        </w:tblCellMar>
        <w:tblLook w:val="04A0" w:firstRow="1" w:lastRow="0" w:firstColumn="1" w:lastColumn="0" w:noHBand="0" w:noVBand="1"/>
      </w:tblPr>
      <w:tblGrid>
        <w:gridCol w:w="2273"/>
        <w:gridCol w:w="1205"/>
        <w:gridCol w:w="1205"/>
        <w:gridCol w:w="1205"/>
        <w:gridCol w:w="1205"/>
        <w:gridCol w:w="1205"/>
        <w:gridCol w:w="1205"/>
      </w:tblGrid>
      <w:tr w:rsidR="002D2B4D" w:rsidTr="002D2B4D">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Default="002D2B4D" w:rsidP="002D2B4D">
            <w:pPr>
              <w:rPr>
                <w:rFonts w:cs="Arial"/>
                <w:b/>
                <w:bCs/>
                <w:color w:val="FFFFFF"/>
                <w:sz w:val="18"/>
                <w:szCs w:val="18"/>
              </w:rPr>
            </w:pPr>
            <w:r>
              <w:rPr>
                <w:rFonts w:cs="Arial"/>
                <w:b/>
                <w:bCs/>
                <w:color w:val="FFFFFF"/>
                <w:sz w:val="18"/>
                <w:szCs w:val="18"/>
              </w:rPr>
              <w:t> </w:t>
            </w:r>
          </w:p>
        </w:tc>
        <w:tc>
          <w:tcPr>
            <w:tcW w:w="1205" w:type="dxa"/>
            <w:tcBorders>
              <w:top w:val="single" w:sz="4" w:space="0" w:color="5E8A00"/>
              <w:left w:val="nil"/>
              <w:bottom w:val="single" w:sz="4" w:space="0" w:color="5E8A00"/>
              <w:right w:val="single" w:sz="4" w:space="0" w:color="5E8A00"/>
            </w:tcBorders>
            <w:shd w:val="clear" w:color="000000" w:fill="5E8A00"/>
            <w:tcMar>
              <w:top w:w="0" w:type="dxa"/>
              <w:left w:w="0" w:type="dxa"/>
              <w:bottom w:w="0" w:type="dxa"/>
              <w:right w:w="180" w:type="dxa"/>
            </w:tcMar>
            <w:vAlign w:val="center"/>
            <w:hideMark/>
          </w:tcPr>
          <w:p w:rsidR="002D2B4D" w:rsidRDefault="002D2B4D" w:rsidP="002D2B4D">
            <w:pPr>
              <w:ind w:firstLineChars="100" w:firstLine="181"/>
              <w:jc w:val="right"/>
              <w:rPr>
                <w:rFonts w:cs="Arial"/>
                <w:b/>
                <w:bCs/>
                <w:color w:val="FFFFFF"/>
                <w:sz w:val="18"/>
                <w:szCs w:val="18"/>
              </w:rPr>
            </w:pPr>
            <w:r>
              <w:rPr>
                <w:rFonts w:cs="Arial"/>
                <w:b/>
                <w:bCs/>
                <w:color w:val="FFFFFF"/>
                <w:sz w:val="18"/>
                <w:szCs w:val="18"/>
              </w:rPr>
              <w:t>2008</w:t>
            </w:r>
          </w:p>
        </w:tc>
        <w:tc>
          <w:tcPr>
            <w:tcW w:w="1205" w:type="dxa"/>
            <w:tcBorders>
              <w:top w:val="single" w:sz="4" w:space="0" w:color="5E8A00"/>
              <w:left w:val="nil"/>
              <w:bottom w:val="single" w:sz="4" w:space="0" w:color="5E8A00"/>
              <w:right w:val="single" w:sz="4" w:space="0" w:color="5E8A00"/>
            </w:tcBorders>
            <w:shd w:val="clear" w:color="000000" w:fill="5E8A00"/>
            <w:tcMar>
              <w:top w:w="0" w:type="dxa"/>
              <w:left w:w="0" w:type="dxa"/>
              <w:bottom w:w="0" w:type="dxa"/>
              <w:right w:w="180" w:type="dxa"/>
            </w:tcMar>
            <w:vAlign w:val="center"/>
            <w:hideMark/>
          </w:tcPr>
          <w:p w:rsidR="002D2B4D" w:rsidRDefault="002D2B4D" w:rsidP="002D2B4D">
            <w:pPr>
              <w:ind w:firstLineChars="100" w:firstLine="181"/>
              <w:jc w:val="right"/>
              <w:rPr>
                <w:rFonts w:cs="Arial"/>
                <w:b/>
                <w:bCs/>
                <w:color w:val="FFFFFF"/>
                <w:sz w:val="18"/>
                <w:szCs w:val="18"/>
              </w:rPr>
            </w:pPr>
            <w:r>
              <w:rPr>
                <w:rFonts w:cs="Arial"/>
                <w:b/>
                <w:bCs/>
                <w:color w:val="FFFFFF"/>
                <w:sz w:val="18"/>
                <w:szCs w:val="18"/>
              </w:rPr>
              <w:t>2009</w:t>
            </w:r>
          </w:p>
        </w:tc>
        <w:tc>
          <w:tcPr>
            <w:tcW w:w="1205" w:type="dxa"/>
            <w:tcBorders>
              <w:top w:val="single" w:sz="4" w:space="0" w:color="5E8A00"/>
              <w:left w:val="nil"/>
              <w:bottom w:val="single" w:sz="4" w:space="0" w:color="5E8A00"/>
              <w:right w:val="single" w:sz="4" w:space="0" w:color="5E8A00"/>
            </w:tcBorders>
            <w:shd w:val="clear" w:color="000000" w:fill="5E8A00"/>
            <w:tcMar>
              <w:top w:w="0" w:type="dxa"/>
              <w:left w:w="0" w:type="dxa"/>
              <w:bottom w:w="0" w:type="dxa"/>
              <w:right w:w="180" w:type="dxa"/>
            </w:tcMar>
            <w:vAlign w:val="center"/>
            <w:hideMark/>
          </w:tcPr>
          <w:p w:rsidR="002D2B4D" w:rsidRDefault="002D2B4D" w:rsidP="002D2B4D">
            <w:pPr>
              <w:ind w:firstLineChars="100" w:firstLine="181"/>
              <w:jc w:val="right"/>
              <w:rPr>
                <w:rFonts w:cs="Arial"/>
                <w:b/>
                <w:bCs/>
                <w:color w:val="FFFFFF"/>
                <w:sz w:val="18"/>
                <w:szCs w:val="18"/>
              </w:rPr>
            </w:pPr>
            <w:r>
              <w:rPr>
                <w:rFonts w:cs="Arial"/>
                <w:b/>
                <w:bCs/>
                <w:color w:val="FFFFFF"/>
                <w:sz w:val="18"/>
                <w:szCs w:val="18"/>
              </w:rPr>
              <w:t>2010</w:t>
            </w:r>
          </w:p>
        </w:tc>
        <w:tc>
          <w:tcPr>
            <w:tcW w:w="1205" w:type="dxa"/>
            <w:tcBorders>
              <w:top w:val="single" w:sz="4" w:space="0" w:color="5E8A00"/>
              <w:left w:val="nil"/>
              <w:bottom w:val="single" w:sz="4" w:space="0" w:color="5E8A00"/>
              <w:right w:val="single" w:sz="4" w:space="0" w:color="5E8A00"/>
            </w:tcBorders>
            <w:shd w:val="clear" w:color="000000" w:fill="5E8A00"/>
            <w:tcMar>
              <w:top w:w="0" w:type="dxa"/>
              <w:left w:w="0" w:type="dxa"/>
              <w:bottom w:w="0" w:type="dxa"/>
              <w:right w:w="180" w:type="dxa"/>
            </w:tcMar>
            <w:vAlign w:val="center"/>
            <w:hideMark/>
          </w:tcPr>
          <w:p w:rsidR="002D2B4D" w:rsidRDefault="002D2B4D" w:rsidP="002D2B4D">
            <w:pPr>
              <w:ind w:firstLineChars="100" w:firstLine="181"/>
              <w:jc w:val="right"/>
              <w:rPr>
                <w:rFonts w:cs="Arial"/>
                <w:b/>
                <w:bCs/>
                <w:color w:val="FFFFFF"/>
                <w:sz w:val="18"/>
                <w:szCs w:val="18"/>
              </w:rPr>
            </w:pPr>
            <w:r>
              <w:rPr>
                <w:rFonts w:cs="Arial"/>
                <w:b/>
                <w:bCs/>
                <w:color w:val="FFFFFF"/>
                <w:sz w:val="18"/>
                <w:szCs w:val="18"/>
              </w:rPr>
              <w:t>2011</w:t>
            </w:r>
          </w:p>
        </w:tc>
        <w:tc>
          <w:tcPr>
            <w:tcW w:w="1205" w:type="dxa"/>
            <w:tcBorders>
              <w:top w:val="single" w:sz="4" w:space="0" w:color="5E8A00"/>
              <w:left w:val="nil"/>
              <w:bottom w:val="single" w:sz="4" w:space="0" w:color="5E8A00"/>
              <w:right w:val="single" w:sz="4" w:space="0" w:color="5E8A00"/>
            </w:tcBorders>
            <w:shd w:val="clear" w:color="000000" w:fill="5E8A00"/>
            <w:tcMar>
              <w:top w:w="0" w:type="dxa"/>
              <w:left w:w="0" w:type="dxa"/>
              <w:bottom w:w="0" w:type="dxa"/>
              <w:right w:w="180" w:type="dxa"/>
            </w:tcMar>
            <w:vAlign w:val="center"/>
            <w:hideMark/>
          </w:tcPr>
          <w:p w:rsidR="002D2B4D" w:rsidRDefault="002D2B4D" w:rsidP="002D2B4D">
            <w:pPr>
              <w:ind w:firstLineChars="100" w:firstLine="181"/>
              <w:jc w:val="right"/>
              <w:rPr>
                <w:rFonts w:cs="Arial"/>
                <w:b/>
                <w:bCs/>
                <w:color w:val="FFFFFF"/>
                <w:sz w:val="18"/>
                <w:szCs w:val="18"/>
              </w:rPr>
            </w:pPr>
            <w:r>
              <w:rPr>
                <w:rFonts w:cs="Arial"/>
                <w:b/>
                <w:bCs/>
                <w:color w:val="FFFFFF"/>
                <w:sz w:val="18"/>
                <w:szCs w:val="18"/>
              </w:rPr>
              <w:t>2012</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Default="002D2B4D" w:rsidP="002D2B4D">
            <w:pPr>
              <w:jc w:val="right"/>
              <w:rPr>
                <w:rFonts w:cs="Arial"/>
                <w:b/>
                <w:bCs/>
                <w:color w:val="FFFFFF"/>
                <w:sz w:val="18"/>
                <w:szCs w:val="18"/>
              </w:rPr>
            </w:pPr>
            <w:r>
              <w:rPr>
                <w:rFonts w:cs="Arial"/>
                <w:b/>
                <w:bCs/>
                <w:color w:val="FFFFFF"/>
                <w:sz w:val="18"/>
                <w:szCs w:val="18"/>
              </w:rPr>
              <w:t>% change 2008-2012</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CALD (LOTE)</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4,100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4,300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6,800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67%</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Disability</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4,600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4,200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4,800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5,600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21%</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Disengaged Youth</w:t>
            </w:r>
            <w:r w:rsidR="005A04B0">
              <w:rPr>
                <w:rFonts w:cs="Arial"/>
                <w:color w:val="3E5B00"/>
                <w:sz w:val="18"/>
                <w:szCs w:val="18"/>
              </w:rPr>
              <w:t>*</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1,000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600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0%</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Early school leavers</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7,400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6,000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5,200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-29%</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Indigenous</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220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340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340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410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3%</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Males 45 to 64</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2,800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2,500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2,700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-6%</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Unemployed</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5,200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5,300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6,300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16%</w:t>
            </w:r>
          </w:p>
        </w:tc>
      </w:tr>
      <w:tr w:rsidR="002D2B4D"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Default="002D2B4D" w:rsidP="002D2B4D">
            <w:pPr>
              <w:rPr>
                <w:rFonts w:cs="Arial"/>
                <w:color w:val="3E5B00"/>
                <w:sz w:val="18"/>
                <w:szCs w:val="18"/>
              </w:rPr>
            </w:pPr>
            <w:r>
              <w:rPr>
                <w:rFonts w:cs="Arial"/>
                <w:color w:val="3E5B00"/>
                <w:sz w:val="18"/>
                <w:szCs w:val="18"/>
              </w:rPr>
              <w:t>Vulnerable workers</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5,300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4,400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5,100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4,900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 xml:space="preserve">5,700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Default="002D2B4D" w:rsidP="002D2B4D">
            <w:pPr>
              <w:jc w:val="right"/>
              <w:rPr>
                <w:rFonts w:cs="Arial"/>
                <w:sz w:val="18"/>
                <w:szCs w:val="18"/>
              </w:rPr>
            </w:pPr>
            <w:r>
              <w:rPr>
                <w:rFonts w:cs="Arial"/>
                <w:sz w:val="18"/>
                <w:szCs w:val="18"/>
              </w:rPr>
              <w:t>7%</w:t>
            </w:r>
          </w:p>
        </w:tc>
      </w:tr>
    </w:tbl>
    <w:p w:rsidR="00C171CC" w:rsidRPr="00150CC4" w:rsidRDefault="00F00040" w:rsidP="00C171CC">
      <w:pPr>
        <w:spacing w:after="0" w:line="240" w:lineRule="auto"/>
        <w:jc w:val="left"/>
        <w:rPr>
          <w:rFonts w:cs="Arial"/>
          <w:sz w:val="16"/>
          <w:szCs w:val="16"/>
        </w:rPr>
      </w:pPr>
      <w:r w:rsidRPr="001F29E3">
        <w:rPr>
          <w:rFonts w:cs="Arial"/>
          <w:sz w:val="16"/>
          <w:szCs w:val="16"/>
        </w:rPr>
        <w:t xml:space="preserve">Note: </w:t>
      </w:r>
      <w:r>
        <w:rPr>
          <w:rFonts w:cs="Arial"/>
          <w:sz w:val="16"/>
          <w:szCs w:val="16"/>
        </w:rPr>
        <w:t xml:space="preserve">ACFE Board Priority Learner categories </w:t>
      </w:r>
      <w:r w:rsidRPr="001F29E3">
        <w:rPr>
          <w:rFonts w:cs="Arial"/>
          <w:sz w:val="16"/>
          <w:szCs w:val="16"/>
        </w:rPr>
        <w:t>are not mutually exclusive.</w:t>
      </w:r>
      <w:r w:rsidR="00C171CC" w:rsidRPr="00C171CC">
        <w:rPr>
          <w:rFonts w:cs="Arial"/>
          <w:sz w:val="16"/>
          <w:szCs w:val="16"/>
        </w:rPr>
        <w:t xml:space="preserve"> </w:t>
      </w:r>
      <w:r w:rsidR="00C171CC">
        <w:rPr>
          <w:rFonts w:cs="Arial"/>
          <w:sz w:val="16"/>
          <w:szCs w:val="16"/>
        </w:rPr>
        <w:t xml:space="preserve"> </w:t>
      </w:r>
      <w:r w:rsidR="00C171CC" w:rsidRPr="00150CC4">
        <w:rPr>
          <w:rFonts w:cs="Arial"/>
          <w:sz w:val="16"/>
          <w:szCs w:val="16"/>
        </w:rPr>
        <w:t xml:space="preserve">Detail on these categories is available at: </w:t>
      </w:r>
      <w:hyperlink r:id="rId30" w:history="1">
        <w:r w:rsidR="00C171CC" w:rsidRPr="00150CC4">
          <w:rPr>
            <w:rStyle w:val="Hyperlink"/>
            <w:rFonts w:cs="Arial"/>
            <w:sz w:val="16"/>
            <w:szCs w:val="16"/>
          </w:rPr>
          <w:t>www.education.vic.gov.au/Documents/about/research/acfepublications/hardtoreachlearn.pdf</w:t>
        </w:r>
      </w:hyperlink>
    </w:p>
    <w:p w:rsidR="00F00040" w:rsidRPr="001F29E3" w:rsidRDefault="00F00040" w:rsidP="00F00040">
      <w:pPr>
        <w:rPr>
          <w:rFonts w:cs="Arial"/>
          <w:sz w:val="16"/>
          <w:szCs w:val="16"/>
        </w:rPr>
      </w:pPr>
    </w:p>
    <w:p w:rsidR="002D2B4D" w:rsidRDefault="002D2B4D" w:rsidP="002D2B4D"/>
    <w:p w:rsidR="002D2B4D" w:rsidRPr="0016365F" w:rsidRDefault="002D2B4D" w:rsidP="002D2B4D">
      <w:pPr>
        <w:pStyle w:val="Caption"/>
        <w:spacing w:after="0"/>
        <w:jc w:val="left"/>
        <w:rPr>
          <w:rFonts w:cs="Arial"/>
        </w:rPr>
      </w:pPr>
      <w:r>
        <w:rPr>
          <w:rFonts w:cs="Arial"/>
        </w:rPr>
        <w:t xml:space="preserve">Table </w:t>
      </w:r>
      <w:r w:rsidRPr="001F29E3">
        <w:rPr>
          <w:rFonts w:cs="Arial"/>
        </w:rPr>
        <w:t>1.</w:t>
      </w:r>
      <w:r w:rsidR="009D524A">
        <w:rPr>
          <w:rFonts w:cs="Arial"/>
        </w:rPr>
        <w:t>2</w:t>
      </w:r>
      <w:r>
        <w:rPr>
          <w:rFonts w:cs="Arial"/>
        </w:rPr>
        <w:t>1.2</w:t>
      </w:r>
      <w:r w:rsidRPr="001F29E3">
        <w:rPr>
          <w:rFonts w:cs="Arial"/>
        </w:rPr>
        <w:t xml:space="preserve">: </w:t>
      </w:r>
      <w:r w:rsidR="00A50E11" w:rsidRPr="001F29E3">
        <w:rPr>
          <w:rFonts w:cs="Arial"/>
        </w:rPr>
        <w:t xml:space="preserve">Government subsidised </w:t>
      </w:r>
      <w:r w:rsidR="00A50E11">
        <w:rPr>
          <w:rFonts w:cs="Arial"/>
        </w:rPr>
        <w:t xml:space="preserve">ACFE Board Priority Learners enrolled in </w:t>
      </w:r>
      <w:r w:rsidR="00A50E11" w:rsidRPr="001F29E3">
        <w:rPr>
          <w:rFonts w:cs="Arial"/>
        </w:rPr>
        <w:t xml:space="preserve">pre-accredited </w:t>
      </w:r>
      <w:r w:rsidR="00A50E11">
        <w:rPr>
          <w:rFonts w:cs="Arial"/>
        </w:rPr>
        <w:t>programs with Learn Local (ACE) providers</w:t>
      </w:r>
      <w:r>
        <w:rPr>
          <w:rFonts w:cs="Arial"/>
        </w:rPr>
        <w:t xml:space="preserve">, Q3 2011, </w:t>
      </w:r>
      <w:r w:rsidRPr="001F29E3">
        <w:rPr>
          <w:rFonts w:cs="Arial"/>
        </w:rPr>
        <w:t>Q</w:t>
      </w:r>
      <w:r>
        <w:rPr>
          <w:rFonts w:cs="Arial"/>
        </w:rPr>
        <w:t>3</w:t>
      </w:r>
      <w:r w:rsidRPr="001F29E3">
        <w:rPr>
          <w:rFonts w:cs="Arial"/>
        </w:rPr>
        <w:t xml:space="preserve"> 2012 </w:t>
      </w:r>
      <w:r>
        <w:rPr>
          <w:rFonts w:cs="Arial"/>
        </w:rPr>
        <w:t>and</w:t>
      </w:r>
      <w:r w:rsidRPr="001F29E3">
        <w:rPr>
          <w:rFonts w:cs="Arial"/>
        </w:rPr>
        <w:t xml:space="preserve"> Q</w:t>
      </w:r>
      <w:r>
        <w:rPr>
          <w:rFonts w:cs="Arial"/>
        </w:rPr>
        <w:t>3</w:t>
      </w:r>
      <w:r w:rsidRPr="001F29E3">
        <w:rPr>
          <w:rFonts w:cs="Arial"/>
        </w:rPr>
        <w:t xml:space="preserve"> 2013</w:t>
      </w:r>
    </w:p>
    <w:tbl>
      <w:tblPr>
        <w:tblW w:w="8936" w:type="dxa"/>
        <w:tblInd w:w="103" w:type="dxa"/>
        <w:tblLayout w:type="fixed"/>
        <w:tblLook w:val="04A0" w:firstRow="1" w:lastRow="0" w:firstColumn="1" w:lastColumn="0" w:noHBand="0" w:noVBand="1"/>
      </w:tblPr>
      <w:tblGrid>
        <w:gridCol w:w="2273"/>
        <w:gridCol w:w="1332"/>
        <w:gridCol w:w="1333"/>
        <w:gridCol w:w="1332"/>
        <w:gridCol w:w="1333"/>
        <w:gridCol w:w="1333"/>
      </w:tblGrid>
      <w:tr w:rsidR="002D2B4D" w:rsidRPr="008E047C" w:rsidTr="002D2B4D">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8E047C" w:rsidRDefault="002D2B4D" w:rsidP="002D2B4D">
            <w:pPr>
              <w:spacing w:after="0" w:line="240" w:lineRule="auto"/>
              <w:jc w:val="left"/>
              <w:rPr>
                <w:rFonts w:cs="Arial"/>
                <w:b/>
                <w:bCs/>
                <w:color w:val="FFFFFF"/>
                <w:sz w:val="18"/>
                <w:szCs w:val="18"/>
                <w:lang w:eastAsia="en-AU"/>
              </w:rPr>
            </w:pPr>
            <w:r w:rsidRPr="008E047C">
              <w:rPr>
                <w:rFonts w:cs="Arial"/>
                <w:b/>
                <w:bCs/>
                <w:color w:val="FFFFFF"/>
                <w:sz w:val="18"/>
                <w:szCs w:val="18"/>
                <w:lang w:eastAsia="en-AU"/>
              </w:rPr>
              <w:t> </w:t>
            </w:r>
          </w:p>
        </w:tc>
        <w:tc>
          <w:tcPr>
            <w:tcW w:w="1332"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8E047C" w:rsidRDefault="002D2B4D" w:rsidP="002D2B4D">
            <w:pPr>
              <w:spacing w:after="0" w:line="240" w:lineRule="auto"/>
              <w:ind w:firstLineChars="100" w:firstLine="181"/>
              <w:jc w:val="right"/>
              <w:rPr>
                <w:rFonts w:cs="Arial"/>
                <w:b/>
                <w:bCs/>
                <w:color w:val="FFFFFF"/>
                <w:sz w:val="18"/>
                <w:szCs w:val="18"/>
                <w:lang w:eastAsia="en-AU"/>
              </w:rPr>
            </w:pPr>
            <w:r w:rsidRPr="008E047C">
              <w:rPr>
                <w:rFonts w:cs="Arial"/>
                <w:b/>
                <w:bCs/>
                <w:color w:val="FFFFFF"/>
                <w:sz w:val="18"/>
                <w:szCs w:val="18"/>
                <w:lang w:eastAsia="en-AU"/>
              </w:rPr>
              <w:t>Q3 2011</w:t>
            </w:r>
          </w:p>
        </w:tc>
        <w:tc>
          <w:tcPr>
            <w:tcW w:w="133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8E047C" w:rsidRDefault="002D2B4D" w:rsidP="002D2B4D">
            <w:pPr>
              <w:spacing w:after="0" w:line="240" w:lineRule="auto"/>
              <w:ind w:firstLineChars="100" w:firstLine="181"/>
              <w:jc w:val="right"/>
              <w:rPr>
                <w:rFonts w:cs="Arial"/>
                <w:b/>
                <w:bCs/>
                <w:color w:val="FFFFFF"/>
                <w:sz w:val="18"/>
                <w:szCs w:val="18"/>
                <w:lang w:eastAsia="en-AU"/>
              </w:rPr>
            </w:pPr>
            <w:r w:rsidRPr="008E047C">
              <w:rPr>
                <w:rFonts w:cs="Arial"/>
                <w:b/>
                <w:bCs/>
                <w:color w:val="FFFFFF"/>
                <w:sz w:val="18"/>
                <w:szCs w:val="18"/>
                <w:lang w:eastAsia="en-AU"/>
              </w:rPr>
              <w:t>Q3 2012</w:t>
            </w:r>
          </w:p>
        </w:tc>
        <w:tc>
          <w:tcPr>
            <w:tcW w:w="1332"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8E047C" w:rsidRDefault="002D2B4D" w:rsidP="002D2B4D">
            <w:pPr>
              <w:spacing w:after="0" w:line="240" w:lineRule="auto"/>
              <w:ind w:firstLineChars="100" w:firstLine="181"/>
              <w:jc w:val="right"/>
              <w:rPr>
                <w:rFonts w:cs="Arial"/>
                <w:b/>
                <w:bCs/>
                <w:color w:val="FFFFFF"/>
                <w:sz w:val="18"/>
                <w:szCs w:val="18"/>
                <w:lang w:eastAsia="en-AU"/>
              </w:rPr>
            </w:pPr>
            <w:r w:rsidRPr="008E047C">
              <w:rPr>
                <w:rFonts w:cs="Arial"/>
                <w:b/>
                <w:bCs/>
                <w:color w:val="FFFFFF"/>
                <w:sz w:val="18"/>
                <w:szCs w:val="18"/>
                <w:lang w:eastAsia="en-AU"/>
              </w:rPr>
              <w:t>Q3 2013</w:t>
            </w:r>
          </w:p>
        </w:tc>
        <w:tc>
          <w:tcPr>
            <w:tcW w:w="133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8E047C" w:rsidRDefault="002D2B4D" w:rsidP="002D2B4D">
            <w:pPr>
              <w:spacing w:after="0" w:line="240" w:lineRule="auto"/>
              <w:ind w:firstLineChars="100" w:firstLine="181"/>
              <w:jc w:val="right"/>
              <w:rPr>
                <w:rFonts w:cs="Arial"/>
                <w:b/>
                <w:bCs/>
                <w:color w:val="FFFFFF"/>
                <w:sz w:val="18"/>
                <w:szCs w:val="18"/>
                <w:lang w:eastAsia="en-AU"/>
              </w:rPr>
            </w:pPr>
            <w:r w:rsidRPr="008E047C">
              <w:rPr>
                <w:rFonts w:cs="Arial"/>
                <w:b/>
                <w:bCs/>
                <w:color w:val="FFFFFF"/>
                <w:sz w:val="18"/>
                <w:szCs w:val="18"/>
                <w:lang w:eastAsia="en-AU"/>
              </w:rPr>
              <w:t>% change Q</w:t>
            </w:r>
            <w:r>
              <w:rPr>
                <w:rFonts w:cs="Arial"/>
                <w:b/>
                <w:bCs/>
                <w:color w:val="FFFFFF"/>
                <w:sz w:val="18"/>
                <w:szCs w:val="18"/>
                <w:lang w:eastAsia="en-AU"/>
              </w:rPr>
              <w:t>3</w:t>
            </w:r>
            <w:r w:rsidRPr="008E047C">
              <w:rPr>
                <w:rFonts w:cs="Arial"/>
                <w:b/>
                <w:bCs/>
                <w:color w:val="FFFFFF"/>
                <w:sz w:val="18"/>
                <w:szCs w:val="18"/>
                <w:lang w:eastAsia="en-AU"/>
              </w:rPr>
              <w:t xml:space="preserve"> 2011 </w:t>
            </w:r>
            <w:r>
              <w:rPr>
                <w:rFonts w:cs="Arial"/>
                <w:b/>
                <w:bCs/>
                <w:color w:val="FFFFFF"/>
                <w:sz w:val="18"/>
                <w:szCs w:val="18"/>
                <w:lang w:eastAsia="en-AU"/>
              </w:rPr>
              <w:t>–</w:t>
            </w:r>
            <w:r w:rsidRPr="008E047C">
              <w:rPr>
                <w:rFonts w:cs="Arial"/>
                <w:b/>
                <w:bCs/>
                <w:color w:val="FFFFFF"/>
                <w:sz w:val="18"/>
                <w:szCs w:val="18"/>
                <w:lang w:eastAsia="en-AU"/>
              </w:rPr>
              <w:t xml:space="preserve"> Q</w:t>
            </w:r>
            <w:r>
              <w:rPr>
                <w:rFonts w:cs="Arial"/>
                <w:b/>
                <w:bCs/>
                <w:color w:val="FFFFFF"/>
                <w:sz w:val="18"/>
                <w:szCs w:val="18"/>
                <w:lang w:eastAsia="en-AU"/>
              </w:rPr>
              <w:t>3</w:t>
            </w:r>
            <w:r w:rsidRPr="008E047C">
              <w:rPr>
                <w:rFonts w:cs="Arial"/>
                <w:b/>
                <w:bCs/>
                <w:color w:val="FFFFFF"/>
                <w:sz w:val="18"/>
                <w:szCs w:val="18"/>
                <w:lang w:eastAsia="en-AU"/>
              </w:rPr>
              <w:t xml:space="preserve"> 2013</w:t>
            </w:r>
          </w:p>
        </w:tc>
        <w:tc>
          <w:tcPr>
            <w:tcW w:w="133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8E047C" w:rsidRDefault="002D2B4D" w:rsidP="002D2B4D">
            <w:pPr>
              <w:spacing w:after="0" w:line="240" w:lineRule="auto"/>
              <w:ind w:firstLineChars="100" w:firstLine="181"/>
              <w:jc w:val="right"/>
              <w:rPr>
                <w:rFonts w:cs="Arial"/>
                <w:b/>
                <w:bCs/>
                <w:color w:val="FFFFFF"/>
                <w:sz w:val="18"/>
                <w:szCs w:val="18"/>
                <w:lang w:eastAsia="en-AU"/>
              </w:rPr>
            </w:pPr>
            <w:r w:rsidRPr="008E047C">
              <w:rPr>
                <w:rFonts w:cs="Arial"/>
                <w:b/>
                <w:bCs/>
                <w:color w:val="FFFFFF"/>
                <w:sz w:val="18"/>
                <w:szCs w:val="18"/>
                <w:lang w:eastAsia="en-AU"/>
              </w:rPr>
              <w:t>% change Q</w:t>
            </w:r>
            <w:r>
              <w:rPr>
                <w:rFonts w:cs="Arial"/>
                <w:b/>
                <w:bCs/>
                <w:color w:val="FFFFFF"/>
                <w:sz w:val="18"/>
                <w:szCs w:val="18"/>
                <w:lang w:eastAsia="en-AU"/>
              </w:rPr>
              <w:t>3</w:t>
            </w:r>
            <w:r w:rsidRPr="008E047C">
              <w:rPr>
                <w:rFonts w:cs="Arial"/>
                <w:b/>
                <w:bCs/>
                <w:color w:val="FFFFFF"/>
                <w:sz w:val="18"/>
                <w:szCs w:val="18"/>
                <w:lang w:eastAsia="en-AU"/>
              </w:rPr>
              <w:t xml:space="preserve"> 2012 </w:t>
            </w:r>
            <w:r>
              <w:rPr>
                <w:rFonts w:cs="Arial"/>
                <w:b/>
                <w:bCs/>
                <w:color w:val="FFFFFF"/>
                <w:sz w:val="18"/>
                <w:szCs w:val="18"/>
                <w:lang w:eastAsia="en-AU"/>
              </w:rPr>
              <w:t>–</w:t>
            </w:r>
            <w:r w:rsidRPr="008E047C">
              <w:rPr>
                <w:rFonts w:cs="Arial"/>
                <w:b/>
                <w:bCs/>
                <w:color w:val="FFFFFF"/>
                <w:sz w:val="18"/>
                <w:szCs w:val="18"/>
                <w:lang w:eastAsia="en-AU"/>
              </w:rPr>
              <w:t xml:space="preserve"> Q</w:t>
            </w:r>
            <w:r>
              <w:rPr>
                <w:rFonts w:cs="Arial"/>
                <w:b/>
                <w:bCs/>
                <w:color w:val="FFFFFF"/>
                <w:sz w:val="18"/>
                <w:szCs w:val="18"/>
                <w:lang w:eastAsia="en-AU"/>
              </w:rPr>
              <w:t>3</w:t>
            </w:r>
            <w:r w:rsidRPr="008E047C">
              <w:rPr>
                <w:rFonts w:cs="Arial"/>
                <w:b/>
                <w:bCs/>
                <w:color w:val="FFFFFF"/>
                <w:sz w:val="18"/>
                <w:szCs w:val="18"/>
                <w:lang w:eastAsia="en-AU"/>
              </w:rPr>
              <w:t xml:space="preserve"> 2013</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CALD (LOTE)</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3,600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4,700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4,900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36%</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5%</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Disability</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3,500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4,000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4,500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30%</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12%</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Disengaged Youth</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500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600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105%</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12%</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Early school leavers</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3,300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3,500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3,900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16%</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10%</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Indigenous</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250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290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260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4%</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-10%</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Males 45 to 64</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1,600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1,800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1,900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15%</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2%</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Unemployed</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3,400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4,000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4,700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39%</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19%</w:t>
            </w:r>
          </w:p>
        </w:tc>
      </w:tr>
      <w:tr w:rsidR="002D2B4D" w:rsidRPr="008E047C"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8E047C" w:rsidRDefault="002D2B4D" w:rsidP="002D2B4D">
            <w:pPr>
              <w:spacing w:after="0" w:line="240" w:lineRule="auto"/>
              <w:jc w:val="left"/>
              <w:rPr>
                <w:rFonts w:cs="Arial"/>
                <w:color w:val="3E5B00"/>
                <w:sz w:val="18"/>
                <w:szCs w:val="18"/>
                <w:lang w:eastAsia="en-AU"/>
              </w:rPr>
            </w:pPr>
            <w:r w:rsidRPr="008E047C">
              <w:rPr>
                <w:rFonts w:cs="Arial"/>
                <w:color w:val="3E5B00"/>
                <w:sz w:val="18"/>
                <w:szCs w:val="18"/>
                <w:lang w:eastAsia="en-AU"/>
              </w:rPr>
              <w:t>Vulnerable workers</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3,300 </w:t>
            </w:r>
          </w:p>
        </w:tc>
        <w:tc>
          <w:tcPr>
            <w:tcW w:w="1333"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3,900 </w:t>
            </w:r>
          </w:p>
        </w:tc>
        <w:tc>
          <w:tcPr>
            <w:tcW w:w="1332" w:type="dxa"/>
            <w:tcBorders>
              <w:top w:val="nil"/>
              <w:left w:val="nil"/>
              <w:bottom w:val="single" w:sz="4" w:space="0" w:color="5E8A00"/>
              <w:right w:val="single" w:sz="4" w:space="0" w:color="5E8A00"/>
            </w:tcBorders>
            <w:shd w:val="clear" w:color="auto" w:fill="auto"/>
            <w:noWrap/>
            <w:vAlign w:val="bottom"/>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 xml:space="preserve">3,900 </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17%</w:t>
            </w:r>
          </w:p>
        </w:tc>
        <w:tc>
          <w:tcPr>
            <w:tcW w:w="1333" w:type="dxa"/>
            <w:tcBorders>
              <w:top w:val="nil"/>
              <w:left w:val="nil"/>
              <w:bottom w:val="single" w:sz="4" w:space="0" w:color="5E8A00"/>
              <w:right w:val="single" w:sz="4" w:space="0" w:color="5E8A00"/>
            </w:tcBorders>
            <w:shd w:val="clear" w:color="auto" w:fill="auto"/>
            <w:noWrap/>
            <w:vAlign w:val="center"/>
            <w:hideMark/>
          </w:tcPr>
          <w:p w:rsidR="002D2B4D" w:rsidRPr="008E047C" w:rsidRDefault="002D2B4D" w:rsidP="002D2B4D">
            <w:pPr>
              <w:spacing w:after="0" w:line="240" w:lineRule="auto"/>
              <w:jc w:val="right"/>
              <w:rPr>
                <w:rFonts w:cs="Arial"/>
                <w:sz w:val="18"/>
                <w:szCs w:val="18"/>
                <w:lang w:eastAsia="en-AU"/>
              </w:rPr>
            </w:pPr>
            <w:r w:rsidRPr="008E047C">
              <w:rPr>
                <w:rFonts w:cs="Arial"/>
                <w:sz w:val="18"/>
                <w:szCs w:val="18"/>
                <w:lang w:eastAsia="en-AU"/>
              </w:rPr>
              <w:t>0%</w:t>
            </w:r>
          </w:p>
        </w:tc>
      </w:tr>
    </w:tbl>
    <w:p w:rsidR="002D2B4D" w:rsidRDefault="00F00040" w:rsidP="00BC23CB">
      <w:pPr>
        <w:spacing w:after="0" w:line="240" w:lineRule="auto"/>
        <w:jc w:val="left"/>
      </w:pPr>
      <w:r w:rsidRPr="001F29E3">
        <w:rPr>
          <w:rFonts w:cs="Arial"/>
          <w:sz w:val="16"/>
          <w:szCs w:val="16"/>
        </w:rPr>
        <w:t xml:space="preserve">Note: </w:t>
      </w:r>
      <w:r>
        <w:rPr>
          <w:rFonts w:cs="Arial"/>
          <w:sz w:val="16"/>
          <w:szCs w:val="16"/>
        </w:rPr>
        <w:t xml:space="preserve">ACFE Board Priority Learner categories </w:t>
      </w:r>
      <w:r w:rsidRPr="001F29E3">
        <w:rPr>
          <w:rFonts w:cs="Arial"/>
          <w:sz w:val="16"/>
          <w:szCs w:val="16"/>
        </w:rPr>
        <w:t>are not mutually exclusive.</w:t>
      </w:r>
      <w:r w:rsidR="00C171CC">
        <w:rPr>
          <w:rFonts w:cs="Arial"/>
          <w:sz w:val="16"/>
          <w:szCs w:val="16"/>
        </w:rPr>
        <w:t xml:space="preserve"> </w:t>
      </w:r>
      <w:r w:rsidR="00C171CC" w:rsidRPr="00150CC4">
        <w:rPr>
          <w:rFonts w:cs="Arial"/>
          <w:sz w:val="16"/>
          <w:szCs w:val="16"/>
        </w:rPr>
        <w:t xml:space="preserve">Detail on these categories is available at: </w:t>
      </w:r>
      <w:hyperlink r:id="rId31" w:history="1">
        <w:r w:rsidR="00C171CC" w:rsidRPr="00150CC4">
          <w:rPr>
            <w:rStyle w:val="Hyperlink"/>
            <w:rFonts w:cs="Arial"/>
            <w:sz w:val="16"/>
            <w:szCs w:val="16"/>
          </w:rPr>
          <w:t>www.education.vic.gov.au/Documents/about/research/acfepublications/hardtoreachlearn.pdf</w:t>
        </w:r>
      </w:hyperlink>
    </w:p>
    <w:p w:rsidR="002D2B4D" w:rsidRDefault="00F00040" w:rsidP="00F00040">
      <w:pPr>
        <w:pStyle w:val="Heading3"/>
      </w:pPr>
      <w:r>
        <w:lastRenderedPageBreak/>
        <w:t xml:space="preserve">Learn Local (ACE) </w:t>
      </w:r>
      <w:r w:rsidR="002D2B4D">
        <w:t>Accredited training</w:t>
      </w:r>
    </w:p>
    <w:tbl>
      <w:tblPr>
        <w:tblStyle w:val="TableGrid"/>
        <w:tblW w:w="9288" w:type="dxa"/>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Caption w:val="Key Points"/>
        <w:tblDescription w:val="Key Points&#10;&#10;Learn Local (ACE) providers’ accredited course enrolments declined by 7,300 enrolments over Q3 2012 to Q3 2013, a reduction of 18 per cent. However, from Q3 2011 to Q3 2013 there was an increase in accredited enrolments by 5,200 or 19 per cent.&#10;Across Departmental regions only the North Western region showed increases in the number accredited course enrolments delivered in that area between Q3 2012 and Q3 2013. In comparison to Q3 2011, all Departmental regions, except Northern Eastern region, showed increases. Across the smaller regional areas there were increases from Q3 2012 to Q2 2013, ranging from the high for Loddon Mallee with a 122 per cent increase and 11% for Gippsland. Between Q3 2012 and Q3 2013 the regional areas of Barwon south western, Eastern metropolitan, Gippsland, Grampians and Hume all experience some degree of decline. While the other areas of Loddon Mallee, North west metropolitan and Southern metropolitan all experienced increases in the delivery of accredited enrolments between Q3 2012 to Q3 2013.&#10;The Adult Education Institutes reported 300 fewer accredited enrolments in Q3 2013 on same period in the preceding year (a decrease of 8 per cent). This still represents a four per cent increase in accredited delivery (100 enrolments) against Q3 2011.&#10;Learn Local (ACE) providers’ reported accredited enrolments for all ACFE Board Priority Learner group categories in Q3 2013 for the most part decreased on Q3 2012 levels. The Early School Leaver priority group reported a single decrease of 1,700 (22 per cent) enrolled accredited learners in the twelve months of Q3 2012 to Q3 2013. This contrasts to the 4 per cent growth in Early School Leavers between Q3 2011 and Q3 2013 (an additional 200 learners). The increased enrolments across all ACFE Board priority groups between Q3 2011 and Q3 2013 represented a significant uptake of these learner types into Learn Local (ACE) settings. There were 2,100 additional unemployed Victorians in accredited programs over Q3 2011 to Q3 2013 (a 28 per cent increase). Similarly, 1,600 more vulnerable workers  participated in accredited program in Q3 2013 than for the same period in 2011 (a 34 per cent increase); and 1,800 more Culturally and Linguistically Diverse learners in Q3 2013 than in Q3 2011 (a 32 per cent increase)."/>
      </w:tblPr>
      <w:tblGrid>
        <w:gridCol w:w="9288"/>
      </w:tblGrid>
      <w:tr w:rsidR="002D2B4D" w:rsidTr="008825B1">
        <w:trPr>
          <w:tblHeader/>
        </w:trPr>
        <w:tc>
          <w:tcPr>
            <w:tcW w:w="9288" w:type="dxa"/>
            <w:shd w:val="clear" w:color="auto" w:fill="auto"/>
          </w:tcPr>
          <w:p w:rsidR="002D2B4D" w:rsidRDefault="002D2B4D" w:rsidP="002D2B4D">
            <w:pPr>
              <w:pStyle w:val="Heading3"/>
              <w:outlineLvl w:val="2"/>
            </w:pPr>
            <w:r w:rsidRPr="001F29E3">
              <w:t>Key Points</w:t>
            </w:r>
          </w:p>
          <w:p w:rsidR="00F00040" w:rsidRPr="00F00040" w:rsidRDefault="00F00040" w:rsidP="00F00040"/>
          <w:p w:rsidR="00C171CC" w:rsidRPr="0068108B" w:rsidRDefault="00C171CC" w:rsidP="00C171CC">
            <w:pPr>
              <w:pStyle w:val="ListBullet"/>
              <w:numPr>
                <w:ilvl w:val="0"/>
                <w:numId w:val="10"/>
              </w:numPr>
              <w:ind w:right="113"/>
              <w:rPr>
                <w:rFonts w:cs="Arial"/>
              </w:rPr>
            </w:pPr>
            <w:r>
              <w:rPr>
                <w:rFonts w:cs="Arial"/>
              </w:rPr>
              <w:t>L</w:t>
            </w:r>
            <w:r w:rsidRPr="0068108B">
              <w:rPr>
                <w:rFonts w:cs="Arial"/>
              </w:rPr>
              <w:t>earn Local (ACE) providers’ accredited course enrolments</w:t>
            </w:r>
            <w:r>
              <w:rPr>
                <w:rFonts w:cs="Arial"/>
              </w:rPr>
              <w:t xml:space="preserve"> declined by 7,300 enrolments over Q3 2012 to Q3 2013, a reduction of 18 per cent. </w:t>
            </w:r>
            <w:r w:rsidR="003D04FC">
              <w:rPr>
                <w:rFonts w:cs="Arial"/>
              </w:rPr>
              <w:t>However, from Q3 2011 to Q3 2013 there was an increase in accredited enrolments by 5,200 or 19 per cent.</w:t>
            </w:r>
          </w:p>
          <w:p w:rsidR="002E0E28" w:rsidRPr="002E0E28" w:rsidRDefault="00ED4739" w:rsidP="00C171CC">
            <w:pPr>
              <w:pStyle w:val="ListBullet"/>
              <w:numPr>
                <w:ilvl w:val="0"/>
                <w:numId w:val="10"/>
              </w:numPr>
              <w:ind w:right="113"/>
              <w:rPr>
                <w:rFonts w:cs="Arial"/>
              </w:rPr>
            </w:pPr>
            <w:r>
              <w:rPr>
                <w:rFonts w:cs="Arial"/>
              </w:rPr>
              <w:t xml:space="preserve">Across Departmental regions only the North Western region showed increases in the number accredited course enrolments </w:t>
            </w:r>
            <w:r w:rsidR="00B21E3C">
              <w:rPr>
                <w:rFonts w:cs="Arial"/>
              </w:rPr>
              <w:t xml:space="preserve">delivered in that area </w:t>
            </w:r>
            <w:r>
              <w:rPr>
                <w:rFonts w:cs="Arial"/>
              </w:rPr>
              <w:t>between Q3 2012 and Q3 2013. In comparison to Q3 2011, all Departmental regions, except Northern Eastern region, showed increases.</w:t>
            </w:r>
            <w:r w:rsidRPr="002E0E28">
              <w:rPr>
                <w:rFonts w:cs="Arial"/>
              </w:rPr>
              <w:t xml:space="preserve"> Across</w:t>
            </w:r>
            <w:r w:rsidR="002E0E28">
              <w:rPr>
                <w:rFonts w:cs="Arial"/>
              </w:rPr>
              <w:t xml:space="preserve"> </w:t>
            </w:r>
            <w:r w:rsidR="00B21E3C">
              <w:rPr>
                <w:rFonts w:cs="Arial"/>
              </w:rPr>
              <w:t xml:space="preserve">the smaller </w:t>
            </w:r>
            <w:r w:rsidR="002E0E28">
              <w:rPr>
                <w:rFonts w:cs="Arial"/>
              </w:rPr>
              <w:t>regional areas there were increases from Q3 2012 to Q2 2013</w:t>
            </w:r>
            <w:r w:rsidR="00B21E3C">
              <w:rPr>
                <w:rFonts w:cs="Arial"/>
              </w:rPr>
              <w:t>, ranging from the high for</w:t>
            </w:r>
            <w:r w:rsidR="00095265">
              <w:rPr>
                <w:rFonts w:cs="Arial"/>
              </w:rPr>
              <w:t xml:space="preserve"> Loddon </w:t>
            </w:r>
            <w:proofErr w:type="spellStart"/>
            <w:r w:rsidR="00095265">
              <w:rPr>
                <w:rFonts w:cs="Arial"/>
              </w:rPr>
              <w:t>Mallee</w:t>
            </w:r>
            <w:proofErr w:type="spellEnd"/>
            <w:r w:rsidR="00095265">
              <w:rPr>
                <w:rFonts w:cs="Arial"/>
              </w:rPr>
              <w:t xml:space="preserve"> </w:t>
            </w:r>
            <w:r w:rsidR="00B21E3C">
              <w:rPr>
                <w:rFonts w:cs="Arial"/>
              </w:rPr>
              <w:t>with</w:t>
            </w:r>
            <w:r w:rsidR="00095265">
              <w:rPr>
                <w:rFonts w:cs="Arial"/>
              </w:rPr>
              <w:t xml:space="preserve"> a 122 per cent increase and 11% for Gippsland. B</w:t>
            </w:r>
            <w:r w:rsidR="002E0E28">
              <w:rPr>
                <w:rFonts w:cs="Arial"/>
              </w:rPr>
              <w:t>etween Q3 2012 and Q3 2013 the regional areas of Barwon south western, Eastern metropolitan, Gippsland, Grampians and Hume all experience some degree of decline.</w:t>
            </w:r>
            <w:r w:rsidR="00095265">
              <w:rPr>
                <w:rFonts w:cs="Arial"/>
              </w:rPr>
              <w:t xml:space="preserve"> While the other areas of Loddon </w:t>
            </w:r>
            <w:proofErr w:type="spellStart"/>
            <w:r w:rsidR="00095265">
              <w:rPr>
                <w:rFonts w:cs="Arial"/>
              </w:rPr>
              <w:t>Mallee</w:t>
            </w:r>
            <w:proofErr w:type="spellEnd"/>
            <w:r w:rsidR="00095265">
              <w:rPr>
                <w:rFonts w:cs="Arial"/>
              </w:rPr>
              <w:t>, North west metropolitan and Southern metropolitan all experienced increases in the delivery of accredited enrolments between Q3 2012 to Q3 2013.</w:t>
            </w:r>
          </w:p>
          <w:p w:rsidR="00C171CC" w:rsidRPr="002757D5" w:rsidRDefault="00C171CC" w:rsidP="00C171CC">
            <w:pPr>
              <w:pStyle w:val="ListBullet"/>
              <w:numPr>
                <w:ilvl w:val="0"/>
                <w:numId w:val="10"/>
              </w:numPr>
              <w:ind w:right="113"/>
              <w:rPr>
                <w:rFonts w:cs="Arial"/>
                <w:b/>
                <w:bCs/>
                <w:color w:val="76923C" w:themeColor="accent3" w:themeShade="BF"/>
                <w:szCs w:val="19"/>
              </w:rPr>
            </w:pPr>
            <w:r w:rsidRPr="002757D5">
              <w:rPr>
                <w:rFonts w:cs="Arial"/>
              </w:rPr>
              <w:t>The Adult Education Institutes reported 300 fewer accredited enrolments in Q3 2013 on same period in the preceding year (</w:t>
            </w:r>
            <w:r>
              <w:rPr>
                <w:rFonts w:cs="Arial"/>
              </w:rPr>
              <w:t xml:space="preserve">a decrease of </w:t>
            </w:r>
            <w:r w:rsidRPr="002757D5">
              <w:rPr>
                <w:rFonts w:cs="Arial"/>
              </w:rPr>
              <w:t xml:space="preserve">8 per cent). This </w:t>
            </w:r>
            <w:r w:rsidR="002E0E28">
              <w:rPr>
                <w:rFonts w:cs="Arial"/>
              </w:rPr>
              <w:t>still represents</w:t>
            </w:r>
            <w:r w:rsidRPr="002757D5">
              <w:rPr>
                <w:rFonts w:cs="Arial"/>
              </w:rPr>
              <w:t xml:space="preserve"> a four per cent increase in accredited delivery (100 enrolments) against Q3 2011.</w:t>
            </w:r>
          </w:p>
          <w:p w:rsidR="002D2B4D" w:rsidRDefault="00C171CC" w:rsidP="00C171CC">
            <w:pPr>
              <w:pStyle w:val="ListBullet"/>
              <w:numPr>
                <w:ilvl w:val="0"/>
                <w:numId w:val="10"/>
              </w:numPr>
              <w:ind w:right="113"/>
              <w:rPr>
                <w:rFonts w:cs="Arial"/>
                <w:b/>
                <w:bCs/>
                <w:color w:val="76923C" w:themeColor="accent3" w:themeShade="BF"/>
                <w:szCs w:val="19"/>
              </w:rPr>
            </w:pPr>
            <w:r w:rsidRPr="002757D5">
              <w:rPr>
                <w:rFonts w:cs="Arial"/>
              </w:rPr>
              <w:t xml:space="preserve">Learn Local (ACE) providers’ reported accredited enrolments for all ACFE Board Priority Learner group categories in Q3 2013 for the most part decreased on Q3 2012 levels. The Early School Leaver priority group reported a single decrease of 1,700 </w:t>
            </w:r>
            <w:r>
              <w:rPr>
                <w:rFonts w:cs="Arial"/>
              </w:rPr>
              <w:t>(</w:t>
            </w:r>
            <w:r w:rsidRPr="002757D5">
              <w:rPr>
                <w:rFonts w:cs="Arial"/>
              </w:rPr>
              <w:t>22 per cent) enrolled accredited learners in the twelve m</w:t>
            </w:r>
            <w:r>
              <w:rPr>
                <w:rFonts w:cs="Arial"/>
              </w:rPr>
              <w:t xml:space="preserve">onths of Q3 2012 to Q3 2013. </w:t>
            </w:r>
            <w:r w:rsidRPr="002757D5">
              <w:rPr>
                <w:rFonts w:cs="Arial"/>
              </w:rPr>
              <w:t xml:space="preserve">This contrasts to the 4 per cent growth in Early School Leavers between Q3 2011 and Q3 2013 (an additional 200 learners). The increased enrolments across all </w:t>
            </w:r>
            <w:r>
              <w:rPr>
                <w:rFonts w:cs="Arial"/>
              </w:rPr>
              <w:t xml:space="preserve">ACFE Board </w:t>
            </w:r>
            <w:r w:rsidRPr="002757D5">
              <w:rPr>
                <w:rFonts w:cs="Arial"/>
              </w:rPr>
              <w:t xml:space="preserve">priority groups between Q3 2011 and Q3 2013 </w:t>
            </w:r>
            <w:r>
              <w:rPr>
                <w:rFonts w:cs="Arial"/>
              </w:rPr>
              <w:t xml:space="preserve">represented </w:t>
            </w:r>
            <w:r w:rsidRPr="002757D5">
              <w:rPr>
                <w:rFonts w:cs="Arial"/>
              </w:rPr>
              <w:t xml:space="preserve">a significant </w:t>
            </w:r>
            <w:r>
              <w:rPr>
                <w:rFonts w:cs="Arial"/>
              </w:rPr>
              <w:t xml:space="preserve">uptake </w:t>
            </w:r>
            <w:r w:rsidRPr="002757D5">
              <w:rPr>
                <w:rFonts w:cs="Arial"/>
              </w:rPr>
              <w:t>of these learner types in</w:t>
            </w:r>
            <w:r>
              <w:rPr>
                <w:rFonts w:cs="Arial"/>
              </w:rPr>
              <w:t>to</w:t>
            </w:r>
            <w:r w:rsidRPr="002757D5">
              <w:rPr>
                <w:rFonts w:cs="Arial"/>
              </w:rPr>
              <w:t xml:space="preserve"> Learn Local (ACE) settings. There were 2,100 additional unemployed Victorians in accredited programs over Q3 2011 to Q3 2013 (a 28 per cent in</w:t>
            </w:r>
            <w:r w:rsidR="00295618">
              <w:rPr>
                <w:rFonts w:cs="Arial"/>
              </w:rPr>
              <w:t>crease). Similarly, 1,600 more v</w:t>
            </w:r>
            <w:r w:rsidRPr="002757D5">
              <w:rPr>
                <w:rFonts w:cs="Arial"/>
              </w:rPr>
              <w:t>ulnerable workers</w:t>
            </w:r>
            <w:r w:rsidR="00551E3C">
              <w:rPr>
                <w:rStyle w:val="FootnoteReference"/>
              </w:rPr>
              <w:footnoteReference w:id="6"/>
            </w:r>
            <w:r w:rsidRPr="002757D5">
              <w:rPr>
                <w:rFonts w:cs="Arial"/>
              </w:rPr>
              <w:t xml:space="preserve"> </w:t>
            </w:r>
            <w:r>
              <w:rPr>
                <w:rFonts w:cs="Arial"/>
              </w:rPr>
              <w:t xml:space="preserve">participated in </w:t>
            </w:r>
            <w:r w:rsidRPr="002757D5">
              <w:rPr>
                <w:rFonts w:cs="Arial"/>
              </w:rPr>
              <w:t xml:space="preserve">accredited program in Q3 2013 than for the same period in 2011 (a 34 per cent increase); and 1,800 more </w:t>
            </w:r>
            <w:proofErr w:type="gramStart"/>
            <w:r w:rsidRPr="002757D5">
              <w:rPr>
                <w:rFonts w:cs="Arial"/>
              </w:rPr>
              <w:t>Culturally</w:t>
            </w:r>
            <w:proofErr w:type="gramEnd"/>
            <w:r w:rsidRPr="002757D5">
              <w:rPr>
                <w:rFonts w:cs="Arial"/>
              </w:rPr>
              <w:t xml:space="preserve"> and Linguistically Diverse learners in Q3 2013 than in Q3 2011 (a 32 per cent increase).</w:t>
            </w:r>
          </w:p>
        </w:tc>
      </w:tr>
    </w:tbl>
    <w:p w:rsidR="002D2B4D" w:rsidRDefault="002D2B4D" w:rsidP="002D2B4D">
      <w:pPr>
        <w:pStyle w:val="Caption"/>
        <w:spacing w:after="0"/>
        <w:jc w:val="left"/>
        <w:rPr>
          <w:rFonts w:cs="Arial"/>
        </w:rPr>
      </w:pPr>
    </w:p>
    <w:p w:rsidR="002D2B4D" w:rsidRDefault="002D2B4D" w:rsidP="002D2B4D">
      <w:pPr>
        <w:pStyle w:val="Caption"/>
        <w:spacing w:after="0"/>
        <w:jc w:val="left"/>
        <w:rPr>
          <w:rFonts w:cs="Arial"/>
        </w:rPr>
      </w:pPr>
    </w:p>
    <w:p w:rsidR="002D2B4D" w:rsidRDefault="002D2B4D" w:rsidP="002D2B4D">
      <w:pPr>
        <w:pStyle w:val="Caption"/>
        <w:spacing w:after="0"/>
        <w:jc w:val="left"/>
        <w:rPr>
          <w:rFonts w:cs="Arial"/>
        </w:rPr>
      </w:pPr>
      <w:r>
        <w:rPr>
          <w:rFonts w:cs="Arial"/>
        </w:rPr>
        <w:t>Table 1.2</w:t>
      </w:r>
      <w:r w:rsidR="009D524A">
        <w:rPr>
          <w:rFonts w:cs="Arial"/>
        </w:rPr>
        <w:t>2</w:t>
      </w:r>
      <w:r>
        <w:rPr>
          <w:rFonts w:cs="Arial"/>
        </w:rPr>
        <w:t>.1</w:t>
      </w:r>
      <w:r w:rsidRPr="001F29E3">
        <w:rPr>
          <w:rFonts w:cs="Arial"/>
        </w:rPr>
        <w:t xml:space="preserve">: Government subsidised </w:t>
      </w:r>
      <w:r w:rsidRPr="00367714">
        <w:rPr>
          <w:rFonts w:cs="Arial"/>
        </w:rPr>
        <w:t>accredited</w:t>
      </w:r>
      <w:r>
        <w:rPr>
          <w:rFonts w:cs="Arial"/>
        </w:rPr>
        <w:t xml:space="preserve"> training</w:t>
      </w:r>
      <w:r w:rsidRPr="001F29E3">
        <w:rPr>
          <w:rFonts w:cs="Arial"/>
        </w:rPr>
        <w:t xml:space="preserve">, </w:t>
      </w:r>
      <w:r w:rsidR="00A50E11">
        <w:rPr>
          <w:rFonts w:cs="Arial"/>
        </w:rPr>
        <w:t>Learn Local (ACE) providers,</w:t>
      </w:r>
      <w:r w:rsidR="00A50E11" w:rsidRPr="001F29E3">
        <w:rPr>
          <w:rFonts w:cs="Arial"/>
        </w:rPr>
        <w:t xml:space="preserve"> </w:t>
      </w:r>
      <w:r w:rsidRPr="001F29E3">
        <w:rPr>
          <w:rFonts w:cs="Arial"/>
        </w:rPr>
        <w:t>2008-2012</w:t>
      </w:r>
    </w:p>
    <w:tbl>
      <w:tblPr>
        <w:tblW w:w="9639" w:type="dxa"/>
        <w:tblInd w:w="108" w:type="dxa"/>
        <w:tblLayout w:type="fixed"/>
        <w:tblLook w:val="04A0" w:firstRow="1" w:lastRow="0" w:firstColumn="1" w:lastColumn="0" w:noHBand="0" w:noVBand="1"/>
      </w:tblPr>
      <w:tblGrid>
        <w:gridCol w:w="2835"/>
        <w:gridCol w:w="1134"/>
        <w:gridCol w:w="1134"/>
        <w:gridCol w:w="1134"/>
        <w:gridCol w:w="1134"/>
        <w:gridCol w:w="1134"/>
        <w:gridCol w:w="1134"/>
      </w:tblGrid>
      <w:tr w:rsidR="002D2B4D" w:rsidRPr="00392002" w:rsidTr="002D2B4D">
        <w:trPr>
          <w:trHeight w:val="762"/>
        </w:trPr>
        <w:tc>
          <w:tcPr>
            <w:tcW w:w="2835"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92002" w:rsidRDefault="002D2B4D" w:rsidP="002D2B4D">
            <w:pPr>
              <w:spacing w:after="0" w:line="240" w:lineRule="auto"/>
              <w:ind w:firstLineChars="100" w:firstLine="181"/>
              <w:jc w:val="left"/>
              <w:rPr>
                <w:rFonts w:cs="Arial"/>
                <w:b/>
                <w:bCs/>
                <w:color w:val="FFFFFF"/>
                <w:sz w:val="18"/>
                <w:szCs w:val="18"/>
                <w:lang w:eastAsia="en-AU"/>
              </w:rPr>
            </w:pPr>
            <w:r w:rsidRPr="00392002">
              <w:rPr>
                <w:rFonts w:cs="Arial"/>
                <w:b/>
                <w:bCs/>
                <w:color w:val="FFFFFF"/>
                <w:sz w:val="18"/>
                <w:szCs w:val="18"/>
                <w:lang w:eastAsia="en-AU"/>
              </w:rPr>
              <w:t> </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2008</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2009</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2010</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change 2008-2012</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Course Enrolments</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27,900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30,200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27,100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33,300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45,800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64%</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Student Contact Hours(millions)</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5.4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6.6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6.7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8.5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11.9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120%</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Students</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24,000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25,700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23,700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27,500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36,300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51%</w:t>
            </w:r>
          </w:p>
        </w:tc>
      </w:tr>
    </w:tbl>
    <w:p w:rsidR="002D2B4D" w:rsidRDefault="002D2B4D" w:rsidP="002D2B4D"/>
    <w:p w:rsidR="002D2B4D" w:rsidRDefault="002D2B4D" w:rsidP="002D2B4D">
      <w:pPr>
        <w:pStyle w:val="Caption"/>
        <w:spacing w:after="0"/>
        <w:jc w:val="left"/>
        <w:rPr>
          <w:rFonts w:cs="Arial"/>
        </w:rPr>
      </w:pPr>
      <w:r>
        <w:rPr>
          <w:rFonts w:cs="Arial"/>
        </w:rPr>
        <w:t>Table 1.2</w:t>
      </w:r>
      <w:r w:rsidR="009D524A">
        <w:rPr>
          <w:rFonts w:cs="Arial"/>
        </w:rPr>
        <w:t>2</w:t>
      </w:r>
      <w:r>
        <w:rPr>
          <w:rFonts w:cs="Arial"/>
        </w:rPr>
        <w:t>.2</w:t>
      </w:r>
      <w:r w:rsidRPr="001F29E3">
        <w:rPr>
          <w:rFonts w:cs="Arial"/>
        </w:rPr>
        <w:t xml:space="preserve">: Government subsidised </w:t>
      </w:r>
      <w:r w:rsidRPr="00367714">
        <w:rPr>
          <w:rFonts w:cs="Arial"/>
        </w:rPr>
        <w:t>accredited</w:t>
      </w:r>
      <w:r>
        <w:rPr>
          <w:rFonts w:cs="Arial"/>
        </w:rPr>
        <w:t xml:space="preserve"> training</w:t>
      </w:r>
      <w:r w:rsidRPr="001F29E3">
        <w:rPr>
          <w:rFonts w:cs="Arial"/>
        </w:rPr>
        <w:t xml:space="preserve">, </w:t>
      </w:r>
      <w:r w:rsidR="00A50E11">
        <w:rPr>
          <w:rFonts w:cs="Arial"/>
        </w:rPr>
        <w:t xml:space="preserve">Learn Local (ACE) providers, </w:t>
      </w:r>
      <w:r>
        <w:rPr>
          <w:rFonts w:cs="Arial"/>
        </w:rPr>
        <w:t>Q3</w:t>
      </w:r>
      <w:r w:rsidRPr="001F29E3">
        <w:rPr>
          <w:rFonts w:cs="Arial"/>
        </w:rPr>
        <w:t xml:space="preserve"> </w:t>
      </w:r>
      <w:r>
        <w:rPr>
          <w:rFonts w:cs="Arial"/>
        </w:rPr>
        <w:t xml:space="preserve">2011, </w:t>
      </w:r>
      <w:r w:rsidR="00A50E11">
        <w:rPr>
          <w:rFonts w:cs="Arial"/>
        </w:rPr>
        <w:br/>
      </w:r>
      <w:r>
        <w:rPr>
          <w:rFonts w:cs="Arial"/>
        </w:rPr>
        <w:t>Q3 2012 and Q3</w:t>
      </w:r>
      <w:r w:rsidRPr="001F29E3">
        <w:rPr>
          <w:rFonts w:cs="Arial"/>
        </w:rPr>
        <w:t xml:space="preserve"> 2013</w:t>
      </w:r>
    </w:p>
    <w:tbl>
      <w:tblPr>
        <w:tblW w:w="8647" w:type="dxa"/>
        <w:tblInd w:w="108" w:type="dxa"/>
        <w:tblLayout w:type="fixed"/>
        <w:tblLook w:val="04A0" w:firstRow="1" w:lastRow="0" w:firstColumn="1" w:lastColumn="0" w:noHBand="0" w:noVBand="1"/>
      </w:tblPr>
      <w:tblGrid>
        <w:gridCol w:w="2835"/>
        <w:gridCol w:w="1162"/>
        <w:gridCol w:w="1162"/>
        <w:gridCol w:w="1163"/>
        <w:gridCol w:w="1162"/>
        <w:gridCol w:w="1163"/>
      </w:tblGrid>
      <w:tr w:rsidR="002D2B4D" w:rsidRPr="00392002" w:rsidTr="002D2B4D">
        <w:trPr>
          <w:trHeight w:val="762"/>
        </w:trPr>
        <w:tc>
          <w:tcPr>
            <w:tcW w:w="2835"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92002" w:rsidRDefault="002D2B4D" w:rsidP="002D2B4D">
            <w:pPr>
              <w:spacing w:after="0" w:line="240" w:lineRule="auto"/>
              <w:ind w:firstLineChars="100" w:firstLine="181"/>
              <w:jc w:val="left"/>
              <w:rPr>
                <w:rFonts w:cs="Arial"/>
                <w:b/>
                <w:bCs/>
                <w:color w:val="FFFFFF"/>
                <w:sz w:val="18"/>
                <w:szCs w:val="18"/>
                <w:lang w:eastAsia="en-AU"/>
              </w:rPr>
            </w:pPr>
            <w:r w:rsidRPr="00392002">
              <w:rPr>
                <w:rFonts w:cs="Arial"/>
                <w:b/>
                <w:bCs/>
                <w:color w:val="FFFFFF"/>
                <w:sz w:val="18"/>
                <w:szCs w:val="18"/>
                <w:lang w:eastAsia="en-AU"/>
              </w:rPr>
              <w:t> </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Q3 2011</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Q3 2012</w:t>
            </w:r>
          </w:p>
        </w:tc>
        <w:tc>
          <w:tcPr>
            <w:tcW w:w="116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Q3 2013</w:t>
            </w:r>
          </w:p>
        </w:tc>
        <w:tc>
          <w:tcPr>
            <w:tcW w:w="1162"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change Q3 2011 - Q3 2013</w:t>
            </w:r>
          </w:p>
        </w:tc>
        <w:tc>
          <w:tcPr>
            <w:tcW w:w="116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change Q</w:t>
            </w:r>
            <w:r>
              <w:rPr>
                <w:rFonts w:cs="Arial"/>
                <w:b/>
                <w:bCs/>
                <w:color w:val="FFFFFF"/>
                <w:sz w:val="18"/>
                <w:szCs w:val="18"/>
                <w:lang w:eastAsia="en-AU"/>
              </w:rPr>
              <w:t>3</w:t>
            </w:r>
            <w:r w:rsidRPr="00392002">
              <w:rPr>
                <w:rFonts w:cs="Arial"/>
                <w:b/>
                <w:bCs/>
                <w:color w:val="FFFFFF"/>
                <w:sz w:val="18"/>
                <w:szCs w:val="18"/>
                <w:lang w:eastAsia="en-AU"/>
              </w:rPr>
              <w:t xml:space="preserve"> 2012 </w:t>
            </w:r>
            <w:r>
              <w:rPr>
                <w:rFonts w:cs="Arial"/>
                <w:b/>
                <w:bCs/>
                <w:color w:val="FFFFFF"/>
                <w:sz w:val="18"/>
                <w:szCs w:val="18"/>
                <w:lang w:eastAsia="en-AU"/>
              </w:rPr>
              <w:t>–</w:t>
            </w:r>
            <w:r w:rsidRPr="00392002">
              <w:rPr>
                <w:rFonts w:cs="Arial"/>
                <w:b/>
                <w:bCs/>
                <w:color w:val="FFFFFF"/>
                <w:sz w:val="18"/>
                <w:szCs w:val="18"/>
                <w:lang w:eastAsia="en-AU"/>
              </w:rPr>
              <w:t xml:space="preserve"> Q</w:t>
            </w:r>
            <w:r>
              <w:rPr>
                <w:rFonts w:cs="Arial"/>
                <w:b/>
                <w:bCs/>
                <w:color w:val="FFFFFF"/>
                <w:sz w:val="18"/>
                <w:szCs w:val="18"/>
                <w:lang w:eastAsia="en-AU"/>
              </w:rPr>
              <w:t>3</w:t>
            </w:r>
            <w:r w:rsidRPr="00392002">
              <w:rPr>
                <w:rFonts w:cs="Arial"/>
                <w:b/>
                <w:bCs/>
                <w:color w:val="FFFFFF"/>
                <w:sz w:val="18"/>
                <w:szCs w:val="18"/>
                <w:lang w:eastAsia="en-AU"/>
              </w:rPr>
              <w:t xml:space="preserve"> 2013</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Course Enrolments</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27,300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39,800 </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32,500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19%</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-18%</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Student Contact Hours(millions)</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7.4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11.2 </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9.1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23%</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-18%</w:t>
            </w:r>
          </w:p>
        </w:tc>
      </w:tr>
      <w:tr w:rsidR="002D2B4D" w:rsidRPr="00392002" w:rsidTr="002D2B4D">
        <w:trPr>
          <w:trHeight w:val="342"/>
        </w:trPr>
        <w:tc>
          <w:tcPr>
            <w:tcW w:w="2835" w:type="dxa"/>
            <w:tcBorders>
              <w:top w:val="nil"/>
              <w:left w:val="single" w:sz="4" w:space="0" w:color="5E8A00"/>
              <w:bottom w:val="single" w:sz="4" w:space="0" w:color="5E8A00"/>
              <w:right w:val="single" w:sz="4" w:space="0" w:color="5E8A00"/>
            </w:tcBorders>
            <w:shd w:val="clear" w:color="000000" w:fill="FFFFFF"/>
            <w:noWrap/>
            <w:vAlign w:val="center"/>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Students</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23,000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31,800 </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26,200 </w:t>
            </w:r>
          </w:p>
        </w:tc>
        <w:tc>
          <w:tcPr>
            <w:tcW w:w="1162"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14%</w:t>
            </w:r>
          </w:p>
        </w:tc>
        <w:tc>
          <w:tcPr>
            <w:tcW w:w="1163"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-17%</w:t>
            </w:r>
          </w:p>
        </w:tc>
      </w:tr>
    </w:tbl>
    <w:p w:rsidR="002D2B4D" w:rsidRDefault="002D2B4D" w:rsidP="002D2B4D"/>
    <w:p w:rsidR="002D2B4D" w:rsidRDefault="002D2B4D" w:rsidP="002D2B4D">
      <w:pPr>
        <w:spacing w:after="0" w:line="240" w:lineRule="auto"/>
        <w:jc w:val="left"/>
        <w:rPr>
          <w:rFonts w:cs="Arial"/>
          <w:b/>
          <w:bCs/>
          <w:color w:val="76923C" w:themeColor="accent3" w:themeShade="BF"/>
          <w:sz w:val="18"/>
          <w:szCs w:val="16"/>
        </w:rPr>
      </w:pPr>
      <w:r>
        <w:rPr>
          <w:rFonts w:cs="Arial"/>
        </w:rPr>
        <w:br w:type="page"/>
      </w:r>
    </w:p>
    <w:p w:rsidR="002D2B4D" w:rsidRDefault="002D2B4D" w:rsidP="002D2B4D">
      <w:pPr>
        <w:pStyle w:val="Caption"/>
        <w:spacing w:after="0"/>
        <w:jc w:val="left"/>
        <w:rPr>
          <w:rFonts w:cs="Arial"/>
        </w:rPr>
      </w:pPr>
      <w:r w:rsidRPr="001F29E3">
        <w:rPr>
          <w:rFonts w:cs="Arial"/>
        </w:rPr>
        <w:lastRenderedPageBreak/>
        <w:t xml:space="preserve">Table </w:t>
      </w:r>
      <w:r>
        <w:rPr>
          <w:rFonts w:cs="Arial"/>
        </w:rPr>
        <w:t>1.2</w:t>
      </w:r>
      <w:r w:rsidR="009D524A">
        <w:rPr>
          <w:rFonts w:cs="Arial"/>
        </w:rPr>
        <w:t>3</w:t>
      </w:r>
      <w:r>
        <w:rPr>
          <w:rFonts w:cs="Arial"/>
        </w:rPr>
        <w:t xml:space="preserve">.1: Government subsidised </w:t>
      </w:r>
      <w:r w:rsidR="00A50E11">
        <w:rPr>
          <w:rFonts w:cs="Arial"/>
        </w:rPr>
        <w:t>students</w:t>
      </w:r>
      <w:r>
        <w:rPr>
          <w:rFonts w:cs="Arial"/>
        </w:rPr>
        <w:t xml:space="preserve"> in </w:t>
      </w:r>
      <w:r w:rsidRPr="00367714">
        <w:rPr>
          <w:rFonts w:cs="Arial"/>
        </w:rPr>
        <w:t>accredited</w:t>
      </w:r>
      <w:r>
        <w:rPr>
          <w:rFonts w:cs="Arial"/>
        </w:rPr>
        <w:t xml:space="preserve"> training</w:t>
      </w:r>
      <w:r w:rsidRPr="001F29E3">
        <w:rPr>
          <w:rFonts w:cs="Arial"/>
        </w:rPr>
        <w:t xml:space="preserve"> </w:t>
      </w:r>
      <w:r w:rsidR="00A50E11">
        <w:rPr>
          <w:rFonts w:cs="Arial"/>
        </w:rPr>
        <w:t>with Learn Local (ACE) providers</w:t>
      </w:r>
      <w:r w:rsidR="00A50E11" w:rsidRPr="001F29E3">
        <w:rPr>
          <w:rFonts w:cs="Arial"/>
        </w:rPr>
        <w:t xml:space="preserve"> </w:t>
      </w:r>
      <w:r w:rsidR="00A50E11">
        <w:rPr>
          <w:rFonts w:cs="Arial"/>
        </w:rPr>
        <w:br/>
      </w:r>
      <w:r w:rsidRPr="001F29E3">
        <w:rPr>
          <w:rFonts w:cs="Arial"/>
        </w:rPr>
        <w:t xml:space="preserve">by </w:t>
      </w:r>
      <w:r>
        <w:rPr>
          <w:rFonts w:cs="Arial"/>
        </w:rPr>
        <w:t>d</w:t>
      </w:r>
      <w:r w:rsidRPr="001F29E3">
        <w:rPr>
          <w:rFonts w:cs="Arial"/>
        </w:rPr>
        <w:t>epartmental region, 2008</w:t>
      </w:r>
      <w:r>
        <w:rPr>
          <w:rFonts w:cs="Arial"/>
        </w:rPr>
        <w:t>-</w:t>
      </w:r>
      <w:r w:rsidRPr="001F29E3">
        <w:rPr>
          <w:rFonts w:cs="Arial"/>
        </w:rPr>
        <w:t>2012</w:t>
      </w:r>
    </w:p>
    <w:tbl>
      <w:tblPr>
        <w:tblW w:w="8794" w:type="dxa"/>
        <w:tblInd w:w="103" w:type="dxa"/>
        <w:tblLayout w:type="fixed"/>
        <w:tblLook w:val="04A0" w:firstRow="1" w:lastRow="0" w:firstColumn="1" w:lastColumn="0" w:noHBand="0" w:noVBand="1"/>
      </w:tblPr>
      <w:tblGrid>
        <w:gridCol w:w="1990"/>
        <w:gridCol w:w="1134"/>
        <w:gridCol w:w="1134"/>
        <w:gridCol w:w="1134"/>
        <w:gridCol w:w="1134"/>
        <w:gridCol w:w="1134"/>
        <w:gridCol w:w="1134"/>
      </w:tblGrid>
      <w:tr w:rsidR="002D2B4D" w:rsidRPr="00392002" w:rsidTr="00A50E11">
        <w:trPr>
          <w:trHeight w:hRule="exact" w:val="760"/>
        </w:trPr>
        <w:tc>
          <w:tcPr>
            <w:tcW w:w="199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392002" w:rsidRDefault="002D2B4D" w:rsidP="002D2B4D">
            <w:pPr>
              <w:spacing w:after="0" w:line="240" w:lineRule="auto"/>
              <w:jc w:val="left"/>
              <w:rPr>
                <w:rFonts w:cs="Arial"/>
                <w:b/>
                <w:bCs/>
                <w:color w:val="FFFFFF"/>
                <w:sz w:val="18"/>
                <w:szCs w:val="18"/>
                <w:lang w:eastAsia="en-AU"/>
              </w:rPr>
            </w:pPr>
            <w:r w:rsidRPr="00392002">
              <w:rPr>
                <w:rFonts w:cs="Arial"/>
                <w:b/>
                <w:bCs/>
                <w:color w:val="FFFFFF"/>
                <w:sz w:val="18"/>
                <w:szCs w:val="18"/>
                <w:lang w:eastAsia="en-AU"/>
              </w:rPr>
              <w:t>Delivery Location</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2008</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2009</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2010</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2011</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ind w:firstLineChars="100" w:firstLine="181"/>
              <w:jc w:val="right"/>
              <w:rPr>
                <w:rFonts w:cs="Arial"/>
                <w:b/>
                <w:bCs/>
                <w:color w:val="FFFFFF"/>
                <w:sz w:val="18"/>
                <w:szCs w:val="18"/>
                <w:lang w:eastAsia="en-AU"/>
              </w:rPr>
            </w:pPr>
            <w:r w:rsidRPr="00392002">
              <w:rPr>
                <w:rFonts w:cs="Arial"/>
                <w:b/>
                <w:bCs/>
                <w:color w:val="FFFFFF"/>
                <w:sz w:val="18"/>
                <w:szCs w:val="18"/>
                <w:lang w:eastAsia="en-AU"/>
              </w:rPr>
              <w:t>2012</w:t>
            </w:r>
          </w:p>
        </w:tc>
        <w:tc>
          <w:tcPr>
            <w:tcW w:w="113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change 2008-2012</w:t>
            </w:r>
          </w:p>
        </w:tc>
      </w:tr>
      <w:tr w:rsidR="002D2B4D" w:rsidRPr="00392002"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South-Western</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5,300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6,200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5,600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8,700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14,500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173%</w:t>
            </w:r>
          </w:p>
        </w:tc>
      </w:tr>
      <w:tr w:rsidR="002D2B4D" w:rsidRPr="00392002"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North-Western</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4,800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5,200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4,900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5,600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7,000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46%</w:t>
            </w:r>
          </w:p>
        </w:tc>
      </w:tr>
      <w:tr w:rsidR="002D2B4D" w:rsidRPr="00392002"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North-Eastern</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5,700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5,600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4,600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4,500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5,000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-12%</w:t>
            </w:r>
          </w:p>
        </w:tc>
      </w:tr>
      <w:tr w:rsidR="002D2B4D" w:rsidRPr="00392002"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South-Eastern</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4,100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4,700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5,300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5,300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5,800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41%</w:t>
            </w:r>
          </w:p>
        </w:tc>
      </w:tr>
      <w:tr w:rsidR="002D2B4D" w:rsidRPr="00392002"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392002" w:rsidRDefault="002D2B4D" w:rsidP="002D2B4D">
            <w:pPr>
              <w:spacing w:after="0" w:line="240" w:lineRule="auto"/>
              <w:jc w:val="left"/>
              <w:rPr>
                <w:rFonts w:cs="Arial"/>
                <w:color w:val="3E5B00"/>
                <w:sz w:val="18"/>
                <w:szCs w:val="18"/>
                <w:lang w:eastAsia="en-AU"/>
              </w:rPr>
            </w:pPr>
            <w:r w:rsidRPr="00392002">
              <w:rPr>
                <w:rFonts w:cs="Arial"/>
                <w:color w:val="3E5B00"/>
                <w:sz w:val="18"/>
                <w:szCs w:val="18"/>
                <w:lang w:eastAsia="en-AU"/>
              </w:rPr>
              <w:t>AEIs</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4,100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4,000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3,300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3,400 </w:t>
            </w:r>
          </w:p>
        </w:tc>
        <w:tc>
          <w:tcPr>
            <w:tcW w:w="1134" w:type="dxa"/>
            <w:tcBorders>
              <w:top w:val="nil"/>
              <w:left w:val="nil"/>
              <w:bottom w:val="single" w:sz="4" w:space="0" w:color="5E8A00"/>
              <w:right w:val="single" w:sz="4" w:space="0" w:color="5E8A00"/>
            </w:tcBorders>
            <w:shd w:val="clear" w:color="auto" w:fill="auto"/>
            <w:noWrap/>
            <w:vAlign w:val="bottom"/>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 xml:space="preserve">4,000 </w:t>
            </w:r>
          </w:p>
        </w:tc>
        <w:tc>
          <w:tcPr>
            <w:tcW w:w="1134" w:type="dxa"/>
            <w:tcBorders>
              <w:top w:val="nil"/>
              <w:left w:val="nil"/>
              <w:bottom w:val="single" w:sz="4" w:space="0" w:color="5E8A00"/>
              <w:right w:val="single" w:sz="4" w:space="0" w:color="5E8A00"/>
            </w:tcBorders>
            <w:shd w:val="clear" w:color="auto" w:fill="auto"/>
            <w:noWrap/>
            <w:vAlign w:val="center"/>
            <w:hideMark/>
          </w:tcPr>
          <w:p w:rsidR="002D2B4D" w:rsidRPr="00392002" w:rsidRDefault="002D2B4D" w:rsidP="002D2B4D">
            <w:pPr>
              <w:spacing w:after="0" w:line="240" w:lineRule="auto"/>
              <w:jc w:val="right"/>
              <w:rPr>
                <w:rFonts w:cs="Arial"/>
                <w:sz w:val="18"/>
                <w:szCs w:val="18"/>
                <w:lang w:eastAsia="en-AU"/>
              </w:rPr>
            </w:pPr>
            <w:r w:rsidRPr="00392002">
              <w:rPr>
                <w:rFonts w:cs="Arial"/>
                <w:sz w:val="18"/>
                <w:szCs w:val="18"/>
                <w:lang w:eastAsia="en-AU"/>
              </w:rPr>
              <w:t>-2%</w:t>
            </w:r>
          </w:p>
        </w:tc>
      </w:tr>
      <w:tr w:rsidR="002D2B4D" w:rsidRPr="00392002" w:rsidTr="00A50E11">
        <w:trPr>
          <w:trHeight w:hRule="exact" w:val="284"/>
        </w:trPr>
        <w:tc>
          <w:tcPr>
            <w:tcW w:w="1990" w:type="dxa"/>
            <w:tcBorders>
              <w:top w:val="nil"/>
              <w:left w:val="single" w:sz="4" w:space="0" w:color="5E8A00"/>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left"/>
              <w:rPr>
                <w:rFonts w:cs="Arial"/>
                <w:b/>
                <w:bCs/>
                <w:color w:val="FFFFFF"/>
                <w:sz w:val="18"/>
                <w:szCs w:val="18"/>
                <w:lang w:eastAsia="en-AU"/>
              </w:rPr>
            </w:pPr>
            <w:r w:rsidRPr="00392002">
              <w:rPr>
                <w:rFonts w:cs="Arial"/>
                <w:b/>
                <w:bCs/>
                <w:color w:val="FFFFFF"/>
                <w:sz w:val="18"/>
                <w:szCs w:val="18"/>
                <w:lang w:eastAsia="en-AU"/>
              </w:rPr>
              <w:t>Total</w:t>
            </w:r>
          </w:p>
        </w:tc>
        <w:tc>
          <w:tcPr>
            <w:tcW w:w="1134" w:type="dxa"/>
            <w:tcBorders>
              <w:top w:val="nil"/>
              <w:left w:val="nil"/>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xml:space="preserve">24,000 </w:t>
            </w:r>
          </w:p>
        </w:tc>
        <w:tc>
          <w:tcPr>
            <w:tcW w:w="1134" w:type="dxa"/>
            <w:tcBorders>
              <w:top w:val="nil"/>
              <w:left w:val="nil"/>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xml:space="preserve">25,700 </w:t>
            </w:r>
          </w:p>
        </w:tc>
        <w:tc>
          <w:tcPr>
            <w:tcW w:w="1134" w:type="dxa"/>
            <w:tcBorders>
              <w:top w:val="nil"/>
              <w:left w:val="nil"/>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xml:space="preserve">23,700 </w:t>
            </w:r>
          </w:p>
        </w:tc>
        <w:tc>
          <w:tcPr>
            <w:tcW w:w="1134" w:type="dxa"/>
            <w:tcBorders>
              <w:top w:val="nil"/>
              <w:left w:val="nil"/>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xml:space="preserve">27,500 </w:t>
            </w:r>
          </w:p>
        </w:tc>
        <w:tc>
          <w:tcPr>
            <w:tcW w:w="1134" w:type="dxa"/>
            <w:tcBorders>
              <w:top w:val="nil"/>
              <w:left w:val="nil"/>
              <w:bottom w:val="nil"/>
              <w:right w:val="single" w:sz="4" w:space="0" w:color="5E8A00"/>
            </w:tcBorders>
            <w:shd w:val="clear" w:color="000000" w:fill="5E8A00"/>
            <w:noWrap/>
            <w:vAlign w:val="bottom"/>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 xml:space="preserve">36,300 </w:t>
            </w:r>
          </w:p>
        </w:tc>
        <w:tc>
          <w:tcPr>
            <w:tcW w:w="1134" w:type="dxa"/>
            <w:tcBorders>
              <w:top w:val="nil"/>
              <w:left w:val="nil"/>
              <w:bottom w:val="nil"/>
              <w:right w:val="single" w:sz="4" w:space="0" w:color="5E8A00"/>
            </w:tcBorders>
            <w:shd w:val="clear" w:color="000000" w:fill="5E8A00"/>
            <w:noWrap/>
            <w:vAlign w:val="center"/>
            <w:hideMark/>
          </w:tcPr>
          <w:p w:rsidR="002D2B4D" w:rsidRPr="00392002" w:rsidRDefault="002D2B4D" w:rsidP="002D2B4D">
            <w:pPr>
              <w:spacing w:after="0" w:line="240" w:lineRule="auto"/>
              <w:jc w:val="right"/>
              <w:rPr>
                <w:rFonts w:cs="Arial"/>
                <w:b/>
                <w:bCs/>
                <w:color w:val="FFFFFF"/>
                <w:sz w:val="18"/>
                <w:szCs w:val="18"/>
                <w:lang w:eastAsia="en-AU"/>
              </w:rPr>
            </w:pPr>
            <w:r w:rsidRPr="00392002">
              <w:rPr>
                <w:rFonts w:cs="Arial"/>
                <w:b/>
                <w:bCs/>
                <w:color w:val="FFFFFF"/>
                <w:sz w:val="18"/>
                <w:szCs w:val="18"/>
                <w:lang w:eastAsia="en-AU"/>
              </w:rPr>
              <w:t>51%</w:t>
            </w:r>
          </w:p>
        </w:tc>
      </w:tr>
    </w:tbl>
    <w:p w:rsidR="002D2B4D" w:rsidRPr="001F29E3" w:rsidRDefault="002D2B4D" w:rsidP="002D2B4D">
      <w:pPr>
        <w:rPr>
          <w:rFonts w:cs="Arial"/>
          <w:sz w:val="16"/>
          <w:szCs w:val="16"/>
        </w:rPr>
      </w:pPr>
      <w:r w:rsidRPr="001F29E3">
        <w:rPr>
          <w:rFonts w:cs="Arial"/>
          <w:sz w:val="16"/>
          <w:szCs w:val="16"/>
        </w:rPr>
        <w:t>AEIs: Adult Education Institutes</w:t>
      </w:r>
    </w:p>
    <w:p w:rsidR="002D2B4D" w:rsidRDefault="002D2B4D" w:rsidP="002D2B4D">
      <w:pPr>
        <w:pStyle w:val="Caption"/>
        <w:jc w:val="left"/>
        <w:rPr>
          <w:rFonts w:cs="Arial"/>
        </w:rPr>
      </w:pPr>
    </w:p>
    <w:p w:rsidR="002D2B4D" w:rsidRDefault="002D2B4D" w:rsidP="002D2B4D">
      <w:pPr>
        <w:pStyle w:val="Caption"/>
        <w:spacing w:after="0"/>
        <w:jc w:val="left"/>
        <w:rPr>
          <w:rFonts w:cs="Arial"/>
          <w:color w:val="FFFFFF"/>
          <w:szCs w:val="18"/>
          <w:lang w:eastAsia="en-AU"/>
        </w:rPr>
      </w:pPr>
      <w:r w:rsidRPr="001F29E3">
        <w:rPr>
          <w:rFonts w:cs="Arial"/>
        </w:rPr>
        <w:t xml:space="preserve">Table </w:t>
      </w:r>
      <w:r>
        <w:rPr>
          <w:rFonts w:cs="Arial"/>
        </w:rPr>
        <w:t>1.2</w:t>
      </w:r>
      <w:r w:rsidR="009D524A">
        <w:rPr>
          <w:rFonts w:cs="Arial"/>
        </w:rPr>
        <w:t>3</w:t>
      </w:r>
      <w:r>
        <w:rPr>
          <w:rFonts w:cs="Arial"/>
        </w:rPr>
        <w:t>.2: Government subsidised s</w:t>
      </w:r>
      <w:r w:rsidRPr="001F29E3">
        <w:rPr>
          <w:rFonts w:cs="Arial"/>
        </w:rPr>
        <w:t xml:space="preserve">tudents </w:t>
      </w:r>
      <w:r>
        <w:rPr>
          <w:rFonts w:cs="Arial"/>
        </w:rPr>
        <w:t xml:space="preserve">in </w:t>
      </w:r>
      <w:r w:rsidRPr="00367714">
        <w:rPr>
          <w:rFonts w:cs="Arial"/>
        </w:rPr>
        <w:t>accredited</w:t>
      </w:r>
      <w:r>
        <w:rPr>
          <w:rFonts w:cs="Arial"/>
        </w:rPr>
        <w:t xml:space="preserve"> training</w:t>
      </w:r>
      <w:r w:rsidRPr="001F29E3">
        <w:rPr>
          <w:rFonts w:cs="Arial"/>
        </w:rPr>
        <w:t xml:space="preserve"> </w:t>
      </w:r>
      <w:r w:rsidR="00A50E11">
        <w:rPr>
          <w:rFonts w:cs="Arial"/>
        </w:rPr>
        <w:t>with Learn Local (ACE) providers</w:t>
      </w:r>
      <w:r w:rsidR="00A50E11" w:rsidRPr="001F29E3">
        <w:rPr>
          <w:rFonts w:cs="Arial"/>
        </w:rPr>
        <w:t xml:space="preserve"> </w:t>
      </w:r>
      <w:r w:rsidR="00A50E11">
        <w:rPr>
          <w:rFonts w:cs="Arial"/>
        </w:rPr>
        <w:br/>
      </w:r>
      <w:r w:rsidRPr="001F29E3">
        <w:rPr>
          <w:rFonts w:cs="Arial"/>
        </w:rPr>
        <w:t xml:space="preserve">by </w:t>
      </w:r>
      <w:r>
        <w:rPr>
          <w:rFonts w:cs="Arial"/>
        </w:rPr>
        <w:t>d</w:t>
      </w:r>
      <w:r w:rsidRPr="001F29E3">
        <w:rPr>
          <w:rFonts w:cs="Arial"/>
        </w:rPr>
        <w:t xml:space="preserve">epartmental region, </w:t>
      </w:r>
      <w:r>
        <w:rPr>
          <w:rFonts w:cs="Arial"/>
        </w:rPr>
        <w:t>Q3</w:t>
      </w:r>
      <w:r w:rsidRPr="001F29E3">
        <w:rPr>
          <w:rFonts w:cs="Arial"/>
        </w:rPr>
        <w:t xml:space="preserve"> </w:t>
      </w:r>
      <w:r>
        <w:rPr>
          <w:rFonts w:cs="Arial"/>
        </w:rPr>
        <w:t>2011, Q3 2012 and Q3</w:t>
      </w:r>
      <w:r w:rsidRPr="001F29E3">
        <w:rPr>
          <w:rFonts w:cs="Arial"/>
        </w:rPr>
        <w:t xml:space="preserve"> 201</w:t>
      </w:r>
      <w:r>
        <w:rPr>
          <w:rFonts w:cs="Arial"/>
        </w:rPr>
        <w:t>3</w:t>
      </w:r>
    </w:p>
    <w:tbl>
      <w:tblPr>
        <w:tblW w:w="8510" w:type="dxa"/>
        <w:tblInd w:w="103" w:type="dxa"/>
        <w:tblLayout w:type="fixed"/>
        <w:tblLook w:val="04A0" w:firstRow="1" w:lastRow="0" w:firstColumn="1" w:lastColumn="0" w:noHBand="0" w:noVBand="1"/>
      </w:tblPr>
      <w:tblGrid>
        <w:gridCol w:w="1990"/>
        <w:gridCol w:w="1304"/>
        <w:gridCol w:w="1304"/>
        <w:gridCol w:w="1304"/>
        <w:gridCol w:w="1304"/>
        <w:gridCol w:w="1304"/>
      </w:tblGrid>
      <w:tr w:rsidR="002D2B4D" w:rsidRPr="00626707" w:rsidTr="00A50E11">
        <w:trPr>
          <w:trHeight w:hRule="exact" w:val="760"/>
        </w:trPr>
        <w:tc>
          <w:tcPr>
            <w:tcW w:w="199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626707" w:rsidRDefault="002D2B4D" w:rsidP="002D2B4D">
            <w:pPr>
              <w:spacing w:after="0" w:line="240" w:lineRule="auto"/>
              <w:jc w:val="left"/>
              <w:rPr>
                <w:rFonts w:cs="Arial"/>
                <w:b/>
                <w:bCs/>
                <w:color w:val="FFFFFF"/>
                <w:sz w:val="18"/>
                <w:szCs w:val="18"/>
                <w:lang w:eastAsia="en-AU"/>
              </w:rPr>
            </w:pPr>
            <w:r w:rsidRPr="00626707">
              <w:rPr>
                <w:rFonts w:cs="Arial"/>
                <w:b/>
                <w:bCs/>
                <w:color w:val="FFFFFF"/>
                <w:sz w:val="18"/>
                <w:szCs w:val="18"/>
                <w:lang w:eastAsia="en-AU"/>
              </w:rPr>
              <w:t>Delivery Location</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626707" w:rsidRDefault="002D2B4D" w:rsidP="002D2B4D">
            <w:pPr>
              <w:spacing w:after="0" w:line="240" w:lineRule="auto"/>
              <w:ind w:firstLineChars="100" w:firstLine="181"/>
              <w:jc w:val="right"/>
              <w:rPr>
                <w:rFonts w:cs="Arial"/>
                <w:b/>
                <w:bCs/>
                <w:color w:val="FFFFFF"/>
                <w:sz w:val="18"/>
                <w:szCs w:val="18"/>
                <w:lang w:eastAsia="en-AU"/>
              </w:rPr>
            </w:pPr>
            <w:r w:rsidRPr="00626707">
              <w:rPr>
                <w:rFonts w:cs="Arial"/>
                <w:b/>
                <w:bCs/>
                <w:color w:val="FFFFFF"/>
                <w:sz w:val="18"/>
                <w:szCs w:val="18"/>
                <w:lang w:eastAsia="en-AU"/>
              </w:rPr>
              <w:t>Q3 2011</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626707" w:rsidRDefault="002D2B4D" w:rsidP="002D2B4D">
            <w:pPr>
              <w:spacing w:after="0" w:line="240" w:lineRule="auto"/>
              <w:ind w:firstLineChars="100" w:firstLine="181"/>
              <w:jc w:val="right"/>
              <w:rPr>
                <w:rFonts w:cs="Arial"/>
                <w:b/>
                <w:bCs/>
                <w:color w:val="FFFFFF"/>
                <w:sz w:val="18"/>
                <w:szCs w:val="18"/>
                <w:lang w:eastAsia="en-AU"/>
              </w:rPr>
            </w:pPr>
            <w:r w:rsidRPr="00626707">
              <w:rPr>
                <w:rFonts w:cs="Arial"/>
                <w:b/>
                <w:bCs/>
                <w:color w:val="FFFFFF"/>
                <w:sz w:val="18"/>
                <w:szCs w:val="18"/>
                <w:lang w:eastAsia="en-AU"/>
              </w:rPr>
              <w:t>Q3 2012</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626707" w:rsidRDefault="002D2B4D" w:rsidP="002D2B4D">
            <w:pPr>
              <w:spacing w:after="0" w:line="240" w:lineRule="auto"/>
              <w:ind w:firstLineChars="100" w:firstLine="181"/>
              <w:jc w:val="right"/>
              <w:rPr>
                <w:rFonts w:cs="Arial"/>
                <w:b/>
                <w:bCs/>
                <w:color w:val="FFFFFF"/>
                <w:sz w:val="18"/>
                <w:szCs w:val="18"/>
                <w:lang w:eastAsia="en-AU"/>
              </w:rPr>
            </w:pPr>
            <w:r w:rsidRPr="00626707">
              <w:rPr>
                <w:rFonts w:cs="Arial"/>
                <w:b/>
                <w:bCs/>
                <w:color w:val="FFFFFF"/>
                <w:sz w:val="18"/>
                <w:szCs w:val="18"/>
                <w:lang w:eastAsia="en-AU"/>
              </w:rPr>
              <w:t>Q3 2013</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626707" w:rsidRDefault="002D2B4D" w:rsidP="002D2B4D">
            <w:pPr>
              <w:spacing w:after="0" w:line="240" w:lineRule="auto"/>
              <w:ind w:firstLineChars="100" w:firstLine="181"/>
              <w:jc w:val="right"/>
              <w:rPr>
                <w:rFonts w:cs="Arial"/>
                <w:b/>
                <w:bCs/>
                <w:color w:val="FFFFFF"/>
                <w:sz w:val="18"/>
                <w:szCs w:val="18"/>
                <w:lang w:eastAsia="en-AU"/>
              </w:rPr>
            </w:pPr>
            <w:r w:rsidRPr="00626707">
              <w:rPr>
                <w:rFonts w:cs="Arial"/>
                <w:b/>
                <w:bCs/>
                <w:color w:val="FFFFFF"/>
                <w:sz w:val="18"/>
                <w:szCs w:val="18"/>
                <w:lang w:eastAsia="en-AU"/>
              </w:rPr>
              <w:t>% change Q</w:t>
            </w:r>
            <w:r>
              <w:rPr>
                <w:rFonts w:cs="Arial"/>
                <w:b/>
                <w:bCs/>
                <w:color w:val="FFFFFF"/>
                <w:sz w:val="18"/>
                <w:szCs w:val="18"/>
                <w:lang w:eastAsia="en-AU"/>
              </w:rPr>
              <w:t>3</w:t>
            </w:r>
            <w:r w:rsidRPr="00626707">
              <w:rPr>
                <w:rFonts w:cs="Arial"/>
                <w:b/>
                <w:bCs/>
                <w:color w:val="FFFFFF"/>
                <w:sz w:val="18"/>
                <w:szCs w:val="18"/>
                <w:lang w:eastAsia="en-AU"/>
              </w:rPr>
              <w:t xml:space="preserve"> 2011 </w:t>
            </w:r>
            <w:r>
              <w:rPr>
                <w:rFonts w:cs="Arial"/>
                <w:b/>
                <w:bCs/>
                <w:color w:val="FFFFFF"/>
                <w:sz w:val="18"/>
                <w:szCs w:val="18"/>
                <w:lang w:eastAsia="en-AU"/>
              </w:rPr>
              <w:t>–</w:t>
            </w:r>
            <w:r w:rsidRPr="00626707">
              <w:rPr>
                <w:rFonts w:cs="Arial"/>
                <w:b/>
                <w:bCs/>
                <w:color w:val="FFFFFF"/>
                <w:sz w:val="18"/>
                <w:szCs w:val="18"/>
                <w:lang w:eastAsia="en-AU"/>
              </w:rPr>
              <w:t xml:space="preserve"> Q</w:t>
            </w:r>
            <w:r>
              <w:rPr>
                <w:rFonts w:cs="Arial"/>
                <w:b/>
                <w:bCs/>
                <w:color w:val="FFFFFF"/>
                <w:sz w:val="18"/>
                <w:szCs w:val="18"/>
                <w:lang w:eastAsia="en-AU"/>
              </w:rPr>
              <w:t>3</w:t>
            </w:r>
            <w:r w:rsidRPr="00626707">
              <w:rPr>
                <w:rFonts w:cs="Arial"/>
                <w:b/>
                <w:bCs/>
                <w:color w:val="FFFFFF"/>
                <w:sz w:val="18"/>
                <w:szCs w:val="18"/>
                <w:lang w:eastAsia="en-AU"/>
              </w:rPr>
              <w:t xml:space="preserve"> 2013</w:t>
            </w:r>
          </w:p>
        </w:tc>
        <w:tc>
          <w:tcPr>
            <w:tcW w:w="130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626707" w:rsidRDefault="002D2B4D" w:rsidP="002D2B4D">
            <w:pPr>
              <w:spacing w:after="0" w:line="240" w:lineRule="auto"/>
              <w:ind w:firstLineChars="100" w:firstLine="181"/>
              <w:jc w:val="right"/>
              <w:rPr>
                <w:rFonts w:cs="Arial"/>
                <w:b/>
                <w:bCs/>
                <w:color w:val="FFFFFF"/>
                <w:sz w:val="18"/>
                <w:szCs w:val="18"/>
                <w:lang w:eastAsia="en-AU"/>
              </w:rPr>
            </w:pPr>
            <w:r w:rsidRPr="00626707">
              <w:rPr>
                <w:rFonts w:cs="Arial"/>
                <w:b/>
                <w:bCs/>
                <w:color w:val="FFFFFF"/>
                <w:sz w:val="18"/>
                <w:szCs w:val="18"/>
                <w:lang w:eastAsia="en-AU"/>
              </w:rPr>
              <w:t>% change Q</w:t>
            </w:r>
            <w:r>
              <w:rPr>
                <w:rFonts w:cs="Arial"/>
                <w:b/>
                <w:bCs/>
                <w:color w:val="FFFFFF"/>
                <w:sz w:val="18"/>
                <w:szCs w:val="18"/>
                <w:lang w:eastAsia="en-AU"/>
              </w:rPr>
              <w:t>3</w:t>
            </w:r>
            <w:r w:rsidRPr="00626707">
              <w:rPr>
                <w:rFonts w:cs="Arial"/>
                <w:b/>
                <w:bCs/>
                <w:color w:val="FFFFFF"/>
                <w:sz w:val="18"/>
                <w:szCs w:val="18"/>
                <w:lang w:eastAsia="en-AU"/>
              </w:rPr>
              <w:t xml:space="preserve"> 2012 </w:t>
            </w:r>
            <w:r>
              <w:rPr>
                <w:rFonts w:cs="Arial"/>
                <w:b/>
                <w:bCs/>
                <w:color w:val="FFFFFF"/>
                <w:sz w:val="18"/>
                <w:szCs w:val="18"/>
                <w:lang w:eastAsia="en-AU"/>
              </w:rPr>
              <w:t>–</w:t>
            </w:r>
            <w:r w:rsidRPr="00626707">
              <w:rPr>
                <w:rFonts w:cs="Arial"/>
                <w:b/>
                <w:bCs/>
                <w:color w:val="FFFFFF"/>
                <w:sz w:val="18"/>
                <w:szCs w:val="18"/>
                <w:lang w:eastAsia="en-AU"/>
              </w:rPr>
              <w:t xml:space="preserve"> Q</w:t>
            </w:r>
            <w:r>
              <w:rPr>
                <w:rFonts w:cs="Arial"/>
                <w:b/>
                <w:bCs/>
                <w:color w:val="FFFFFF"/>
                <w:sz w:val="18"/>
                <w:szCs w:val="18"/>
                <w:lang w:eastAsia="en-AU"/>
              </w:rPr>
              <w:t>3</w:t>
            </w:r>
            <w:r w:rsidRPr="00626707">
              <w:rPr>
                <w:rFonts w:cs="Arial"/>
                <w:b/>
                <w:bCs/>
                <w:color w:val="FFFFFF"/>
                <w:sz w:val="18"/>
                <w:szCs w:val="18"/>
                <w:lang w:eastAsia="en-AU"/>
              </w:rPr>
              <w:t xml:space="preserve"> 2013</w:t>
            </w:r>
          </w:p>
        </w:tc>
      </w:tr>
      <w:tr w:rsidR="002D2B4D" w:rsidRPr="00626707"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626707" w:rsidRDefault="002D2B4D" w:rsidP="002D2B4D">
            <w:pPr>
              <w:spacing w:after="0" w:line="240" w:lineRule="auto"/>
              <w:jc w:val="left"/>
              <w:rPr>
                <w:rFonts w:cs="Arial"/>
                <w:color w:val="3E5B00"/>
                <w:sz w:val="18"/>
                <w:szCs w:val="18"/>
                <w:lang w:eastAsia="en-AU"/>
              </w:rPr>
            </w:pPr>
            <w:r w:rsidRPr="00626707">
              <w:rPr>
                <w:rFonts w:cs="Arial"/>
                <w:color w:val="3E5B00"/>
                <w:sz w:val="18"/>
                <w:szCs w:val="18"/>
                <w:lang w:eastAsia="en-AU"/>
              </w:rPr>
              <w:t>South-Western</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6,800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12,900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7,600 </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12%</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-41%</w:t>
            </w:r>
          </w:p>
        </w:tc>
      </w:tr>
      <w:tr w:rsidR="002D2B4D" w:rsidRPr="00626707"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626707" w:rsidRDefault="002D2B4D" w:rsidP="002D2B4D">
            <w:pPr>
              <w:spacing w:after="0" w:line="240" w:lineRule="auto"/>
              <w:jc w:val="left"/>
              <w:rPr>
                <w:rFonts w:cs="Arial"/>
                <w:color w:val="3E5B00"/>
                <w:sz w:val="18"/>
                <w:szCs w:val="18"/>
                <w:lang w:eastAsia="en-AU"/>
              </w:rPr>
            </w:pPr>
            <w:r w:rsidRPr="00626707">
              <w:rPr>
                <w:rFonts w:cs="Arial"/>
                <w:color w:val="3E5B00"/>
                <w:sz w:val="18"/>
                <w:szCs w:val="18"/>
                <w:lang w:eastAsia="en-AU"/>
              </w:rPr>
              <w:t>North-Western</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4,900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5,700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6,700 </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39%</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17%</w:t>
            </w:r>
          </w:p>
        </w:tc>
      </w:tr>
      <w:tr w:rsidR="002D2B4D" w:rsidRPr="00626707"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626707" w:rsidRDefault="002D2B4D" w:rsidP="002D2B4D">
            <w:pPr>
              <w:spacing w:after="0" w:line="240" w:lineRule="auto"/>
              <w:jc w:val="left"/>
              <w:rPr>
                <w:rFonts w:cs="Arial"/>
                <w:color w:val="3E5B00"/>
                <w:sz w:val="18"/>
                <w:szCs w:val="18"/>
                <w:lang w:eastAsia="en-AU"/>
              </w:rPr>
            </w:pPr>
            <w:r w:rsidRPr="00626707">
              <w:rPr>
                <w:rFonts w:cs="Arial"/>
                <w:color w:val="3E5B00"/>
                <w:sz w:val="18"/>
                <w:szCs w:val="18"/>
                <w:lang w:eastAsia="en-AU"/>
              </w:rPr>
              <w:t>North-Eastern</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3,800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4,500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3,600 </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-5%</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-20%</w:t>
            </w:r>
          </w:p>
        </w:tc>
      </w:tr>
      <w:tr w:rsidR="002D2B4D" w:rsidRPr="00626707"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626707" w:rsidRDefault="002D2B4D" w:rsidP="002D2B4D">
            <w:pPr>
              <w:spacing w:after="0" w:line="240" w:lineRule="auto"/>
              <w:jc w:val="left"/>
              <w:rPr>
                <w:rFonts w:cs="Arial"/>
                <w:color w:val="3E5B00"/>
                <w:sz w:val="18"/>
                <w:szCs w:val="18"/>
                <w:lang w:eastAsia="en-AU"/>
              </w:rPr>
            </w:pPr>
            <w:r w:rsidRPr="00626707">
              <w:rPr>
                <w:rFonts w:cs="Arial"/>
                <w:color w:val="3E5B00"/>
                <w:sz w:val="18"/>
                <w:szCs w:val="18"/>
                <w:lang w:eastAsia="en-AU"/>
              </w:rPr>
              <w:t>South-Eastern</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4,500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5,100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5,100 </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12%</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-1%</w:t>
            </w:r>
          </w:p>
        </w:tc>
      </w:tr>
      <w:tr w:rsidR="002D2B4D" w:rsidRPr="00626707" w:rsidTr="00A50E11">
        <w:trPr>
          <w:trHeight w:hRule="exact" w:val="284"/>
        </w:trPr>
        <w:tc>
          <w:tcPr>
            <w:tcW w:w="1990"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626707" w:rsidRDefault="002D2B4D" w:rsidP="002D2B4D">
            <w:pPr>
              <w:spacing w:after="0" w:line="240" w:lineRule="auto"/>
              <w:jc w:val="left"/>
              <w:rPr>
                <w:rFonts w:cs="Arial"/>
                <w:color w:val="3E5B00"/>
                <w:sz w:val="18"/>
                <w:szCs w:val="18"/>
                <w:lang w:eastAsia="en-AU"/>
              </w:rPr>
            </w:pPr>
            <w:r w:rsidRPr="00626707">
              <w:rPr>
                <w:rFonts w:cs="Arial"/>
                <w:color w:val="3E5B00"/>
                <w:sz w:val="18"/>
                <w:szCs w:val="18"/>
                <w:lang w:eastAsia="en-AU"/>
              </w:rPr>
              <w:t>AEIs</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3,100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3,500 </w:t>
            </w:r>
          </w:p>
        </w:tc>
        <w:tc>
          <w:tcPr>
            <w:tcW w:w="1304" w:type="dxa"/>
            <w:tcBorders>
              <w:top w:val="nil"/>
              <w:left w:val="nil"/>
              <w:bottom w:val="single" w:sz="4" w:space="0" w:color="5E8A00"/>
              <w:right w:val="single" w:sz="4" w:space="0" w:color="5E8A00"/>
            </w:tcBorders>
            <w:shd w:val="clear" w:color="auto" w:fill="auto"/>
            <w:noWrap/>
            <w:vAlign w:val="bottom"/>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 xml:space="preserve">3,200 </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4%</w:t>
            </w:r>
          </w:p>
        </w:tc>
        <w:tc>
          <w:tcPr>
            <w:tcW w:w="1304" w:type="dxa"/>
            <w:tcBorders>
              <w:top w:val="nil"/>
              <w:left w:val="nil"/>
              <w:bottom w:val="single" w:sz="4" w:space="0" w:color="5E8A00"/>
              <w:right w:val="single" w:sz="4" w:space="0" w:color="5E8A00"/>
            </w:tcBorders>
            <w:shd w:val="clear" w:color="auto" w:fill="auto"/>
            <w:noWrap/>
            <w:vAlign w:val="center"/>
            <w:hideMark/>
          </w:tcPr>
          <w:p w:rsidR="002D2B4D" w:rsidRPr="00626707" w:rsidRDefault="002D2B4D" w:rsidP="002D2B4D">
            <w:pPr>
              <w:spacing w:after="0" w:line="240" w:lineRule="auto"/>
              <w:jc w:val="right"/>
              <w:rPr>
                <w:rFonts w:cs="Arial"/>
                <w:sz w:val="18"/>
                <w:szCs w:val="18"/>
                <w:lang w:eastAsia="en-AU"/>
              </w:rPr>
            </w:pPr>
            <w:r w:rsidRPr="00626707">
              <w:rPr>
                <w:rFonts w:cs="Arial"/>
                <w:sz w:val="18"/>
                <w:szCs w:val="18"/>
                <w:lang w:eastAsia="en-AU"/>
              </w:rPr>
              <w:t>-8%</w:t>
            </w:r>
          </w:p>
        </w:tc>
      </w:tr>
      <w:tr w:rsidR="002D2B4D" w:rsidRPr="00626707" w:rsidTr="00A50E11">
        <w:trPr>
          <w:trHeight w:hRule="exact" w:val="284"/>
        </w:trPr>
        <w:tc>
          <w:tcPr>
            <w:tcW w:w="1990" w:type="dxa"/>
            <w:tcBorders>
              <w:top w:val="nil"/>
              <w:left w:val="single" w:sz="4" w:space="0" w:color="5E8A00"/>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left"/>
              <w:rPr>
                <w:rFonts w:cs="Arial"/>
                <w:b/>
                <w:bCs/>
                <w:color w:val="FFFFFF"/>
                <w:sz w:val="18"/>
                <w:szCs w:val="18"/>
                <w:lang w:eastAsia="en-AU"/>
              </w:rPr>
            </w:pPr>
            <w:r w:rsidRPr="00626707">
              <w:rPr>
                <w:rFonts w:cs="Arial"/>
                <w:b/>
                <w:bCs/>
                <w:color w:val="FFFFFF"/>
                <w:sz w:val="18"/>
                <w:szCs w:val="18"/>
                <w:lang w:eastAsia="en-AU"/>
              </w:rPr>
              <w:t>Total</w:t>
            </w:r>
          </w:p>
        </w:tc>
        <w:tc>
          <w:tcPr>
            <w:tcW w:w="1304" w:type="dxa"/>
            <w:tcBorders>
              <w:top w:val="nil"/>
              <w:left w:val="nil"/>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right"/>
              <w:rPr>
                <w:rFonts w:cs="Arial"/>
                <w:b/>
                <w:bCs/>
                <w:color w:val="FFFFFF"/>
                <w:sz w:val="18"/>
                <w:szCs w:val="18"/>
                <w:lang w:eastAsia="en-AU"/>
              </w:rPr>
            </w:pPr>
            <w:r w:rsidRPr="00626707">
              <w:rPr>
                <w:rFonts w:cs="Arial"/>
                <w:b/>
                <w:bCs/>
                <w:color w:val="FFFFFF"/>
                <w:sz w:val="18"/>
                <w:szCs w:val="18"/>
                <w:lang w:eastAsia="en-AU"/>
              </w:rPr>
              <w:t xml:space="preserve">23,000 </w:t>
            </w:r>
          </w:p>
        </w:tc>
        <w:tc>
          <w:tcPr>
            <w:tcW w:w="1304" w:type="dxa"/>
            <w:tcBorders>
              <w:top w:val="nil"/>
              <w:left w:val="nil"/>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right"/>
              <w:rPr>
                <w:rFonts w:cs="Arial"/>
                <w:b/>
                <w:bCs/>
                <w:color w:val="FFFFFF"/>
                <w:sz w:val="18"/>
                <w:szCs w:val="18"/>
                <w:lang w:eastAsia="en-AU"/>
              </w:rPr>
            </w:pPr>
            <w:r w:rsidRPr="00626707">
              <w:rPr>
                <w:rFonts w:cs="Arial"/>
                <w:b/>
                <w:bCs/>
                <w:color w:val="FFFFFF"/>
                <w:sz w:val="18"/>
                <w:szCs w:val="18"/>
                <w:lang w:eastAsia="en-AU"/>
              </w:rPr>
              <w:t xml:space="preserve">31,800 </w:t>
            </w:r>
          </w:p>
        </w:tc>
        <w:tc>
          <w:tcPr>
            <w:tcW w:w="1304" w:type="dxa"/>
            <w:tcBorders>
              <w:top w:val="nil"/>
              <w:left w:val="nil"/>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right"/>
              <w:rPr>
                <w:rFonts w:cs="Arial"/>
                <w:b/>
                <w:bCs/>
                <w:color w:val="FFFFFF"/>
                <w:sz w:val="18"/>
                <w:szCs w:val="18"/>
                <w:lang w:eastAsia="en-AU"/>
              </w:rPr>
            </w:pPr>
            <w:r w:rsidRPr="00626707">
              <w:rPr>
                <w:rFonts w:cs="Arial"/>
                <w:b/>
                <w:bCs/>
                <w:color w:val="FFFFFF"/>
                <w:sz w:val="18"/>
                <w:szCs w:val="18"/>
                <w:lang w:eastAsia="en-AU"/>
              </w:rPr>
              <w:t xml:space="preserve">26,200 </w:t>
            </w:r>
          </w:p>
        </w:tc>
        <w:tc>
          <w:tcPr>
            <w:tcW w:w="1304" w:type="dxa"/>
            <w:tcBorders>
              <w:top w:val="nil"/>
              <w:left w:val="nil"/>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right"/>
              <w:rPr>
                <w:rFonts w:cs="Arial"/>
                <w:b/>
                <w:bCs/>
                <w:color w:val="FFFFFF"/>
                <w:sz w:val="18"/>
                <w:szCs w:val="18"/>
                <w:lang w:eastAsia="en-AU"/>
              </w:rPr>
            </w:pPr>
            <w:r w:rsidRPr="00626707">
              <w:rPr>
                <w:rFonts w:cs="Arial"/>
                <w:b/>
                <w:bCs/>
                <w:color w:val="FFFFFF"/>
                <w:sz w:val="18"/>
                <w:szCs w:val="18"/>
                <w:lang w:eastAsia="en-AU"/>
              </w:rPr>
              <w:t>14%</w:t>
            </w:r>
          </w:p>
        </w:tc>
        <w:tc>
          <w:tcPr>
            <w:tcW w:w="1304" w:type="dxa"/>
            <w:tcBorders>
              <w:top w:val="nil"/>
              <w:left w:val="nil"/>
              <w:bottom w:val="nil"/>
              <w:right w:val="single" w:sz="4" w:space="0" w:color="5E8A00"/>
            </w:tcBorders>
            <w:shd w:val="clear" w:color="000000" w:fill="5E8A00"/>
            <w:noWrap/>
            <w:vAlign w:val="bottom"/>
            <w:hideMark/>
          </w:tcPr>
          <w:p w:rsidR="002D2B4D" w:rsidRPr="00626707" w:rsidRDefault="002D2B4D" w:rsidP="002D2B4D">
            <w:pPr>
              <w:spacing w:after="0" w:line="240" w:lineRule="auto"/>
              <w:jc w:val="right"/>
              <w:rPr>
                <w:rFonts w:cs="Arial"/>
                <w:b/>
                <w:bCs/>
                <w:color w:val="FFFFFF"/>
                <w:sz w:val="18"/>
                <w:szCs w:val="18"/>
                <w:lang w:eastAsia="en-AU"/>
              </w:rPr>
            </w:pPr>
            <w:r w:rsidRPr="00626707">
              <w:rPr>
                <w:rFonts w:cs="Arial"/>
                <w:b/>
                <w:bCs/>
                <w:color w:val="FFFFFF"/>
                <w:sz w:val="18"/>
                <w:szCs w:val="18"/>
                <w:lang w:eastAsia="en-AU"/>
              </w:rPr>
              <w:t>-17%</w:t>
            </w:r>
          </w:p>
        </w:tc>
      </w:tr>
    </w:tbl>
    <w:p w:rsidR="002D2B4D" w:rsidRDefault="002D2B4D" w:rsidP="002D2B4D">
      <w:pPr>
        <w:rPr>
          <w:rFonts w:cs="Arial"/>
          <w:sz w:val="16"/>
          <w:szCs w:val="16"/>
        </w:rPr>
      </w:pPr>
      <w:r w:rsidRPr="001F29E3">
        <w:rPr>
          <w:rFonts w:cs="Arial"/>
          <w:sz w:val="16"/>
          <w:szCs w:val="16"/>
        </w:rPr>
        <w:t>AEIs: Adult Education Institutes</w:t>
      </w:r>
    </w:p>
    <w:p w:rsidR="002D2B4D" w:rsidRDefault="002D2B4D" w:rsidP="002D2B4D">
      <w:pPr>
        <w:rPr>
          <w:rFonts w:cs="Arial"/>
          <w:sz w:val="16"/>
          <w:szCs w:val="16"/>
        </w:rPr>
      </w:pPr>
    </w:p>
    <w:p w:rsidR="002D2B4D" w:rsidRDefault="002D2B4D" w:rsidP="002D2B4D">
      <w:pPr>
        <w:pStyle w:val="Caption"/>
        <w:spacing w:after="0"/>
        <w:jc w:val="left"/>
        <w:rPr>
          <w:rFonts w:cs="Arial"/>
        </w:rPr>
      </w:pPr>
      <w:r w:rsidRPr="001F29E3">
        <w:rPr>
          <w:rFonts w:cs="Arial"/>
        </w:rPr>
        <w:t>Figure 1.</w:t>
      </w:r>
      <w:r w:rsidR="009D524A">
        <w:rPr>
          <w:rFonts w:cs="Arial"/>
        </w:rPr>
        <w:t>7</w:t>
      </w:r>
      <w:r w:rsidRPr="001F29E3">
        <w:rPr>
          <w:rFonts w:cs="Arial"/>
        </w:rPr>
        <w:t xml:space="preserve">: Government subsidised students </w:t>
      </w:r>
      <w:r>
        <w:rPr>
          <w:rFonts w:cs="Arial"/>
        </w:rPr>
        <w:t xml:space="preserve">in </w:t>
      </w:r>
      <w:r w:rsidRPr="00367714">
        <w:rPr>
          <w:rFonts w:cs="Arial"/>
        </w:rPr>
        <w:t>accredited</w:t>
      </w:r>
      <w:r>
        <w:rPr>
          <w:rFonts w:cs="Arial"/>
        </w:rPr>
        <w:t xml:space="preserve"> training</w:t>
      </w:r>
      <w:r w:rsidRPr="001F29E3">
        <w:rPr>
          <w:rFonts w:cs="Arial"/>
        </w:rPr>
        <w:t xml:space="preserve"> </w:t>
      </w:r>
      <w:r w:rsidR="00A50E11">
        <w:rPr>
          <w:rFonts w:cs="Arial"/>
        </w:rPr>
        <w:t xml:space="preserve">with Learn Local (ACE) providers </w:t>
      </w:r>
      <w:r w:rsidR="00A50E11">
        <w:rPr>
          <w:rFonts w:cs="Arial"/>
        </w:rPr>
        <w:br/>
      </w:r>
      <w:r w:rsidRPr="001F29E3">
        <w:rPr>
          <w:rFonts w:cs="Arial"/>
        </w:rPr>
        <w:t>by regional area,</w:t>
      </w:r>
      <w:r>
        <w:rPr>
          <w:rFonts w:cs="Arial"/>
        </w:rPr>
        <w:t xml:space="preserve"> Q3 2011, </w:t>
      </w:r>
      <w:r w:rsidRPr="001F29E3">
        <w:rPr>
          <w:rFonts w:cs="Arial"/>
        </w:rPr>
        <w:t>Q</w:t>
      </w:r>
      <w:r>
        <w:rPr>
          <w:rFonts w:cs="Arial"/>
        </w:rPr>
        <w:t>3</w:t>
      </w:r>
      <w:r w:rsidRPr="001F29E3">
        <w:rPr>
          <w:rFonts w:cs="Arial"/>
        </w:rPr>
        <w:t xml:space="preserve"> 2012 </w:t>
      </w:r>
      <w:r>
        <w:rPr>
          <w:rFonts w:cs="Arial"/>
        </w:rPr>
        <w:t>and</w:t>
      </w:r>
      <w:r w:rsidRPr="001F29E3">
        <w:rPr>
          <w:rFonts w:cs="Arial"/>
        </w:rPr>
        <w:t xml:space="preserve"> Q</w:t>
      </w:r>
      <w:r>
        <w:rPr>
          <w:rFonts w:cs="Arial"/>
        </w:rPr>
        <w:t>3</w:t>
      </w:r>
      <w:r w:rsidRPr="001F29E3">
        <w:rPr>
          <w:rFonts w:cs="Arial"/>
        </w:rPr>
        <w:t xml:space="preserve"> 2013</w:t>
      </w:r>
    </w:p>
    <w:p w:rsidR="002D2B4D" w:rsidRDefault="002D2B4D" w:rsidP="002D2B4D">
      <w:r>
        <w:rPr>
          <w:noProof/>
          <w:lang w:eastAsia="en-AU"/>
        </w:rPr>
        <w:drawing>
          <wp:inline distT="0" distB="0" distL="0" distR="0" wp14:anchorId="18FBF067" wp14:editId="14425C56">
            <wp:extent cx="6022800" cy="2415600"/>
            <wp:effectExtent l="0" t="0" r="0" b="0"/>
            <wp:docPr id="31" name="Picture 31" descr="This chart presents the number of students undertaking government subsidised accredited training with Learn Local ACE providers in each of of the regional areas in Q3 2011, Q3 2012 and Q3 2013." title="Figure 1.7: Government subsidised students in accredited training with Learn Local (ACE)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2800" cy="2415600"/>
                    </a:xfrm>
                    <a:prstGeom prst="rect">
                      <a:avLst/>
                    </a:prstGeom>
                    <a:noFill/>
                  </pic:spPr>
                </pic:pic>
              </a:graphicData>
            </a:graphic>
          </wp:inline>
        </w:drawing>
      </w:r>
    </w:p>
    <w:tbl>
      <w:tblPr>
        <w:tblW w:w="5000" w:type="pct"/>
        <w:tblInd w:w="-8" w:type="dxa"/>
        <w:tblLayout w:type="fixed"/>
        <w:tblLook w:val="04A0" w:firstRow="1" w:lastRow="0" w:firstColumn="1" w:lastColumn="0" w:noHBand="0" w:noVBand="1"/>
      </w:tblPr>
      <w:tblGrid>
        <w:gridCol w:w="899"/>
        <w:gridCol w:w="1883"/>
        <w:gridCol w:w="901"/>
        <w:gridCol w:w="1924"/>
        <w:gridCol w:w="901"/>
        <w:gridCol w:w="2780"/>
      </w:tblGrid>
      <w:tr w:rsidR="002D2B4D" w:rsidRPr="001F29E3" w:rsidTr="002D2B4D">
        <w:trPr>
          <w:trHeight w:val="255"/>
        </w:trPr>
        <w:tc>
          <w:tcPr>
            <w:tcW w:w="899" w:type="dxa"/>
            <w:tcBorders>
              <w:top w:val="single" w:sz="4" w:space="0" w:color="85A644"/>
              <w:left w:val="single" w:sz="4"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BSW</w:t>
            </w:r>
          </w:p>
        </w:tc>
        <w:tc>
          <w:tcPr>
            <w:tcW w:w="1883"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Barwon South West</w:t>
            </w:r>
          </w:p>
        </w:tc>
        <w:tc>
          <w:tcPr>
            <w:tcW w:w="901"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HUM</w:t>
            </w:r>
          </w:p>
        </w:tc>
        <w:tc>
          <w:tcPr>
            <w:tcW w:w="1924"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Hume</w:t>
            </w:r>
          </w:p>
        </w:tc>
        <w:tc>
          <w:tcPr>
            <w:tcW w:w="901" w:type="dxa"/>
            <w:tcBorders>
              <w:top w:val="single" w:sz="4"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NWM</w:t>
            </w:r>
          </w:p>
        </w:tc>
        <w:tc>
          <w:tcPr>
            <w:tcW w:w="2780" w:type="dxa"/>
            <w:tcBorders>
              <w:top w:val="single" w:sz="4" w:space="0" w:color="85A644"/>
              <w:left w:val="single" w:sz="6" w:space="0" w:color="85A644"/>
              <w:bottom w:val="single" w:sz="6"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North Western Metropolitan</w:t>
            </w:r>
          </w:p>
        </w:tc>
      </w:tr>
      <w:tr w:rsidR="002D2B4D" w:rsidRPr="001F29E3" w:rsidTr="002D2B4D">
        <w:trPr>
          <w:trHeight w:val="255"/>
        </w:trPr>
        <w:tc>
          <w:tcPr>
            <w:tcW w:w="899" w:type="dxa"/>
            <w:tcBorders>
              <w:top w:val="single" w:sz="6" w:space="0" w:color="85A644"/>
              <w:left w:val="single" w:sz="4"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GRA</w:t>
            </w:r>
          </w:p>
        </w:tc>
        <w:tc>
          <w:tcPr>
            <w:tcW w:w="1883"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Grampians</w:t>
            </w:r>
          </w:p>
        </w:tc>
        <w:tc>
          <w:tcPr>
            <w:tcW w:w="901"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GIP</w:t>
            </w:r>
          </w:p>
        </w:tc>
        <w:tc>
          <w:tcPr>
            <w:tcW w:w="1924"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Gippsland</w:t>
            </w:r>
          </w:p>
        </w:tc>
        <w:tc>
          <w:tcPr>
            <w:tcW w:w="901" w:type="dxa"/>
            <w:tcBorders>
              <w:top w:val="single" w:sz="6" w:space="0" w:color="85A644"/>
              <w:left w:val="single" w:sz="6" w:space="0" w:color="85A644"/>
              <w:bottom w:val="single" w:sz="6"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SM</w:t>
            </w:r>
          </w:p>
        </w:tc>
        <w:tc>
          <w:tcPr>
            <w:tcW w:w="2780" w:type="dxa"/>
            <w:tcBorders>
              <w:top w:val="single" w:sz="6" w:space="0" w:color="85A644"/>
              <w:left w:val="single" w:sz="6" w:space="0" w:color="85A644"/>
              <w:bottom w:val="single" w:sz="6"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Southern Metropolitan</w:t>
            </w:r>
          </w:p>
        </w:tc>
      </w:tr>
      <w:tr w:rsidR="002D2B4D" w:rsidRPr="001F29E3" w:rsidTr="002D2B4D">
        <w:trPr>
          <w:trHeight w:val="255"/>
        </w:trPr>
        <w:tc>
          <w:tcPr>
            <w:tcW w:w="899" w:type="dxa"/>
            <w:tcBorders>
              <w:top w:val="single" w:sz="6" w:space="0" w:color="85A644"/>
              <w:left w:val="single" w:sz="4"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LMR</w:t>
            </w:r>
          </w:p>
        </w:tc>
        <w:tc>
          <w:tcPr>
            <w:tcW w:w="1883"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 xml:space="preserve">Loddon </w:t>
            </w:r>
            <w:proofErr w:type="spellStart"/>
            <w:r w:rsidRPr="001F29E3">
              <w:rPr>
                <w:rFonts w:cs="Arial"/>
                <w:color w:val="85A644"/>
                <w:sz w:val="16"/>
                <w:szCs w:val="16"/>
                <w:lang w:eastAsia="en-AU"/>
              </w:rPr>
              <w:t>Mallee</w:t>
            </w:r>
            <w:proofErr w:type="spellEnd"/>
          </w:p>
        </w:tc>
        <w:tc>
          <w:tcPr>
            <w:tcW w:w="901"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EM</w:t>
            </w:r>
          </w:p>
        </w:tc>
        <w:tc>
          <w:tcPr>
            <w:tcW w:w="1924"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Eastern Metropolitan</w:t>
            </w:r>
          </w:p>
        </w:tc>
        <w:tc>
          <w:tcPr>
            <w:tcW w:w="901" w:type="dxa"/>
            <w:tcBorders>
              <w:top w:val="single" w:sz="6" w:space="0" w:color="85A644"/>
              <w:left w:val="single" w:sz="6" w:space="0" w:color="85A644"/>
              <w:bottom w:val="single" w:sz="4" w:space="0" w:color="85A644"/>
              <w:right w:val="single" w:sz="6"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AEIs</w:t>
            </w:r>
          </w:p>
        </w:tc>
        <w:tc>
          <w:tcPr>
            <w:tcW w:w="2780" w:type="dxa"/>
            <w:tcBorders>
              <w:top w:val="single" w:sz="6" w:space="0" w:color="85A644"/>
              <w:left w:val="single" w:sz="6" w:space="0" w:color="85A644"/>
              <w:bottom w:val="single" w:sz="4" w:space="0" w:color="85A644"/>
              <w:right w:val="single" w:sz="4" w:space="0" w:color="85A644"/>
            </w:tcBorders>
            <w:shd w:val="clear" w:color="000000" w:fill="FFFFFF"/>
            <w:noWrap/>
            <w:vAlign w:val="bottom"/>
            <w:hideMark/>
          </w:tcPr>
          <w:p w:rsidR="002D2B4D" w:rsidRPr="001F29E3" w:rsidRDefault="002D2B4D" w:rsidP="002D2B4D">
            <w:pPr>
              <w:spacing w:after="0" w:line="240" w:lineRule="auto"/>
              <w:jc w:val="left"/>
              <w:rPr>
                <w:rFonts w:cs="Arial"/>
                <w:color w:val="85A644"/>
                <w:sz w:val="16"/>
                <w:szCs w:val="16"/>
                <w:lang w:eastAsia="en-AU"/>
              </w:rPr>
            </w:pPr>
            <w:r w:rsidRPr="001F29E3">
              <w:rPr>
                <w:rFonts w:cs="Arial"/>
                <w:color w:val="85A644"/>
                <w:sz w:val="16"/>
                <w:szCs w:val="16"/>
                <w:lang w:eastAsia="en-AU"/>
              </w:rPr>
              <w:t>Adult Education Institutes</w:t>
            </w:r>
          </w:p>
        </w:tc>
      </w:tr>
    </w:tbl>
    <w:p w:rsidR="002D2B4D" w:rsidRDefault="002D2B4D" w:rsidP="002D2B4D"/>
    <w:p w:rsidR="002D2B4D" w:rsidRDefault="002D2B4D" w:rsidP="002D2B4D">
      <w:pPr>
        <w:spacing w:after="0" w:line="240" w:lineRule="auto"/>
        <w:jc w:val="left"/>
      </w:pPr>
      <w:r>
        <w:br w:type="page"/>
      </w:r>
    </w:p>
    <w:p w:rsidR="002D2B4D" w:rsidRDefault="002D2B4D" w:rsidP="002D2B4D">
      <w:pPr>
        <w:pStyle w:val="Caption"/>
        <w:spacing w:after="0" w:line="240" w:lineRule="auto"/>
        <w:jc w:val="left"/>
        <w:rPr>
          <w:rFonts w:cs="Arial"/>
        </w:rPr>
      </w:pPr>
      <w:r>
        <w:rPr>
          <w:rFonts w:cs="Arial"/>
        </w:rPr>
        <w:lastRenderedPageBreak/>
        <w:t xml:space="preserve">Table </w:t>
      </w:r>
      <w:r w:rsidRPr="001F29E3">
        <w:rPr>
          <w:rFonts w:cs="Arial"/>
        </w:rPr>
        <w:t>1.</w:t>
      </w:r>
      <w:r>
        <w:rPr>
          <w:rFonts w:cs="Arial"/>
        </w:rPr>
        <w:t>2</w:t>
      </w:r>
      <w:r w:rsidR="009D524A">
        <w:rPr>
          <w:rFonts w:cs="Arial"/>
        </w:rPr>
        <w:t>4</w:t>
      </w:r>
      <w:r>
        <w:rPr>
          <w:rFonts w:cs="Arial"/>
        </w:rPr>
        <w:t>.1</w:t>
      </w:r>
      <w:r w:rsidRPr="001F29E3">
        <w:rPr>
          <w:rFonts w:cs="Arial"/>
        </w:rPr>
        <w:t xml:space="preserve">: Government subsidised </w:t>
      </w:r>
      <w:r w:rsidR="00A50E11">
        <w:rPr>
          <w:rFonts w:cs="Arial"/>
        </w:rPr>
        <w:t xml:space="preserve">ACFE Board Priority Learners enrolled in </w:t>
      </w:r>
      <w:r w:rsidR="00A50E11" w:rsidRPr="001F29E3">
        <w:rPr>
          <w:rFonts w:cs="Arial"/>
        </w:rPr>
        <w:t xml:space="preserve">accredited </w:t>
      </w:r>
      <w:r w:rsidR="00A50E11">
        <w:rPr>
          <w:rFonts w:cs="Arial"/>
        </w:rPr>
        <w:t>programs with Learn Local (ACE) providers</w:t>
      </w:r>
      <w:r>
        <w:rPr>
          <w:rFonts w:cs="Arial"/>
        </w:rPr>
        <w:t>, 2008-2012</w:t>
      </w:r>
    </w:p>
    <w:tbl>
      <w:tblPr>
        <w:tblW w:w="9503" w:type="dxa"/>
        <w:tblInd w:w="103" w:type="dxa"/>
        <w:tblLayout w:type="fixed"/>
        <w:tblLook w:val="04A0" w:firstRow="1" w:lastRow="0" w:firstColumn="1" w:lastColumn="0" w:noHBand="0" w:noVBand="1"/>
      </w:tblPr>
      <w:tblGrid>
        <w:gridCol w:w="2273"/>
        <w:gridCol w:w="1205"/>
        <w:gridCol w:w="1205"/>
        <w:gridCol w:w="1205"/>
        <w:gridCol w:w="1205"/>
        <w:gridCol w:w="1205"/>
        <w:gridCol w:w="1205"/>
      </w:tblGrid>
      <w:tr w:rsidR="002D2B4D" w:rsidRPr="0057254A" w:rsidTr="002D2B4D">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57254A" w:rsidRDefault="002D2B4D" w:rsidP="002D2B4D">
            <w:pPr>
              <w:spacing w:after="0" w:line="240" w:lineRule="auto"/>
              <w:jc w:val="left"/>
              <w:rPr>
                <w:rFonts w:cs="Arial"/>
                <w:b/>
                <w:bCs/>
                <w:color w:val="FFFFFF"/>
                <w:sz w:val="18"/>
                <w:szCs w:val="18"/>
                <w:lang w:eastAsia="en-AU"/>
              </w:rPr>
            </w:pPr>
            <w:r w:rsidRPr="0057254A">
              <w:rPr>
                <w:rFonts w:cs="Arial"/>
                <w:b/>
                <w:bCs/>
                <w:color w:val="FFFFFF"/>
                <w:sz w:val="18"/>
                <w:szCs w:val="18"/>
                <w:lang w:eastAsia="en-AU"/>
              </w:rPr>
              <w:t> </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2008</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2009</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2010</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2011</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2012</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 change 2008-2012</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CALD (LOTE)</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6,000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6,300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5,600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6,700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9,000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49%</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Disability</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3,500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3,500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3,500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4,600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6,000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72%</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Disengaged Youth</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1,500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2,000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1,700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2,600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142%</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Early school leavers</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6,000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6,400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5,600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7,100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9,100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53%</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Indigenous</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310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340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340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460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570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85%</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Males 45 to 64</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1,600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1,800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1,700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2,100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2,600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60%</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Unemployed</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6,100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7,300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6,900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9,400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13,700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125%</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Vulnerable workers</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4,700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5,100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4,800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5,800 </w:t>
            </w:r>
          </w:p>
        </w:tc>
        <w:tc>
          <w:tcPr>
            <w:tcW w:w="1205"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7,300 </w:t>
            </w:r>
          </w:p>
        </w:tc>
        <w:tc>
          <w:tcPr>
            <w:tcW w:w="1205"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53%</w:t>
            </w:r>
          </w:p>
        </w:tc>
      </w:tr>
    </w:tbl>
    <w:p w:rsidR="00FA4989" w:rsidRPr="001F29E3" w:rsidRDefault="00A50E11" w:rsidP="00FA4989">
      <w:pPr>
        <w:jc w:val="left"/>
        <w:rPr>
          <w:rFonts w:cs="Arial"/>
          <w:sz w:val="16"/>
          <w:szCs w:val="16"/>
        </w:rPr>
      </w:pPr>
      <w:r w:rsidRPr="001F29E3">
        <w:rPr>
          <w:rFonts w:cs="Arial"/>
          <w:sz w:val="16"/>
          <w:szCs w:val="16"/>
        </w:rPr>
        <w:t xml:space="preserve">Note: </w:t>
      </w:r>
      <w:r>
        <w:rPr>
          <w:rFonts w:cs="Arial"/>
          <w:sz w:val="16"/>
          <w:szCs w:val="16"/>
        </w:rPr>
        <w:t xml:space="preserve">ACFE Board Priority Learner categories </w:t>
      </w:r>
      <w:r w:rsidRPr="001F29E3">
        <w:rPr>
          <w:rFonts w:cs="Arial"/>
          <w:sz w:val="16"/>
          <w:szCs w:val="16"/>
        </w:rPr>
        <w:t>are not mutually exclusive.</w:t>
      </w:r>
      <w:r w:rsidR="00FA4989">
        <w:rPr>
          <w:rFonts w:cs="Arial"/>
          <w:sz w:val="16"/>
          <w:szCs w:val="16"/>
        </w:rPr>
        <w:t xml:space="preserve"> </w:t>
      </w:r>
      <w:r w:rsidR="00FA4989" w:rsidRPr="00150CC4">
        <w:rPr>
          <w:rFonts w:cs="Arial"/>
          <w:sz w:val="16"/>
          <w:szCs w:val="16"/>
        </w:rPr>
        <w:t xml:space="preserve">Detail on these categories is available at: </w:t>
      </w:r>
      <w:hyperlink r:id="rId33" w:history="1">
        <w:r w:rsidR="00FA4989" w:rsidRPr="00150CC4">
          <w:rPr>
            <w:rStyle w:val="Hyperlink"/>
            <w:rFonts w:cs="Arial"/>
            <w:sz w:val="16"/>
            <w:szCs w:val="16"/>
          </w:rPr>
          <w:t>www.education.vic.gov.au/Documents/about/research/acfepublications/hardtoreachlearn.pdf</w:t>
        </w:r>
      </w:hyperlink>
    </w:p>
    <w:p w:rsidR="00A50E11" w:rsidRPr="001F29E3" w:rsidRDefault="00A50E11" w:rsidP="00A50E11">
      <w:pPr>
        <w:rPr>
          <w:rFonts w:cs="Arial"/>
          <w:sz w:val="16"/>
          <w:szCs w:val="16"/>
        </w:rPr>
      </w:pPr>
    </w:p>
    <w:p w:rsidR="002D2B4D" w:rsidRDefault="002D2B4D" w:rsidP="002D2B4D">
      <w:pPr>
        <w:pStyle w:val="Caption"/>
        <w:spacing w:after="0"/>
        <w:jc w:val="left"/>
        <w:rPr>
          <w:rFonts w:cs="Arial"/>
        </w:rPr>
      </w:pPr>
    </w:p>
    <w:p w:rsidR="002D2B4D" w:rsidRDefault="002D2B4D" w:rsidP="002D2B4D">
      <w:pPr>
        <w:pStyle w:val="Caption"/>
        <w:spacing w:after="0"/>
        <w:jc w:val="left"/>
        <w:rPr>
          <w:rFonts w:cs="Arial"/>
        </w:rPr>
      </w:pPr>
      <w:r>
        <w:rPr>
          <w:rFonts w:cs="Arial"/>
        </w:rPr>
        <w:t xml:space="preserve">Table </w:t>
      </w:r>
      <w:r w:rsidRPr="001F29E3">
        <w:rPr>
          <w:rFonts w:cs="Arial"/>
        </w:rPr>
        <w:t>1.</w:t>
      </w:r>
      <w:r>
        <w:rPr>
          <w:rFonts w:cs="Arial"/>
        </w:rPr>
        <w:t>2</w:t>
      </w:r>
      <w:r w:rsidR="009D524A">
        <w:rPr>
          <w:rFonts w:cs="Arial"/>
        </w:rPr>
        <w:t>4</w:t>
      </w:r>
      <w:r>
        <w:rPr>
          <w:rFonts w:cs="Arial"/>
        </w:rPr>
        <w:t>.2</w:t>
      </w:r>
      <w:r w:rsidRPr="001F29E3">
        <w:rPr>
          <w:rFonts w:cs="Arial"/>
        </w:rPr>
        <w:t xml:space="preserve">: Government subsidised </w:t>
      </w:r>
      <w:r w:rsidR="00A50E11">
        <w:rPr>
          <w:rFonts w:cs="Arial"/>
        </w:rPr>
        <w:t xml:space="preserve">ACFE Board Priority Learners enrolled in </w:t>
      </w:r>
      <w:r w:rsidR="00A50E11" w:rsidRPr="001F29E3">
        <w:rPr>
          <w:rFonts w:cs="Arial"/>
        </w:rPr>
        <w:t xml:space="preserve">accredited </w:t>
      </w:r>
      <w:r w:rsidR="00A50E11">
        <w:rPr>
          <w:rFonts w:cs="Arial"/>
        </w:rPr>
        <w:t>programs with Learn Local (ACE) providers</w:t>
      </w:r>
      <w:r>
        <w:rPr>
          <w:rFonts w:cs="Arial"/>
        </w:rPr>
        <w:t xml:space="preserve">, Q3 2011, </w:t>
      </w:r>
      <w:r w:rsidRPr="001F29E3">
        <w:rPr>
          <w:rFonts w:cs="Arial"/>
        </w:rPr>
        <w:t>Q</w:t>
      </w:r>
      <w:r>
        <w:rPr>
          <w:rFonts w:cs="Arial"/>
        </w:rPr>
        <w:t>3</w:t>
      </w:r>
      <w:r w:rsidRPr="001F29E3">
        <w:rPr>
          <w:rFonts w:cs="Arial"/>
        </w:rPr>
        <w:t xml:space="preserve"> 2012 </w:t>
      </w:r>
      <w:r>
        <w:rPr>
          <w:rFonts w:cs="Arial"/>
        </w:rPr>
        <w:t>and</w:t>
      </w:r>
      <w:r w:rsidRPr="001F29E3">
        <w:rPr>
          <w:rFonts w:cs="Arial"/>
        </w:rPr>
        <w:t xml:space="preserve"> Q</w:t>
      </w:r>
      <w:r>
        <w:rPr>
          <w:rFonts w:cs="Arial"/>
        </w:rPr>
        <w:t>3</w:t>
      </w:r>
      <w:r w:rsidRPr="001F29E3">
        <w:rPr>
          <w:rFonts w:cs="Arial"/>
        </w:rPr>
        <w:t xml:space="preserve"> 2013</w:t>
      </w:r>
    </w:p>
    <w:tbl>
      <w:tblPr>
        <w:tblW w:w="8794" w:type="dxa"/>
        <w:tblInd w:w="103" w:type="dxa"/>
        <w:tblLayout w:type="fixed"/>
        <w:tblLook w:val="04A0" w:firstRow="1" w:lastRow="0" w:firstColumn="1" w:lastColumn="0" w:noHBand="0" w:noVBand="1"/>
      </w:tblPr>
      <w:tblGrid>
        <w:gridCol w:w="2273"/>
        <w:gridCol w:w="1313"/>
        <w:gridCol w:w="1313"/>
        <w:gridCol w:w="1314"/>
        <w:gridCol w:w="1313"/>
        <w:gridCol w:w="1268"/>
      </w:tblGrid>
      <w:tr w:rsidR="002D2B4D" w:rsidRPr="0057254A" w:rsidTr="002D2B4D">
        <w:trPr>
          <w:trHeight w:hRule="exact" w:val="760"/>
        </w:trPr>
        <w:tc>
          <w:tcPr>
            <w:tcW w:w="227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2D2B4D" w:rsidRPr="0057254A" w:rsidRDefault="002D2B4D" w:rsidP="002D2B4D">
            <w:pPr>
              <w:spacing w:after="0" w:line="240" w:lineRule="auto"/>
              <w:jc w:val="left"/>
              <w:rPr>
                <w:rFonts w:cs="Arial"/>
                <w:b/>
                <w:bCs/>
                <w:color w:val="FFFFFF"/>
                <w:sz w:val="18"/>
                <w:szCs w:val="18"/>
                <w:lang w:eastAsia="en-AU"/>
              </w:rPr>
            </w:pPr>
            <w:r w:rsidRPr="0057254A">
              <w:rPr>
                <w:rFonts w:cs="Arial"/>
                <w:b/>
                <w:bCs/>
                <w:color w:val="FFFFFF"/>
                <w:sz w:val="18"/>
                <w:szCs w:val="18"/>
                <w:lang w:eastAsia="en-AU"/>
              </w:rPr>
              <w:t> </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Q3 2011</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Q3 2012</w:t>
            </w:r>
          </w:p>
        </w:tc>
        <w:tc>
          <w:tcPr>
            <w:tcW w:w="1314"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Q3 2013</w:t>
            </w:r>
          </w:p>
        </w:tc>
        <w:tc>
          <w:tcPr>
            <w:tcW w:w="1313"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 xml:space="preserve">% change Q3 2011 - </w:t>
            </w:r>
            <w:r>
              <w:rPr>
                <w:rFonts w:cs="Arial"/>
                <w:b/>
                <w:bCs/>
                <w:color w:val="FFFFFF"/>
                <w:sz w:val="18"/>
                <w:szCs w:val="18"/>
                <w:lang w:eastAsia="en-AU"/>
              </w:rPr>
              <w:br/>
            </w:r>
            <w:r w:rsidRPr="0057254A">
              <w:rPr>
                <w:rFonts w:cs="Arial"/>
                <w:b/>
                <w:bCs/>
                <w:color w:val="FFFFFF"/>
                <w:sz w:val="18"/>
                <w:szCs w:val="18"/>
                <w:lang w:eastAsia="en-AU"/>
              </w:rPr>
              <w:t>Q3 2013</w:t>
            </w:r>
          </w:p>
        </w:tc>
        <w:tc>
          <w:tcPr>
            <w:tcW w:w="1268" w:type="dxa"/>
            <w:tcBorders>
              <w:top w:val="single" w:sz="4" w:space="0" w:color="5E8A00"/>
              <w:left w:val="nil"/>
              <w:bottom w:val="single" w:sz="4" w:space="0" w:color="5E8A00"/>
              <w:right w:val="single" w:sz="4" w:space="0" w:color="5E8A00"/>
            </w:tcBorders>
            <w:shd w:val="clear" w:color="000000" w:fill="5E8A00"/>
            <w:vAlign w:val="center"/>
            <w:hideMark/>
          </w:tcPr>
          <w:p w:rsidR="002D2B4D" w:rsidRPr="0057254A" w:rsidRDefault="002D2B4D" w:rsidP="002D2B4D">
            <w:pPr>
              <w:spacing w:after="0" w:line="240" w:lineRule="auto"/>
              <w:ind w:firstLineChars="100" w:firstLine="181"/>
              <w:jc w:val="right"/>
              <w:rPr>
                <w:rFonts w:cs="Arial"/>
                <w:b/>
                <w:bCs/>
                <w:color w:val="FFFFFF"/>
                <w:sz w:val="18"/>
                <w:szCs w:val="18"/>
                <w:lang w:eastAsia="en-AU"/>
              </w:rPr>
            </w:pPr>
            <w:r w:rsidRPr="0057254A">
              <w:rPr>
                <w:rFonts w:cs="Arial"/>
                <w:b/>
                <w:bCs/>
                <w:color w:val="FFFFFF"/>
                <w:sz w:val="18"/>
                <w:szCs w:val="18"/>
                <w:lang w:eastAsia="en-AU"/>
              </w:rPr>
              <w:t>% change Q2 2012 - Q2 2013</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CALD (LOTE)</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5,700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7,600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7,500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32%</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-3%</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Disability</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3,900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5,400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4,900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23%</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-9%</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Disengaged Youth</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2,100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3,300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2,800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34%</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-13%</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Early school leavers</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6,000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7,900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6,200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4%</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-22%</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Indigenous</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380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470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490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28%</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4%</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Males 45 to 64</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1,700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2,100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1,900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14%</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-12%</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Unemployed</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7,700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11,700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9,800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28%</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-16%</w:t>
            </w:r>
          </w:p>
        </w:tc>
      </w:tr>
      <w:tr w:rsidR="002D2B4D" w:rsidRPr="0057254A" w:rsidTr="002D2B4D">
        <w:trPr>
          <w:trHeight w:hRule="exact" w:val="284"/>
        </w:trPr>
        <w:tc>
          <w:tcPr>
            <w:tcW w:w="2273" w:type="dxa"/>
            <w:tcBorders>
              <w:top w:val="nil"/>
              <w:left w:val="single" w:sz="4" w:space="0" w:color="5E8A00"/>
              <w:bottom w:val="single" w:sz="4" w:space="0" w:color="5E8A00"/>
              <w:right w:val="single" w:sz="4" w:space="0" w:color="5E8A00"/>
            </w:tcBorders>
            <w:shd w:val="clear" w:color="000000" w:fill="FFFFFF"/>
            <w:noWrap/>
            <w:vAlign w:val="bottom"/>
            <w:hideMark/>
          </w:tcPr>
          <w:p w:rsidR="002D2B4D" w:rsidRPr="0057254A" w:rsidRDefault="002D2B4D" w:rsidP="002D2B4D">
            <w:pPr>
              <w:spacing w:after="0" w:line="240" w:lineRule="auto"/>
              <w:jc w:val="left"/>
              <w:rPr>
                <w:rFonts w:cs="Arial"/>
                <w:color w:val="3E5B00"/>
                <w:sz w:val="18"/>
                <w:szCs w:val="18"/>
                <w:lang w:eastAsia="en-AU"/>
              </w:rPr>
            </w:pPr>
            <w:r w:rsidRPr="0057254A">
              <w:rPr>
                <w:rFonts w:cs="Arial"/>
                <w:color w:val="3E5B00"/>
                <w:sz w:val="18"/>
                <w:szCs w:val="18"/>
                <w:lang w:eastAsia="en-AU"/>
              </w:rPr>
              <w:t>Vulnerable workers</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4,800 </w:t>
            </w:r>
          </w:p>
        </w:tc>
        <w:tc>
          <w:tcPr>
            <w:tcW w:w="1313"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6,300 </w:t>
            </w:r>
          </w:p>
        </w:tc>
        <w:tc>
          <w:tcPr>
            <w:tcW w:w="1314" w:type="dxa"/>
            <w:tcBorders>
              <w:top w:val="nil"/>
              <w:left w:val="nil"/>
              <w:bottom w:val="single" w:sz="4" w:space="0" w:color="5E8A00"/>
              <w:right w:val="single" w:sz="4" w:space="0" w:color="5E8A00"/>
            </w:tcBorders>
            <w:shd w:val="clear" w:color="auto" w:fill="auto"/>
            <w:noWrap/>
            <w:vAlign w:val="bottom"/>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 xml:space="preserve">6,400 </w:t>
            </w:r>
          </w:p>
        </w:tc>
        <w:tc>
          <w:tcPr>
            <w:tcW w:w="1313"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34%</w:t>
            </w:r>
          </w:p>
        </w:tc>
        <w:tc>
          <w:tcPr>
            <w:tcW w:w="1268" w:type="dxa"/>
            <w:tcBorders>
              <w:top w:val="nil"/>
              <w:left w:val="nil"/>
              <w:bottom w:val="single" w:sz="4" w:space="0" w:color="5E8A00"/>
              <w:right w:val="single" w:sz="4" w:space="0" w:color="5E8A00"/>
            </w:tcBorders>
            <w:shd w:val="clear" w:color="auto" w:fill="auto"/>
            <w:noWrap/>
            <w:vAlign w:val="center"/>
            <w:hideMark/>
          </w:tcPr>
          <w:p w:rsidR="002D2B4D" w:rsidRPr="0057254A" w:rsidRDefault="002D2B4D" w:rsidP="002D2B4D">
            <w:pPr>
              <w:spacing w:after="0" w:line="240" w:lineRule="auto"/>
              <w:jc w:val="right"/>
              <w:rPr>
                <w:rFonts w:cs="Arial"/>
                <w:sz w:val="18"/>
                <w:szCs w:val="18"/>
                <w:lang w:eastAsia="en-AU"/>
              </w:rPr>
            </w:pPr>
            <w:r w:rsidRPr="0057254A">
              <w:rPr>
                <w:rFonts w:cs="Arial"/>
                <w:sz w:val="18"/>
                <w:szCs w:val="18"/>
                <w:lang w:eastAsia="en-AU"/>
              </w:rPr>
              <w:t>1%</w:t>
            </w:r>
          </w:p>
        </w:tc>
      </w:tr>
    </w:tbl>
    <w:p w:rsidR="00EA724D" w:rsidRPr="001F29E3" w:rsidRDefault="00A50E11" w:rsidP="00BC23CB">
      <w:pPr>
        <w:jc w:val="left"/>
        <w:rPr>
          <w:rFonts w:cs="Arial"/>
        </w:rPr>
      </w:pPr>
      <w:r w:rsidRPr="001F29E3">
        <w:rPr>
          <w:rFonts w:cs="Arial"/>
          <w:sz w:val="16"/>
          <w:szCs w:val="16"/>
        </w:rPr>
        <w:t xml:space="preserve">Note: </w:t>
      </w:r>
      <w:r>
        <w:rPr>
          <w:rFonts w:cs="Arial"/>
          <w:sz w:val="16"/>
          <w:szCs w:val="16"/>
        </w:rPr>
        <w:t xml:space="preserve">ACFE Board Priority Learner categories </w:t>
      </w:r>
      <w:r w:rsidRPr="001F29E3">
        <w:rPr>
          <w:rFonts w:cs="Arial"/>
          <w:sz w:val="16"/>
          <w:szCs w:val="16"/>
        </w:rPr>
        <w:t>are not mutually exclusive.</w:t>
      </w:r>
      <w:r w:rsidR="00FA4989">
        <w:rPr>
          <w:rFonts w:cs="Arial"/>
          <w:sz w:val="16"/>
          <w:szCs w:val="16"/>
        </w:rPr>
        <w:t xml:space="preserve"> </w:t>
      </w:r>
      <w:r w:rsidR="00FA4989" w:rsidRPr="00150CC4">
        <w:rPr>
          <w:rFonts w:cs="Arial"/>
          <w:sz w:val="16"/>
          <w:szCs w:val="16"/>
        </w:rPr>
        <w:t xml:space="preserve">Detail on these categories is available at: </w:t>
      </w:r>
      <w:hyperlink r:id="rId34" w:history="1">
        <w:r w:rsidR="00FA4989" w:rsidRPr="00150CC4">
          <w:rPr>
            <w:rStyle w:val="Hyperlink"/>
            <w:rFonts w:cs="Arial"/>
            <w:sz w:val="16"/>
            <w:szCs w:val="16"/>
          </w:rPr>
          <w:t>www.education.vic.gov.au/Documents/about/research/acfepublications/hardtoreachlearn.pdf</w:t>
        </w:r>
      </w:hyperlink>
    </w:p>
    <w:p w:rsidR="00483582" w:rsidRPr="001F29E3" w:rsidRDefault="00483582">
      <w:pPr>
        <w:spacing w:after="0" w:line="240" w:lineRule="auto"/>
        <w:jc w:val="left"/>
        <w:rPr>
          <w:rFonts w:cs="Arial"/>
          <w:color w:val="76923C" w:themeColor="accent3" w:themeShade="BF"/>
          <w:spacing w:val="-12"/>
          <w:sz w:val="46"/>
          <w:szCs w:val="46"/>
        </w:rPr>
      </w:pPr>
      <w:bookmarkStart w:id="61" w:name="_Toc346793030"/>
      <w:bookmarkStart w:id="62" w:name="_Ref350270885"/>
      <w:bookmarkStart w:id="63" w:name="_Ref350270891"/>
      <w:bookmarkStart w:id="64" w:name="_Ref350271465"/>
      <w:bookmarkStart w:id="65" w:name="_Ref350271472"/>
      <w:bookmarkStart w:id="66" w:name="_Ref350272597"/>
      <w:bookmarkStart w:id="67" w:name="_Ref350272601"/>
      <w:bookmarkStart w:id="68" w:name="_Toc322454245"/>
      <w:bookmarkStart w:id="69" w:name="_Toc316542835"/>
      <w:bookmarkStart w:id="70" w:name="_Toc316629596"/>
      <w:bookmarkStart w:id="71" w:name="_Toc317173958"/>
      <w:bookmarkEnd w:id="55"/>
      <w:bookmarkEnd w:id="56"/>
      <w:r w:rsidRPr="001F29E3">
        <w:rPr>
          <w:rFonts w:cs="Arial"/>
        </w:rPr>
        <w:br w:type="page"/>
      </w:r>
    </w:p>
    <w:p w:rsidR="00A43F0B" w:rsidRDefault="00B66680" w:rsidP="004970EB">
      <w:pPr>
        <w:pStyle w:val="Heading1"/>
      </w:pPr>
      <w:bookmarkStart w:id="72" w:name="_Toc372613430"/>
      <w:bookmarkStart w:id="73" w:name="_Ref350272660"/>
      <w:bookmarkStart w:id="74" w:name="_Ref350272515"/>
      <w:bookmarkStart w:id="75" w:name="_Ref350272506"/>
      <w:bookmarkStart w:id="76" w:name="_Ref350272253"/>
      <w:bookmarkStart w:id="77" w:name="_Ref350272247"/>
      <w:bookmarkStart w:id="78" w:name="_Toc349899150"/>
      <w:r>
        <w:lastRenderedPageBreak/>
        <w:t>Learners Facing Barriers to P</w:t>
      </w:r>
      <w:r w:rsidR="00A43F0B" w:rsidRPr="00A43F0B">
        <w:t>articipation</w:t>
      </w:r>
      <w:bookmarkEnd w:id="72"/>
    </w:p>
    <w:p w:rsidR="00D67B5E" w:rsidRPr="001F29E3" w:rsidRDefault="00D67B5E" w:rsidP="00D67B5E">
      <w:pPr>
        <w:pStyle w:val="Heading2"/>
      </w:pPr>
      <w:bookmarkStart w:id="79" w:name="_Toc372613431"/>
      <w:r w:rsidRPr="001F29E3">
        <w:t xml:space="preserve">Vocational Training Delivery </w:t>
      </w:r>
      <w:r>
        <w:t xml:space="preserve">to </w:t>
      </w:r>
      <w:r w:rsidRPr="001F29E3">
        <w:t>Learner</w:t>
      </w:r>
      <w:r>
        <w:t xml:space="preserve"> Cohorts</w:t>
      </w:r>
      <w:r w:rsidR="002C640A">
        <w:t xml:space="preserve"> Facing Barriers</w:t>
      </w:r>
      <w:bookmarkEnd w:id="79"/>
    </w:p>
    <w:p w:rsidR="00D67B5E" w:rsidRPr="002F07A2" w:rsidRDefault="00D67B5E" w:rsidP="00D67B5E">
      <w:pPr>
        <w:rPr>
          <w:rFonts w:cs="Arial"/>
        </w:rPr>
      </w:pPr>
      <w:r>
        <w:rPr>
          <w:rFonts w:cs="Arial"/>
        </w:rPr>
        <w:t xml:space="preserve">Young people </w:t>
      </w:r>
      <w:r w:rsidRPr="001F29E3">
        <w:rPr>
          <w:rFonts w:cs="Arial"/>
        </w:rPr>
        <w:t xml:space="preserve">and adult learners </w:t>
      </w:r>
      <w:r>
        <w:rPr>
          <w:rFonts w:cs="Arial"/>
        </w:rPr>
        <w:t xml:space="preserve">who may be </w:t>
      </w:r>
      <w:r w:rsidRPr="001F29E3">
        <w:rPr>
          <w:rFonts w:cs="Arial"/>
        </w:rPr>
        <w:t xml:space="preserve">members of more than one equity group, can have complex and multiple learning needs, and </w:t>
      </w:r>
      <w:r>
        <w:rPr>
          <w:rFonts w:cs="Arial"/>
        </w:rPr>
        <w:t xml:space="preserve">may </w:t>
      </w:r>
      <w:r w:rsidRPr="001F29E3">
        <w:rPr>
          <w:rFonts w:cs="Arial"/>
        </w:rPr>
        <w:t xml:space="preserve">have contact with a suite of </w:t>
      </w:r>
      <w:r>
        <w:rPr>
          <w:rFonts w:cs="Arial"/>
        </w:rPr>
        <w:t xml:space="preserve">government </w:t>
      </w:r>
      <w:r w:rsidRPr="001F29E3">
        <w:rPr>
          <w:rFonts w:cs="Arial"/>
        </w:rPr>
        <w:t xml:space="preserve">services and programs. There is a significant evidence base that demonstrates the value and importance of education and training to these population cohorts. However, higher needs learners may face a combination of barriers to effective engagement in education and training including low levels of previous educational achievement, low aspirations, and poor access to training and broader barriers such as poverty, homelessness and poor </w:t>
      </w:r>
      <w:r w:rsidRPr="002F07A2">
        <w:rPr>
          <w:rFonts w:cs="Arial"/>
        </w:rPr>
        <w:t xml:space="preserve">health. </w:t>
      </w:r>
    </w:p>
    <w:p w:rsidR="00D67B5E" w:rsidRPr="002F07A2" w:rsidRDefault="00D67B5E" w:rsidP="00D67B5E">
      <w:pPr>
        <w:rPr>
          <w:rFonts w:cs="Arial"/>
        </w:rPr>
      </w:pPr>
      <w:r w:rsidRPr="002F07A2">
        <w:rPr>
          <w:rFonts w:cs="Arial"/>
        </w:rPr>
        <w:t>V</w:t>
      </w:r>
      <w:r w:rsidRPr="002F07A2">
        <w:rPr>
          <w:rFonts w:cs="Arial"/>
          <w:color w:val="000000"/>
        </w:rPr>
        <w:t>ocational training</w:t>
      </w:r>
      <w:r w:rsidRPr="002F07A2">
        <w:rPr>
          <w:rFonts w:cs="Arial"/>
        </w:rPr>
        <w:t xml:space="preserve"> has continued to be a critical enabler in opening</w:t>
      </w:r>
      <w:r w:rsidRPr="002F07A2">
        <w:rPr>
          <w:rFonts w:cs="Arial"/>
          <w:color w:val="FF0000"/>
        </w:rPr>
        <w:t xml:space="preserve"> </w:t>
      </w:r>
      <w:r w:rsidRPr="002F07A2">
        <w:rPr>
          <w:rFonts w:cs="Arial"/>
        </w:rPr>
        <w:t>up</w:t>
      </w:r>
      <w:r w:rsidRPr="002F07A2">
        <w:rPr>
          <w:rFonts w:cs="Arial"/>
          <w:color w:val="FF0000"/>
        </w:rPr>
        <w:t xml:space="preserve"> </w:t>
      </w:r>
      <w:r w:rsidRPr="002F07A2">
        <w:rPr>
          <w:rFonts w:cs="Arial"/>
        </w:rPr>
        <w:t xml:space="preserve">pathways for higher needs and disadvantaged learners through the provision of tailored, individualised services, often in partnership with other service providers. </w:t>
      </w:r>
    </w:p>
    <w:p w:rsidR="00D67B5E" w:rsidRPr="002F07A2" w:rsidRDefault="00D67B5E" w:rsidP="00D67B5E"/>
    <w:p w:rsidR="00D67B5E" w:rsidRPr="002F07A2" w:rsidRDefault="005654CD" w:rsidP="00D67B5E">
      <w:pPr>
        <w:pStyle w:val="Caption"/>
        <w:spacing w:after="0"/>
        <w:jc w:val="left"/>
        <w:rPr>
          <w:rFonts w:cs="Arial"/>
        </w:rPr>
      </w:pPr>
      <w:r w:rsidRPr="002F07A2">
        <w:rPr>
          <w:rFonts w:cs="Arial"/>
        </w:rPr>
        <w:t>Table 2</w:t>
      </w:r>
      <w:r w:rsidR="00D67B5E" w:rsidRPr="002F07A2">
        <w:rPr>
          <w:rFonts w:cs="Arial"/>
        </w:rPr>
        <w:t xml:space="preserve">.1.1: </w:t>
      </w:r>
      <w:r w:rsidR="00B3537B" w:rsidRPr="002F07A2">
        <w:rPr>
          <w:rFonts w:cs="Arial"/>
        </w:rPr>
        <w:t xml:space="preserve">Students undertaking </w:t>
      </w:r>
      <w:r w:rsidR="00D67B5E" w:rsidRPr="002F07A2">
        <w:rPr>
          <w:rFonts w:cs="Arial"/>
        </w:rPr>
        <w:t xml:space="preserve">Government subsidised </w:t>
      </w:r>
      <w:r w:rsidR="00B3537B" w:rsidRPr="002F07A2">
        <w:rPr>
          <w:rFonts w:cs="Arial"/>
        </w:rPr>
        <w:t>training</w:t>
      </w:r>
      <w:r w:rsidR="00D67B5E" w:rsidRPr="002F07A2">
        <w:rPr>
          <w:rFonts w:cs="Arial"/>
        </w:rPr>
        <w:t xml:space="preserve"> by selected learner cohort*, 2008 – 2012</w:t>
      </w:r>
    </w:p>
    <w:tbl>
      <w:tblPr>
        <w:tblW w:w="9080" w:type="dxa"/>
        <w:tblInd w:w="108" w:type="dxa"/>
        <w:tblLayout w:type="fixed"/>
        <w:tblLook w:val="04A0" w:firstRow="1" w:lastRow="0" w:firstColumn="1" w:lastColumn="0" w:noHBand="0" w:noVBand="1"/>
      </w:tblPr>
      <w:tblGrid>
        <w:gridCol w:w="2552"/>
        <w:gridCol w:w="1088"/>
        <w:gridCol w:w="1088"/>
        <w:gridCol w:w="1088"/>
        <w:gridCol w:w="1088"/>
        <w:gridCol w:w="1088"/>
        <w:gridCol w:w="1088"/>
      </w:tblGrid>
      <w:tr w:rsidR="00D67B5E" w:rsidRPr="002F07A2" w:rsidTr="00AE6353">
        <w:trPr>
          <w:trHeight w:val="675"/>
        </w:trPr>
        <w:tc>
          <w:tcPr>
            <w:tcW w:w="2552" w:type="dxa"/>
            <w:tcBorders>
              <w:top w:val="single" w:sz="4" w:space="0" w:color="5E8A00"/>
              <w:left w:val="single" w:sz="4" w:space="0" w:color="5E8A00"/>
              <w:bottom w:val="single" w:sz="4" w:space="0" w:color="5E8A00"/>
            </w:tcBorders>
            <w:shd w:val="clear" w:color="000000" w:fill="5E8A00"/>
            <w:noWrap/>
            <w:vAlign w:val="center"/>
            <w:hideMark/>
          </w:tcPr>
          <w:p w:rsidR="00D67B5E" w:rsidRPr="002F07A2" w:rsidRDefault="00D67B5E" w:rsidP="00F034AF">
            <w:pPr>
              <w:spacing w:after="0" w:line="240" w:lineRule="auto"/>
              <w:ind w:firstLineChars="100" w:firstLine="181"/>
              <w:jc w:val="left"/>
              <w:rPr>
                <w:rFonts w:cs="Arial"/>
                <w:b/>
                <w:bCs/>
                <w:color w:val="FFFFFF"/>
                <w:sz w:val="18"/>
                <w:szCs w:val="18"/>
                <w:lang w:eastAsia="en-AU"/>
              </w:rPr>
            </w:pPr>
            <w:r w:rsidRPr="002F07A2">
              <w:rPr>
                <w:rFonts w:cs="Arial"/>
                <w:b/>
                <w:bCs/>
                <w:color w:val="FFFFFF"/>
                <w:sz w:val="18"/>
                <w:szCs w:val="18"/>
                <w:lang w:eastAsia="en-AU"/>
              </w:rPr>
              <w:t> </w:t>
            </w:r>
          </w:p>
        </w:tc>
        <w:tc>
          <w:tcPr>
            <w:tcW w:w="1088" w:type="dxa"/>
            <w:tcBorders>
              <w:top w:val="single" w:sz="4" w:space="0" w:color="5E8A00"/>
              <w:bottom w:val="single" w:sz="4" w:space="0" w:color="5E8A00"/>
            </w:tcBorders>
            <w:shd w:val="clear" w:color="000000" w:fill="5E8A00"/>
            <w:vAlign w:val="center"/>
            <w:hideMark/>
          </w:tcPr>
          <w:p w:rsidR="00D67B5E" w:rsidRPr="002F07A2" w:rsidRDefault="00D67B5E" w:rsidP="00F034AF">
            <w:pPr>
              <w:spacing w:after="0" w:line="240" w:lineRule="auto"/>
              <w:ind w:firstLineChars="100" w:firstLine="181"/>
              <w:jc w:val="right"/>
              <w:rPr>
                <w:rFonts w:cs="Arial"/>
                <w:b/>
                <w:bCs/>
                <w:color w:val="FFFFFF"/>
                <w:sz w:val="18"/>
                <w:szCs w:val="18"/>
                <w:lang w:eastAsia="en-AU"/>
              </w:rPr>
            </w:pPr>
            <w:r w:rsidRPr="002F07A2">
              <w:rPr>
                <w:rFonts w:cs="Arial"/>
                <w:b/>
                <w:bCs/>
                <w:color w:val="FFFFFF"/>
                <w:sz w:val="18"/>
                <w:szCs w:val="18"/>
                <w:lang w:eastAsia="en-AU"/>
              </w:rPr>
              <w:t>2008</w:t>
            </w:r>
          </w:p>
        </w:tc>
        <w:tc>
          <w:tcPr>
            <w:tcW w:w="1088" w:type="dxa"/>
            <w:tcBorders>
              <w:top w:val="single" w:sz="4" w:space="0" w:color="5E8A00"/>
              <w:bottom w:val="single" w:sz="4" w:space="0" w:color="5E8A00"/>
            </w:tcBorders>
            <w:shd w:val="clear" w:color="000000" w:fill="5E8A00"/>
            <w:vAlign w:val="center"/>
            <w:hideMark/>
          </w:tcPr>
          <w:p w:rsidR="00D67B5E" w:rsidRPr="002F07A2" w:rsidRDefault="00D67B5E" w:rsidP="00F034AF">
            <w:pPr>
              <w:spacing w:after="0" w:line="240" w:lineRule="auto"/>
              <w:ind w:firstLineChars="100" w:firstLine="181"/>
              <w:jc w:val="right"/>
              <w:rPr>
                <w:rFonts w:cs="Arial"/>
                <w:b/>
                <w:bCs/>
                <w:color w:val="FFFFFF"/>
                <w:sz w:val="18"/>
                <w:szCs w:val="18"/>
                <w:lang w:eastAsia="en-AU"/>
              </w:rPr>
            </w:pPr>
            <w:r w:rsidRPr="002F07A2">
              <w:rPr>
                <w:rFonts w:cs="Arial"/>
                <w:b/>
                <w:bCs/>
                <w:color w:val="FFFFFF"/>
                <w:sz w:val="18"/>
                <w:szCs w:val="18"/>
                <w:lang w:eastAsia="en-AU"/>
              </w:rPr>
              <w:t>2009</w:t>
            </w:r>
          </w:p>
        </w:tc>
        <w:tc>
          <w:tcPr>
            <w:tcW w:w="1088" w:type="dxa"/>
            <w:tcBorders>
              <w:top w:val="single" w:sz="4" w:space="0" w:color="5E8A00"/>
              <w:bottom w:val="single" w:sz="4" w:space="0" w:color="5E8A00"/>
            </w:tcBorders>
            <w:shd w:val="clear" w:color="000000" w:fill="5E8A00"/>
            <w:vAlign w:val="center"/>
            <w:hideMark/>
          </w:tcPr>
          <w:p w:rsidR="00D67B5E" w:rsidRPr="002F07A2" w:rsidRDefault="00D67B5E" w:rsidP="00F034AF">
            <w:pPr>
              <w:spacing w:after="0" w:line="240" w:lineRule="auto"/>
              <w:ind w:firstLineChars="100" w:firstLine="181"/>
              <w:jc w:val="right"/>
              <w:rPr>
                <w:rFonts w:cs="Arial"/>
                <w:b/>
                <w:bCs/>
                <w:color w:val="FFFFFF"/>
                <w:sz w:val="18"/>
                <w:szCs w:val="18"/>
                <w:lang w:eastAsia="en-AU"/>
              </w:rPr>
            </w:pPr>
            <w:r w:rsidRPr="002F07A2">
              <w:rPr>
                <w:rFonts w:cs="Arial"/>
                <w:b/>
                <w:bCs/>
                <w:color w:val="FFFFFF"/>
                <w:sz w:val="18"/>
                <w:szCs w:val="18"/>
                <w:lang w:eastAsia="en-AU"/>
              </w:rPr>
              <w:t>2010</w:t>
            </w:r>
          </w:p>
        </w:tc>
        <w:tc>
          <w:tcPr>
            <w:tcW w:w="1088" w:type="dxa"/>
            <w:tcBorders>
              <w:top w:val="single" w:sz="4" w:space="0" w:color="5E8A00"/>
              <w:bottom w:val="single" w:sz="4" w:space="0" w:color="5E8A00"/>
            </w:tcBorders>
            <w:shd w:val="clear" w:color="000000" w:fill="5E8A00"/>
            <w:vAlign w:val="center"/>
            <w:hideMark/>
          </w:tcPr>
          <w:p w:rsidR="00D67B5E" w:rsidRPr="002F07A2" w:rsidRDefault="00D67B5E" w:rsidP="00F034AF">
            <w:pPr>
              <w:spacing w:after="0" w:line="240" w:lineRule="auto"/>
              <w:ind w:firstLineChars="100" w:firstLine="181"/>
              <w:jc w:val="right"/>
              <w:rPr>
                <w:rFonts w:cs="Arial"/>
                <w:b/>
                <w:bCs/>
                <w:color w:val="FFFFFF"/>
                <w:sz w:val="18"/>
                <w:szCs w:val="18"/>
                <w:lang w:eastAsia="en-AU"/>
              </w:rPr>
            </w:pPr>
            <w:r w:rsidRPr="002F07A2">
              <w:rPr>
                <w:rFonts w:cs="Arial"/>
                <w:b/>
                <w:bCs/>
                <w:color w:val="FFFFFF"/>
                <w:sz w:val="18"/>
                <w:szCs w:val="18"/>
                <w:lang w:eastAsia="en-AU"/>
              </w:rPr>
              <w:t>2011</w:t>
            </w:r>
          </w:p>
        </w:tc>
        <w:tc>
          <w:tcPr>
            <w:tcW w:w="1088" w:type="dxa"/>
            <w:tcBorders>
              <w:top w:val="single" w:sz="4" w:space="0" w:color="5E8A00"/>
              <w:bottom w:val="single" w:sz="4" w:space="0" w:color="5E8A00"/>
            </w:tcBorders>
            <w:shd w:val="clear" w:color="000000" w:fill="5E8A00"/>
            <w:vAlign w:val="center"/>
            <w:hideMark/>
          </w:tcPr>
          <w:p w:rsidR="00D67B5E" w:rsidRPr="002F07A2" w:rsidRDefault="00D67B5E" w:rsidP="00F034AF">
            <w:pPr>
              <w:spacing w:after="0" w:line="240" w:lineRule="auto"/>
              <w:ind w:firstLineChars="100" w:firstLine="181"/>
              <w:jc w:val="right"/>
              <w:rPr>
                <w:rFonts w:cs="Arial"/>
                <w:b/>
                <w:bCs/>
                <w:color w:val="FFFFFF"/>
                <w:sz w:val="18"/>
                <w:szCs w:val="18"/>
                <w:lang w:eastAsia="en-AU"/>
              </w:rPr>
            </w:pPr>
            <w:r w:rsidRPr="002F07A2">
              <w:rPr>
                <w:rFonts w:cs="Arial"/>
                <w:b/>
                <w:bCs/>
                <w:color w:val="FFFFFF"/>
                <w:sz w:val="18"/>
                <w:szCs w:val="18"/>
                <w:lang w:eastAsia="en-AU"/>
              </w:rPr>
              <w:t>2012</w:t>
            </w:r>
          </w:p>
        </w:tc>
        <w:tc>
          <w:tcPr>
            <w:tcW w:w="1088" w:type="dxa"/>
            <w:tcBorders>
              <w:top w:val="single" w:sz="4" w:space="0" w:color="5E8A00"/>
              <w:bottom w:val="single" w:sz="4" w:space="0" w:color="5E8A00"/>
              <w:right w:val="nil"/>
            </w:tcBorders>
            <w:shd w:val="clear" w:color="000000" w:fill="5E8A00"/>
            <w:vAlign w:val="center"/>
            <w:hideMark/>
          </w:tcPr>
          <w:p w:rsidR="00D67B5E" w:rsidRPr="002F07A2" w:rsidRDefault="00D67B5E" w:rsidP="0051046D">
            <w:pPr>
              <w:spacing w:after="0" w:line="240" w:lineRule="auto"/>
              <w:jc w:val="center"/>
              <w:rPr>
                <w:rFonts w:cs="Arial"/>
                <w:b/>
                <w:bCs/>
                <w:color w:val="FFFFFF"/>
                <w:sz w:val="18"/>
                <w:szCs w:val="18"/>
                <w:lang w:eastAsia="en-AU"/>
              </w:rPr>
            </w:pPr>
            <w:r w:rsidRPr="002F07A2">
              <w:rPr>
                <w:rFonts w:cs="Arial"/>
                <w:b/>
                <w:bCs/>
                <w:color w:val="FFFFFF"/>
                <w:sz w:val="18"/>
                <w:szCs w:val="18"/>
                <w:lang w:eastAsia="en-AU"/>
              </w:rPr>
              <w:t>% change</w:t>
            </w:r>
            <w:r w:rsidRPr="002F07A2">
              <w:rPr>
                <w:rFonts w:cs="Arial"/>
                <w:b/>
                <w:bCs/>
                <w:color w:val="FFFFFF"/>
                <w:sz w:val="18"/>
                <w:szCs w:val="18"/>
                <w:lang w:eastAsia="en-AU"/>
              </w:rPr>
              <w:br/>
              <w:t>2008-2012</w:t>
            </w:r>
          </w:p>
        </w:tc>
      </w:tr>
      <w:tr w:rsidR="00D67B5E"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Indigenous</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4,400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4,300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4,800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5,600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6,200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42%</w:t>
            </w:r>
          </w:p>
        </w:tc>
      </w:tr>
      <w:tr w:rsidR="00D67B5E"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Students with a disability</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23,900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23,600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27,200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34,100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40,300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68%</w:t>
            </w:r>
          </w:p>
        </w:tc>
      </w:tr>
      <w:tr w:rsidR="00D67B5E"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CALD</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58,100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62,100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70,600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97,300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126,400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117%</w:t>
            </w:r>
          </w:p>
        </w:tc>
      </w:tr>
      <w:tr w:rsidR="00D67B5E"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Unemployed</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41,800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50,200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62,500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89,300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118,500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184%</w:t>
            </w:r>
          </w:p>
        </w:tc>
      </w:tr>
      <w:tr w:rsidR="00D67B5E" w:rsidRPr="002F07A2" w:rsidTr="00AE6353">
        <w:trPr>
          <w:trHeight w:hRule="exact" w:val="680"/>
        </w:trPr>
        <w:tc>
          <w:tcPr>
            <w:tcW w:w="2552" w:type="dxa"/>
            <w:tcBorders>
              <w:top w:val="nil"/>
              <w:left w:val="single" w:sz="4" w:space="0" w:color="5E8A00"/>
              <w:bottom w:val="single" w:sz="4" w:space="0" w:color="5E8A00"/>
              <w:right w:val="single" w:sz="4" w:space="0" w:color="5E8A00"/>
            </w:tcBorders>
            <w:shd w:val="clear" w:color="000000" w:fill="FFFFFF"/>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Aged 15-19 without year 12, not at school and enrolled in Cert II or above</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23,100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22,600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26,300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28,900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29,500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28%</w:t>
            </w:r>
          </w:p>
        </w:tc>
      </w:tr>
      <w:tr w:rsidR="00D67B5E" w:rsidRPr="002F07A2" w:rsidTr="00AE6353">
        <w:trPr>
          <w:trHeight w:hRule="exact" w:val="454"/>
        </w:trPr>
        <w:tc>
          <w:tcPr>
            <w:tcW w:w="2552" w:type="dxa"/>
            <w:tcBorders>
              <w:top w:val="nil"/>
              <w:left w:val="single" w:sz="4" w:space="0" w:color="5E8A00"/>
              <w:bottom w:val="single" w:sz="4" w:space="0" w:color="5E8A00"/>
              <w:right w:val="single" w:sz="4" w:space="0" w:color="5E8A00"/>
            </w:tcBorders>
            <w:shd w:val="clear" w:color="000000" w:fill="FFFFFF"/>
            <w:vAlign w:val="center"/>
            <w:hideMark/>
          </w:tcPr>
          <w:p w:rsidR="00D67B5E" w:rsidRPr="002F07A2" w:rsidRDefault="00D67B5E" w:rsidP="0051046D">
            <w:pPr>
              <w:spacing w:after="0" w:line="240" w:lineRule="auto"/>
              <w:jc w:val="left"/>
              <w:rPr>
                <w:rFonts w:cs="Arial"/>
                <w:color w:val="3E5B00"/>
                <w:sz w:val="18"/>
                <w:szCs w:val="18"/>
                <w:lang w:eastAsia="en-AU"/>
              </w:rPr>
            </w:pPr>
            <w:r w:rsidRPr="002F07A2">
              <w:rPr>
                <w:rFonts w:cs="Arial"/>
                <w:color w:val="3E5B00"/>
                <w:sz w:val="18"/>
                <w:szCs w:val="18"/>
                <w:lang w:eastAsia="en-AU"/>
              </w:rPr>
              <w:t>Aged 20-64 not holding  a Cert III or above</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125,700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131,800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149,600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214,000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 xml:space="preserve">266,200 </w:t>
            </w:r>
          </w:p>
        </w:tc>
        <w:tc>
          <w:tcPr>
            <w:tcW w:w="1088" w:type="dxa"/>
            <w:tcBorders>
              <w:top w:val="nil"/>
              <w:left w:val="nil"/>
              <w:bottom w:val="single" w:sz="4" w:space="0" w:color="5E8A00"/>
              <w:right w:val="single" w:sz="4" w:space="0" w:color="5E8A00"/>
            </w:tcBorders>
            <w:shd w:val="clear" w:color="auto" w:fill="auto"/>
            <w:noWrap/>
            <w:vAlign w:val="center"/>
            <w:hideMark/>
          </w:tcPr>
          <w:p w:rsidR="00D67B5E" w:rsidRPr="002F07A2" w:rsidRDefault="00D67B5E" w:rsidP="0051046D">
            <w:pPr>
              <w:spacing w:after="0" w:line="240" w:lineRule="auto"/>
              <w:jc w:val="right"/>
              <w:rPr>
                <w:rFonts w:cs="Arial"/>
                <w:sz w:val="18"/>
                <w:szCs w:val="18"/>
                <w:lang w:eastAsia="en-AU"/>
              </w:rPr>
            </w:pPr>
            <w:r w:rsidRPr="002F07A2">
              <w:rPr>
                <w:rFonts w:cs="Arial"/>
                <w:sz w:val="18"/>
                <w:szCs w:val="18"/>
                <w:lang w:eastAsia="en-AU"/>
              </w:rPr>
              <w:t>112%</w:t>
            </w:r>
          </w:p>
        </w:tc>
      </w:tr>
    </w:tbl>
    <w:p w:rsidR="00D67B5E" w:rsidRPr="002F07A2" w:rsidRDefault="00D67B5E" w:rsidP="00D67B5E">
      <w:pPr>
        <w:rPr>
          <w:rFonts w:cs="Arial"/>
          <w:sz w:val="16"/>
          <w:szCs w:val="16"/>
        </w:rPr>
      </w:pPr>
      <w:r w:rsidRPr="002F07A2">
        <w:rPr>
          <w:rFonts w:cs="Arial"/>
          <w:sz w:val="16"/>
          <w:szCs w:val="16"/>
        </w:rPr>
        <w:t xml:space="preserve">*The above cohorts of students are not mutually exclusive. </w:t>
      </w:r>
    </w:p>
    <w:p w:rsidR="00D67B5E" w:rsidRPr="002F07A2" w:rsidRDefault="00D67B5E" w:rsidP="00D67B5E">
      <w:pPr>
        <w:pStyle w:val="Caption"/>
        <w:jc w:val="left"/>
        <w:rPr>
          <w:rFonts w:cs="Arial"/>
        </w:rPr>
      </w:pPr>
    </w:p>
    <w:p w:rsidR="00D67B5E" w:rsidRPr="002F07A2" w:rsidRDefault="005654CD" w:rsidP="00D67B5E">
      <w:pPr>
        <w:pStyle w:val="Caption"/>
        <w:spacing w:after="0"/>
        <w:jc w:val="left"/>
        <w:rPr>
          <w:rFonts w:cs="Arial"/>
        </w:rPr>
      </w:pPr>
      <w:r w:rsidRPr="002F07A2">
        <w:rPr>
          <w:rFonts w:cs="Arial"/>
        </w:rPr>
        <w:t>Table 2</w:t>
      </w:r>
      <w:r w:rsidR="00D67B5E" w:rsidRPr="002F07A2">
        <w:rPr>
          <w:rFonts w:cs="Arial"/>
        </w:rPr>
        <w:t xml:space="preserve">.1.2: </w:t>
      </w:r>
      <w:r w:rsidR="00B3537B" w:rsidRPr="002F07A2">
        <w:rPr>
          <w:rFonts w:cs="Arial"/>
        </w:rPr>
        <w:t xml:space="preserve">Students undertaking </w:t>
      </w:r>
      <w:r w:rsidR="00D67B5E" w:rsidRPr="002F07A2">
        <w:rPr>
          <w:rFonts w:cs="Arial"/>
        </w:rPr>
        <w:t xml:space="preserve">Government subsidised </w:t>
      </w:r>
      <w:r w:rsidR="00B3537B" w:rsidRPr="002F07A2">
        <w:rPr>
          <w:rFonts w:cs="Arial"/>
        </w:rPr>
        <w:t xml:space="preserve">training </w:t>
      </w:r>
      <w:r w:rsidR="00D67B5E" w:rsidRPr="002F07A2">
        <w:rPr>
          <w:rFonts w:cs="Arial"/>
        </w:rPr>
        <w:t>by selected learner cohort*, Q</w:t>
      </w:r>
      <w:r w:rsidR="00CF0797" w:rsidRPr="002F07A2">
        <w:rPr>
          <w:rFonts w:cs="Arial"/>
        </w:rPr>
        <w:t>3</w:t>
      </w:r>
      <w:r w:rsidR="00D67B5E" w:rsidRPr="002F07A2">
        <w:rPr>
          <w:rFonts w:cs="Arial"/>
        </w:rPr>
        <w:t xml:space="preserve"> 2011, Q</w:t>
      </w:r>
      <w:r w:rsidR="00CF0797" w:rsidRPr="002F07A2">
        <w:rPr>
          <w:rFonts w:cs="Arial"/>
        </w:rPr>
        <w:t>3</w:t>
      </w:r>
      <w:r w:rsidR="00D67B5E" w:rsidRPr="002F07A2">
        <w:rPr>
          <w:rFonts w:cs="Arial"/>
        </w:rPr>
        <w:t xml:space="preserve"> 2012 and Q</w:t>
      </w:r>
      <w:r w:rsidR="00CF0797" w:rsidRPr="002F07A2">
        <w:rPr>
          <w:rFonts w:cs="Arial"/>
        </w:rPr>
        <w:t>3</w:t>
      </w:r>
      <w:r w:rsidR="00D67B5E" w:rsidRPr="002F07A2">
        <w:rPr>
          <w:rFonts w:cs="Arial"/>
        </w:rPr>
        <w:t xml:space="preserve"> 2013</w:t>
      </w:r>
    </w:p>
    <w:tbl>
      <w:tblPr>
        <w:tblW w:w="8580" w:type="dxa"/>
        <w:tblInd w:w="108" w:type="dxa"/>
        <w:tblLayout w:type="fixed"/>
        <w:tblLook w:val="04A0" w:firstRow="1" w:lastRow="0" w:firstColumn="1" w:lastColumn="0" w:noHBand="0" w:noVBand="1"/>
      </w:tblPr>
      <w:tblGrid>
        <w:gridCol w:w="2552"/>
        <w:gridCol w:w="1205"/>
        <w:gridCol w:w="1206"/>
        <w:gridCol w:w="1205"/>
        <w:gridCol w:w="1206"/>
        <w:gridCol w:w="1206"/>
      </w:tblGrid>
      <w:tr w:rsidR="00AE6353" w:rsidRPr="002F07A2" w:rsidTr="00AE6353">
        <w:trPr>
          <w:trHeight w:hRule="exact" w:val="760"/>
        </w:trPr>
        <w:tc>
          <w:tcPr>
            <w:tcW w:w="255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AE6353" w:rsidRPr="002F07A2" w:rsidRDefault="00AE6353" w:rsidP="00AE6353">
            <w:pPr>
              <w:spacing w:after="0" w:line="240" w:lineRule="auto"/>
              <w:ind w:firstLineChars="100" w:firstLine="181"/>
              <w:jc w:val="left"/>
              <w:rPr>
                <w:rFonts w:cs="Arial"/>
                <w:b/>
                <w:bCs/>
                <w:color w:val="FFFFFF"/>
                <w:sz w:val="18"/>
                <w:szCs w:val="18"/>
                <w:lang w:eastAsia="en-AU"/>
              </w:rPr>
            </w:pPr>
            <w:r w:rsidRPr="002F07A2">
              <w:rPr>
                <w:rFonts w:cs="Arial"/>
                <w:b/>
                <w:bCs/>
                <w:color w:val="FFFFFF"/>
                <w:sz w:val="18"/>
                <w:szCs w:val="18"/>
                <w:lang w:eastAsia="en-AU"/>
              </w:rPr>
              <w:t> </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AE6353" w:rsidRPr="002F07A2" w:rsidRDefault="00AE6353" w:rsidP="00AE6353">
            <w:pPr>
              <w:spacing w:after="0" w:line="240" w:lineRule="auto"/>
              <w:jc w:val="right"/>
              <w:rPr>
                <w:rFonts w:cs="Arial"/>
                <w:b/>
                <w:bCs/>
                <w:color w:val="FFFFFF"/>
                <w:sz w:val="18"/>
                <w:szCs w:val="18"/>
                <w:lang w:eastAsia="en-AU"/>
              </w:rPr>
            </w:pPr>
            <w:r w:rsidRPr="002F07A2">
              <w:rPr>
                <w:rFonts w:cs="Arial"/>
                <w:b/>
                <w:bCs/>
                <w:color w:val="FFFFFF"/>
                <w:sz w:val="18"/>
                <w:szCs w:val="18"/>
                <w:lang w:eastAsia="en-AU"/>
              </w:rPr>
              <w:t>Q3 2011</w:t>
            </w:r>
          </w:p>
        </w:tc>
        <w:tc>
          <w:tcPr>
            <w:tcW w:w="1206" w:type="dxa"/>
            <w:tcBorders>
              <w:top w:val="single" w:sz="4" w:space="0" w:color="5E8A00"/>
              <w:left w:val="nil"/>
              <w:bottom w:val="single" w:sz="4" w:space="0" w:color="5E8A00"/>
              <w:right w:val="single" w:sz="4" w:space="0" w:color="5E8A00"/>
            </w:tcBorders>
            <w:shd w:val="clear" w:color="000000" w:fill="5E8A00"/>
            <w:vAlign w:val="center"/>
            <w:hideMark/>
          </w:tcPr>
          <w:p w:rsidR="00AE6353" w:rsidRPr="002F07A2" w:rsidRDefault="00AE6353" w:rsidP="00AE6353">
            <w:pPr>
              <w:spacing w:after="0" w:line="240" w:lineRule="auto"/>
              <w:jc w:val="right"/>
              <w:rPr>
                <w:rFonts w:cs="Arial"/>
                <w:b/>
                <w:bCs/>
                <w:color w:val="FFFFFF"/>
                <w:sz w:val="18"/>
                <w:szCs w:val="18"/>
                <w:lang w:eastAsia="en-AU"/>
              </w:rPr>
            </w:pPr>
            <w:r w:rsidRPr="002F07A2">
              <w:rPr>
                <w:rFonts w:cs="Arial"/>
                <w:b/>
                <w:bCs/>
                <w:color w:val="FFFFFF"/>
                <w:sz w:val="18"/>
                <w:szCs w:val="18"/>
                <w:lang w:eastAsia="en-AU"/>
              </w:rPr>
              <w:t>Q3 2012</w:t>
            </w:r>
          </w:p>
        </w:tc>
        <w:tc>
          <w:tcPr>
            <w:tcW w:w="1205" w:type="dxa"/>
            <w:tcBorders>
              <w:top w:val="single" w:sz="4" w:space="0" w:color="5E8A00"/>
              <w:left w:val="nil"/>
              <w:bottom w:val="single" w:sz="4" w:space="0" w:color="5E8A00"/>
              <w:right w:val="single" w:sz="4" w:space="0" w:color="5E8A00"/>
            </w:tcBorders>
            <w:shd w:val="clear" w:color="000000" w:fill="5E8A00"/>
            <w:vAlign w:val="center"/>
            <w:hideMark/>
          </w:tcPr>
          <w:p w:rsidR="00AE6353" w:rsidRPr="002F07A2" w:rsidRDefault="00AE6353" w:rsidP="00AE6353">
            <w:pPr>
              <w:spacing w:after="0" w:line="240" w:lineRule="auto"/>
              <w:jc w:val="right"/>
              <w:rPr>
                <w:rFonts w:cs="Arial"/>
                <w:b/>
                <w:bCs/>
                <w:color w:val="FFFFFF"/>
                <w:sz w:val="18"/>
                <w:szCs w:val="18"/>
                <w:lang w:eastAsia="en-AU"/>
              </w:rPr>
            </w:pPr>
            <w:r w:rsidRPr="002F07A2">
              <w:rPr>
                <w:rFonts w:cs="Arial"/>
                <w:b/>
                <w:bCs/>
                <w:color w:val="FFFFFF"/>
                <w:sz w:val="18"/>
                <w:szCs w:val="18"/>
                <w:lang w:eastAsia="en-AU"/>
              </w:rPr>
              <w:t>Q3 2013</w:t>
            </w:r>
          </w:p>
        </w:tc>
        <w:tc>
          <w:tcPr>
            <w:tcW w:w="1206" w:type="dxa"/>
            <w:tcBorders>
              <w:top w:val="single" w:sz="4" w:space="0" w:color="5E8A00"/>
              <w:left w:val="nil"/>
              <w:bottom w:val="single" w:sz="4" w:space="0" w:color="5E8A00"/>
              <w:right w:val="single" w:sz="4" w:space="0" w:color="5E8A00"/>
            </w:tcBorders>
            <w:shd w:val="clear" w:color="000000" w:fill="5E8A00"/>
            <w:vAlign w:val="center"/>
            <w:hideMark/>
          </w:tcPr>
          <w:p w:rsidR="00AE6353" w:rsidRPr="002F07A2" w:rsidRDefault="00AE6353" w:rsidP="00AE6353">
            <w:pPr>
              <w:spacing w:after="0" w:line="240" w:lineRule="auto"/>
              <w:jc w:val="right"/>
              <w:rPr>
                <w:rFonts w:cs="Arial"/>
                <w:b/>
                <w:bCs/>
                <w:color w:val="FFFFFF"/>
                <w:sz w:val="18"/>
                <w:szCs w:val="18"/>
                <w:lang w:eastAsia="en-AU"/>
              </w:rPr>
            </w:pPr>
            <w:r w:rsidRPr="002F07A2">
              <w:rPr>
                <w:rFonts w:cs="Arial"/>
                <w:b/>
                <w:bCs/>
                <w:color w:val="FFFFFF"/>
                <w:sz w:val="18"/>
                <w:szCs w:val="18"/>
                <w:lang w:eastAsia="en-AU"/>
              </w:rPr>
              <w:t>% change</w:t>
            </w:r>
            <w:r w:rsidRPr="002F07A2">
              <w:rPr>
                <w:rFonts w:cs="Arial"/>
                <w:b/>
                <w:bCs/>
                <w:color w:val="FFFFFF"/>
                <w:sz w:val="18"/>
                <w:szCs w:val="18"/>
                <w:lang w:eastAsia="en-AU"/>
              </w:rPr>
              <w:br/>
              <w:t>Q3 2011-Q3 2013 </w:t>
            </w:r>
          </w:p>
        </w:tc>
        <w:tc>
          <w:tcPr>
            <w:tcW w:w="1206" w:type="dxa"/>
            <w:tcBorders>
              <w:top w:val="single" w:sz="4" w:space="0" w:color="5E8A00"/>
              <w:left w:val="nil"/>
              <w:bottom w:val="single" w:sz="4" w:space="0" w:color="5E8A00"/>
              <w:right w:val="single" w:sz="4" w:space="0" w:color="5E8A00"/>
            </w:tcBorders>
            <w:shd w:val="clear" w:color="000000" w:fill="5E8A00"/>
            <w:vAlign w:val="center"/>
            <w:hideMark/>
          </w:tcPr>
          <w:p w:rsidR="00AE6353" w:rsidRPr="002F07A2" w:rsidRDefault="00AE6353" w:rsidP="00AE6353">
            <w:pPr>
              <w:spacing w:after="0" w:line="240" w:lineRule="auto"/>
              <w:jc w:val="right"/>
              <w:rPr>
                <w:rFonts w:cs="Arial"/>
                <w:b/>
                <w:bCs/>
                <w:color w:val="FFFFFF"/>
                <w:sz w:val="18"/>
                <w:szCs w:val="18"/>
                <w:lang w:eastAsia="en-AU"/>
              </w:rPr>
            </w:pPr>
            <w:r w:rsidRPr="002F07A2">
              <w:rPr>
                <w:rFonts w:cs="Arial"/>
                <w:b/>
                <w:bCs/>
                <w:color w:val="FFFFFF"/>
                <w:sz w:val="18"/>
                <w:szCs w:val="18"/>
                <w:lang w:eastAsia="en-AU"/>
              </w:rPr>
              <w:t>% change</w:t>
            </w:r>
            <w:r w:rsidRPr="002F07A2">
              <w:rPr>
                <w:rFonts w:cs="Arial"/>
                <w:b/>
                <w:bCs/>
                <w:color w:val="FFFFFF"/>
                <w:sz w:val="18"/>
                <w:szCs w:val="18"/>
                <w:lang w:eastAsia="en-AU"/>
              </w:rPr>
              <w:br/>
              <w:t>Q3 2012-Q3 2013</w:t>
            </w:r>
          </w:p>
        </w:tc>
      </w:tr>
      <w:tr w:rsidR="00AE6353"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Indigenous</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4,600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5,200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5,200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13%</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1%</w:t>
            </w:r>
          </w:p>
        </w:tc>
      </w:tr>
      <w:tr w:rsidR="00AE6353"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Students with a disability</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28,800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34,200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33,500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16%</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-2%</w:t>
            </w:r>
          </w:p>
        </w:tc>
      </w:tr>
      <w:tr w:rsidR="00AE6353"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CALD</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77,600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107,700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106,200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37%</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-1%</w:t>
            </w:r>
          </w:p>
        </w:tc>
      </w:tr>
      <w:tr w:rsidR="00AE6353" w:rsidRPr="002F07A2" w:rsidTr="00AE6353">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Unemployed</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72,600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98,500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107,800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48%</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9%</w:t>
            </w:r>
          </w:p>
        </w:tc>
      </w:tr>
      <w:tr w:rsidR="00AE6353" w:rsidRPr="002F07A2" w:rsidTr="00AE6353">
        <w:trPr>
          <w:trHeight w:hRule="exact" w:val="680"/>
        </w:trPr>
        <w:tc>
          <w:tcPr>
            <w:tcW w:w="2552" w:type="dxa"/>
            <w:tcBorders>
              <w:top w:val="nil"/>
              <w:left w:val="single" w:sz="4" w:space="0" w:color="5E8A00"/>
              <w:bottom w:val="single" w:sz="4" w:space="0" w:color="5E8A00"/>
              <w:right w:val="single" w:sz="4" w:space="0" w:color="5E8A00"/>
            </w:tcBorders>
            <w:shd w:val="clear" w:color="000000" w:fill="FFFFFF"/>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Aged 15-19 without year 12, not at school and enrolled in Cert II or above</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25,100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26,000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20,900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-17%</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-20%</w:t>
            </w:r>
          </w:p>
        </w:tc>
      </w:tr>
      <w:tr w:rsidR="00AE6353" w:rsidRPr="002F07A2" w:rsidTr="00695477">
        <w:trPr>
          <w:trHeight w:hRule="exact" w:val="454"/>
        </w:trPr>
        <w:tc>
          <w:tcPr>
            <w:tcW w:w="2552" w:type="dxa"/>
            <w:tcBorders>
              <w:top w:val="nil"/>
              <w:left w:val="single" w:sz="4" w:space="0" w:color="5E8A00"/>
              <w:bottom w:val="single" w:sz="4" w:space="0" w:color="5E8A00"/>
              <w:right w:val="single" w:sz="4" w:space="0" w:color="5E8A00"/>
            </w:tcBorders>
            <w:shd w:val="clear" w:color="000000" w:fill="FFFFFF"/>
            <w:vAlign w:val="bottom"/>
            <w:hideMark/>
          </w:tcPr>
          <w:p w:rsidR="00AE6353" w:rsidRPr="002F07A2" w:rsidRDefault="00AE6353" w:rsidP="00AE6353">
            <w:pPr>
              <w:spacing w:after="0" w:line="240" w:lineRule="auto"/>
              <w:jc w:val="left"/>
              <w:rPr>
                <w:rFonts w:cs="Arial"/>
                <w:color w:val="3E5B00"/>
                <w:sz w:val="18"/>
                <w:szCs w:val="18"/>
                <w:lang w:eastAsia="en-AU"/>
              </w:rPr>
            </w:pPr>
            <w:r w:rsidRPr="002F07A2">
              <w:rPr>
                <w:rFonts w:cs="Arial"/>
                <w:color w:val="3E5B00"/>
                <w:sz w:val="18"/>
                <w:szCs w:val="18"/>
                <w:lang w:eastAsia="en-AU"/>
              </w:rPr>
              <w:t>Aged 20-64 not holding  a Cert III or above</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174,450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229,950 </w:t>
            </w:r>
          </w:p>
        </w:tc>
        <w:tc>
          <w:tcPr>
            <w:tcW w:w="1205"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 xml:space="preserve">212,100 </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22%</w:t>
            </w:r>
          </w:p>
        </w:tc>
        <w:tc>
          <w:tcPr>
            <w:tcW w:w="1206" w:type="dxa"/>
            <w:tcBorders>
              <w:top w:val="nil"/>
              <w:left w:val="nil"/>
              <w:bottom w:val="single" w:sz="4" w:space="0" w:color="5E8A00"/>
              <w:right w:val="single" w:sz="4" w:space="0" w:color="5E8A00"/>
            </w:tcBorders>
            <w:shd w:val="clear" w:color="auto" w:fill="auto"/>
            <w:noWrap/>
            <w:vAlign w:val="center"/>
            <w:hideMark/>
          </w:tcPr>
          <w:p w:rsidR="00AE6353" w:rsidRPr="002F07A2" w:rsidRDefault="00AE6353" w:rsidP="00AE6353">
            <w:pPr>
              <w:spacing w:after="0" w:line="240" w:lineRule="auto"/>
              <w:jc w:val="right"/>
              <w:rPr>
                <w:rFonts w:cs="Arial"/>
                <w:sz w:val="18"/>
                <w:szCs w:val="18"/>
                <w:lang w:eastAsia="en-AU"/>
              </w:rPr>
            </w:pPr>
            <w:r w:rsidRPr="002F07A2">
              <w:rPr>
                <w:rFonts w:cs="Arial"/>
                <w:sz w:val="18"/>
                <w:szCs w:val="18"/>
                <w:lang w:eastAsia="en-AU"/>
              </w:rPr>
              <w:t>-8%</w:t>
            </w:r>
          </w:p>
        </w:tc>
      </w:tr>
    </w:tbl>
    <w:p w:rsidR="00D67B5E" w:rsidRPr="001F29E3" w:rsidRDefault="00D67B5E" w:rsidP="00D67B5E">
      <w:pPr>
        <w:rPr>
          <w:rFonts w:cs="Arial"/>
          <w:sz w:val="16"/>
          <w:szCs w:val="16"/>
        </w:rPr>
      </w:pPr>
      <w:r w:rsidRPr="002F07A2">
        <w:rPr>
          <w:rFonts w:cs="Arial"/>
          <w:sz w:val="16"/>
          <w:szCs w:val="16"/>
        </w:rPr>
        <w:t>*The above cohorts of students are not mutually exclusive.</w:t>
      </w:r>
      <w:r w:rsidRPr="001F29E3">
        <w:rPr>
          <w:rFonts w:cs="Arial"/>
          <w:sz w:val="16"/>
          <w:szCs w:val="16"/>
        </w:rPr>
        <w:t xml:space="preserve"> </w:t>
      </w:r>
    </w:p>
    <w:p w:rsidR="00D67B5E" w:rsidRPr="001F29E3" w:rsidRDefault="00D67B5E" w:rsidP="00D67B5E">
      <w:pPr>
        <w:rPr>
          <w:rFonts w:cs="Arial"/>
        </w:rPr>
      </w:pPr>
    </w:p>
    <w:p w:rsidR="00D67B5E" w:rsidRPr="001F29E3" w:rsidRDefault="00D67B5E" w:rsidP="00D67B5E">
      <w:pPr>
        <w:pStyle w:val="Heading2"/>
      </w:pPr>
      <w:r w:rsidRPr="001F29E3">
        <w:br w:type="page"/>
      </w:r>
      <w:bookmarkStart w:id="80" w:name="_Toc372613432"/>
      <w:r w:rsidRPr="001F29E3">
        <w:lastRenderedPageBreak/>
        <w:t>Indigenous Students</w:t>
      </w:r>
      <w:bookmarkEnd w:id="80"/>
    </w:p>
    <w:p w:rsidR="00D67B5E" w:rsidRDefault="00D67B5E" w:rsidP="00D67B5E">
      <w:pPr>
        <w:rPr>
          <w:rFonts w:cs="Arial"/>
        </w:rPr>
      </w:pPr>
    </w:p>
    <w:p w:rsidR="00D67B5E" w:rsidRDefault="00D67B5E" w:rsidP="00D67B5E">
      <w:pPr>
        <w:pStyle w:val="Heading3"/>
      </w:pPr>
      <w:r>
        <w:t>Enrolments</w:t>
      </w:r>
    </w:p>
    <w:p w:rsidR="00D67B5E" w:rsidRPr="001F29E3" w:rsidRDefault="00D67B5E" w:rsidP="00D67B5E">
      <w:pPr>
        <w:pStyle w:val="Caption"/>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3B1428" w:rsidTr="0051046D">
        <w:trPr>
          <w:trHeight w:val="495"/>
        </w:trPr>
        <w:tc>
          <w:tcPr>
            <w:tcW w:w="9088" w:type="dxa"/>
          </w:tcPr>
          <w:p w:rsidR="00D67B5E" w:rsidRDefault="00D67B5E" w:rsidP="0051046D">
            <w:pPr>
              <w:pStyle w:val="Heading3"/>
            </w:pPr>
            <w:r w:rsidRPr="003B1428">
              <w:t>Key Points</w:t>
            </w:r>
          </w:p>
          <w:p w:rsidR="00D67B5E" w:rsidRPr="00A326AF" w:rsidRDefault="00D67B5E" w:rsidP="0051046D"/>
          <w:p w:rsidR="00D67B5E" w:rsidRPr="00D95246" w:rsidRDefault="00D67B5E" w:rsidP="0051046D">
            <w:pPr>
              <w:pStyle w:val="ListBullet"/>
              <w:numPr>
                <w:ilvl w:val="0"/>
                <w:numId w:val="9"/>
              </w:numPr>
              <w:ind w:right="113"/>
              <w:rPr>
                <w:rFonts w:cs="Arial"/>
              </w:rPr>
            </w:pPr>
            <w:r w:rsidRPr="00D95246">
              <w:rPr>
                <w:rFonts w:cs="Arial"/>
              </w:rPr>
              <w:t xml:space="preserve">There were </w:t>
            </w:r>
            <w:r w:rsidR="005A04B0" w:rsidRPr="00D95246">
              <w:rPr>
                <w:rFonts w:cs="Arial"/>
              </w:rPr>
              <w:t>5,200</w:t>
            </w:r>
            <w:r w:rsidRPr="00D95246">
              <w:rPr>
                <w:rFonts w:cs="Arial"/>
              </w:rPr>
              <w:t xml:space="preserve"> Indigenous students enrolled in </w:t>
            </w:r>
            <w:r w:rsidR="005A04B0" w:rsidRPr="00D95246">
              <w:rPr>
                <w:rFonts w:cs="Arial"/>
              </w:rPr>
              <w:t>6,900</w:t>
            </w:r>
            <w:r w:rsidRPr="00D95246">
              <w:rPr>
                <w:rFonts w:cs="Arial"/>
              </w:rPr>
              <w:t xml:space="preserve"> government subsidised courses in Q</w:t>
            </w:r>
            <w:r w:rsidR="005A04B0" w:rsidRPr="00D95246">
              <w:rPr>
                <w:rFonts w:cs="Arial"/>
              </w:rPr>
              <w:t>3</w:t>
            </w:r>
            <w:r w:rsidRPr="00D95246">
              <w:rPr>
                <w:rFonts w:cs="Arial"/>
              </w:rPr>
              <w:t xml:space="preserve"> 2013.</w:t>
            </w:r>
          </w:p>
          <w:p w:rsidR="00D67B5E" w:rsidRPr="00D95246" w:rsidRDefault="00D67B5E" w:rsidP="0051046D">
            <w:pPr>
              <w:pStyle w:val="ListBullet"/>
              <w:numPr>
                <w:ilvl w:val="0"/>
                <w:numId w:val="9"/>
              </w:numPr>
              <w:ind w:right="113"/>
              <w:rPr>
                <w:rFonts w:cs="Arial"/>
              </w:rPr>
            </w:pPr>
            <w:r w:rsidRPr="00D95246">
              <w:rPr>
                <w:rFonts w:cs="Arial"/>
              </w:rPr>
              <w:t xml:space="preserve">Proportionally, </w:t>
            </w:r>
            <w:r w:rsidR="005A04B0" w:rsidRPr="00D95246">
              <w:rPr>
                <w:rFonts w:cs="Arial"/>
              </w:rPr>
              <w:t xml:space="preserve">just over half </w:t>
            </w:r>
            <w:r w:rsidRPr="00D95246">
              <w:rPr>
                <w:rFonts w:cs="Arial"/>
              </w:rPr>
              <w:t xml:space="preserve">of </w:t>
            </w:r>
            <w:r w:rsidR="005A04B0" w:rsidRPr="00D95246">
              <w:rPr>
                <w:rFonts w:cs="Arial"/>
              </w:rPr>
              <w:t xml:space="preserve">courses in </w:t>
            </w:r>
            <w:r w:rsidRPr="00D95246">
              <w:rPr>
                <w:rFonts w:cs="Arial"/>
              </w:rPr>
              <w:t>Australian Qualifica</w:t>
            </w:r>
            <w:r w:rsidR="005A04B0" w:rsidRPr="00D95246">
              <w:rPr>
                <w:rFonts w:cs="Arial"/>
              </w:rPr>
              <w:t xml:space="preserve">tion Framework Level 1 plus </w:t>
            </w:r>
            <w:r w:rsidRPr="00D95246">
              <w:rPr>
                <w:rFonts w:cs="Arial"/>
              </w:rPr>
              <w:t>(5</w:t>
            </w:r>
            <w:r w:rsidR="005A04B0" w:rsidRPr="00D95246">
              <w:rPr>
                <w:rFonts w:cs="Arial"/>
              </w:rPr>
              <w:t>1</w:t>
            </w:r>
            <w:r w:rsidRPr="00D95246">
              <w:rPr>
                <w:rFonts w:cs="Arial"/>
              </w:rPr>
              <w:t xml:space="preserve"> per cent) undertaken by Indigenous students in Q</w:t>
            </w:r>
            <w:r w:rsidR="005A04B0" w:rsidRPr="00D95246">
              <w:rPr>
                <w:rFonts w:cs="Arial"/>
              </w:rPr>
              <w:t>3</w:t>
            </w:r>
            <w:r w:rsidRPr="00D95246">
              <w:rPr>
                <w:rFonts w:cs="Arial"/>
              </w:rPr>
              <w:t xml:space="preserve"> 2013 were in Certificate III to IV levels.  </w:t>
            </w:r>
          </w:p>
          <w:p w:rsidR="00D67B5E" w:rsidRPr="003B1428" w:rsidRDefault="00D67B5E" w:rsidP="00B34D43">
            <w:pPr>
              <w:pStyle w:val="ListBullet"/>
              <w:numPr>
                <w:ilvl w:val="0"/>
                <w:numId w:val="9"/>
              </w:numPr>
              <w:ind w:right="113"/>
              <w:rPr>
                <w:rFonts w:cs="Arial"/>
              </w:rPr>
            </w:pPr>
            <w:r w:rsidRPr="00B34D43">
              <w:rPr>
                <w:rFonts w:cs="Arial"/>
              </w:rPr>
              <w:t>Of those enrolments in industry-specific qualifications (</w:t>
            </w:r>
            <w:r w:rsidR="00D73A89" w:rsidRPr="00B34D43">
              <w:rPr>
                <w:rFonts w:cs="Arial"/>
              </w:rPr>
              <w:t>4</w:t>
            </w:r>
            <w:r w:rsidRPr="00B34D43">
              <w:rPr>
                <w:rFonts w:cs="Arial"/>
              </w:rPr>
              <w:t>,400 enrolments) which exclude foundation skills and short courses in Q</w:t>
            </w:r>
            <w:r w:rsidR="00D73A89" w:rsidRPr="00B34D43">
              <w:rPr>
                <w:rFonts w:cs="Arial"/>
              </w:rPr>
              <w:t>3</w:t>
            </w:r>
            <w:r w:rsidRPr="00B34D43">
              <w:rPr>
                <w:rFonts w:cs="Arial"/>
              </w:rPr>
              <w:t xml:space="preserve"> 2013, </w:t>
            </w:r>
            <w:r w:rsidR="00D73A89" w:rsidRPr="00B34D43">
              <w:rPr>
                <w:rFonts w:cs="Arial"/>
              </w:rPr>
              <w:t>37</w:t>
            </w:r>
            <w:r w:rsidRPr="00B34D43">
              <w:rPr>
                <w:rFonts w:cs="Arial"/>
              </w:rPr>
              <w:t xml:space="preserve"> per cent were in courses related to </w:t>
            </w:r>
            <w:proofErr w:type="gramStart"/>
            <w:r w:rsidRPr="00B34D43">
              <w:rPr>
                <w:rFonts w:cs="Arial"/>
              </w:rPr>
              <w:t>specialised</w:t>
            </w:r>
            <w:proofErr w:type="gramEnd"/>
            <w:r w:rsidRPr="00B34D43">
              <w:rPr>
                <w:rFonts w:cs="Arial"/>
              </w:rPr>
              <w:t xml:space="preserve"> or in shortage occupations.</w:t>
            </w:r>
            <w:r w:rsidR="00BB7E11">
              <w:rPr>
                <w:rFonts w:cs="Arial"/>
              </w:rPr>
              <w:t xml:space="preserve"> </w:t>
            </w:r>
          </w:p>
        </w:tc>
      </w:tr>
    </w:tbl>
    <w:p w:rsidR="00D67B5E" w:rsidRDefault="00D67B5E" w:rsidP="00D67B5E"/>
    <w:p w:rsidR="00D67B5E" w:rsidRPr="001F29E3" w:rsidRDefault="005654CD" w:rsidP="00D67B5E">
      <w:pPr>
        <w:pStyle w:val="Caption"/>
        <w:spacing w:after="0"/>
        <w:jc w:val="left"/>
        <w:rPr>
          <w:rFonts w:cs="Arial"/>
        </w:rPr>
      </w:pPr>
      <w:r>
        <w:rPr>
          <w:rFonts w:cs="Arial"/>
        </w:rPr>
        <w:t>Table 2</w:t>
      </w:r>
      <w:r w:rsidR="00D67B5E" w:rsidRPr="001F29E3">
        <w:rPr>
          <w:rFonts w:cs="Arial"/>
        </w:rPr>
        <w:t>.2</w:t>
      </w:r>
      <w:r w:rsidR="00D67B5E">
        <w:rPr>
          <w:rFonts w:cs="Arial"/>
        </w:rPr>
        <w:t>.1</w:t>
      </w:r>
      <w:r w:rsidR="00D67B5E" w:rsidRPr="001F29E3">
        <w:rPr>
          <w:rFonts w:cs="Arial"/>
        </w:rPr>
        <w:t>: Indigenous students: Government subsidised enrolments by qu</w:t>
      </w:r>
      <w:r w:rsidR="00D67B5E">
        <w:rPr>
          <w:rFonts w:cs="Arial"/>
        </w:rPr>
        <w:t>alification level, 2008 – 2012</w:t>
      </w:r>
    </w:p>
    <w:tbl>
      <w:tblPr>
        <w:tblW w:w="9140" w:type="dxa"/>
        <w:tblInd w:w="103" w:type="dxa"/>
        <w:tblLook w:val="04A0" w:firstRow="1" w:lastRow="0" w:firstColumn="1" w:lastColumn="0" w:noHBand="0" w:noVBand="1"/>
      </w:tblPr>
      <w:tblGrid>
        <w:gridCol w:w="2420"/>
        <w:gridCol w:w="1120"/>
        <w:gridCol w:w="1120"/>
        <w:gridCol w:w="1120"/>
        <w:gridCol w:w="1120"/>
        <w:gridCol w:w="1120"/>
        <w:gridCol w:w="1120"/>
      </w:tblGrid>
      <w:tr w:rsidR="00D67B5E" w:rsidRPr="00127418" w:rsidTr="0051046D">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D67B5E" w:rsidRPr="00127418" w:rsidRDefault="00D67B5E" w:rsidP="0051046D">
            <w:pPr>
              <w:spacing w:after="0" w:line="240" w:lineRule="auto"/>
              <w:jc w:val="left"/>
              <w:rPr>
                <w:rFonts w:cs="Arial"/>
                <w:b/>
                <w:bCs/>
                <w:color w:val="FFFFFF"/>
                <w:sz w:val="18"/>
                <w:szCs w:val="18"/>
                <w:lang w:eastAsia="en-AU"/>
              </w:rPr>
            </w:pPr>
            <w:r w:rsidRPr="00127418">
              <w:rPr>
                <w:rFonts w:cs="Arial"/>
                <w:b/>
                <w:bCs/>
                <w:color w:val="FFFFFF"/>
                <w:sz w:val="18"/>
                <w:szCs w:val="18"/>
                <w:lang w:eastAsia="en-AU"/>
              </w:rPr>
              <w:t>Qualification level</w:t>
            </w:r>
          </w:p>
        </w:tc>
        <w:tc>
          <w:tcPr>
            <w:tcW w:w="1120" w:type="dxa"/>
            <w:tcBorders>
              <w:top w:val="single" w:sz="4" w:space="0" w:color="5E8A00"/>
              <w:bottom w:val="single" w:sz="4" w:space="0" w:color="5E8A00"/>
            </w:tcBorders>
            <w:shd w:val="clear" w:color="000000" w:fill="5E8A00"/>
            <w:vAlign w:val="center"/>
            <w:hideMark/>
          </w:tcPr>
          <w:p w:rsidR="00D67B5E" w:rsidRPr="00127418" w:rsidRDefault="00D67B5E" w:rsidP="00F034AF">
            <w:pPr>
              <w:spacing w:after="0" w:line="240" w:lineRule="auto"/>
              <w:ind w:firstLineChars="100" w:firstLine="181"/>
              <w:jc w:val="right"/>
              <w:rPr>
                <w:rFonts w:cs="Arial"/>
                <w:b/>
                <w:bCs/>
                <w:color w:val="FFFFFF"/>
                <w:sz w:val="18"/>
                <w:szCs w:val="18"/>
                <w:lang w:eastAsia="en-AU"/>
              </w:rPr>
            </w:pPr>
            <w:r w:rsidRPr="00127418">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127418" w:rsidRDefault="00D67B5E" w:rsidP="00F034AF">
            <w:pPr>
              <w:spacing w:after="0" w:line="240" w:lineRule="auto"/>
              <w:ind w:firstLineChars="100" w:firstLine="181"/>
              <w:jc w:val="right"/>
              <w:rPr>
                <w:rFonts w:cs="Arial"/>
                <w:b/>
                <w:bCs/>
                <w:color w:val="FFFFFF"/>
                <w:sz w:val="18"/>
                <w:szCs w:val="18"/>
                <w:lang w:eastAsia="en-AU"/>
              </w:rPr>
            </w:pPr>
            <w:r w:rsidRPr="00127418">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127418" w:rsidRDefault="00D67B5E" w:rsidP="00F034AF">
            <w:pPr>
              <w:spacing w:after="0" w:line="240" w:lineRule="auto"/>
              <w:ind w:firstLineChars="100" w:firstLine="181"/>
              <w:jc w:val="right"/>
              <w:rPr>
                <w:rFonts w:cs="Arial"/>
                <w:b/>
                <w:bCs/>
                <w:color w:val="FFFFFF"/>
                <w:sz w:val="18"/>
                <w:szCs w:val="18"/>
                <w:lang w:eastAsia="en-AU"/>
              </w:rPr>
            </w:pPr>
            <w:r w:rsidRPr="00127418">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127418" w:rsidRDefault="00D67B5E" w:rsidP="00F034AF">
            <w:pPr>
              <w:spacing w:after="0" w:line="240" w:lineRule="auto"/>
              <w:ind w:firstLineChars="100" w:firstLine="181"/>
              <w:jc w:val="right"/>
              <w:rPr>
                <w:rFonts w:cs="Arial"/>
                <w:b/>
                <w:bCs/>
                <w:color w:val="FFFFFF"/>
                <w:sz w:val="18"/>
                <w:szCs w:val="18"/>
                <w:lang w:eastAsia="en-AU"/>
              </w:rPr>
            </w:pPr>
            <w:r w:rsidRPr="00127418">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127418" w:rsidRDefault="00D67B5E" w:rsidP="00F034AF">
            <w:pPr>
              <w:spacing w:after="0" w:line="240" w:lineRule="auto"/>
              <w:ind w:firstLineChars="100" w:firstLine="181"/>
              <w:jc w:val="right"/>
              <w:rPr>
                <w:rFonts w:cs="Arial"/>
                <w:b/>
                <w:bCs/>
                <w:color w:val="FFFFFF"/>
                <w:sz w:val="18"/>
                <w:szCs w:val="18"/>
                <w:lang w:eastAsia="en-AU"/>
              </w:rPr>
            </w:pPr>
            <w:r w:rsidRPr="00127418">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change</w:t>
            </w:r>
            <w:r w:rsidRPr="00127418">
              <w:rPr>
                <w:rFonts w:cs="Arial"/>
                <w:b/>
                <w:bCs/>
                <w:color w:val="FFFFFF"/>
                <w:sz w:val="18"/>
                <w:szCs w:val="18"/>
                <w:lang w:eastAsia="en-AU"/>
              </w:rPr>
              <w:br/>
              <w:t>2008-2012</w:t>
            </w:r>
          </w:p>
        </w:tc>
      </w:tr>
      <w:tr w:rsidR="00D67B5E" w:rsidRPr="00127418"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27418" w:rsidRDefault="00D67B5E" w:rsidP="0051046D">
            <w:pPr>
              <w:spacing w:after="0" w:line="240" w:lineRule="auto"/>
              <w:jc w:val="left"/>
              <w:rPr>
                <w:rFonts w:cs="Arial"/>
                <w:color w:val="3E5B00"/>
                <w:sz w:val="18"/>
                <w:szCs w:val="18"/>
                <w:lang w:eastAsia="en-AU"/>
              </w:rPr>
            </w:pPr>
            <w:r w:rsidRPr="00127418">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2,900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-10%</w:t>
            </w:r>
          </w:p>
        </w:tc>
      </w:tr>
      <w:tr w:rsidR="00D67B5E" w:rsidRPr="00127418"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27418" w:rsidRDefault="00D67B5E" w:rsidP="0051046D">
            <w:pPr>
              <w:spacing w:after="0" w:line="240" w:lineRule="auto"/>
              <w:jc w:val="left"/>
              <w:rPr>
                <w:rFonts w:cs="Arial"/>
                <w:color w:val="3E5B00"/>
                <w:sz w:val="18"/>
                <w:szCs w:val="18"/>
                <w:lang w:eastAsia="en-AU"/>
              </w:rPr>
            </w:pPr>
            <w:r w:rsidRPr="00127418">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2,300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3,100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77%</w:t>
            </w:r>
          </w:p>
        </w:tc>
      </w:tr>
      <w:tr w:rsidR="00D67B5E" w:rsidRPr="00127418"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27418" w:rsidRDefault="00D67B5E" w:rsidP="0051046D">
            <w:pPr>
              <w:spacing w:after="0" w:line="240" w:lineRule="auto"/>
              <w:jc w:val="left"/>
              <w:rPr>
                <w:rFonts w:cs="Arial"/>
                <w:color w:val="3E5B00"/>
                <w:sz w:val="18"/>
                <w:szCs w:val="18"/>
                <w:lang w:eastAsia="en-AU"/>
              </w:rPr>
            </w:pPr>
            <w:r w:rsidRPr="00127418">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450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550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68%</w:t>
            </w:r>
          </w:p>
        </w:tc>
      </w:tr>
      <w:tr w:rsidR="00D67B5E" w:rsidRPr="00127418"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27418" w:rsidRDefault="00D67B5E" w:rsidP="0051046D">
            <w:pPr>
              <w:spacing w:after="0" w:line="240" w:lineRule="auto"/>
              <w:jc w:val="left"/>
              <w:rPr>
                <w:rFonts w:cs="Arial"/>
                <w:color w:val="3E5B00"/>
                <w:sz w:val="18"/>
                <w:szCs w:val="18"/>
                <w:lang w:eastAsia="en-AU"/>
              </w:rPr>
            </w:pPr>
            <w:r w:rsidRPr="00127418">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850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-42%</w:t>
            </w:r>
          </w:p>
        </w:tc>
      </w:tr>
      <w:tr w:rsidR="00D67B5E" w:rsidRPr="00127418"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27418" w:rsidRDefault="00D67B5E" w:rsidP="0051046D">
            <w:pPr>
              <w:spacing w:after="0" w:line="240" w:lineRule="auto"/>
              <w:jc w:val="left"/>
              <w:rPr>
                <w:rFonts w:cs="Arial"/>
                <w:color w:val="3E5B00"/>
                <w:sz w:val="18"/>
                <w:szCs w:val="18"/>
                <w:lang w:eastAsia="en-AU"/>
              </w:rPr>
            </w:pPr>
            <w:r w:rsidRPr="00127418">
              <w:rPr>
                <w:rFonts w:cs="Arial"/>
                <w:color w:val="3E5B00"/>
                <w:sz w:val="18"/>
                <w:szCs w:val="18"/>
                <w:lang w:eastAsia="en-AU"/>
              </w:rPr>
              <w:t xml:space="preserve">Secondary, </w:t>
            </w:r>
            <w:proofErr w:type="spellStart"/>
            <w:r w:rsidRPr="00127418">
              <w:rPr>
                <w:rFonts w:cs="Arial"/>
                <w:color w:val="3E5B00"/>
                <w:sz w:val="18"/>
                <w:szCs w:val="18"/>
                <w:lang w:eastAsia="en-AU"/>
              </w:rPr>
              <w:t>SoA</w:t>
            </w:r>
            <w:proofErr w:type="spellEnd"/>
            <w:r w:rsidRPr="00127418">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550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650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350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27418" w:rsidRDefault="00D67B5E" w:rsidP="0051046D">
            <w:pPr>
              <w:spacing w:after="0" w:line="240" w:lineRule="auto"/>
              <w:jc w:val="right"/>
              <w:rPr>
                <w:rFonts w:cs="Arial"/>
                <w:sz w:val="18"/>
                <w:szCs w:val="18"/>
                <w:lang w:eastAsia="en-AU"/>
              </w:rPr>
            </w:pPr>
            <w:r w:rsidRPr="00127418">
              <w:rPr>
                <w:rFonts w:cs="Arial"/>
                <w:sz w:val="18"/>
                <w:szCs w:val="18"/>
                <w:lang w:eastAsia="en-AU"/>
              </w:rPr>
              <w:t>4%</w:t>
            </w:r>
          </w:p>
        </w:tc>
      </w:tr>
      <w:tr w:rsidR="00D67B5E" w:rsidRPr="00127418" w:rsidTr="0051046D">
        <w:trPr>
          <w:trHeight w:hRule="exact" w:val="284"/>
        </w:trPr>
        <w:tc>
          <w:tcPr>
            <w:tcW w:w="2420" w:type="dxa"/>
            <w:tcBorders>
              <w:top w:val="single" w:sz="4" w:space="0" w:color="5E8A00"/>
              <w:left w:val="single" w:sz="4" w:space="0" w:color="5E8A00"/>
              <w:bottom w:val="nil"/>
            </w:tcBorders>
            <w:shd w:val="clear" w:color="000000" w:fill="5E8A00"/>
            <w:noWrap/>
            <w:vAlign w:val="center"/>
            <w:hideMark/>
          </w:tcPr>
          <w:p w:rsidR="00D67B5E" w:rsidRPr="00127418" w:rsidRDefault="00D67B5E" w:rsidP="0051046D">
            <w:pPr>
              <w:spacing w:after="0" w:line="240" w:lineRule="auto"/>
              <w:jc w:val="left"/>
              <w:rPr>
                <w:rFonts w:cs="Arial"/>
                <w:b/>
                <w:bCs/>
                <w:color w:val="FFFFFF"/>
                <w:sz w:val="18"/>
                <w:szCs w:val="18"/>
                <w:lang w:eastAsia="en-AU"/>
              </w:rPr>
            </w:pPr>
            <w:r w:rsidRPr="00127418">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xml:space="preserve">7,000 </w:t>
            </w:r>
          </w:p>
        </w:tc>
        <w:tc>
          <w:tcPr>
            <w:tcW w:w="1120" w:type="dxa"/>
            <w:tcBorders>
              <w:top w:val="single" w:sz="4" w:space="0" w:color="5E8A00"/>
              <w:bottom w:val="nil"/>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xml:space="preserve">6,200 </w:t>
            </w:r>
          </w:p>
        </w:tc>
        <w:tc>
          <w:tcPr>
            <w:tcW w:w="1120" w:type="dxa"/>
            <w:tcBorders>
              <w:top w:val="single" w:sz="4" w:space="0" w:color="5E8A00"/>
              <w:bottom w:val="nil"/>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xml:space="preserve">6,600 </w:t>
            </w:r>
          </w:p>
        </w:tc>
        <w:tc>
          <w:tcPr>
            <w:tcW w:w="1120" w:type="dxa"/>
            <w:tcBorders>
              <w:top w:val="single" w:sz="4" w:space="0" w:color="5E8A00"/>
              <w:bottom w:val="nil"/>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xml:space="preserve">7,600 </w:t>
            </w:r>
          </w:p>
        </w:tc>
        <w:tc>
          <w:tcPr>
            <w:tcW w:w="1120" w:type="dxa"/>
            <w:tcBorders>
              <w:top w:val="single" w:sz="4" w:space="0" w:color="5E8A00"/>
              <w:bottom w:val="nil"/>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 xml:space="preserve">8,200 </w:t>
            </w:r>
          </w:p>
        </w:tc>
        <w:tc>
          <w:tcPr>
            <w:tcW w:w="1120" w:type="dxa"/>
            <w:tcBorders>
              <w:top w:val="single" w:sz="4" w:space="0" w:color="5E8A00"/>
              <w:bottom w:val="nil"/>
              <w:right w:val="single" w:sz="4" w:space="0" w:color="5E8A00"/>
            </w:tcBorders>
            <w:shd w:val="clear" w:color="000000" w:fill="5E8A00"/>
            <w:noWrap/>
            <w:vAlign w:val="center"/>
            <w:hideMark/>
          </w:tcPr>
          <w:p w:rsidR="00D67B5E" w:rsidRPr="00127418" w:rsidRDefault="00D67B5E" w:rsidP="0051046D">
            <w:pPr>
              <w:spacing w:after="0" w:line="240" w:lineRule="auto"/>
              <w:jc w:val="right"/>
              <w:rPr>
                <w:rFonts w:cs="Arial"/>
                <w:b/>
                <w:bCs/>
                <w:color w:val="FFFFFF"/>
                <w:sz w:val="18"/>
                <w:szCs w:val="18"/>
                <w:lang w:eastAsia="en-AU"/>
              </w:rPr>
            </w:pPr>
            <w:r w:rsidRPr="00127418">
              <w:rPr>
                <w:rFonts w:cs="Arial"/>
                <w:b/>
                <w:bCs/>
                <w:color w:val="FFFFFF"/>
                <w:sz w:val="18"/>
                <w:szCs w:val="18"/>
                <w:lang w:eastAsia="en-AU"/>
              </w:rPr>
              <w:t>16%</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Pr="001F29E3" w:rsidRDefault="00D67B5E" w:rsidP="00D67B5E">
      <w:pPr>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.2</w:t>
      </w:r>
      <w:r w:rsidR="00D67B5E">
        <w:rPr>
          <w:rFonts w:cs="Arial"/>
        </w:rPr>
        <w:t>.2</w:t>
      </w:r>
      <w:r w:rsidR="00D67B5E" w:rsidRPr="001F29E3">
        <w:rPr>
          <w:rFonts w:cs="Arial"/>
        </w:rPr>
        <w:t xml:space="preserve">: Indigenous students: Government subsidised enrolments by qualification level, </w:t>
      </w:r>
      <w:r w:rsidR="00D67B5E">
        <w:rPr>
          <w:rFonts w:cs="Arial"/>
        </w:rPr>
        <w:t>Q</w:t>
      </w:r>
      <w:r w:rsidR="00E24AF4">
        <w:rPr>
          <w:rFonts w:cs="Arial"/>
        </w:rPr>
        <w:t>3</w:t>
      </w:r>
      <w:r w:rsidR="00D67B5E">
        <w:rPr>
          <w:rFonts w:cs="Arial"/>
        </w:rPr>
        <w:t xml:space="preserve"> 2011, </w:t>
      </w:r>
      <w:r w:rsidR="00D67B5E" w:rsidRPr="001F29E3">
        <w:rPr>
          <w:rFonts w:cs="Arial"/>
        </w:rPr>
        <w:t>Q</w:t>
      </w:r>
      <w:r w:rsidR="00E24AF4">
        <w:rPr>
          <w:rFonts w:cs="Arial"/>
        </w:rPr>
        <w:t>3</w:t>
      </w:r>
      <w:r w:rsidR="00D67B5E" w:rsidRPr="001F29E3">
        <w:rPr>
          <w:rFonts w:cs="Arial"/>
        </w:rPr>
        <w:t xml:space="preserve"> 2012 and Q</w:t>
      </w:r>
      <w:r w:rsidR="00E24AF4">
        <w:rPr>
          <w:rFonts w:cs="Arial"/>
        </w:rPr>
        <w:t>3</w:t>
      </w:r>
      <w:r w:rsidR="00D67B5E" w:rsidRPr="001F29E3">
        <w:rPr>
          <w:rFonts w:cs="Arial"/>
        </w:rPr>
        <w:t xml:space="preserve"> 2013</w:t>
      </w:r>
    </w:p>
    <w:tbl>
      <w:tblPr>
        <w:tblW w:w="8400" w:type="dxa"/>
        <w:tblInd w:w="103" w:type="dxa"/>
        <w:tblLook w:val="04A0" w:firstRow="1" w:lastRow="0" w:firstColumn="1" w:lastColumn="0" w:noHBand="0" w:noVBand="1"/>
      </w:tblPr>
      <w:tblGrid>
        <w:gridCol w:w="2800"/>
        <w:gridCol w:w="1120"/>
        <w:gridCol w:w="1120"/>
        <w:gridCol w:w="1120"/>
        <w:gridCol w:w="1120"/>
        <w:gridCol w:w="1120"/>
      </w:tblGrid>
      <w:tr w:rsidR="00E24AF4" w:rsidRPr="00E24AF4" w:rsidTr="00E24AF4">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2012-Q3 2013</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2,300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4%</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9%</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3,100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3,200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27%</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450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-16%</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350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350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-43%</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-44%</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 xml:space="preserve">Secondary, </w:t>
            </w:r>
            <w:proofErr w:type="spellStart"/>
            <w:r w:rsidRPr="00E24AF4">
              <w:rPr>
                <w:rFonts w:cs="Arial"/>
                <w:color w:val="3E5B00"/>
                <w:sz w:val="18"/>
                <w:szCs w:val="18"/>
                <w:lang w:eastAsia="en-AU"/>
              </w:rPr>
              <w:t>SoA</w:t>
            </w:r>
            <w:proofErr w:type="spellEnd"/>
            <w:r w:rsidRPr="00E24AF4">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550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78%</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11%</w:t>
            </w:r>
          </w:p>
        </w:tc>
      </w:tr>
      <w:tr w:rsidR="00E24AF4" w:rsidRPr="00E24AF4" w:rsidTr="00E24AF4">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6,000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6,800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6,900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14%</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1%</w:t>
            </w:r>
          </w:p>
        </w:tc>
      </w:tr>
    </w:tbl>
    <w:p w:rsidR="00D67B5E" w:rsidRPr="00A326AF" w:rsidRDefault="00D67B5E" w:rsidP="00BC23CB">
      <w:pPr>
        <w:spacing w:after="0"/>
        <w:rPr>
          <w:rFonts w:cs="Arial"/>
        </w:rPr>
      </w:pPr>
      <w:proofErr w:type="spellStart"/>
      <w:r w:rsidRPr="007E7B89">
        <w:rPr>
          <w:sz w:val="16"/>
          <w:szCs w:val="16"/>
        </w:rPr>
        <w:t>SoA</w:t>
      </w:r>
      <w:proofErr w:type="spellEnd"/>
      <w:r w:rsidRPr="007E7B89">
        <w:rPr>
          <w:sz w:val="16"/>
          <w:szCs w:val="16"/>
        </w:rPr>
        <w:t>: Statement of Attainment.</w:t>
      </w:r>
      <w:r w:rsidR="00BC23CB" w:rsidRPr="00A326AF">
        <w:rPr>
          <w:rFonts w:cs="Arial"/>
        </w:rPr>
        <w:t xml:space="preserve"> </w:t>
      </w:r>
    </w:p>
    <w:p w:rsidR="00D67B5E" w:rsidRPr="00A326AF" w:rsidRDefault="00D67B5E" w:rsidP="00D67B5E">
      <w:pPr>
        <w:spacing w:after="0" w:line="240" w:lineRule="auto"/>
        <w:jc w:val="left"/>
        <w:rPr>
          <w:rFonts w:cs="Arial"/>
          <w:bCs/>
          <w:iCs/>
          <w:sz w:val="28"/>
          <w:szCs w:val="28"/>
        </w:rPr>
      </w:pPr>
      <w:r w:rsidRPr="00A326AF">
        <w:br w:type="page"/>
      </w:r>
    </w:p>
    <w:p w:rsidR="00D67B5E" w:rsidRPr="001F29E3" w:rsidRDefault="00D67B5E" w:rsidP="00D67B5E">
      <w:pPr>
        <w:pStyle w:val="Heading2"/>
      </w:pPr>
      <w:bookmarkStart w:id="81" w:name="_Toc372613433"/>
      <w:r w:rsidRPr="001F29E3">
        <w:lastRenderedPageBreak/>
        <w:t>Students with a Disability</w:t>
      </w:r>
      <w:bookmarkEnd w:id="81"/>
    </w:p>
    <w:p w:rsidR="00D67B5E" w:rsidRDefault="00D67B5E" w:rsidP="00D67B5E"/>
    <w:p w:rsidR="00D67B5E" w:rsidRDefault="00D67B5E" w:rsidP="00D67B5E">
      <w:pPr>
        <w:pStyle w:val="Heading3"/>
      </w:pPr>
      <w:r>
        <w:t>Enrolments</w:t>
      </w:r>
    </w:p>
    <w:p w:rsidR="00D67B5E" w:rsidRDefault="00D67B5E" w:rsidP="00D67B5E">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1F29E3" w:rsidTr="0051046D">
        <w:trPr>
          <w:trHeight w:val="1449"/>
        </w:trPr>
        <w:tc>
          <w:tcPr>
            <w:tcW w:w="9088" w:type="dxa"/>
          </w:tcPr>
          <w:p w:rsidR="00D67B5E" w:rsidRDefault="00D67B5E" w:rsidP="0051046D">
            <w:pPr>
              <w:pStyle w:val="Heading3"/>
            </w:pPr>
            <w:r w:rsidRPr="003B1428">
              <w:t>Key Points</w:t>
            </w:r>
          </w:p>
          <w:p w:rsidR="00D67B5E" w:rsidRPr="00A326AF" w:rsidRDefault="00D67B5E" w:rsidP="0051046D"/>
          <w:p w:rsidR="00D67B5E" w:rsidRPr="00D73A89" w:rsidRDefault="00D67B5E" w:rsidP="0051046D">
            <w:pPr>
              <w:pStyle w:val="ListBullet"/>
              <w:numPr>
                <w:ilvl w:val="0"/>
                <w:numId w:val="9"/>
              </w:numPr>
              <w:ind w:right="113"/>
              <w:rPr>
                <w:rFonts w:cs="Arial"/>
              </w:rPr>
            </w:pPr>
            <w:r w:rsidRPr="00D73A89">
              <w:rPr>
                <w:rFonts w:cs="Arial"/>
              </w:rPr>
              <w:t xml:space="preserve">There were </w:t>
            </w:r>
            <w:r w:rsidR="00D73A89" w:rsidRPr="00D73A89">
              <w:rPr>
                <w:rFonts w:cs="Arial"/>
              </w:rPr>
              <w:t>33,500</w:t>
            </w:r>
            <w:r w:rsidRPr="00D73A89">
              <w:rPr>
                <w:rFonts w:cs="Arial"/>
              </w:rPr>
              <w:t xml:space="preserve"> students with a disability enrolled in </w:t>
            </w:r>
            <w:r w:rsidR="00D73A89" w:rsidRPr="00D73A89">
              <w:rPr>
                <w:rFonts w:cs="Arial"/>
              </w:rPr>
              <w:t>47,700</w:t>
            </w:r>
            <w:r w:rsidRPr="00D73A89">
              <w:rPr>
                <w:rFonts w:cs="Arial"/>
              </w:rPr>
              <w:t xml:space="preserve"> government subsidised courses in Q</w:t>
            </w:r>
            <w:r w:rsidR="00D73A89" w:rsidRPr="00D73A89">
              <w:rPr>
                <w:rFonts w:cs="Arial"/>
              </w:rPr>
              <w:t>3</w:t>
            </w:r>
            <w:r w:rsidRPr="00D73A89">
              <w:rPr>
                <w:rFonts w:cs="Arial"/>
              </w:rPr>
              <w:t xml:space="preserve"> 2013.</w:t>
            </w:r>
          </w:p>
          <w:p w:rsidR="00D67B5E" w:rsidRPr="00D73A89" w:rsidRDefault="009C74CF" w:rsidP="0051046D">
            <w:pPr>
              <w:pStyle w:val="ListBullet"/>
              <w:numPr>
                <w:ilvl w:val="0"/>
                <w:numId w:val="9"/>
              </w:numPr>
              <w:ind w:right="113"/>
              <w:rPr>
                <w:rFonts w:cs="Arial"/>
              </w:rPr>
            </w:pPr>
            <w:r>
              <w:rPr>
                <w:rFonts w:cs="Arial"/>
              </w:rPr>
              <w:t>F</w:t>
            </w:r>
            <w:r w:rsidR="00D67B5E" w:rsidRPr="00D73A89">
              <w:rPr>
                <w:rFonts w:cs="Arial"/>
              </w:rPr>
              <w:t xml:space="preserve">orty </w:t>
            </w:r>
            <w:r w:rsidR="00765A0B">
              <w:rPr>
                <w:rFonts w:cs="Arial"/>
              </w:rPr>
              <w:t>three</w:t>
            </w:r>
            <w:r w:rsidR="00D67B5E" w:rsidRPr="00D73A89">
              <w:rPr>
                <w:rFonts w:cs="Arial"/>
              </w:rPr>
              <w:t xml:space="preserve"> per cent of AQF course enrolments undertaken by students with disability were in Certificate </w:t>
            </w:r>
            <w:r w:rsidR="00765A0B">
              <w:rPr>
                <w:rFonts w:cs="Arial"/>
              </w:rPr>
              <w:t>I</w:t>
            </w:r>
            <w:r w:rsidR="00423B9C">
              <w:rPr>
                <w:rFonts w:cs="Arial"/>
              </w:rPr>
              <w:t>I</w:t>
            </w:r>
            <w:r w:rsidR="00765A0B">
              <w:rPr>
                <w:rFonts w:cs="Arial"/>
              </w:rPr>
              <w:t>I and above</w:t>
            </w:r>
            <w:r w:rsidR="00D67B5E" w:rsidRPr="00D73A89">
              <w:rPr>
                <w:rFonts w:cs="Arial"/>
              </w:rPr>
              <w:t xml:space="preserve"> levels.  </w:t>
            </w:r>
          </w:p>
          <w:p w:rsidR="00D67B5E" w:rsidRPr="003B1428" w:rsidRDefault="00D67B5E" w:rsidP="00B34D43">
            <w:pPr>
              <w:pStyle w:val="ListBullet"/>
              <w:numPr>
                <w:ilvl w:val="0"/>
                <w:numId w:val="9"/>
              </w:numPr>
              <w:ind w:right="113"/>
              <w:rPr>
                <w:rFonts w:cs="Arial"/>
              </w:rPr>
            </w:pPr>
            <w:r w:rsidRPr="00B34D43">
              <w:rPr>
                <w:rFonts w:cs="Arial"/>
              </w:rPr>
              <w:t>Of those enrolments in industry-specific qualifications (</w:t>
            </w:r>
            <w:r w:rsidR="00D73A89" w:rsidRPr="00B34D43">
              <w:rPr>
                <w:rFonts w:cs="Arial"/>
              </w:rPr>
              <w:t>23</w:t>
            </w:r>
            <w:r w:rsidRPr="00B34D43">
              <w:rPr>
                <w:rFonts w:cs="Arial"/>
              </w:rPr>
              <w:t>,000 enrolments) which exclude foundation skills and short courses in Q</w:t>
            </w:r>
            <w:r w:rsidR="00D73A89" w:rsidRPr="00B34D43">
              <w:rPr>
                <w:rFonts w:cs="Arial"/>
              </w:rPr>
              <w:t>3</w:t>
            </w:r>
            <w:r w:rsidRPr="00B34D43">
              <w:rPr>
                <w:rFonts w:cs="Arial"/>
              </w:rPr>
              <w:t xml:space="preserve"> 2013, 36 per cent were in courses related to </w:t>
            </w:r>
            <w:proofErr w:type="gramStart"/>
            <w:r w:rsidRPr="00B34D43">
              <w:rPr>
                <w:rFonts w:cs="Arial"/>
              </w:rPr>
              <w:t>specialised</w:t>
            </w:r>
            <w:proofErr w:type="gramEnd"/>
            <w:r w:rsidRPr="00B34D43">
              <w:rPr>
                <w:rFonts w:cs="Arial"/>
              </w:rPr>
              <w:t xml:space="preserve"> or in shortage occupations.</w:t>
            </w:r>
            <w:r w:rsidRPr="003B1428">
              <w:rPr>
                <w:rFonts w:cs="Arial"/>
              </w:rPr>
              <w:t xml:space="preserve"> </w:t>
            </w:r>
          </w:p>
        </w:tc>
      </w:tr>
    </w:tbl>
    <w:p w:rsidR="00D67B5E" w:rsidRDefault="00D67B5E" w:rsidP="00D67B5E">
      <w:pPr>
        <w:rPr>
          <w:rFonts w:cs="Arial"/>
        </w:rPr>
      </w:pPr>
    </w:p>
    <w:p w:rsidR="00D67B5E" w:rsidRPr="001F29E3" w:rsidRDefault="00D67B5E" w:rsidP="00D67B5E">
      <w:pPr>
        <w:rPr>
          <w:rFonts w:cs="Arial"/>
        </w:rPr>
      </w:pPr>
    </w:p>
    <w:p w:rsidR="00D67B5E" w:rsidRPr="001F29E3"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3.1:</w:t>
      </w:r>
      <w:r w:rsidR="00D67B5E" w:rsidRPr="001F29E3">
        <w:rPr>
          <w:rFonts w:cs="Arial"/>
        </w:rPr>
        <w:t xml:space="preserve"> Students with a disability: government subsidised enrolments by qualification level, </w:t>
      </w:r>
      <w:r w:rsidR="00D67B5E">
        <w:rPr>
          <w:rFonts w:cs="Arial"/>
        </w:rPr>
        <w:br/>
      </w:r>
      <w:r w:rsidR="00D67B5E" w:rsidRPr="001F29E3">
        <w:rPr>
          <w:rFonts w:cs="Arial"/>
        </w:rPr>
        <w:t>2008 – 2012</w:t>
      </w:r>
    </w:p>
    <w:tbl>
      <w:tblPr>
        <w:tblW w:w="9140" w:type="dxa"/>
        <w:tblInd w:w="103" w:type="dxa"/>
        <w:tblLook w:val="04A0" w:firstRow="1" w:lastRow="0" w:firstColumn="1" w:lastColumn="0" w:noHBand="0" w:noVBand="1"/>
      </w:tblPr>
      <w:tblGrid>
        <w:gridCol w:w="2420"/>
        <w:gridCol w:w="1120"/>
        <w:gridCol w:w="1120"/>
        <w:gridCol w:w="1120"/>
        <w:gridCol w:w="1120"/>
        <w:gridCol w:w="1120"/>
        <w:gridCol w:w="1120"/>
      </w:tblGrid>
      <w:tr w:rsidR="00D67B5E" w:rsidRPr="00E64894" w:rsidTr="0051046D">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left"/>
              <w:rPr>
                <w:rFonts w:cs="Arial"/>
                <w:b/>
                <w:bCs/>
                <w:color w:val="FFFFFF"/>
                <w:sz w:val="18"/>
                <w:szCs w:val="18"/>
                <w:lang w:eastAsia="en-AU"/>
              </w:rPr>
            </w:pPr>
            <w:r w:rsidRPr="00E64894">
              <w:rPr>
                <w:rFonts w:cs="Arial"/>
                <w:b/>
                <w:bCs/>
                <w:color w:val="FFFFFF"/>
                <w:sz w:val="18"/>
                <w:szCs w:val="18"/>
                <w:lang w:eastAsia="en-AU"/>
              </w:rPr>
              <w:t>Qualification level</w:t>
            </w:r>
          </w:p>
        </w:tc>
        <w:tc>
          <w:tcPr>
            <w:tcW w:w="1120" w:type="dxa"/>
            <w:tcBorders>
              <w:top w:val="single" w:sz="4" w:space="0" w:color="5E8A00"/>
              <w:bottom w:val="single" w:sz="4" w:space="0" w:color="5E8A00"/>
            </w:tcBorders>
            <w:shd w:val="clear" w:color="000000" w:fill="5E8A00"/>
            <w:vAlign w:val="center"/>
            <w:hideMark/>
          </w:tcPr>
          <w:p w:rsidR="00D67B5E" w:rsidRPr="00E64894" w:rsidRDefault="00D67B5E" w:rsidP="00F034AF">
            <w:pPr>
              <w:spacing w:after="0" w:line="240" w:lineRule="auto"/>
              <w:ind w:firstLineChars="100" w:firstLine="181"/>
              <w:jc w:val="right"/>
              <w:rPr>
                <w:rFonts w:cs="Arial"/>
                <w:b/>
                <w:bCs/>
                <w:color w:val="FFFFFF"/>
                <w:sz w:val="18"/>
                <w:szCs w:val="18"/>
                <w:lang w:eastAsia="en-AU"/>
              </w:rPr>
            </w:pPr>
            <w:r w:rsidRPr="00E64894">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E64894" w:rsidRDefault="00D67B5E" w:rsidP="00F034AF">
            <w:pPr>
              <w:spacing w:after="0" w:line="240" w:lineRule="auto"/>
              <w:ind w:firstLineChars="100" w:firstLine="181"/>
              <w:jc w:val="right"/>
              <w:rPr>
                <w:rFonts w:cs="Arial"/>
                <w:b/>
                <w:bCs/>
                <w:color w:val="FFFFFF"/>
                <w:sz w:val="18"/>
                <w:szCs w:val="18"/>
                <w:lang w:eastAsia="en-AU"/>
              </w:rPr>
            </w:pPr>
            <w:r w:rsidRPr="00E64894">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E64894" w:rsidRDefault="00D67B5E" w:rsidP="00F034AF">
            <w:pPr>
              <w:spacing w:after="0" w:line="240" w:lineRule="auto"/>
              <w:ind w:firstLineChars="100" w:firstLine="181"/>
              <w:jc w:val="right"/>
              <w:rPr>
                <w:rFonts w:cs="Arial"/>
                <w:b/>
                <w:bCs/>
                <w:color w:val="FFFFFF"/>
                <w:sz w:val="18"/>
                <w:szCs w:val="18"/>
                <w:lang w:eastAsia="en-AU"/>
              </w:rPr>
            </w:pPr>
            <w:r w:rsidRPr="00E64894">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E64894" w:rsidRDefault="00D67B5E" w:rsidP="00F034AF">
            <w:pPr>
              <w:spacing w:after="0" w:line="240" w:lineRule="auto"/>
              <w:ind w:firstLineChars="100" w:firstLine="181"/>
              <w:jc w:val="right"/>
              <w:rPr>
                <w:rFonts w:cs="Arial"/>
                <w:b/>
                <w:bCs/>
                <w:color w:val="FFFFFF"/>
                <w:sz w:val="18"/>
                <w:szCs w:val="18"/>
                <w:lang w:eastAsia="en-AU"/>
              </w:rPr>
            </w:pPr>
            <w:r w:rsidRPr="00E64894">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E64894" w:rsidRDefault="00D67B5E" w:rsidP="00F034AF">
            <w:pPr>
              <w:spacing w:after="0" w:line="240" w:lineRule="auto"/>
              <w:ind w:firstLineChars="100" w:firstLine="181"/>
              <w:jc w:val="right"/>
              <w:rPr>
                <w:rFonts w:cs="Arial"/>
                <w:b/>
                <w:bCs/>
                <w:color w:val="FFFFFF"/>
                <w:sz w:val="18"/>
                <w:szCs w:val="18"/>
                <w:lang w:eastAsia="en-AU"/>
              </w:rPr>
            </w:pPr>
            <w:r w:rsidRPr="00E64894">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E64894" w:rsidRDefault="00D67B5E" w:rsidP="0051046D">
            <w:pPr>
              <w:spacing w:after="0" w:line="240" w:lineRule="auto"/>
              <w:jc w:val="center"/>
              <w:rPr>
                <w:rFonts w:cs="Arial"/>
                <w:b/>
                <w:bCs/>
                <w:color w:val="FFFFFF"/>
                <w:sz w:val="18"/>
                <w:szCs w:val="18"/>
                <w:lang w:eastAsia="en-AU"/>
              </w:rPr>
            </w:pPr>
            <w:r w:rsidRPr="00E64894">
              <w:rPr>
                <w:rFonts w:cs="Arial"/>
                <w:b/>
                <w:bCs/>
                <w:color w:val="FFFFFF"/>
                <w:sz w:val="18"/>
                <w:szCs w:val="18"/>
                <w:lang w:eastAsia="en-AU"/>
              </w:rPr>
              <w:t>% change</w:t>
            </w:r>
            <w:r w:rsidRPr="00E64894">
              <w:rPr>
                <w:rFonts w:cs="Arial"/>
                <w:b/>
                <w:bCs/>
                <w:color w:val="FFFFFF"/>
                <w:sz w:val="18"/>
                <w:szCs w:val="18"/>
                <w:lang w:eastAsia="en-AU"/>
              </w:rPr>
              <w:br/>
              <w:t>2008-2012</w:t>
            </w:r>
          </w:p>
        </w:tc>
      </w:tr>
      <w:tr w:rsidR="00D67B5E" w:rsidRPr="00E6489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E64894" w:rsidRDefault="00D67B5E" w:rsidP="0051046D">
            <w:pPr>
              <w:spacing w:after="0" w:line="240" w:lineRule="auto"/>
              <w:jc w:val="left"/>
              <w:rPr>
                <w:rFonts w:cs="Arial"/>
                <w:color w:val="3E5B00"/>
                <w:sz w:val="18"/>
                <w:szCs w:val="18"/>
                <w:lang w:eastAsia="en-AU"/>
              </w:rPr>
            </w:pPr>
            <w:r w:rsidRPr="00E64894">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13,300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11,200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12,400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16,300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20,000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50%</w:t>
            </w:r>
          </w:p>
        </w:tc>
      </w:tr>
      <w:tr w:rsidR="00D67B5E" w:rsidRPr="00E6489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E64894" w:rsidRDefault="00D67B5E" w:rsidP="0051046D">
            <w:pPr>
              <w:spacing w:after="0" w:line="240" w:lineRule="auto"/>
              <w:jc w:val="left"/>
              <w:rPr>
                <w:rFonts w:cs="Arial"/>
                <w:color w:val="3E5B00"/>
                <w:sz w:val="18"/>
                <w:szCs w:val="18"/>
                <w:lang w:eastAsia="en-AU"/>
              </w:rPr>
            </w:pPr>
            <w:r w:rsidRPr="00E64894">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8,600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9,000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11,000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16,500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21,200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145%</w:t>
            </w:r>
          </w:p>
        </w:tc>
      </w:tr>
      <w:tr w:rsidR="00D67B5E" w:rsidRPr="00E6489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E64894" w:rsidRDefault="00D67B5E" w:rsidP="0051046D">
            <w:pPr>
              <w:spacing w:after="0" w:line="240" w:lineRule="auto"/>
              <w:jc w:val="left"/>
              <w:rPr>
                <w:rFonts w:cs="Arial"/>
                <w:color w:val="3E5B00"/>
                <w:sz w:val="18"/>
                <w:szCs w:val="18"/>
                <w:lang w:eastAsia="en-AU"/>
              </w:rPr>
            </w:pPr>
            <w:r w:rsidRPr="00E64894">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3,300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3,600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4,000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4,900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5,000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50%</w:t>
            </w:r>
          </w:p>
        </w:tc>
      </w:tr>
      <w:tr w:rsidR="00D67B5E" w:rsidRPr="00E6489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E64894" w:rsidRDefault="00D67B5E" w:rsidP="0051046D">
            <w:pPr>
              <w:spacing w:after="0" w:line="240" w:lineRule="auto"/>
              <w:jc w:val="left"/>
              <w:rPr>
                <w:rFonts w:cs="Arial"/>
                <w:color w:val="3E5B00"/>
                <w:sz w:val="18"/>
                <w:szCs w:val="18"/>
                <w:lang w:eastAsia="en-AU"/>
              </w:rPr>
            </w:pPr>
            <w:r w:rsidRPr="00E64894">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8,300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8,400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8,300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7,200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7,700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-8%</w:t>
            </w:r>
          </w:p>
        </w:tc>
      </w:tr>
      <w:tr w:rsidR="00D67B5E" w:rsidRPr="00E6489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E64894" w:rsidRDefault="00D67B5E" w:rsidP="0051046D">
            <w:pPr>
              <w:spacing w:after="0" w:line="240" w:lineRule="auto"/>
              <w:jc w:val="left"/>
              <w:rPr>
                <w:rFonts w:cs="Arial"/>
                <w:color w:val="3E5B00"/>
                <w:sz w:val="18"/>
                <w:szCs w:val="18"/>
                <w:lang w:eastAsia="en-AU"/>
              </w:rPr>
            </w:pPr>
            <w:r w:rsidRPr="00E64894">
              <w:rPr>
                <w:rFonts w:cs="Arial"/>
                <w:color w:val="3E5B00"/>
                <w:sz w:val="18"/>
                <w:szCs w:val="18"/>
                <w:lang w:eastAsia="en-AU"/>
              </w:rPr>
              <w:t xml:space="preserve">Secondary, </w:t>
            </w:r>
            <w:proofErr w:type="spellStart"/>
            <w:r w:rsidRPr="00E64894">
              <w:rPr>
                <w:rFonts w:cs="Arial"/>
                <w:color w:val="3E5B00"/>
                <w:sz w:val="18"/>
                <w:szCs w:val="18"/>
                <w:lang w:eastAsia="en-AU"/>
              </w:rPr>
              <w:t>SoA</w:t>
            </w:r>
            <w:proofErr w:type="spellEnd"/>
            <w:r w:rsidRPr="00E64894">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2,800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2,500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2,800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3,200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 xml:space="preserve">3,800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E64894" w:rsidRDefault="00D67B5E" w:rsidP="0051046D">
            <w:pPr>
              <w:spacing w:after="0" w:line="240" w:lineRule="auto"/>
              <w:jc w:val="right"/>
              <w:rPr>
                <w:rFonts w:cs="Arial"/>
                <w:sz w:val="18"/>
                <w:szCs w:val="18"/>
                <w:lang w:eastAsia="en-AU"/>
              </w:rPr>
            </w:pPr>
            <w:r w:rsidRPr="00E64894">
              <w:rPr>
                <w:rFonts w:cs="Arial"/>
                <w:sz w:val="18"/>
                <w:szCs w:val="18"/>
                <w:lang w:eastAsia="en-AU"/>
              </w:rPr>
              <w:t>39%</w:t>
            </w:r>
          </w:p>
        </w:tc>
      </w:tr>
      <w:tr w:rsidR="00D67B5E" w:rsidRPr="00E64894" w:rsidTr="0051046D">
        <w:trPr>
          <w:trHeight w:hRule="exact" w:val="284"/>
        </w:trPr>
        <w:tc>
          <w:tcPr>
            <w:tcW w:w="2420" w:type="dxa"/>
            <w:tcBorders>
              <w:top w:val="single" w:sz="4" w:space="0" w:color="5E8A00"/>
              <w:left w:val="single" w:sz="4" w:space="0" w:color="5E8A00"/>
              <w:bottom w:val="single" w:sz="4" w:space="0" w:color="5E8A00"/>
            </w:tcBorders>
            <w:shd w:val="clear" w:color="000000" w:fill="5E8A00"/>
            <w:noWrap/>
            <w:vAlign w:val="bottom"/>
            <w:hideMark/>
          </w:tcPr>
          <w:p w:rsidR="00D67B5E" w:rsidRPr="00E64894" w:rsidRDefault="00D67B5E" w:rsidP="0051046D">
            <w:pPr>
              <w:spacing w:after="0" w:line="240" w:lineRule="auto"/>
              <w:jc w:val="left"/>
              <w:rPr>
                <w:rFonts w:cs="Arial"/>
                <w:b/>
                <w:bCs/>
                <w:color w:val="FFFFFF"/>
                <w:sz w:val="18"/>
                <w:szCs w:val="18"/>
                <w:lang w:eastAsia="en-AU"/>
              </w:rPr>
            </w:pPr>
            <w:r w:rsidRPr="00E64894">
              <w:rPr>
                <w:rFonts w:cs="Arial"/>
                <w:b/>
                <w:bCs/>
                <w:color w:val="FFFFFF"/>
                <w:sz w:val="18"/>
                <w:szCs w:val="18"/>
                <w:lang w:eastAsia="en-AU"/>
              </w:rPr>
              <w:t>Total</w:t>
            </w:r>
          </w:p>
        </w:tc>
        <w:tc>
          <w:tcPr>
            <w:tcW w:w="1120" w:type="dxa"/>
            <w:tcBorders>
              <w:top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 xml:space="preserve">36,300 </w:t>
            </w:r>
          </w:p>
        </w:tc>
        <w:tc>
          <w:tcPr>
            <w:tcW w:w="1120" w:type="dxa"/>
            <w:tcBorders>
              <w:top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 xml:space="preserve">34,700 </w:t>
            </w:r>
          </w:p>
        </w:tc>
        <w:tc>
          <w:tcPr>
            <w:tcW w:w="1120" w:type="dxa"/>
            <w:tcBorders>
              <w:top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 xml:space="preserve">38,400 </w:t>
            </w:r>
          </w:p>
        </w:tc>
        <w:tc>
          <w:tcPr>
            <w:tcW w:w="1120" w:type="dxa"/>
            <w:tcBorders>
              <w:top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 xml:space="preserve">48,000 </w:t>
            </w:r>
          </w:p>
        </w:tc>
        <w:tc>
          <w:tcPr>
            <w:tcW w:w="1120" w:type="dxa"/>
            <w:tcBorders>
              <w:top w:val="single" w:sz="4" w:space="0" w:color="5E8A00"/>
              <w:bottom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 xml:space="preserve">57,600 </w:t>
            </w:r>
          </w:p>
        </w:tc>
        <w:tc>
          <w:tcPr>
            <w:tcW w:w="1120" w:type="dxa"/>
            <w:tcBorders>
              <w:top w:val="single" w:sz="4" w:space="0" w:color="5E8A00"/>
              <w:bottom w:val="single" w:sz="4" w:space="0" w:color="5E8A00"/>
              <w:right w:val="single" w:sz="4" w:space="0" w:color="5E8A00"/>
            </w:tcBorders>
            <w:shd w:val="clear" w:color="000000" w:fill="5E8A00"/>
            <w:noWrap/>
            <w:vAlign w:val="center"/>
            <w:hideMark/>
          </w:tcPr>
          <w:p w:rsidR="00D67B5E" w:rsidRPr="00E64894" w:rsidRDefault="00D67B5E" w:rsidP="0051046D">
            <w:pPr>
              <w:spacing w:after="0" w:line="240" w:lineRule="auto"/>
              <w:jc w:val="right"/>
              <w:rPr>
                <w:rFonts w:cs="Arial"/>
                <w:b/>
                <w:bCs/>
                <w:color w:val="FFFFFF"/>
                <w:sz w:val="18"/>
                <w:szCs w:val="18"/>
                <w:lang w:eastAsia="en-AU"/>
              </w:rPr>
            </w:pPr>
            <w:r w:rsidRPr="00E64894">
              <w:rPr>
                <w:rFonts w:cs="Arial"/>
                <w:b/>
                <w:bCs/>
                <w:color w:val="FFFFFF"/>
                <w:sz w:val="18"/>
                <w:szCs w:val="18"/>
                <w:lang w:eastAsia="en-AU"/>
              </w:rPr>
              <w:t>59%</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Pr="001F29E3" w:rsidRDefault="00D67B5E" w:rsidP="00D67B5E">
      <w:pPr>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3.2:</w:t>
      </w:r>
      <w:r w:rsidR="00D67B5E" w:rsidRPr="001F29E3">
        <w:rPr>
          <w:rFonts w:cs="Arial"/>
        </w:rPr>
        <w:t xml:space="preserve"> Students with a disability: government subsidised enrolments by qualification level</w:t>
      </w:r>
      <w:proofErr w:type="gramStart"/>
      <w:r w:rsidR="00D67B5E" w:rsidRPr="001F29E3">
        <w:rPr>
          <w:rFonts w:cs="Arial"/>
        </w:rPr>
        <w:t>,</w:t>
      </w:r>
      <w:proofErr w:type="gramEnd"/>
      <w:r w:rsidR="00D67B5E">
        <w:rPr>
          <w:rFonts w:cs="Arial"/>
        </w:rPr>
        <w:br/>
        <w:t>Q</w:t>
      </w:r>
      <w:r w:rsidR="00E24AF4">
        <w:rPr>
          <w:rFonts w:cs="Arial"/>
        </w:rPr>
        <w:t>3</w:t>
      </w:r>
      <w:r w:rsidR="00D67B5E">
        <w:rPr>
          <w:rFonts w:cs="Arial"/>
        </w:rPr>
        <w:t xml:space="preserve"> 2011, </w:t>
      </w:r>
      <w:r w:rsidR="00D67B5E" w:rsidRPr="001F29E3">
        <w:rPr>
          <w:rFonts w:cs="Arial"/>
        </w:rPr>
        <w:t>Q</w:t>
      </w:r>
      <w:r w:rsidR="00E24AF4">
        <w:rPr>
          <w:rFonts w:cs="Arial"/>
        </w:rPr>
        <w:t>3</w:t>
      </w:r>
      <w:r w:rsidR="00D67B5E" w:rsidRPr="001F29E3">
        <w:rPr>
          <w:rFonts w:cs="Arial"/>
        </w:rPr>
        <w:t xml:space="preserve"> 2012 and Q</w:t>
      </w:r>
      <w:r w:rsidR="00E24AF4">
        <w:rPr>
          <w:rFonts w:cs="Arial"/>
        </w:rPr>
        <w:t>3</w:t>
      </w:r>
      <w:r w:rsidR="00D67B5E" w:rsidRPr="001F29E3">
        <w:rPr>
          <w:rFonts w:cs="Arial"/>
        </w:rPr>
        <w:t xml:space="preserve"> 2013</w:t>
      </w:r>
    </w:p>
    <w:tbl>
      <w:tblPr>
        <w:tblW w:w="8400" w:type="dxa"/>
        <w:tblInd w:w="103" w:type="dxa"/>
        <w:tblLook w:val="04A0" w:firstRow="1" w:lastRow="0" w:firstColumn="1" w:lastColumn="0" w:noHBand="0" w:noVBand="1"/>
      </w:tblPr>
      <w:tblGrid>
        <w:gridCol w:w="2800"/>
        <w:gridCol w:w="1120"/>
        <w:gridCol w:w="1120"/>
        <w:gridCol w:w="1120"/>
        <w:gridCol w:w="1120"/>
        <w:gridCol w:w="1120"/>
      </w:tblGrid>
      <w:tr w:rsidR="00E24AF4" w:rsidRPr="00E24AF4" w:rsidTr="00E24AF4">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2012-Q3 2013</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13,300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16,800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17,800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34%</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6%</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13,700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18,100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16,800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22%</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-7%</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4,800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-21%</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-25%</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5,100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5,100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6,000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18%</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16%</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 xml:space="preserve">Secondary, </w:t>
            </w:r>
            <w:proofErr w:type="spellStart"/>
            <w:r w:rsidRPr="00E24AF4">
              <w:rPr>
                <w:rFonts w:cs="Arial"/>
                <w:color w:val="3E5B00"/>
                <w:sz w:val="18"/>
                <w:szCs w:val="18"/>
                <w:lang w:eastAsia="en-AU"/>
              </w:rPr>
              <w:t>SoA</w:t>
            </w:r>
            <w:proofErr w:type="spellEnd"/>
            <w:r w:rsidRPr="00E24AF4">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3,000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38%</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15%</w:t>
            </w:r>
          </w:p>
        </w:tc>
      </w:tr>
      <w:tr w:rsidR="00E24AF4" w:rsidRPr="00E24AF4" w:rsidTr="00E24AF4">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39,200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48,000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47,700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22%</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-1%</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Pr="001F29E3" w:rsidRDefault="00D67B5E" w:rsidP="00D67B5E"/>
    <w:p w:rsidR="00D67B5E" w:rsidRPr="001F29E3" w:rsidRDefault="00D67B5E" w:rsidP="00D67B5E">
      <w:pPr>
        <w:rPr>
          <w:rFonts w:cs="Arial"/>
          <w:color w:val="76923C" w:themeColor="accent3" w:themeShade="BF"/>
          <w:sz w:val="28"/>
          <w:szCs w:val="28"/>
        </w:rPr>
      </w:pPr>
      <w:r w:rsidRPr="001F29E3">
        <w:rPr>
          <w:rFonts w:cs="Arial"/>
        </w:rPr>
        <w:br w:type="page"/>
      </w:r>
    </w:p>
    <w:p w:rsidR="00D67B5E" w:rsidRPr="001F29E3" w:rsidRDefault="00D67B5E" w:rsidP="00D67B5E">
      <w:pPr>
        <w:pStyle w:val="Heading2"/>
      </w:pPr>
      <w:bookmarkStart w:id="82" w:name="_Toc372613434"/>
      <w:r w:rsidRPr="001F29E3">
        <w:lastRenderedPageBreak/>
        <w:t>Students with a Culturally and Linguistically Diverse (CALD) Background</w:t>
      </w:r>
      <w:bookmarkEnd w:id="82"/>
      <w:r w:rsidRPr="001F29E3">
        <w:t xml:space="preserve"> </w:t>
      </w:r>
    </w:p>
    <w:p w:rsidR="00D67B5E" w:rsidRDefault="00D67B5E" w:rsidP="00D67B5E">
      <w:pPr>
        <w:rPr>
          <w:rFonts w:cs="Arial"/>
        </w:rPr>
      </w:pPr>
    </w:p>
    <w:p w:rsidR="00D67B5E" w:rsidRDefault="00D67B5E" w:rsidP="00D67B5E">
      <w:pPr>
        <w:pStyle w:val="Heading3"/>
      </w:pPr>
      <w:r>
        <w:t>Enrolments</w:t>
      </w:r>
    </w:p>
    <w:p w:rsidR="00D67B5E" w:rsidRPr="001F29E3" w:rsidRDefault="00D67B5E" w:rsidP="00D67B5E">
      <w:pPr>
        <w:pStyle w:val="Caption"/>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3B1428" w:rsidTr="0051046D">
        <w:trPr>
          <w:trHeight w:val="1449"/>
        </w:trPr>
        <w:tc>
          <w:tcPr>
            <w:tcW w:w="9088" w:type="dxa"/>
          </w:tcPr>
          <w:p w:rsidR="00D67B5E" w:rsidRDefault="00D67B5E" w:rsidP="0051046D">
            <w:pPr>
              <w:pStyle w:val="Heading3"/>
            </w:pPr>
            <w:r w:rsidRPr="003B1428">
              <w:t>Key Points</w:t>
            </w:r>
          </w:p>
          <w:p w:rsidR="00D67B5E" w:rsidRPr="00A326AF" w:rsidRDefault="00D67B5E" w:rsidP="0051046D"/>
          <w:p w:rsidR="00D67B5E" w:rsidRPr="00D95246" w:rsidRDefault="00D67B5E" w:rsidP="0051046D">
            <w:pPr>
              <w:pStyle w:val="ListBullet"/>
              <w:numPr>
                <w:ilvl w:val="0"/>
                <w:numId w:val="9"/>
              </w:numPr>
              <w:ind w:right="113"/>
              <w:rPr>
                <w:rFonts w:cs="Arial"/>
              </w:rPr>
            </w:pPr>
            <w:r w:rsidRPr="00D95246">
              <w:rPr>
                <w:rFonts w:cs="Arial"/>
              </w:rPr>
              <w:t xml:space="preserve">There were </w:t>
            </w:r>
            <w:r w:rsidR="00AE797A" w:rsidRPr="00D95246">
              <w:rPr>
                <w:rFonts w:cs="Arial"/>
              </w:rPr>
              <w:t>106</w:t>
            </w:r>
            <w:r w:rsidRPr="00D95246">
              <w:rPr>
                <w:rFonts w:cs="Arial"/>
              </w:rPr>
              <w:t>,</w:t>
            </w:r>
            <w:r w:rsidR="00AE797A" w:rsidRPr="00D95246">
              <w:rPr>
                <w:rFonts w:cs="Arial"/>
              </w:rPr>
              <w:t>2</w:t>
            </w:r>
            <w:r w:rsidRPr="00D95246">
              <w:rPr>
                <w:rFonts w:cs="Arial"/>
              </w:rPr>
              <w:t>00 students from a CALD background enrolled in 1</w:t>
            </w:r>
            <w:r w:rsidR="00AE797A" w:rsidRPr="00D95246">
              <w:rPr>
                <w:rFonts w:cs="Arial"/>
              </w:rPr>
              <w:t>43</w:t>
            </w:r>
            <w:r w:rsidRPr="00D95246">
              <w:rPr>
                <w:rFonts w:cs="Arial"/>
              </w:rPr>
              <w:t>,</w:t>
            </w:r>
            <w:r w:rsidR="00AE797A" w:rsidRPr="00D95246">
              <w:rPr>
                <w:rFonts w:cs="Arial"/>
              </w:rPr>
              <w:t>3</w:t>
            </w:r>
            <w:r w:rsidRPr="00D95246">
              <w:rPr>
                <w:rFonts w:cs="Arial"/>
              </w:rPr>
              <w:t>00 government subsidised courses in Q</w:t>
            </w:r>
            <w:r w:rsidR="00AE797A" w:rsidRPr="00D95246">
              <w:rPr>
                <w:rFonts w:cs="Arial"/>
              </w:rPr>
              <w:t>3</w:t>
            </w:r>
            <w:r w:rsidRPr="00D95246">
              <w:rPr>
                <w:rFonts w:cs="Arial"/>
              </w:rPr>
              <w:t xml:space="preserve"> 2013. More than half (56 per cent) of course enrolments at AQF Level 1 and above were in </w:t>
            </w:r>
            <w:r w:rsidR="00A516C2" w:rsidRPr="00D95246">
              <w:rPr>
                <w:rFonts w:cs="Arial"/>
              </w:rPr>
              <w:t>C</w:t>
            </w:r>
            <w:r w:rsidRPr="00D95246">
              <w:rPr>
                <w:rFonts w:cs="Arial"/>
              </w:rPr>
              <w:t>ertificate III to IV levels.</w:t>
            </w:r>
          </w:p>
          <w:p w:rsidR="00D67B5E" w:rsidRPr="00D95246" w:rsidRDefault="00D67B5E" w:rsidP="0051046D">
            <w:pPr>
              <w:pStyle w:val="ListBullet"/>
              <w:numPr>
                <w:ilvl w:val="0"/>
                <w:numId w:val="9"/>
              </w:numPr>
              <w:ind w:right="113"/>
              <w:rPr>
                <w:rFonts w:cs="Arial"/>
              </w:rPr>
            </w:pPr>
            <w:r w:rsidRPr="00D95246">
              <w:rPr>
                <w:rFonts w:cs="Arial"/>
              </w:rPr>
              <w:t>Enrolments in Diploma and above courses undertaken by students from a CALD background in Q</w:t>
            </w:r>
            <w:r w:rsidR="00AE797A" w:rsidRPr="00D95246">
              <w:rPr>
                <w:rFonts w:cs="Arial"/>
              </w:rPr>
              <w:t>3</w:t>
            </w:r>
            <w:r w:rsidRPr="00D95246">
              <w:rPr>
                <w:rFonts w:cs="Arial"/>
              </w:rPr>
              <w:t xml:space="preserve"> 2013 were lower than the corresponding figures in Q</w:t>
            </w:r>
            <w:r w:rsidR="00AE797A" w:rsidRPr="00D95246">
              <w:rPr>
                <w:rFonts w:cs="Arial"/>
              </w:rPr>
              <w:t>3</w:t>
            </w:r>
            <w:r w:rsidRPr="00D95246">
              <w:rPr>
                <w:rFonts w:cs="Arial"/>
              </w:rPr>
              <w:t xml:space="preserve"> 2011 and Q</w:t>
            </w:r>
            <w:r w:rsidR="00AE797A" w:rsidRPr="00D95246">
              <w:rPr>
                <w:rFonts w:cs="Arial"/>
              </w:rPr>
              <w:t>3</w:t>
            </w:r>
            <w:r w:rsidRPr="00D95246">
              <w:rPr>
                <w:rFonts w:cs="Arial"/>
              </w:rPr>
              <w:t xml:space="preserve"> 2012.</w:t>
            </w:r>
          </w:p>
          <w:p w:rsidR="00D67B5E" w:rsidRPr="003B1428" w:rsidRDefault="00D67B5E" w:rsidP="00B34D43">
            <w:pPr>
              <w:pStyle w:val="ListBullet"/>
              <w:numPr>
                <w:ilvl w:val="0"/>
                <w:numId w:val="9"/>
              </w:numPr>
              <w:ind w:right="113"/>
              <w:rPr>
                <w:rFonts w:cs="Arial"/>
              </w:rPr>
            </w:pPr>
            <w:r w:rsidRPr="00B34D43">
              <w:rPr>
                <w:rFonts w:cs="Arial"/>
              </w:rPr>
              <w:t>Of those enrolments in industry-specific qualifications (</w:t>
            </w:r>
            <w:r w:rsidR="004A7054" w:rsidRPr="00B34D43">
              <w:rPr>
                <w:rFonts w:cs="Arial"/>
              </w:rPr>
              <w:t>89,2</w:t>
            </w:r>
            <w:r w:rsidRPr="00B34D43">
              <w:rPr>
                <w:rFonts w:cs="Arial"/>
              </w:rPr>
              <w:t>00 enrolments) which exclude foundation skills and short courses in Q2 2013, 4</w:t>
            </w:r>
            <w:r w:rsidR="00AE797A" w:rsidRPr="00B34D43">
              <w:rPr>
                <w:rFonts w:cs="Arial"/>
              </w:rPr>
              <w:t>5</w:t>
            </w:r>
            <w:r w:rsidRPr="00B34D43">
              <w:rPr>
                <w:rFonts w:cs="Arial"/>
              </w:rPr>
              <w:t xml:space="preserve"> per cent were in courses related to </w:t>
            </w:r>
            <w:proofErr w:type="gramStart"/>
            <w:r w:rsidRPr="00B34D43">
              <w:rPr>
                <w:rFonts w:cs="Arial"/>
              </w:rPr>
              <w:t>specialised</w:t>
            </w:r>
            <w:proofErr w:type="gramEnd"/>
            <w:r w:rsidRPr="00B34D43">
              <w:rPr>
                <w:rFonts w:cs="Arial"/>
              </w:rPr>
              <w:t xml:space="preserve"> or in shortage occupations.</w:t>
            </w:r>
            <w:r w:rsidR="00BB7E11">
              <w:rPr>
                <w:rFonts w:cs="Arial"/>
              </w:rPr>
              <w:t xml:space="preserve"> </w:t>
            </w:r>
          </w:p>
        </w:tc>
      </w:tr>
    </w:tbl>
    <w:p w:rsidR="00D67B5E" w:rsidRDefault="00D67B5E" w:rsidP="00D67B5E">
      <w:pPr>
        <w:rPr>
          <w:rFonts w:cs="Arial"/>
        </w:rPr>
      </w:pPr>
    </w:p>
    <w:p w:rsidR="00D67B5E" w:rsidRPr="001F29E3" w:rsidRDefault="00D67B5E" w:rsidP="00D67B5E">
      <w:pPr>
        <w:rPr>
          <w:rFonts w:cs="Arial"/>
        </w:rPr>
      </w:pPr>
    </w:p>
    <w:p w:rsidR="00D67B5E" w:rsidRPr="001F29E3" w:rsidRDefault="005654CD" w:rsidP="00D67B5E">
      <w:pPr>
        <w:pStyle w:val="Caption"/>
        <w:spacing w:after="0"/>
        <w:rPr>
          <w:rFonts w:cs="Arial"/>
        </w:rPr>
      </w:pPr>
      <w:r>
        <w:rPr>
          <w:rFonts w:cs="Arial"/>
        </w:rPr>
        <w:t>Table 2</w:t>
      </w:r>
      <w:r w:rsidR="00D67B5E" w:rsidRPr="001F29E3">
        <w:rPr>
          <w:rFonts w:cs="Arial"/>
        </w:rPr>
        <w:t>.</w:t>
      </w:r>
      <w:r w:rsidR="00D67B5E">
        <w:rPr>
          <w:rFonts w:cs="Arial"/>
        </w:rPr>
        <w:t>4.1:</w:t>
      </w:r>
      <w:r w:rsidR="00D67B5E" w:rsidRPr="001F29E3">
        <w:rPr>
          <w:rFonts w:cs="Arial"/>
        </w:rPr>
        <w:t xml:space="preserve"> Students from a CALD background: government subsidised enrolments by qua</w:t>
      </w:r>
      <w:r w:rsidR="00D67B5E">
        <w:rPr>
          <w:rFonts w:cs="Arial"/>
        </w:rPr>
        <w:t>lification level, 2008 – 2012</w:t>
      </w:r>
    </w:p>
    <w:tbl>
      <w:tblPr>
        <w:tblW w:w="9140" w:type="dxa"/>
        <w:tblInd w:w="108" w:type="dxa"/>
        <w:tblLook w:val="04A0" w:firstRow="1" w:lastRow="0" w:firstColumn="1" w:lastColumn="0" w:noHBand="0" w:noVBand="1"/>
      </w:tblPr>
      <w:tblGrid>
        <w:gridCol w:w="2420"/>
        <w:gridCol w:w="1120"/>
        <w:gridCol w:w="1120"/>
        <w:gridCol w:w="1120"/>
        <w:gridCol w:w="1120"/>
        <w:gridCol w:w="1120"/>
        <w:gridCol w:w="1120"/>
      </w:tblGrid>
      <w:tr w:rsidR="00D67B5E" w:rsidRPr="00F7779E" w:rsidTr="00E24AF4">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D67B5E" w:rsidRPr="00F7779E" w:rsidRDefault="00D67B5E" w:rsidP="00F034AF">
            <w:pPr>
              <w:spacing w:after="0" w:line="240" w:lineRule="auto"/>
              <w:ind w:firstLineChars="100" w:firstLine="181"/>
              <w:rPr>
                <w:rFonts w:cs="Arial"/>
                <w:b/>
                <w:bCs/>
                <w:color w:val="FFFFFF"/>
                <w:sz w:val="18"/>
                <w:szCs w:val="18"/>
                <w:lang w:eastAsia="en-AU"/>
              </w:rPr>
            </w:pPr>
            <w:r w:rsidRPr="001D0105">
              <w:rPr>
                <w:rFonts w:cs="Arial"/>
                <w:b/>
                <w:bCs/>
                <w:color w:val="FFFFFF"/>
                <w:sz w:val="18"/>
                <w:szCs w:val="18"/>
                <w:lang w:eastAsia="en-AU"/>
              </w:rPr>
              <w:t>Qualification level</w:t>
            </w:r>
          </w:p>
        </w:tc>
        <w:tc>
          <w:tcPr>
            <w:tcW w:w="1120" w:type="dxa"/>
            <w:tcBorders>
              <w:top w:val="single" w:sz="4" w:space="0" w:color="5E8A00"/>
              <w:bottom w:val="single" w:sz="4" w:space="0" w:color="5E8A00"/>
            </w:tcBorders>
            <w:shd w:val="clear" w:color="000000" w:fill="5E8A00"/>
            <w:vAlign w:val="center"/>
            <w:hideMark/>
          </w:tcPr>
          <w:p w:rsidR="00D67B5E" w:rsidRPr="00F7779E" w:rsidRDefault="00D67B5E" w:rsidP="00F034AF">
            <w:pPr>
              <w:spacing w:after="0" w:line="240" w:lineRule="auto"/>
              <w:ind w:firstLineChars="100" w:firstLine="181"/>
              <w:jc w:val="right"/>
              <w:rPr>
                <w:rFonts w:cs="Arial"/>
                <w:b/>
                <w:bCs/>
                <w:color w:val="FFFFFF"/>
                <w:sz w:val="18"/>
                <w:szCs w:val="18"/>
                <w:lang w:eastAsia="en-AU"/>
              </w:rPr>
            </w:pPr>
            <w:r w:rsidRPr="00F7779E">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F7779E" w:rsidRDefault="00D67B5E" w:rsidP="00F034AF">
            <w:pPr>
              <w:spacing w:after="0" w:line="240" w:lineRule="auto"/>
              <w:ind w:firstLineChars="100" w:firstLine="181"/>
              <w:jc w:val="right"/>
              <w:rPr>
                <w:rFonts w:cs="Arial"/>
                <w:b/>
                <w:bCs/>
                <w:color w:val="FFFFFF"/>
                <w:sz w:val="18"/>
                <w:szCs w:val="18"/>
                <w:lang w:eastAsia="en-AU"/>
              </w:rPr>
            </w:pPr>
            <w:r w:rsidRPr="00F7779E">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F7779E" w:rsidRDefault="00D67B5E" w:rsidP="00F034AF">
            <w:pPr>
              <w:spacing w:after="0" w:line="240" w:lineRule="auto"/>
              <w:ind w:firstLineChars="100" w:firstLine="181"/>
              <w:jc w:val="right"/>
              <w:rPr>
                <w:rFonts w:cs="Arial"/>
                <w:b/>
                <w:bCs/>
                <w:color w:val="FFFFFF"/>
                <w:sz w:val="18"/>
                <w:szCs w:val="18"/>
                <w:lang w:eastAsia="en-AU"/>
              </w:rPr>
            </w:pPr>
            <w:r w:rsidRPr="00F7779E">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F7779E" w:rsidRDefault="00D67B5E" w:rsidP="00F034AF">
            <w:pPr>
              <w:spacing w:after="0" w:line="240" w:lineRule="auto"/>
              <w:ind w:firstLineChars="100" w:firstLine="181"/>
              <w:jc w:val="right"/>
              <w:rPr>
                <w:rFonts w:cs="Arial"/>
                <w:b/>
                <w:bCs/>
                <w:color w:val="FFFFFF"/>
                <w:sz w:val="18"/>
                <w:szCs w:val="18"/>
                <w:lang w:eastAsia="en-AU"/>
              </w:rPr>
            </w:pPr>
            <w:r w:rsidRPr="00F7779E">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F7779E" w:rsidRDefault="00D67B5E" w:rsidP="00F034AF">
            <w:pPr>
              <w:spacing w:after="0" w:line="240" w:lineRule="auto"/>
              <w:ind w:firstLineChars="100" w:firstLine="181"/>
              <w:jc w:val="right"/>
              <w:rPr>
                <w:rFonts w:cs="Arial"/>
                <w:b/>
                <w:bCs/>
                <w:color w:val="FFFFFF"/>
                <w:sz w:val="18"/>
                <w:szCs w:val="18"/>
                <w:lang w:eastAsia="en-AU"/>
              </w:rPr>
            </w:pPr>
            <w:r w:rsidRPr="00F7779E">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F7779E" w:rsidRDefault="00D67B5E" w:rsidP="0051046D">
            <w:pPr>
              <w:spacing w:after="0" w:line="240" w:lineRule="auto"/>
              <w:jc w:val="center"/>
              <w:rPr>
                <w:rFonts w:cs="Arial"/>
                <w:b/>
                <w:bCs/>
                <w:color w:val="FFFFFF"/>
                <w:sz w:val="18"/>
                <w:szCs w:val="18"/>
                <w:lang w:eastAsia="en-AU"/>
              </w:rPr>
            </w:pPr>
            <w:r w:rsidRPr="00F7779E">
              <w:rPr>
                <w:rFonts w:cs="Arial"/>
                <w:b/>
                <w:bCs/>
                <w:color w:val="FFFFFF"/>
                <w:sz w:val="18"/>
                <w:szCs w:val="18"/>
                <w:lang w:eastAsia="en-AU"/>
              </w:rPr>
              <w:t>% change</w:t>
            </w:r>
            <w:r w:rsidRPr="00F7779E">
              <w:rPr>
                <w:rFonts w:cs="Arial"/>
                <w:b/>
                <w:bCs/>
                <w:color w:val="FFFFFF"/>
                <w:sz w:val="18"/>
                <w:szCs w:val="18"/>
                <w:lang w:eastAsia="en-AU"/>
              </w:rPr>
              <w:br/>
              <w:t>2008-2012</w:t>
            </w:r>
          </w:p>
        </w:tc>
      </w:tr>
      <w:tr w:rsidR="00D67B5E" w:rsidRPr="00F7779E" w:rsidTr="00E24AF4">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F7779E" w:rsidRDefault="00D67B5E" w:rsidP="0051046D">
            <w:pPr>
              <w:spacing w:after="0" w:line="240" w:lineRule="auto"/>
              <w:jc w:val="left"/>
              <w:rPr>
                <w:rFonts w:cs="Arial"/>
                <w:color w:val="3E5B00"/>
                <w:sz w:val="18"/>
                <w:szCs w:val="18"/>
                <w:lang w:eastAsia="en-AU"/>
              </w:rPr>
            </w:pPr>
            <w:r w:rsidRPr="00F7779E">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19,800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20,100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20,400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28,500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41,600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110%</w:t>
            </w:r>
          </w:p>
        </w:tc>
      </w:tr>
      <w:tr w:rsidR="00D67B5E" w:rsidRPr="00F7779E" w:rsidTr="00E24AF4">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F7779E" w:rsidRDefault="00D67B5E" w:rsidP="0051046D">
            <w:pPr>
              <w:spacing w:after="0" w:line="240" w:lineRule="auto"/>
              <w:jc w:val="left"/>
              <w:rPr>
                <w:rFonts w:cs="Arial"/>
                <w:color w:val="3E5B00"/>
                <w:sz w:val="18"/>
                <w:szCs w:val="18"/>
                <w:lang w:eastAsia="en-AU"/>
              </w:rPr>
            </w:pPr>
            <w:r w:rsidRPr="00F7779E">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30,000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30,700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38,500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62,000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88,900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196%</w:t>
            </w:r>
          </w:p>
        </w:tc>
      </w:tr>
      <w:tr w:rsidR="00D67B5E" w:rsidRPr="00F7779E" w:rsidTr="00E24AF4">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F7779E" w:rsidRDefault="00D67B5E" w:rsidP="0051046D">
            <w:pPr>
              <w:spacing w:after="0" w:line="240" w:lineRule="auto"/>
              <w:jc w:val="left"/>
              <w:rPr>
                <w:rFonts w:cs="Arial"/>
                <w:color w:val="3E5B00"/>
                <w:sz w:val="18"/>
                <w:szCs w:val="18"/>
                <w:lang w:eastAsia="en-AU"/>
              </w:rPr>
            </w:pPr>
            <w:r w:rsidRPr="00F7779E">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13,400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15,700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17,300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22,400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23,200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73%</w:t>
            </w:r>
          </w:p>
        </w:tc>
      </w:tr>
      <w:tr w:rsidR="00D67B5E" w:rsidRPr="00F7779E" w:rsidTr="00E24AF4">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F7779E" w:rsidRDefault="00D67B5E" w:rsidP="0051046D">
            <w:pPr>
              <w:spacing w:after="0" w:line="240" w:lineRule="auto"/>
              <w:jc w:val="left"/>
              <w:rPr>
                <w:rFonts w:cs="Arial"/>
                <w:color w:val="3E5B00"/>
                <w:sz w:val="18"/>
                <w:szCs w:val="18"/>
                <w:lang w:eastAsia="en-AU"/>
              </w:rPr>
            </w:pPr>
            <w:r w:rsidRPr="00F7779E">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13,000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11,600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12,100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11,700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10,700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-17%</w:t>
            </w:r>
          </w:p>
        </w:tc>
      </w:tr>
      <w:tr w:rsidR="00D67B5E" w:rsidRPr="00F7779E" w:rsidTr="00E24AF4">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F7779E" w:rsidRDefault="00D67B5E" w:rsidP="0051046D">
            <w:pPr>
              <w:spacing w:after="0" w:line="240" w:lineRule="auto"/>
              <w:jc w:val="left"/>
              <w:rPr>
                <w:rFonts w:cs="Arial"/>
                <w:color w:val="3E5B00"/>
                <w:sz w:val="18"/>
                <w:szCs w:val="18"/>
                <w:lang w:eastAsia="en-AU"/>
              </w:rPr>
            </w:pPr>
            <w:r w:rsidRPr="00F7779E">
              <w:rPr>
                <w:rFonts w:cs="Arial"/>
                <w:color w:val="3E5B00"/>
                <w:sz w:val="18"/>
                <w:szCs w:val="18"/>
                <w:lang w:eastAsia="en-AU"/>
              </w:rPr>
              <w:t xml:space="preserve">Secondary, </w:t>
            </w:r>
            <w:proofErr w:type="spellStart"/>
            <w:r w:rsidRPr="00F7779E">
              <w:rPr>
                <w:rFonts w:cs="Arial"/>
                <w:color w:val="3E5B00"/>
                <w:sz w:val="18"/>
                <w:szCs w:val="18"/>
                <w:lang w:eastAsia="en-AU"/>
              </w:rPr>
              <w:t>SoA</w:t>
            </w:r>
            <w:proofErr w:type="spellEnd"/>
            <w:r w:rsidRPr="00F7779E">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5,000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5,400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5,400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6,200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 xml:space="preserve">8,400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7779E" w:rsidRDefault="00D67B5E" w:rsidP="0051046D">
            <w:pPr>
              <w:spacing w:after="0" w:line="240" w:lineRule="auto"/>
              <w:jc w:val="right"/>
              <w:rPr>
                <w:rFonts w:cs="Arial"/>
                <w:sz w:val="18"/>
                <w:szCs w:val="18"/>
                <w:lang w:eastAsia="en-AU"/>
              </w:rPr>
            </w:pPr>
            <w:r w:rsidRPr="00F7779E">
              <w:rPr>
                <w:rFonts w:cs="Arial"/>
                <w:sz w:val="18"/>
                <w:szCs w:val="18"/>
                <w:lang w:eastAsia="en-AU"/>
              </w:rPr>
              <w:t>67%</w:t>
            </w:r>
          </w:p>
        </w:tc>
      </w:tr>
      <w:tr w:rsidR="00D67B5E" w:rsidRPr="00F7779E" w:rsidTr="00E24AF4">
        <w:trPr>
          <w:trHeight w:hRule="exact" w:val="284"/>
        </w:trPr>
        <w:tc>
          <w:tcPr>
            <w:tcW w:w="2420" w:type="dxa"/>
            <w:tcBorders>
              <w:top w:val="single" w:sz="4" w:space="0" w:color="5E8A00"/>
              <w:left w:val="single" w:sz="4" w:space="0" w:color="5E8A00"/>
              <w:bottom w:val="single" w:sz="4" w:space="0" w:color="5E8A00"/>
            </w:tcBorders>
            <w:shd w:val="clear" w:color="000000" w:fill="5E8A00"/>
            <w:noWrap/>
            <w:vAlign w:val="bottom"/>
            <w:hideMark/>
          </w:tcPr>
          <w:p w:rsidR="00D67B5E" w:rsidRPr="00F7779E" w:rsidRDefault="00D67B5E" w:rsidP="0051046D">
            <w:pPr>
              <w:spacing w:after="0" w:line="240" w:lineRule="auto"/>
              <w:jc w:val="left"/>
              <w:rPr>
                <w:rFonts w:cs="Arial"/>
                <w:b/>
                <w:bCs/>
                <w:color w:val="FFFFFF"/>
                <w:sz w:val="18"/>
                <w:szCs w:val="18"/>
                <w:lang w:eastAsia="en-AU"/>
              </w:rPr>
            </w:pPr>
            <w:r w:rsidRPr="00F7779E">
              <w:rPr>
                <w:rFonts w:cs="Arial"/>
                <w:b/>
                <w:bCs/>
                <w:color w:val="FFFFFF"/>
                <w:sz w:val="18"/>
                <w:szCs w:val="18"/>
                <w:lang w:eastAsia="en-AU"/>
              </w:rPr>
              <w:t>Total</w:t>
            </w:r>
          </w:p>
        </w:tc>
        <w:tc>
          <w:tcPr>
            <w:tcW w:w="1120" w:type="dxa"/>
            <w:tcBorders>
              <w:top w:val="single" w:sz="4" w:space="0" w:color="5E8A00"/>
              <w:bottom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 xml:space="preserve">81,100 </w:t>
            </w:r>
          </w:p>
        </w:tc>
        <w:tc>
          <w:tcPr>
            <w:tcW w:w="1120" w:type="dxa"/>
            <w:tcBorders>
              <w:top w:val="single" w:sz="4" w:space="0" w:color="5E8A00"/>
              <w:bottom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 xml:space="preserve">83,500 </w:t>
            </w:r>
          </w:p>
        </w:tc>
        <w:tc>
          <w:tcPr>
            <w:tcW w:w="1120" w:type="dxa"/>
            <w:tcBorders>
              <w:top w:val="single" w:sz="4" w:space="0" w:color="5E8A00"/>
              <w:bottom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 xml:space="preserve">93,800 </w:t>
            </w:r>
          </w:p>
        </w:tc>
        <w:tc>
          <w:tcPr>
            <w:tcW w:w="1120" w:type="dxa"/>
            <w:tcBorders>
              <w:top w:val="single" w:sz="4" w:space="0" w:color="5E8A00"/>
              <w:bottom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 xml:space="preserve">130,700 </w:t>
            </w:r>
          </w:p>
        </w:tc>
        <w:tc>
          <w:tcPr>
            <w:tcW w:w="1120" w:type="dxa"/>
            <w:tcBorders>
              <w:top w:val="single" w:sz="4" w:space="0" w:color="5E8A00"/>
              <w:bottom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 xml:space="preserve">172,800 </w:t>
            </w:r>
          </w:p>
        </w:tc>
        <w:tc>
          <w:tcPr>
            <w:tcW w:w="1120" w:type="dxa"/>
            <w:tcBorders>
              <w:top w:val="single" w:sz="4" w:space="0" w:color="5E8A00"/>
              <w:bottom w:val="single" w:sz="4" w:space="0" w:color="5E8A00"/>
              <w:right w:val="single" w:sz="4" w:space="0" w:color="5E8A00"/>
            </w:tcBorders>
            <w:shd w:val="clear" w:color="000000" w:fill="5E8A00"/>
            <w:noWrap/>
            <w:vAlign w:val="center"/>
            <w:hideMark/>
          </w:tcPr>
          <w:p w:rsidR="00D67B5E" w:rsidRPr="00F7779E" w:rsidRDefault="00D67B5E" w:rsidP="0051046D">
            <w:pPr>
              <w:spacing w:after="0" w:line="240" w:lineRule="auto"/>
              <w:jc w:val="right"/>
              <w:rPr>
                <w:rFonts w:cs="Arial"/>
                <w:b/>
                <w:bCs/>
                <w:color w:val="FFFFFF"/>
                <w:sz w:val="18"/>
                <w:szCs w:val="18"/>
                <w:lang w:eastAsia="en-AU"/>
              </w:rPr>
            </w:pPr>
            <w:r w:rsidRPr="00F7779E">
              <w:rPr>
                <w:rFonts w:cs="Arial"/>
                <w:b/>
                <w:bCs/>
                <w:color w:val="FFFFFF"/>
                <w:sz w:val="18"/>
                <w:szCs w:val="18"/>
                <w:lang w:eastAsia="en-AU"/>
              </w:rPr>
              <w:t>113%</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Pr="001F29E3" w:rsidRDefault="00D67B5E" w:rsidP="00D67B5E">
      <w:pPr>
        <w:jc w:val="left"/>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4.2:</w:t>
      </w:r>
      <w:r w:rsidR="00D67B5E" w:rsidRPr="001F29E3">
        <w:rPr>
          <w:rFonts w:cs="Arial"/>
        </w:rPr>
        <w:t xml:space="preserve"> Students from a CALD background: government subsidised enrolments by qualification level, </w:t>
      </w:r>
      <w:r w:rsidR="00D67B5E" w:rsidRPr="001F29E3">
        <w:rPr>
          <w:rFonts w:cs="Arial"/>
        </w:rPr>
        <w:br/>
      </w:r>
      <w:r w:rsidR="00D67B5E">
        <w:rPr>
          <w:rFonts w:cs="Arial"/>
        </w:rPr>
        <w:t>Q</w:t>
      </w:r>
      <w:r w:rsidR="00E24AF4">
        <w:rPr>
          <w:rFonts w:cs="Arial"/>
        </w:rPr>
        <w:t>3</w:t>
      </w:r>
      <w:r w:rsidR="00D67B5E">
        <w:rPr>
          <w:rFonts w:cs="Arial"/>
        </w:rPr>
        <w:t xml:space="preserve"> 2011, Q</w:t>
      </w:r>
      <w:r w:rsidR="00E24AF4">
        <w:rPr>
          <w:rFonts w:cs="Arial"/>
        </w:rPr>
        <w:t>3</w:t>
      </w:r>
      <w:r w:rsidR="00D67B5E">
        <w:rPr>
          <w:rFonts w:cs="Arial"/>
        </w:rPr>
        <w:t xml:space="preserve"> </w:t>
      </w:r>
      <w:r w:rsidR="00D67B5E" w:rsidRPr="001F29E3">
        <w:rPr>
          <w:rFonts w:cs="Arial"/>
        </w:rPr>
        <w:t>2012 and Q</w:t>
      </w:r>
      <w:r w:rsidR="00E24AF4">
        <w:rPr>
          <w:rFonts w:cs="Arial"/>
        </w:rPr>
        <w:t>3</w:t>
      </w:r>
      <w:r w:rsidR="00D67B5E" w:rsidRPr="001F29E3">
        <w:rPr>
          <w:rFonts w:cs="Arial"/>
        </w:rPr>
        <w:t xml:space="preserve"> 2013</w:t>
      </w:r>
    </w:p>
    <w:tbl>
      <w:tblPr>
        <w:tblW w:w="8400" w:type="dxa"/>
        <w:tblInd w:w="103" w:type="dxa"/>
        <w:tblLook w:val="04A0" w:firstRow="1" w:lastRow="0" w:firstColumn="1" w:lastColumn="0" w:noHBand="0" w:noVBand="1"/>
      </w:tblPr>
      <w:tblGrid>
        <w:gridCol w:w="2800"/>
        <w:gridCol w:w="1120"/>
        <w:gridCol w:w="1120"/>
        <w:gridCol w:w="1120"/>
        <w:gridCol w:w="1120"/>
        <w:gridCol w:w="1120"/>
      </w:tblGrid>
      <w:tr w:rsidR="00E24AF4" w:rsidRPr="00E24AF4" w:rsidTr="00E24AF4">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change</w:t>
            </w:r>
            <w:r w:rsidRPr="00E24AF4">
              <w:rPr>
                <w:rFonts w:cs="Arial"/>
                <w:b/>
                <w:bCs/>
                <w:color w:val="FFFFFF"/>
                <w:sz w:val="18"/>
                <w:szCs w:val="18"/>
                <w:lang w:eastAsia="en-AU"/>
              </w:rPr>
              <w:br/>
              <w:t>Q3 2012-Q3 2013</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22,200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34,900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41,500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87%</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19%</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47,600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75,000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72,600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53%</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-3%</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19,600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22,100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16,600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-15%</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-25%</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7,900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7,300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8,000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1%</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9%</w:t>
            </w:r>
          </w:p>
        </w:tc>
      </w:tr>
      <w:tr w:rsidR="00E24AF4" w:rsidRPr="00E24AF4" w:rsidTr="00E24AF4">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E24AF4" w:rsidRPr="00E24AF4" w:rsidRDefault="00E24AF4" w:rsidP="00E24AF4">
            <w:pPr>
              <w:spacing w:after="0" w:line="240" w:lineRule="auto"/>
              <w:jc w:val="left"/>
              <w:rPr>
                <w:rFonts w:cs="Arial"/>
                <w:color w:val="3E5B00"/>
                <w:sz w:val="18"/>
                <w:szCs w:val="18"/>
                <w:lang w:eastAsia="en-AU"/>
              </w:rPr>
            </w:pPr>
            <w:r w:rsidRPr="00E24AF4">
              <w:rPr>
                <w:rFonts w:cs="Arial"/>
                <w:color w:val="3E5B00"/>
                <w:sz w:val="18"/>
                <w:szCs w:val="18"/>
                <w:lang w:eastAsia="en-AU"/>
              </w:rPr>
              <w:t xml:space="preserve">Secondary, </w:t>
            </w:r>
            <w:proofErr w:type="spellStart"/>
            <w:r w:rsidRPr="00E24AF4">
              <w:rPr>
                <w:rFonts w:cs="Arial"/>
                <w:color w:val="3E5B00"/>
                <w:sz w:val="18"/>
                <w:szCs w:val="18"/>
                <w:lang w:eastAsia="en-AU"/>
              </w:rPr>
              <w:t>SoA</w:t>
            </w:r>
            <w:proofErr w:type="spellEnd"/>
            <w:r w:rsidRPr="00E24AF4">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4,700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7,000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 xml:space="preserve">4,700 </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2%</w:t>
            </w:r>
          </w:p>
        </w:tc>
        <w:tc>
          <w:tcPr>
            <w:tcW w:w="1120" w:type="dxa"/>
            <w:tcBorders>
              <w:top w:val="nil"/>
              <w:left w:val="nil"/>
              <w:bottom w:val="single" w:sz="4" w:space="0" w:color="5E8A00"/>
              <w:right w:val="single" w:sz="4" w:space="0" w:color="5E8A00"/>
            </w:tcBorders>
            <w:shd w:val="clear" w:color="auto" w:fill="auto"/>
            <w:noWrap/>
            <w:vAlign w:val="center"/>
            <w:hideMark/>
          </w:tcPr>
          <w:p w:rsidR="00E24AF4" w:rsidRPr="00E24AF4" w:rsidRDefault="00E24AF4" w:rsidP="00E24AF4">
            <w:pPr>
              <w:spacing w:after="0" w:line="240" w:lineRule="auto"/>
              <w:jc w:val="right"/>
              <w:rPr>
                <w:rFonts w:cs="Arial"/>
                <w:sz w:val="18"/>
                <w:szCs w:val="18"/>
                <w:lang w:eastAsia="en-AU"/>
              </w:rPr>
            </w:pPr>
            <w:r w:rsidRPr="00E24AF4">
              <w:rPr>
                <w:rFonts w:cs="Arial"/>
                <w:sz w:val="18"/>
                <w:szCs w:val="18"/>
                <w:lang w:eastAsia="en-AU"/>
              </w:rPr>
              <w:t>-33%</w:t>
            </w:r>
          </w:p>
        </w:tc>
      </w:tr>
      <w:tr w:rsidR="00E24AF4" w:rsidRPr="00E24AF4" w:rsidTr="00E24AF4">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E24AF4" w:rsidRPr="00E24AF4" w:rsidRDefault="00E24AF4" w:rsidP="00E24AF4">
            <w:pPr>
              <w:spacing w:after="0" w:line="240" w:lineRule="auto"/>
              <w:jc w:val="left"/>
              <w:rPr>
                <w:rFonts w:cs="Arial"/>
                <w:b/>
                <w:bCs/>
                <w:color w:val="FFFFFF"/>
                <w:sz w:val="18"/>
                <w:szCs w:val="18"/>
                <w:lang w:eastAsia="en-AU"/>
              </w:rPr>
            </w:pPr>
            <w:r w:rsidRPr="00E24AF4">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101,900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146,300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 xml:space="preserve">143,300 </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41%</w:t>
            </w:r>
          </w:p>
        </w:tc>
        <w:tc>
          <w:tcPr>
            <w:tcW w:w="1120" w:type="dxa"/>
            <w:tcBorders>
              <w:top w:val="nil"/>
              <w:left w:val="nil"/>
              <w:bottom w:val="nil"/>
              <w:right w:val="single" w:sz="4" w:space="0" w:color="5E8A00"/>
            </w:tcBorders>
            <w:shd w:val="clear" w:color="000000" w:fill="5E8A00"/>
            <w:noWrap/>
            <w:vAlign w:val="center"/>
            <w:hideMark/>
          </w:tcPr>
          <w:p w:rsidR="00E24AF4" w:rsidRPr="00E24AF4" w:rsidRDefault="00E24AF4" w:rsidP="00E24AF4">
            <w:pPr>
              <w:spacing w:after="0" w:line="240" w:lineRule="auto"/>
              <w:jc w:val="right"/>
              <w:rPr>
                <w:rFonts w:cs="Arial"/>
                <w:b/>
                <w:bCs/>
                <w:color w:val="FFFFFF"/>
                <w:sz w:val="18"/>
                <w:szCs w:val="18"/>
                <w:lang w:eastAsia="en-AU"/>
              </w:rPr>
            </w:pPr>
            <w:r w:rsidRPr="00E24AF4">
              <w:rPr>
                <w:rFonts w:cs="Arial"/>
                <w:b/>
                <w:bCs/>
                <w:color w:val="FFFFFF"/>
                <w:sz w:val="18"/>
                <w:szCs w:val="18"/>
                <w:lang w:eastAsia="en-AU"/>
              </w:rPr>
              <w:t>-2%</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Default="00D67B5E" w:rsidP="00D67B5E">
      <w:pPr>
        <w:spacing w:after="0" w:line="240" w:lineRule="auto"/>
        <w:jc w:val="left"/>
        <w:rPr>
          <w:rFonts w:cs="Arial"/>
        </w:rPr>
      </w:pPr>
      <w:r>
        <w:rPr>
          <w:rFonts w:cs="Arial"/>
        </w:rPr>
        <w:br w:type="page"/>
      </w:r>
    </w:p>
    <w:p w:rsidR="00D67B5E" w:rsidRPr="001F29E3" w:rsidRDefault="00D67B5E" w:rsidP="00D67B5E">
      <w:pPr>
        <w:pStyle w:val="Heading2"/>
      </w:pPr>
      <w:bookmarkStart w:id="83" w:name="_Toc372613435"/>
      <w:r w:rsidRPr="001F29E3">
        <w:lastRenderedPageBreak/>
        <w:t>Unemployed Students</w:t>
      </w:r>
      <w:bookmarkEnd w:id="83"/>
    </w:p>
    <w:p w:rsidR="00D67B5E" w:rsidRDefault="00D67B5E" w:rsidP="00D67B5E"/>
    <w:p w:rsidR="00D67B5E" w:rsidRDefault="00D67B5E" w:rsidP="00D67B5E">
      <w:pPr>
        <w:pStyle w:val="Heading3"/>
      </w:pPr>
      <w:r>
        <w:t>Enrolments</w:t>
      </w:r>
    </w:p>
    <w:p w:rsidR="00D67B5E" w:rsidRDefault="00D67B5E" w:rsidP="00D67B5E">
      <w:pPr>
        <w:jc w:val="left"/>
        <w:rPr>
          <w:rFonts w:cs="Arial"/>
          <w:b/>
          <w:bCs/>
          <w:color w:val="76923C"/>
          <w:szCs w:val="19"/>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3B1428" w:rsidTr="0051046D">
        <w:trPr>
          <w:trHeight w:val="1449"/>
        </w:trPr>
        <w:tc>
          <w:tcPr>
            <w:tcW w:w="9088" w:type="dxa"/>
          </w:tcPr>
          <w:p w:rsidR="00D67B5E" w:rsidRDefault="00D67B5E" w:rsidP="0051046D">
            <w:pPr>
              <w:pStyle w:val="Heading3"/>
            </w:pPr>
            <w:r w:rsidRPr="003B1428">
              <w:t>Key Points</w:t>
            </w:r>
          </w:p>
          <w:p w:rsidR="00D67B5E" w:rsidRPr="00A326AF" w:rsidRDefault="00D67B5E" w:rsidP="0051046D"/>
          <w:p w:rsidR="00D67B5E" w:rsidRPr="00D95246" w:rsidRDefault="00D67B5E" w:rsidP="0051046D">
            <w:pPr>
              <w:pStyle w:val="ListBullet"/>
              <w:numPr>
                <w:ilvl w:val="0"/>
                <w:numId w:val="9"/>
              </w:numPr>
              <w:ind w:right="113"/>
              <w:rPr>
                <w:rFonts w:cs="Arial"/>
              </w:rPr>
            </w:pPr>
            <w:r w:rsidRPr="00D95246">
              <w:rPr>
                <w:rFonts w:cs="Arial"/>
              </w:rPr>
              <w:t>The number of government subsidised course enrolments undertaken by unemployed students in Q</w:t>
            </w:r>
            <w:r w:rsidR="00D95246" w:rsidRPr="00D95246">
              <w:rPr>
                <w:rFonts w:cs="Arial"/>
              </w:rPr>
              <w:t>3</w:t>
            </w:r>
            <w:r w:rsidRPr="00D95246">
              <w:rPr>
                <w:rFonts w:cs="Arial"/>
              </w:rPr>
              <w:t xml:space="preserve"> 2013 was 1</w:t>
            </w:r>
            <w:r w:rsidR="00D95246" w:rsidRPr="00D95246">
              <w:rPr>
                <w:rFonts w:cs="Arial"/>
              </w:rPr>
              <w:t>48</w:t>
            </w:r>
            <w:r w:rsidRPr="00D95246">
              <w:rPr>
                <w:rFonts w:cs="Arial"/>
              </w:rPr>
              <w:t>,</w:t>
            </w:r>
            <w:r w:rsidR="00D95246" w:rsidRPr="00D95246">
              <w:rPr>
                <w:rFonts w:cs="Arial"/>
              </w:rPr>
              <w:t>1</w:t>
            </w:r>
            <w:r w:rsidRPr="00D95246">
              <w:rPr>
                <w:rFonts w:cs="Arial"/>
              </w:rPr>
              <w:t xml:space="preserve">00 which were undertaken by </w:t>
            </w:r>
            <w:r w:rsidR="00D95246" w:rsidRPr="00D95246">
              <w:rPr>
                <w:rFonts w:cs="Arial"/>
              </w:rPr>
              <w:t>107,800</w:t>
            </w:r>
            <w:r w:rsidRPr="00D95246">
              <w:rPr>
                <w:rFonts w:cs="Arial"/>
              </w:rPr>
              <w:t xml:space="preserve"> unemployed students. About one in two AQF cour</w:t>
            </w:r>
            <w:r w:rsidR="00D95246" w:rsidRPr="00D95246">
              <w:rPr>
                <w:rFonts w:cs="Arial"/>
              </w:rPr>
              <w:t xml:space="preserve">ses undertaken </w:t>
            </w:r>
            <w:r w:rsidRPr="00D95246">
              <w:rPr>
                <w:rFonts w:cs="Arial"/>
              </w:rPr>
              <w:t xml:space="preserve">by unemployed students was in Certificate III to IV levels. </w:t>
            </w:r>
          </w:p>
          <w:p w:rsidR="00D67B5E" w:rsidRPr="00D95246" w:rsidRDefault="00D67B5E" w:rsidP="0051046D">
            <w:pPr>
              <w:pStyle w:val="ListBullet"/>
              <w:numPr>
                <w:ilvl w:val="0"/>
                <w:numId w:val="9"/>
              </w:numPr>
              <w:ind w:right="113"/>
              <w:rPr>
                <w:rFonts w:cs="Arial"/>
              </w:rPr>
            </w:pPr>
            <w:r w:rsidRPr="00D95246">
              <w:rPr>
                <w:rFonts w:cs="Arial"/>
              </w:rPr>
              <w:t>Enrolments in Diploma and above courses undertaken by unemployed students in Q</w:t>
            </w:r>
            <w:r w:rsidR="00D95246" w:rsidRPr="00D95246">
              <w:rPr>
                <w:rFonts w:cs="Arial"/>
              </w:rPr>
              <w:t>3</w:t>
            </w:r>
            <w:r w:rsidRPr="00D95246">
              <w:rPr>
                <w:rFonts w:cs="Arial"/>
              </w:rPr>
              <w:t xml:space="preserve"> 2013 were lower than the corresponding figures in Q</w:t>
            </w:r>
            <w:r w:rsidR="00D95246" w:rsidRPr="00D95246">
              <w:rPr>
                <w:rFonts w:cs="Arial"/>
              </w:rPr>
              <w:t>3</w:t>
            </w:r>
            <w:r w:rsidRPr="00D95246">
              <w:rPr>
                <w:rFonts w:cs="Arial"/>
              </w:rPr>
              <w:t xml:space="preserve"> 2011 and Q</w:t>
            </w:r>
            <w:r w:rsidR="00D95246" w:rsidRPr="00D95246">
              <w:rPr>
                <w:rFonts w:cs="Arial"/>
              </w:rPr>
              <w:t>3</w:t>
            </w:r>
            <w:r w:rsidRPr="00D95246">
              <w:rPr>
                <w:rFonts w:cs="Arial"/>
              </w:rPr>
              <w:t xml:space="preserve"> 2012.</w:t>
            </w:r>
          </w:p>
          <w:p w:rsidR="00D67B5E" w:rsidRPr="003B1428" w:rsidRDefault="00D67B5E" w:rsidP="00B34D43">
            <w:pPr>
              <w:pStyle w:val="ListBullet"/>
              <w:numPr>
                <w:ilvl w:val="0"/>
                <w:numId w:val="9"/>
              </w:numPr>
              <w:ind w:right="113"/>
              <w:rPr>
                <w:rFonts w:cs="Arial"/>
              </w:rPr>
            </w:pPr>
            <w:r w:rsidRPr="00B34D43">
              <w:rPr>
                <w:rFonts w:cs="Arial"/>
              </w:rPr>
              <w:t>Of those enrolments in industry-specific qualifications (</w:t>
            </w:r>
            <w:r w:rsidR="00D95246" w:rsidRPr="00B34D43">
              <w:rPr>
                <w:rFonts w:cs="Arial"/>
              </w:rPr>
              <w:t>87,600</w:t>
            </w:r>
            <w:r w:rsidRPr="00B34D43">
              <w:rPr>
                <w:rFonts w:cs="Arial"/>
              </w:rPr>
              <w:t xml:space="preserve"> enrolments) which exclude foundation skills and short courses in Q</w:t>
            </w:r>
            <w:r w:rsidR="00D95246" w:rsidRPr="00B34D43">
              <w:rPr>
                <w:rFonts w:cs="Arial"/>
              </w:rPr>
              <w:t>3</w:t>
            </w:r>
            <w:r w:rsidRPr="00B34D43">
              <w:rPr>
                <w:rFonts w:cs="Arial"/>
              </w:rPr>
              <w:t xml:space="preserve"> 2013, 38 per cent were in courses related to </w:t>
            </w:r>
            <w:proofErr w:type="gramStart"/>
            <w:r w:rsidRPr="00B34D43">
              <w:rPr>
                <w:rFonts w:cs="Arial"/>
              </w:rPr>
              <w:t>specialised</w:t>
            </w:r>
            <w:proofErr w:type="gramEnd"/>
            <w:r w:rsidRPr="00B34D43">
              <w:rPr>
                <w:rFonts w:cs="Arial"/>
              </w:rPr>
              <w:t xml:space="preserve"> or in shortage occupations.</w:t>
            </w:r>
            <w:r w:rsidRPr="003B1428">
              <w:rPr>
                <w:rFonts w:cs="Arial"/>
              </w:rPr>
              <w:t xml:space="preserve"> </w:t>
            </w:r>
          </w:p>
        </w:tc>
      </w:tr>
    </w:tbl>
    <w:p w:rsidR="00D67B5E" w:rsidRDefault="00D67B5E" w:rsidP="00D67B5E">
      <w:pPr>
        <w:jc w:val="left"/>
        <w:rPr>
          <w:rFonts w:cs="Arial"/>
          <w:b/>
          <w:bCs/>
          <w:color w:val="76923C"/>
          <w:szCs w:val="19"/>
        </w:rPr>
      </w:pPr>
    </w:p>
    <w:p w:rsidR="00D67B5E" w:rsidRPr="001F29E3" w:rsidRDefault="00D67B5E" w:rsidP="00D67B5E">
      <w:pPr>
        <w:jc w:val="left"/>
        <w:rPr>
          <w:rFonts w:cs="Arial"/>
          <w:b/>
          <w:bCs/>
          <w:color w:val="76923C"/>
          <w:szCs w:val="19"/>
        </w:rPr>
      </w:pPr>
    </w:p>
    <w:p w:rsidR="00D67B5E" w:rsidRPr="001F29E3"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5.1</w:t>
      </w:r>
      <w:r w:rsidR="00D67B5E" w:rsidRPr="001F29E3">
        <w:rPr>
          <w:rFonts w:cs="Arial"/>
        </w:rPr>
        <w:t>: Unemployed students: government subsidised enrolments by qu</w:t>
      </w:r>
      <w:r w:rsidR="00D67B5E">
        <w:rPr>
          <w:rFonts w:cs="Arial"/>
        </w:rPr>
        <w:t>alification level, 2008 – 2012</w:t>
      </w:r>
    </w:p>
    <w:tbl>
      <w:tblPr>
        <w:tblW w:w="9140" w:type="dxa"/>
        <w:tblInd w:w="103" w:type="dxa"/>
        <w:tblLook w:val="04A0" w:firstRow="1" w:lastRow="0" w:firstColumn="1" w:lastColumn="0" w:noHBand="0" w:noVBand="1"/>
      </w:tblPr>
      <w:tblGrid>
        <w:gridCol w:w="2420"/>
        <w:gridCol w:w="1120"/>
        <w:gridCol w:w="1120"/>
        <w:gridCol w:w="1120"/>
        <w:gridCol w:w="1120"/>
        <w:gridCol w:w="1120"/>
        <w:gridCol w:w="1120"/>
      </w:tblGrid>
      <w:tr w:rsidR="00D67B5E" w:rsidRPr="00F67E85" w:rsidTr="0051046D">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D67B5E" w:rsidRPr="00F67E85" w:rsidRDefault="00D67B5E" w:rsidP="0051046D">
            <w:pPr>
              <w:spacing w:after="0" w:line="240" w:lineRule="auto"/>
              <w:jc w:val="left"/>
              <w:rPr>
                <w:rFonts w:cs="Arial"/>
                <w:b/>
                <w:bCs/>
                <w:color w:val="FFFFFF"/>
                <w:sz w:val="18"/>
                <w:szCs w:val="18"/>
                <w:lang w:eastAsia="en-AU"/>
              </w:rPr>
            </w:pPr>
            <w:r w:rsidRPr="00F67E85">
              <w:rPr>
                <w:rFonts w:cs="Arial"/>
                <w:b/>
                <w:bCs/>
                <w:color w:val="FFFFFF"/>
                <w:sz w:val="18"/>
                <w:szCs w:val="18"/>
                <w:lang w:eastAsia="en-AU"/>
              </w:rPr>
              <w:t>Qualification level</w:t>
            </w:r>
          </w:p>
        </w:tc>
        <w:tc>
          <w:tcPr>
            <w:tcW w:w="1120" w:type="dxa"/>
            <w:tcBorders>
              <w:top w:val="single" w:sz="4" w:space="0" w:color="5E8A00"/>
              <w:bottom w:val="single" w:sz="4" w:space="0" w:color="5E8A00"/>
            </w:tcBorders>
            <w:shd w:val="clear" w:color="000000" w:fill="5E8A00"/>
            <w:vAlign w:val="center"/>
            <w:hideMark/>
          </w:tcPr>
          <w:p w:rsidR="00D67B5E" w:rsidRPr="00F67E85" w:rsidRDefault="00D67B5E" w:rsidP="00F034AF">
            <w:pPr>
              <w:spacing w:after="0" w:line="240" w:lineRule="auto"/>
              <w:ind w:firstLineChars="100" w:firstLine="181"/>
              <w:jc w:val="right"/>
              <w:rPr>
                <w:rFonts w:cs="Arial"/>
                <w:b/>
                <w:bCs/>
                <w:color w:val="FFFFFF"/>
                <w:sz w:val="18"/>
                <w:szCs w:val="18"/>
                <w:lang w:eastAsia="en-AU"/>
              </w:rPr>
            </w:pPr>
            <w:r w:rsidRPr="00F67E85">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F67E85" w:rsidRDefault="00D67B5E" w:rsidP="00F034AF">
            <w:pPr>
              <w:spacing w:after="0" w:line="240" w:lineRule="auto"/>
              <w:ind w:firstLineChars="100" w:firstLine="181"/>
              <w:jc w:val="right"/>
              <w:rPr>
                <w:rFonts w:cs="Arial"/>
                <w:b/>
                <w:bCs/>
                <w:color w:val="FFFFFF"/>
                <w:sz w:val="18"/>
                <w:szCs w:val="18"/>
                <w:lang w:eastAsia="en-AU"/>
              </w:rPr>
            </w:pPr>
            <w:r w:rsidRPr="00F67E85">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F67E85" w:rsidRDefault="00D67B5E" w:rsidP="00F034AF">
            <w:pPr>
              <w:spacing w:after="0" w:line="240" w:lineRule="auto"/>
              <w:ind w:firstLineChars="100" w:firstLine="181"/>
              <w:jc w:val="right"/>
              <w:rPr>
                <w:rFonts w:cs="Arial"/>
                <w:b/>
                <w:bCs/>
                <w:color w:val="FFFFFF"/>
                <w:sz w:val="18"/>
                <w:szCs w:val="18"/>
                <w:lang w:eastAsia="en-AU"/>
              </w:rPr>
            </w:pPr>
            <w:r w:rsidRPr="00F67E85">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F67E85" w:rsidRDefault="00D67B5E" w:rsidP="00F034AF">
            <w:pPr>
              <w:spacing w:after="0" w:line="240" w:lineRule="auto"/>
              <w:ind w:firstLineChars="100" w:firstLine="181"/>
              <w:jc w:val="right"/>
              <w:rPr>
                <w:rFonts w:cs="Arial"/>
                <w:b/>
                <w:bCs/>
                <w:color w:val="FFFFFF"/>
                <w:sz w:val="18"/>
                <w:szCs w:val="18"/>
                <w:lang w:eastAsia="en-AU"/>
              </w:rPr>
            </w:pPr>
            <w:r w:rsidRPr="00F67E85">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F67E85" w:rsidRDefault="00D67B5E" w:rsidP="00F034AF">
            <w:pPr>
              <w:spacing w:after="0" w:line="240" w:lineRule="auto"/>
              <w:ind w:firstLineChars="100" w:firstLine="181"/>
              <w:jc w:val="right"/>
              <w:rPr>
                <w:rFonts w:cs="Arial"/>
                <w:b/>
                <w:bCs/>
                <w:color w:val="FFFFFF"/>
                <w:sz w:val="18"/>
                <w:szCs w:val="18"/>
                <w:lang w:eastAsia="en-AU"/>
              </w:rPr>
            </w:pPr>
            <w:r w:rsidRPr="00F67E85">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change</w:t>
            </w:r>
            <w:r w:rsidRPr="00F67E85">
              <w:rPr>
                <w:rFonts w:cs="Arial"/>
                <w:b/>
                <w:bCs/>
                <w:color w:val="FFFFFF"/>
                <w:sz w:val="18"/>
                <w:szCs w:val="18"/>
                <w:lang w:eastAsia="en-AU"/>
              </w:rPr>
              <w:br/>
              <w:t>2008-2012</w:t>
            </w:r>
          </w:p>
        </w:tc>
      </w:tr>
      <w:tr w:rsidR="00D67B5E" w:rsidRPr="00F67E85"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F67E85" w:rsidRDefault="00D67B5E" w:rsidP="0051046D">
            <w:pPr>
              <w:spacing w:after="0" w:line="240" w:lineRule="auto"/>
              <w:jc w:val="left"/>
              <w:rPr>
                <w:rFonts w:cs="Arial"/>
                <w:color w:val="3E5B00"/>
                <w:sz w:val="18"/>
                <w:szCs w:val="18"/>
                <w:lang w:eastAsia="en-AU"/>
              </w:rPr>
            </w:pPr>
            <w:r w:rsidRPr="00F67E85">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18,800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21,600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25,700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37,000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54,100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188%</w:t>
            </w:r>
          </w:p>
        </w:tc>
      </w:tr>
      <w:tr w:rsidR="00D67B5E" w:rsidRPr="00F67E85"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F67E85" w:rsidRDefault="00D67B5E" w:rsidP="0051046D">
            <w:pPr>
              <w:spacing w:after="0" w:line="240" w:lineRule="auto"/>
              <w:jc w:val="left"/>
              <w:rPr>
                <w:rFonts w:cs="Arial"/>
                <w:color w:val="3E5B00"/>
                <w:sz w:val="18"/>
                <w:szCs w:val="18"/>
                <w:lang w:eastAsia="en-AU"/>
              </w:rPr>
            </w:pPr>
            <w:r w:rsidRPr="00F67E85">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17,400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21,200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30,200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54,500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77,200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344%</w:t>
            </w:r>
          </w:p>
        </w:tc>
      </w:tr>
      <w:tr w:rsidR="00D67B5E" w:rsidRPr="00F67E85"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F67E85" w:rsidRDefault="00D67B5E" w:rsidP="0051046D">
            <w:pPr>
              <w:spacing w:after="0" w:line="240" w:lineRule="auto"/>
              <w:jc w:val="left"/>
              <w:rPr>
                <w:rFonts w:cs="Arial"/>
                <w:color w:val="3E5B00"/>
                <w:sz w:val="18"/>
                <w:szCs w:val="18"/>
                <w:lang w:eastAsia="en-AU"/>
              </w:rPr>
            </w:pPr>
            <w:r w:rsidRPr="00F67E85">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9,100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10,700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13,200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16,600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15,700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72%</w:t>
            </w:r>
          </w:p>
        </w:tc>
      </w:tr>
      <w:tr w:rsidR="00D67B5E" w:rsidRPr="00F67E85"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F67E85" w:rsidRDefault="00D67B5E" w:rsidP="0051046D">
            <w:pPr>
              <w:spacing w:after="0" w:line="240" w:lineRule="auto"/>
              <w:jc w:val="left"/>
              <w:rPr>
                <w:rFonts w:cs="Arial"/>
                <w:color w:val="3E5B00"/>
                <w:sz w:val="18"/>
                <w:szCs w:val="18"/>
                <w:lang w:eastAsia="en-AU"/>
              </w:rPr>
            </w:pPr>
            <w:r w:rsidRPr="00F67E85">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13,000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11,700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10,600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8,300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7,900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-39%</w:t>
            </w:r>
          </w:p>
        </w:tc>
      </w:tr>
      <w:tr w:rsidR="00D67B5E" w:rsidRPr="00F67E85"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F67E85" w:rsidRDefault="00D67B5E" w:rsidP="0051046D">
            <w:pPr>
              <w:spacing w:after="0" w:line="240" w:lineRule="auto"/>
              <w:jc w:val="left"/>
              <w:rPr>
                <w:rFonts w:cs="Arial"/>
                <w:color w:val="3E5B00"/>
                <w:sz w:val="18"/>
                <w:szCs w:val="18"/>
                <w:lang w:eastAsia="en-AU"/>
              </w:rPr>
            </w:pPr>
            <w:r w:rsidRPr="00F67E85">
              <w:rPr>
                <w:rFonts w:cs="Arial"/>
                <w:color w:val="3E5B00"/>
                <w:sz w:val="18"/>
                <w:szCs w:val="18"/>
                <w:lang w:eastAsia="en-AU"/>
              </w:rPr>
              <w:t xml:space="preserve">Secondary, </w:t>
            </w:r>
            <w:proofErr w:type="spellStart"/>
            <w:r w:rsidRPr="00F67E85">
              <w:rPr>
                <w:rFonts w:cs="Arial"/>
                <w:color w:val="3E5B00"/>
                <w:sz w:val="18"/>
                <w:szCs w:val="18"/>
                <w:lang w:eastAsia="en-AU"/>
              </w:rPr>
              <w:t>SoA</w:t>
            </w:r>
            <w:proofErr w:type="spellEnd"/>
            <w:r w:rsidRPr="00F67E85">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5,300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6,000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6,300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6,500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 xml:space="preserve">8,000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F67E85" w:rsidRDefault="00D67B5E" w:rsidP="0051046D">
            <w:pPr>
              <w:spacing w:after="0" w:line="240" w:lineRule="auto"/>
              <w:jc w:val="right"/>
              <w:rPr>
                <w:rFonts w:cs="Arial"/>
                <w:sz w:val="18"/>
                <w:szCs w:val="18"/>
                <w:lang w:eastAsia="en-AU"/>
              </w:rPr>
            </w:pPr>
            <w:r w:rsidRPr="00F67E85">
              <w:rPr>
                <w:rFonts w:cs="Arial"/>
                <w:sz w:val="18"/>
                <w:szCs w:val="18"/>
                <w:lang w:eastAsia="en-AU"/>
              </w:rPr>
              <w:t>52%</w:t>
            </w:r>
          </w:p>
        </w:tc>
      </w:tr>
      <w:tr w:rsidR="00D67B5E" w:rsidRPr="00F67E85" w:rsidTr="0051046D">
        <w:trPr>
          <w:trHeight w:hRule="exact" w:val="284"/>
        </w:trPr>
        <w:tc>
          <w:tcPr>
            <w:tcW w:w="2420" w:type="dxa"/>
            <w:tcBorders>
              <w:top w:val="single" w:sz="4" w:space="0" w:color="5E8A00"/>
              <w:left w:val="single" w:sz="4" w:space="0" w:color="5E8A00"/>
              <w:bottom w:val="nil"/>
            </w:tcBorders>
            <w:shd w:val="clear" w:color="000000" w:fill="5E8A00"/>
            <w:noWrap/>
            <w:vAlign w:val="center"/>
            <w:hideMark/>
          </w:tcPr>
          <w:p w:rsidR="00D67B5E" w:rsidRPr="00F67E85" w:rsidRDefault="00D67B5E" w:rsidP="0051046D">
            <w:pPr>
              <w:spacing w:after="0" w:line="240" w:lineRule="auto"/>
              <w:jc w:val="left"/>
              <w:rPr>
                <w:rFonts w:cs="Arial"/>
                <w:b/>
                <w:bCs/>
                <w:color w:val="FFFFFF"/>
                <w:sz w:val="18"/>
                <w:szCs w:val="18"/>
                <w:lang w:eastAsia="en-AU"/>
              </w:rPr>
            </w:pPr>
            <w:r w:rsidRPr="00F67E85">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xml:space="preserve">63,600 </w:t>
            </w:r>
          </w:p>
        </w:tc>
        <w:tc>
          <w:tcPr>
            <w:tcW w:w="1120" w:type="dxa"/>
            <w:tcBorders>
              <w:top w:val="single" w:sz="4" w:space="0" w:color="5E8A00"/>
              <w:bottom w:val="nil"/>
            </w:tcBorders>
            <w:shd w:val="clear" w:color="000000" w:fill="5E8A00"/>
            <w:noWrap/>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xml:space="preserve">71,200 </w:t>
            </w:r>
          </w:p>
        </w:tc>
        <w:tc>
          <w:tcPr>
            <w:tcW w:w="1120" w:type="dxa"/>
            <w:tcBorders>
              <w:top w:val="single" w:sz="4" w:space="0" w:color="5E8A00"/>
              <w:bottom w:val="nil"/>
            </w:tcBorders>
            <w:shd w:val="clear" w:color="000000" w:fill="5E8A00"/>
            <w:noWrap/>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xml:space="preserve">86,000 </w:t>
            </w:r>
          </w:p>
        </w:tc>
        <w:tc>
          <w:tcPr>
            <w:tcW w:w="1120" w:type="dxa"/>
            <w:tcBorders>
              <w:top w:val="single" w:sz="4" w:space="0" w:color="5E8A00"/>
              <w:bottom w:val="nil"/>
            </w:tcBorders>
            <w:shd w:val="clear" w:color="000000" w:fill="5E8A00"/>
            <w:noWrap/>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xml:space="preserve">123,000 </w:t>
            </w:r>
          </w:p>
        </w:tc>
        <w:tc>
          <w:tcPr>
            <w:tcW w:w="1120" w:type="dxa"/>
            <w:tcBorders>
              <w:top w:val="single" w:sz="4" w:space="0" w:color="5E8A00"/>
              <w:bottom w:val="nil"/>
            </w:tcBorders>
            <w:shd w:val="clear" w:color="000000" w:fill="5E8A00"/>
            <w:noWrap/>
            <w:vAlign w:val="center"/>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 xml:space="preserve">162,900 </w:t>
            </w:r>
          </w:p>
        </w:tc>
        <w:tc>
          <w:tcPr>
            <w:tcW w:w="1120" w:type="dxa"/>
            <w:tcBorders>
              <w:top w:val="single" w:sz="4" w:space="0" w:color="5E8A00"/>
              <w:bottom w:val="nil"/>
              <w:right w:val="single" w:sz="4" w:space="0" w:color="5E8A00"/>
            </w:tcBorders>
            <w:shd w:val="clear" w:color="000000" w:fill="5E8A00"/>
            <w:noWrap/>
            <w:vAlign w:val="bottom"/>
            <w:hideMark/>
          </w:tcPr>
          <w:p w:rsidR="00D67B5E" w:rsidRPr="00F67E85" w:rsidRDefault="00D67B5E" w:rsidP="0051046D">
            <w:pPr>
              <w:spacing w:after="0" w:line="240" w:lineRule="auto"/>
              <w:jc w:val="right"/>
              <w:rPr>
                <w:rFonts w:cs="Arial"/>
                <w:b/>
                <w:bCs/>
                <w:color w:val="FFFFFF"/>
                <w:sz w:val="18"/>
                <w:szCs w:val="18"/>
                <w:lang w:eastAsia="en-AU"/>
              </w:rPr>
            </w:pPr>
            <w:r w:rsidRPr="00F67E85">
              <w:rPr>
                <w:rFonts w:cs="Arial"/>
                <w:b/>
                <w:bCs/>
                <w:color w:val="FFFFFF"/>
                <w:sz w:val="18"/>
                <w:szCs w:val="18"/>
                <w:lang w:eastAsia="en-AU"/>
              </w:rPr>
              <w:t>156%</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Pr="001F29E3" w:rsidRDefault="00D67B5E" w:rsidP="00D67B5E">
      <w:pPr>
        <w:jc w:val="left"/>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5.2</w:t>
      </w:r>
      <w:r w:rsidR="00D67B5E" w:rsidRPr="001F29E3">
        <w:rPr>
          <w:rFonts w:cs="Arial"/>
        </w:rPr>
        <w:t xml:space="preserve">: Unemployed students: government subsidised enrolments by qualification level, </w:t>
      </w:r>
      <w:r w:rsidR="00C35EAE">
        <w:rPr>
          <w:rFonts w:cs="Arial"/>
        </w:rPr>
        <w:br/>
      </w:r>
      <w:r w:rsidR="00D67B5E" w:rsidRPr="001F29E3">
        <w:rPr>
          <w:rFonts w:cs="Arial"/>
        </w:rPr>
        <w:t>Q</w:t>
      </w:r>
      <w:r w:rsidR="00C35EAE">
        <w:rPr>
          <w:rFonts w:cs="Arial"/>
        </w:rPr>
        <w:t>3</w:t>
      </w:r>
      <w:r w:rsidR="00D67B5E" w:rsidRPr="001F29E3">
        <w:rPr>
          <w:rFonts w:cs="Arial"/>
        </w:rPr>
        <w:t xml:space="preserve"> </w:t>
      </w:r>
      <w:r w:rsidR="00D67B5E">
        <w:rPr>
          <w:rFonts w:cs="Arial"/>
        </w:rPr>
        <w:t>2011, Q</w:t>
      </w:r>
      <w:r w:rsidR="00C35EAE">
        <w:rPr>
          <w:rFonts w:cs="Arial"/>
        </w:rPr>
        <w:t>3</w:t>
      </w:r>
      <w:r w:rsidR="00D67B5E">
        <w:rPr>
          <w:rFonts w:cs="Arial"/>
        </w:rPr>
        <w:t xml:space="preserve"> </w:t>
      </w:r>
      <w:r w:rsidR="00D67B5E" w:rsidRPr="001F29E3">
        <w:rPr>
          <w:rFonts w:cs="Arial"/>
        </w:rPr>
        <w:t>2012 and Q</w:t>
      </w:r>
      <w:r w:rsidR="00C35EAE">
        <w:rPr>
          <w:rFonts w:cs="Arial"/>
        </w:rPr>
        <w:t>3</w:t>
      </w:r>
      <w:r w:rsidR="00D67B5E" w:rsidRPr="001F29E3">
        <w:rPr>
          <w:rFonts w:cs="Arial"/>
        </w:rPr>
        <w:t xml:space="preserve"> 2013</w:t>
      </w:r>
    </w:p>
    <w:tbl>
      <w:tblPr>
        <w:tblW w:w="8400" w:type="dxa"/>
        <w:tblInd w:w="103" w:type="dxa"/>
        <w:tblLook w:val="04A0" w:firstRow="1" w:lastRow="0" w:firstColumn="1" w:lastColumn="0" w:noHBand="0" w:noVBand="1"/>
      </w:tblPr>
      <w:tblGrid>
        <w:gridCol w:w="2800"/>
        <w:gridCol w:w="1120"/>
        <w:gridCol w:w="1120"/>
        <w:gridCol w:w="1120"/>
        <w:gridCol w:w="1120"/>
        <w:gridCol w:w="1120"/>
      </w:tblGrid>
      <w:tr w:rsidR="00C35EAE" w:rsidRPr="00C35EAE" w:rsidTr="00C35EAE">
        <w:trPr>
          <w:trHeight w:hRule="exact" w:val="760"/>
        </w:trPr>
        <w:tc>
          <w:tcPr>
            <w:tcW w:w="280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35EAE" w:rsidRPr="00C35EAE" w:rsidRDefault="00C35EAE" w:rsidP="00C35EAE">
            <w:pPr>
              <w:spacing w:after="0" w:line="240" w:lineRule="auto"/>
              <w:jc w:val="left"/>
              <w:rPr>
                <w:rFonts w:cs="Arial"/>
                <w:b/>
                <w:bCs/>
                <w:color w:val="FFFFFF"/>
                <w:sz w:val="18"/>
                <w:szCs w:val="18"/>
                <w:lang w:eastAsia="en-AU"/>
              </w:rPr>
            </w:pPr>
            <w:r w:rsidRPr="00C35EAE">
              <w:rPr>
                <w:rFonts w:cs="Arial"/>
                <w:b/>
                <w:bCs/>
                <w:color w:val="FFFFFF"/>
                <w:sz w:val="18"/>
                <w:szCs w:val="18"/>
                <w:lang w:eastAsia="en-AU"/>
              </w:rPr>
              <w:t>Qualification level</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change</w:t>
            </w:r>
            <w:r w:rsidRPr="00C35EAE">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change</w:t>
            </w:r>
            <w:r w:rsidRPr="00C35EAE">
              <w:rPr>
                <w:rFonts w:cs="Arial"/>
                <w:b/>
                <w:bCs/>
                <w:color w:val="FFFFFF"/>
                <w:sz w:val="18"/>
                <w:szCs w:val="18"/>
                <w:lang w:eastAsia="en-AU"/>
              </w:rPr>
              <w:br/>
              <w:t>Q3 2012-Q3 2013</w:t>
            </w:r>
          </w:p>
        </w:tc>
      </w:tr>
      <w:tr w:rsidR="00C35EAE" w:rsidRPr="00C35EAE" w:rsidTr="00C35EAE">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29,300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43,600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56,900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94%</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30%</w:t>
            </w:r>
          </w:p>
        </w:tc>
      </w:tr>
      <w:tr w:rsidR="00C35EAE" w:rsidRPr="00C35EAE" w:rsidTr="00C35EAE">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43,100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65,600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67,300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56%</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2%</w:t>
            </w:r>
          </w:p>
        </w:tc>
      </w:tr>
      <w:tr w:rsidR="00C35EAE" w:rsidRPr="00C35EAE" w:rsidTr="00C35EAE">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15,300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15,100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12,200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-20%</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-19%</w:t>
            </w:r>
          </w:p>
        </w:tc>
      </w:tr>
      <w:tr w:rsidR="00C35EAE" w:rsidRPr="00C35EAE" w:rsidTr="00C35EAE">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Module Only</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5,500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4,900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5,700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4%</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16%</w:t>
            </w:r>
          </w:p>
        </w:tc>
      </w:tr>
      <w:tr w:rsidR="00C35EAE" w:rsidRPr="00C35EAE" w:rsidTr="00C35EAE">
        <w:trPr>
          <w:trHeight w:hRule="exact" w:val="284"/>
        </w:trPr>
        <w:tc>
          <w:tcPr>
            <w:tcW w:w="280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 xml:space="preserve">Secondary, </w:t>
            </w:r>
            <w:proofErr w:type="spellStart"/>
            <w:r w:rsidRPr="00C35EAE">
              <w:rPr>
                <w:rFonts w:cs="Arial"/>
                <w:color w:val="3E5B00"/>
                <w:sz w:val="18"/>
                <w:szCs w:val="18"/>
                <w:lang w:eastAsia="en-AU"/>
              </w:rPr>
              <w:t>SoA</w:t>
            </w:r>
            <w:proofErr w:type="spellEnd"/>
            <w:r w:rsidRPr="00C35EAE">
              <w:rPr>
                <w:rFonts w:cs="Arial"/>
                <w:color w:val="3E5B00"/>
                <w:sz w:val="18"/>
                <w:szCs w:val="18"/>
                <w:lang w:eastAsia="en-AU"/>
              </w:rPr>
              <w:t xml:space="preserve"> and other</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5,000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6,700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6,000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20%</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-11%</w:t>
            </w:r>
          </w:p>
        </w:tc>
      </w:tr>
      <w:tr w:rsidR="00C35EAE" w:rsidRPr="00C35EAE" w:rsidTr="00C35EAE">
        <w:trPr>
          <w:trHeight w:hRule="exact" w:val="284"/>
        </w:trPr>
        <w:tc>
          <w:tcPr>
            <w:tcW w:w="2800" w:type="dxa"/>
            <w:tcBorders>
              <w:top w:val="nil"/>
              <w:left w:val="single" w:sz="4" w:space="0" w:color="5E8A00"/>
              <w:bottom w:val="nil"/>
              <w:right w:val="single" w:sz="4" w:space="0" w:color="5E8A00"/>
            </w:tcBorders>
            <w:shd w:val="clear" w:color="000000" w:fill="5E8A00"/>
            <w:noWrap/>
            <w:vAlign w:val="bottom"/>
            <w:hideMark/>
          </w:tcPr>
          <w:p w:rsidR="00C35EAE" w:rsidRPr="00C35EAE" w:rsidRDefault="00C35EAE" w:rsidP="00C35EAE">
            <w:pPr>
              <w:spacing w:after="0" w:line="240" w:lineRule="auto"/>
              <w:jc w:val="left"/>
              <w:rPr>
                <w:rFonts w:cs="Arial"/>
                <w:b/>
                <w:bCs/>
                <w:color w:val="FFFFFF"/>
                <w:sz w:val="18"/>
                <w:szCs w:val="18"/>
                <w:lang w:eastAsia="en-AU"/>
              </w:rPr>
            </w:pPr>
            <w:r w:rsidRPr="00C35EAE">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xml:space="preserve">98,300 </w:t>
            </w:r>
          </w:p>
        </w:tc>
        <w:tc>
          <w:tcPr>
            <w:tcW w:w="1120" w:type="dxa"/>
            <w:tcBorders>
              <w:top w:val="nil"/>
              <w:left w:val="nil"/>
              <w:bottom w:val="nil"/>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xml:space="preserve">136,000 </w:t>
            </w:r>
          </w:p>
        </w:tc>
        <w:tc>
          <w:tcPr>
            <w:tcW w:w="1120" w:type="dxa"/>
            <w:tcBorders>
              <w:top w:val="nil"/>
              <w:left w:val="nil"/>
              <w:bottom w:val="nil"/>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xml:space="preserve">148,100 </w:t>
            </w:r>
          </w:p>
        </w:tc>
        <w:tc>
          <w:tcPr>
            <w:tcW w:w="1120" w:type="dxa"/>
            <w:tcBorders>
              <w:top w:val="nil"/>
              <w:left w:val="nil"/>
              <w:bottom w:val="nil"/>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51%</w:t>
            </w:r>
          </w:p>
        </w:tc>
        <w:tc>
          <w:tcPr>
            <w:tcW w:w="1120" w:type="dxa"/>
            <w:tcBorders>
              <w:top w:val="nil"/>
              <w:left w:val="nil"/>
              <w:bottom w:val="nil"/>
              <w:right w:val="single" w:sz="4" w:space="0" w:color="5E8A00"/>
            </w:tcBorders>
            <w:shd w:val="clear" w:color="000000" w:fill="5E8A00"/>
            <w:noWrap/>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9%</w:t>
            </w:r>
          </w:p>
        </w:tc>
      </w:tr>
    </w:tbl>
    <w:p w:rsidR="00D67B5E" w:rsidRPr="007E7B89" w:rsidRDefault="00D67B5E" w:rsidP="00D67B5E">
      <w:pPr>
        <w:spacing w:after="0"/>
        <w:rPr>
          <w:sz w:val="16"/>
          <w:szCs w:val="16"/>
        </w:rPr>
      </w:pPr>
      <w:proofErr w:type="spellStart"/>
      <w:r w:rsidRPr="007E7B89">
        <w:rPr>
          <w:sz w:val="16"/>
          <w:szCs w:val="16"/>
        </w:rPr>
        <w:t>SoA</w:t>
      </w:r>
      <w:proofErr w:type="spellEnd"/>
      <w:r w:rsidRPr="007E7B89">
        <w:rPr>
          <w:sz w:val="16"/>
          <w:szCs w:val="16"/>
        </w:rPr>
        <w:t>: Statement of Attainment.</w:t>
      </w:r>
    </w:p>
    <w:p w:rsidR="00D67B5E" w:rsidRDefault="00D67B5E" w:rsidP="00D67B5E">
      <w:pPr>
        <w:spacing w:after="0" w:line="240" w:lineRule="auto"/>
        <w:jc w:val="left"/>
        <w:rPr>
          <w:rFonts w:cs="Arial"/>
        </w:rPr>
      </w:pPr>
      <w:r>
        <w:rPr>
          <w:rFonts w:cs="Arial"/>
        </w:rPr>
        <w:br w:type="page"/>
      </w:r>
    </w:p>
    <w:p w:rsidR="00D67B5E" w:rsidRPr="001F29E3" w:rsidRDefault="00D67B5E" w:rsidP="00DC19F2">
      <w:pPr>
        <w:pStyle w:val="Heading2"/>
      </w:pPr>
      <w:bookmarkStart w:id="84" w:name="_Toc372613436"/>
      <w:r w:rsidRPr="00DC19F2">
        <w:lastRenderedPageBreak/>
        <w:t>Young People (Aged 15 to 19) Without Year 12 or Equivalent and</w:t>
      </w:r>
      <w:r w:rsidRPr="00DC19F2">
        <w:br/>
        <w:t>Not at School</w:t>
      </w:r>
      <w:bookmarkEnd w:id="84"/>
    </w:p>
    <w:p w:rsidR="00D67B5E" w:rsidRDefault="00D67B5E" w:rsidP="00D67B5E">
      <w:pPr>
        <w:rPr>
          <w:rFonts w:cs="Arial"/>
        </w:rPr>
      </w:pPr>
    </w:p>
    <w:p w:rsidR="00D67B5E" w:rsidRDefault="00D67B5E" w:rsidP="00D67B5E">
      <w:pPr>
        <w:pStyle w:val="Heading3"/>
      </w:pPr>
      <w:r>
        <w:t>Enrolments</w:t>
      </w:r>
    </w:p>
    <w:p w:rsidR="00D67B5E" w:rsidRPr="001F29E3" w:rsidRDefault="00D67B5E" w:rsidP="00D67B5E">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1F29E3" w:rsidTr="0051046D">
        <w:trPr>
          <w:trHeight w:val="1449"/>
        </w:trPr>
        <w:tc>
          <w:tcPr>
            <w:tcW w:w="9088" w:type="dxa"/>
          </w:tcPr>
          <w:p w:rsidR="00D67B5E" w:rsidRPr="00BB7E11" w:rsidRDefault="00D67B5E" w:rsidP="0051046D">
            <w:pPr>
              <w:pStyle w:val="Heading3"/>
            </w:pPr>
            <w:r w:rsidRPr="007F6BFA">
              <w:t>Key Points</w:t>
            </w:r>
          </w:p>
          <w:p w:rsidR="00D67B5E" w:rsidRPr="00A326AF" w:rsidRDefault="00D67B5E" w:rsidP="0051046D"/>
          <w:p w:rsidR="00D67B5E" w:rsidRPr="0043328F" w:rsidRDefault="00D67B5E" w:rsidP="0051046D">
            <w:pPr>
              <w:pStyle w:val="ListBullet"/>
              <w:numPr>
                <w:ilvl w:val="0"/>
                <w:numId w:val="9"/>
              </w:numPr>
              <w:ind w:right="113"/>
              <w:rPr>
                <w:rFonts w:cs="Arial"/>
              </w:rPr>
            </w:pPr>
            <w:r w:rsidRPr="0043328F">
              <w:rPr>
                <w:rFonts w:cs="Arial"/>
              </w:rPr>
              <w:t xml:space="preserve">The total number of government subsidised enrolments at </w:t>
            </w:r>
            <w:r w:rsidR="00A516C2" w:rsidRPr="0043328F">
              <w:rPr>
                <w:rFonts w:cs="Arial"/>
              </w:rPr>
              <w:t>C</w:t>
            </w:r>
            <w:r w:rsidRPr="0043328F">
              <w:rPr>
                <w:rFonts w:cs="Arial"/>
              </w:rPr>
              <w:t xml:space="preserve">ertificate II and above of young people without a Year 12 or equivalent and not in school was </w:t>
            </w:r>
            <w:r w:rsidR="003712A9" w:rsidRPr="0043328F">
              <w:rPr>
                <w:rFonts w:cs="Arial"/>
              </w:rPr>
              <w:t>24,800</w:t>
            </w:r>
            <w:r w:rsidRPr="0043328F">
              <w:rPr>
                <w:rFonts w:cs="Arial"/>
              </w:rPr>
              <w:t xml:space="preserve"> Q</w:t>
            </w:r>
            <w:r w:rsidR="003712A9" w:rsidRPr="0043328F">
              <w:rPr>
                <w:rFonts w:cs="Arial"/>
              </w:rPr>
              <w:t>3</w:t>
            </w:r>
            <w:r w:rsidRPr="0043328F">
              <w:rPr>
                <w:rFonts w:cs="Arial"/>
              </w:rPr>
              <w:t xml:space="preserve"> 2013. This </w:t>
            </w:r>
            <w:r w:rsidR="003712A9" w:rsidRPr="0043328F">
              <w:rPr>
                <w:rFonts w:cs="Arial"/>
              </w:rPr>
              <w:t>figure</w:t>
            </w:r>
            <w:r w:rsidRPr="0043328F">
              <w:rPr>
                <w:rFonts w:cs="Arial"/>
              </w:rPr>
              <w:t xml:space="preserve"> is lower than the corresponding figures in Q</w:t>
            </w:r>
            <w:r w:rsidR="003712A9" w:rsidRPr="0043328F">
              <w:rPr>
                <w:rFonts w:cs="Arial"/>
              </w:rPr>
              <w:t>3</w:t>
            </w:r>
            <w:r w:rsidRPr="0043328F">
              <w:rPr>
                <w:rFonts w:cs="Arial"/>
              </w:rPr>
              <w:t xml:space="preserve"> 2011 and Q</w:t>
            </w:r>
            <w:r w:rsidR="003712A9" w:rsidRPr="0043328F">
              <w:rPr>
                <w:rFonts w:cs="Arial"/>
              </w:rPr>
              <w:t>3</w:t>
            </w:r>
            <w:r w:rsidRPr="0043328F">
              <w:rPr>
                <w:rFonts w:cs="Arial"/>
              </w:rPr>
              <w:t xml:space="preserve"> 2012.</w:t>
            </w:r>
          </w:p>
          <w:p w:rsidR="00D67B5E" w:rsidRPr="007F6BFA" w:rsidRDefault="00D67B5E" w:rsidP="00DC19F2">
            <w:pPr>
              <w:pStyle w:val="ListBullet"/>
              <w:numPr>
                <w:ilvl w:val="0"/>
                <w:numId w:val="9"/>
              </w:numPr>
              <w:ind w:right="113"/>
              <w:rPr>
                <w:rFonts w:cs="Arial"/>
              </w:rPr>
            </w:pPr>
            <w:r w:rsidRPr="0043328F">
              <w:rPr>
                <w:rFonts w:cs="Arial"/>
              </w:rPr>
              <w:t>Of those enrolments in industry-specific qualifications (</w:t>
            </w:r>
            <w:r w:rsidR="00DC19F2" w:rsidRPr="0043328F">
              <w:rPr>
                <w:rFonts w:cs="Arial"/>
              </w:rPr>
              <w:t>20,800</w:t>
            </w:r>
            <w:r w:rsidRPr="0043328F">
              <w:rPr>
                <w:rFonts w:cs="Arial"/>
              </w:rPr>
              <w:t xml:space="preserve"> enrolments) which exclude foundation skills courses in Q</w:t>
            </w:r>
            <w:r w:rsidR="003712A9" w:rsidRPr="0043328F">
              <w:rPr>
                <w:rFonts w:cs="Arial"/>
              </w:rPr>
              <w:t>3</w:t>
            </w:r>
            <w:r w:rsidRPr="0043328F">
              <w:rPr>
                <w:rFonts w:cs="Arial"/>
              </w:rPr>
              <w:t xml:space="preserve"> 2013, 4</w:t>
            </w:r>
            <w:r w:rsidR="00DC19F2" w:rsidRPr="0043328F">
              <w:rPr>
                <w:rFonts w:cs="Arial"/>
              </w:rPr>
              <w:t>2</w:t>
            </w:r>
            <w:r w:rsidRPr="0043328F">
              <w:rPr>
                <w:rFonts w:cs="Arial"/>
              </w:rPr>
              <w:t xml:space="preserve"> per cent were in courses related to </w:t>
            </w:r>
            <w:proofErr w:type="gramStart"/>
            <w:r w:rsidRPr="0043328F">
              <w:rPr>
                <w:rFonts w:cs="Arial"/>
              </w:rPr>
              <w:t>specialised</w:t>
            </w:r>
            <w:proofErr w:type="gramEnd"/>
            <w:r w:rsidRPr="0043328F">
              <w:rPr>
                <w:rFonts w:cs="Arial"/>
              </w:rPr>
              <w:t xml:space="preserve"> or in shortage occupations.</w:t>
            </w:r>
            <w:r w:rsidRPr="007F6BFA">
              <w:rPr>
                <w:rFonts w:cs="Arial"/>
              </w:rPr>
              <w:t xml:space="preserve"> </w:t>
            </w:r>
          </w:p>
        </w:tc>
      </w:tr>
    </w:tbl>
    <w:p w:rsidR="00D67B5E" w:rsidRDefault="00D67B5E" w:rsidP="00D67B5E">
      <w:pPr>
        <w:rPr>
          <w:rFonts w:cs="Arial"/>
        </w:rPr>
      </w:pPr>
    </w:p>
    <w:p w:rsidR="00D67B5E" w:rsidRPr="001F29E3" w:rsidRDefault="00D67B5E" w:rsidP="00D67B5E">
      <w:pPr>
        <w:rPr>
          <w:rFonts w:cs="Arial"/>
        </w:rPr>
      </w:pPr>
    </w:p>
    <w:p w:rsidR="00D67B5E" w:rsidRPr="001F29E3"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6.1:</w:t>
      </w:r>
      <w:r w:rsidR="00D67B5E" w:rsidRPr="001F29E3">
        <w:rPr>
          <w:rFonts w:cs="Arial"/>
        </w:rPr>
        <w:t xml:space="preserve"> Youth transition: government subsidised enrolments Cert II and above by students aged 15 to 19 who did not complete Year 12 or equivalent and not at school, 2008 – 2012</w:t>
      </w:r>
    </w:p>
    <w:tbl>
      <w:tblPr>
        <w:tblW w:w="9140" w:type="dxa"/>
        <w:tblInd w:w="108" w:type="dxa"/>
        <w:tblLook w:val="04A0" w:firstRow="1" w:lastRow="0" w:firstColumn="1" w:lastColumn="0" w:noHBand="0" w:noVBand="1"/>
      </w:tblPr>
      <w:tblGrid>
        <w:gridCol w:w="2420"/>
        <w:gridCol w:w="1120"/>
        <w:gridCol w:w="1120"/>
        <w:gridCol w:w="1120"/>
        <w:gridCol w:w="1120"/>
        <w:gridCol w:w="1120"/>
        <w:gridCol w:w="1120"/>
      </w:tblGrid>
      <w:tr w:rsidR="00D67B5E" w:rsidRPr="00AD0774" w:rsidTr="0051046D">
        <w:trPr>
          <w:trHeight w:hRule="exact" w:val="760"/>
        </w:trPr>
        <w:tc>
          <w:tcPr>
            <w:tcW w:w="2420" w:type="dxa"/>
            <w:tcBorders>
              <w:top w:val="single" w:sz="4" w:space="0" w:color="5E8A00"/>
              <w:left w:val="single" w:sz="4" w:space="0" w:color="5E8A00"/>
              <w:bottom w:val="single" w:sz="4" w:space="0" w:color="5E8A00"/>
            </w:tcBorders>
            <w:shd w:val="clear" w:color="000000" w:fill="5E8A00"/>
            <w:noWrap/>
            <w:vAlign w:val="center"/>
            <w:hideMark/>
          </w:tcPr>
          <w:p w:rsidR="00D67B5E" w:rsidRPr="00AD0774" w:rsidRDefault="00D67B5E" w:rsidP="00F034AF">
            <w:pPr>
              <w:spacing w:after="0" w:line="240" w:lineRule="auto"/>
              <w:ind w:firstLineChars="100" w:firstLine="181"/>
              <w:jc w:val="left"/>
              <w:rPr>
                <w:rFonts w:cs="Arial"/>
                <w:b/>
                <w:bCs/>
                <w:color w:val="FFFFFF"/>
                <w:sz w:val="18"/>
                <w:szCs w:val="18"/>
                <w:lang w:eastAsia="en-AU"/>
              </w:rPr>
            </w:pPr>
            <w:r w:rsidRPr="00AD0774">
              <w:rPr>
                <w:rFonts w:cs="Arial"/>
                <w:b/>
                <w:bCs/>
                <w:color w:val="FFFFFF"/>
                <w:sz w:val="18"/>
                <w:szCs w:val="18"/>
                <w:lang w:eastAsia="en-AU"/>
              </w:rPr>
              <w:t> </w:t>
            </w:r>
          </w:p>
        </w:tc>
        <w:tc>
          <w:tcPr>
            <w:tcW w:w="1120" w:type="dxa"/>
            <w:tcBorders>
              <w:top w:val="single" w:sz="4" w:space="0" w:color="5E8A00"/>
              <w:bottom w:val="single" w:sz="4" w:space="0" w:color="5E8A00"/>
            </w:tcBorders>
            <w:shd w:val="clear" w:color="000000" w:fill="5E8A00"/>
            <w:vAlign w:val="center"/>
            <w:hideMark/>
          </w:tcPr>
          <w:p w:rsidR="00D67B5E" w:rsidRPr="00AD0774" w:rsidRDefault="00D67B5E" w:rsidP="00F034AF">
            <w:pPr>
              <w:spacing w:after="0" w:line="240" w:lineRule="auto"/>
              <w:ind w:firstLineChars="100" w:firstLine="181"/>
              <w:jc w:val="right"/>
              <w:rPr>
                <w:rFonts w:cs="Arial"/>
                <w:b/>
                <w:bCs/>
                <w:color w:val="FFFFFF"/>
                <w:sz w:val="18"/>
                <w:szCs w:val="18"/>
                <w:lang w:eastAsia="en-AU"/>
              </w:rPr>
            </w:pPr>
            <w:r w:rsidRPr="00AD0774">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AD0774" w:rsidRDefault="00D67B5E" w:rsidP="00F034AF">
            <w:pPr>
              <w:spacing w:after="0" w:line="240" w:lineRule="auto"/>
              <w:ind w:firstLineChars="100" w:firstLine="181"/>
              <w:jc w:val="right"/>
              <w:rPr>
                <w:rFonts w:cs="Arial"/>
                <w:b/>
                <w:bCs/>
                <w:color w:val="FFFFFF"/>
                <w:sz w:val="18"/>
                <w:szCs w:val="18"/>
                <w:lang w:eastAsia="en-AU"/>
              </w:rPr>
            </w:pPr>
            <w:r w:rsidRPr="00AD0774">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AD0774" w:rsidRDefault="00D67B5E" w:rsidP="00F034AF">
            <w:pPr>
              <w:spacing w:after="0" w:line="240" w:lineRule="auto"/>
              <w:ind w:firstLineChars="100" w:firstLine="181"/>
              <w:jc w:val="right"/>
              <w:rPr>
                <w:rFonts w:cs="Arial"/>
                <w:b/>
                <w:bCs/>
                <w:color w:val="FFFFFF"/>
                <w:sz w:val="18"/>
                <w:szCs w:val="18"/>
                <w:lang w:eastAsia="en-AU"/>
              </w:rPr>
            </w:pPr>
            <w:r w:rsidRPr="00AD0774">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AD0774" w:rsidRDefault="00D67B5E" w:rsidP="00F034AF">
            <w:pPr>
              <w:spacing w:after="0" w:line="240" w:lineRule="auto"/>
              <w:ind w:firstLineChars="100" w:firstLine="181"/>
              <w:jc w:val="right"/>
              <w:rPr>
                <w:rFonts w:cs="Arial"/>
                <w:b/>
                <w:bCs/>
                <w:color w:val="FFFFFF"/>
                <w:sz w:val="18"/>
                <w:szCs w:val="18"/>
                <w:lang w:eastAsia="en-AU"/>
              </w:rPr>
            </w:pPr>
            <w:r w:rsidRPr="00AD0774">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AD0774" w:rsidRDefault="00D67B5E" w:rsidP="00F034AF">
            <w:pPr>
              <w:spacing w:after="0" w:line="240" w:lineRule="auto"/>
              <w:ind w:firstLineChars="100" w:firstLine="181"/>
              <w:jc w:val="right"/>
              <w:rPr>
                <w:rFonts w:cs="Arial"/>
                <w:b/>
                <w:bCs/>
                <w:color w:val="FFFFFF"/>
                <w:sz w:val="18"/>
                <w:szCs w:val="18"/>
                <w:lang w:eastAsia="en-AU"/>
              </w:rPr>
            </w:pPr>
            <w:r w:rsidRPr="00AD0774">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 change</w:t>
            </w:r>
            <w:r w:rsidRPr="00AD0774">
              <w:rPr>
                <w:rFonts w:cs="Arial"/>
                <w:b/>
                <w:bCs/>
                <w:color w:val="FFFFFF"/>
                <w:sz w:val="18"/>
                <w:szCs w:val="18"/>
                <w:lang w:eastAsia="en-AU"/>
              </w:rPr>
              <w:br/>
              <w:t>2008-2012</w:t>
            </w:r>
          </w:p>
        </w:tc>
      </w:tr>
      <w:tr w:rsidR="00D67B5E" w:rsidRPr="00AD077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AD0774" w:rsidRDefault="00D67B5E" w:rsidP="0051046D">
            <w:pPr>
              <w:spacing w:after="0" w:line="240" w:lineRule="auto"/>
              <w:jc w:val="left"/>
              <w:rPr>
                <w:rFonts w:cs="Arial"/>
                <w:color w:val="3E5B00"/>
                <w:sz w:val="18"/>
                <w:szCs w:val="18"/>
                <w:lang w:eastAsia="en-AU"/>
              </w:rPr>
            </w:pPr>
            <w:r w:rsidRPr="00AD0774">
              <w:rPr>
                <w:rFonts w:cs="Arial"/>
                <w:color w:val="3E5B00"/>
                <w:sz w:val="18"/>
                <w:szCs w:val="18"/>
                <w:lang w:eastAsia="en-AU"/>
              </w:rPr>
              <w:t>Cert II</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8,300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8,600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10,900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12,700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12,000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44%</w:t>
            </w:r>
          </w:p>
        </w:tc>
      </w:tr>
      <w:tr w:rsidR="00D67B5E" w:rsidRPr="00AD077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AD0774" w:rsidRDefault="00D67B5E" w:rsidP="0051046D">
            <w:pPr>
              <w:spacing w:after="0" w:line="240" w:lineRule="auto"/>
              <w:jc w:val="left"/>
              <w:rPr>
                <w:rFonts w:cs="Arial"/>
                <w:color w:val="3E5B00"/>
                <w:sz w:val="18"/>
                <w:szCs w:val="18"/>
                <w:lang w:eastAsia="en-AU"/>
              </w:rPr>
            </w:pPr>
            <w:r w:rsidRPr="00AD0774">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16,500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15,800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18,400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20,400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22,100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34%</w:t>
            </w:r>
          </w:p>
        </w:tc>
      </w:tr>
      <w:tr w:rsidR="00D67B5E" w:rsidRPr="00AD0774" w:rsidTr="0051046D">
        <w:trPr>
          <w:trHeight w:hRule="exact" w:val="284"/>
        </w:trPr>
        <w:tc>
          <w:tcPr>
            <w:tcW w:w="242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AD0774" w:rsidRDefault="00D67B5E" w:rsidP="0051046D">
            <w:pPr>
              <w:spacing w:after="0" w:line="240" w:lineRule="auto"/>
              <w:jc w:val="left"/>
              <w:rPr>
                <w:rFonts w:cs="Arial"/>
                <w:color w:val="3E5B00"/>
                <w:sz w:val="18"/>
                <w:szCs w:val="18"/>
                <w:lang w:eastAsia="en-AU"/>
              </w:rPr>
            </w:pPr>
            <w:r w:rsidRPr="00AD0774">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650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800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850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1,100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900</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AD0774" w:rsidRDefault="00D67B5E" w:rsidP="0051046D">
            <w:pPr>
              <w:spacing w:after="0" w:line="240" w:lineRule="auto"/>
              <w:jc w:val="right"/>
              <w:rPr>
                <w:rFonts w:cs="Arial"/>
                <w:sz w:val="18"/>
                <w:szCs w:val="18"/>
                <w:lang w:eastAsia="en-AU"/>
              </w:rPr>
            </w:pPr>
            <w:r w:rsidRPr="00AD0774">
              <w:rPr>
                <w:rFonts w:cs="Arial"/>
                <w:sz w:val="18"/>
                <w:szCs w:val="18"/>
                <w:lang w:eastAsia="en-AU"/>
              </w:rPr>
              <w:t>45%</w:t>
            </w:r>
          </w:p>
        </w:tc>
      </w:tr>
      <w:tr w:rsidR="00D67B5E" w:rsidRPr="00AD0774" w:rsidTr="0051046D">
        <w:trPr>
          <w:trHeight w:hRule="exact" w:val="284"/>
        </w:trPr>
        <w:tc>
          <w:tcPr>
            <w:tcW w:w="2420" w:type="dxa"/>
            <w:tcBorders>
              <w:top w:val="single" w:sz="4" w:space="0" w:color="5E8A00"/>
              <w:left w:val="single" w:sz="4" w:space="0" w:color="5E8A00"/>
              <w:bottom w:val="nil"/>
            </w:tcBorders>
            <w:shd w:val="clear" w:color="000000" w:fill="5E8A00"/>
            <w:noWrap/>
            <w:vAlign w:val="bottom"/>
            <w:hideMark/>
          </w:tcPr>
          <w:p w:rsidR="00D67B5E" w:rsidRPr="00AD0774" w:rsidRDefault="00D67B5E" w:rsidP="0051046D">
            <w:pPr>
              <w:spacing w:after="0" w:line="240" w:lineRule="auto"/>
              <w:jc w:val="left"/>
              <w:rPr>
                <w:rFonts w:cs="Arial"/>
                <w:b/>
                <w:bCs/>
                <w:color w:val="FFFFFF"/>
                <w:sz w:val="18"/>
                <w:szCs w:val="18"/>
                <w:lang w:eastAsia="en-AU"/>
              </w:rPr>
            </w:pPr>
            <w:r w:rsidRPr="00AD0774">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bottom"/>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25,500</w:t>
            </w:r>
          </w:p>
        </w:tc>
        <w:tc>
          <w:tcPr>
            <w:tcW w:w="1120" w:type="dxa"/>
            <w:tcBorders>
              <w:top w:val="single" w:sz="4" w:space="0" w:color="5E8A00"/>
              <w:bottom w:val="nil"/>
            </w:tcBorders>
            <w:shd w:val="clear" w:color="000000" w:fill="5E8A00"/>
            <w:noWrap/>
            <w:vAlign w:val="bottom"/>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25,200</w:t>
            </w:r>
          </w:p>
        </w:tc>
        <w:tc>
          <w:tcPr>
            <w:tcW w:w="1120" w:type="dxa"/>
            <w:tcBorders>
              <w:top w:val="single" w:sz="4" w:space="0" w:color="5E8A00"/>
              <w:bottom w:val="nil"/>
            </w:tcBorders>
            <w:shd w:val="clear" w:color="000000" w:fill="5E8A00"/>
            <w:noWrap/>
            <w:vAlign w:val="bottom"/>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30,100</w:t>
            </w:r>
          </w:p>
        </w:tc>
        <w:tc>
          <w:tcPr>
            <w:tcW w:w="1120" w:type="dxa"/>
            <w:tcBorders>
              <w:top w:val="single" w:sz="4" w:space="0" w:color="5E8A00"/>
              <w:bottom w:val="nil"/>
            </w:tcBorders>
            <w:shd w:val="clear" w:color="000000" w:fill="5E8A00"/>
            <w:noWrap/>
            <w:vAlign w:val="bottom"/>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34,100</w:t>
            </w:r>
          </w:p>
        </w:tc>
        <w:tc>
          <w:tcPr>
            <w:tcW w:w="1120" w:type="dxa"/>
            <w:tcBorders>
              <w:top w:val="single" w:sz="4" w:space="0" w:color="5E8A00"/>
              <w:bottom w:val="nil"/>
            </w:tcBorders>
            <w:shd w:val="clear" w:color="000000" w:fill="5E8A00"/>
            <w:noWrap/>
            <w:vAlign w:val="bottom"/>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35,000</w:t>
            </w:r>
          </w:p>
        </w:tc>
        <w:tc>
          <w:tcPr>
            <w:tcW w:w="1120" w:type="dxa"/>
            <w:tcBorders>
              <w:top w:val="single" w:sz="4" w:space="0" w:color="5E8A00"/>
              <w:bottom w:val="nil"/>
              <w:right w:val="single" w:sz="4" w:space="0" w:color="5E8A00"/>
            </w:tcBorders>
            <w:shd w:val="clear" w:color="000000" w:fill="5E8A00"/>
            <w:noWrap/>
            <w:vAlign w:val="center"/>
            <w:hideMark/>
          </w:tcPr>
          <w:p w:rsidR="00D67B5E" w:rsidRPr="00AD0774" w:rsidRDefault="00D67B5E" w:rsidP="0051046D">
            <w:pPr>
              <w:spacing w:after="0" w:line="240" w:lineRule="auto"/>
              <w:jc w:val="right"/>
              <w:rPr>
                <w:rFonts w:cs="Arial"/>
                <w:b/>
                <w:bCs/>
                <w:color w:val="FFFFFF"/>
                <w:sz w:val="18"/>
                <w:szCs w:val="18"/>
                <w:lang w:eastAsia="en-AU"/>
              </w:rPr>
            </w:pPr>
            <w:r w:rsidRPr="00AD0774">
              <w:rPr>
                <w:rFonts w:cs="Arial"/>
                <w:b/>
                <w:bCs/>
                <w:color w:val="FFFFFF"/>
                <w:sz w:val="18"/>
                <w:szCs w:val="18"/>
                <w:lang w:eastAsia="en-AU"/>
              </w:rPr>
              <w:t>37%</w:t>
            </w:r>
          </w:p>
        </w:tc>
      </w:tr>
    </w:tbl>
    <w:p w:rsidR="00D67B5E" w:rsidRDefault="00D67B5E" w:rsidP="00D67B5E">
      <w:pPr>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6.2:</w:t>
      </w:r>
      <w:r w:rsidR="00D67B5E" w:rsidRPr="001F29E3">
        <w:rPr>
          <w:rFonts w:cs="Arial"/>
        </w:rPr>
        <w:t xml:space="preserve"> Youth transition: government subsidised enrolments Cert II and above by students aged 15 to 19 who did not complete Year 12 or equivalent and not at school, </w:t>
      </w:r>
      <w:r w:rsidR="00D67B5E">
        <w:rPr>
          <w:rFonts w:cs="Arial"/>
        </w:rPr>
        <w:t>Q</w:t>
      </w:r>
      <w:r w:rsidR="00695477">
        <w:rPr>
          <w:rFonts w:cs="Arial"/>
        </w:rPr>
        <w:t>3</w:t>
      </w:r>
      <w:r w:rsidR="00D67B5E">
        <w:rPr>
          <w:rFonts w:cs="Arial"/>
        </w:rPr>
        <w:t xml:space="preserve"> 2011, </w:t>
      </w:r>
      <w:r w:rsidR="00D67B5E" w:rsidRPr="001F29E3">
        <w:rPr>
          <w:rFonts w:cs="Arial"/>
        </w:rPr>
        <w:t>Q</w:t>
      </w:r>
      <w:r w:rsidR="00695477">
        <w:rPr>
          <w:rFonts w:cs="Arial"/>
        </w:rPr>
        <w:t>3</w:t>
      </w:r>
      <w:r w:rsidR="00D67B5E" w:rsidRPr="001F29E3">
        <w:rPr>
          <w:rFonts w:cs="Arial"/>
        </w:rPr>
        <w:t xml:space="preserve"> 2012 and Q</w:t>
      </w:r>
      <w:r w:rsidR="00695477">
        <w:rPr>
          <w:rFonts w:cs="Arial"/>
        </w:rPr>
        <w:t>3</w:t>
      </w:r>
      <w:r w:rsidR="00D67B5E" w:rsidRPr="001F29E3">
        <w:rPr>
          <w:rFonts w:cs="Arial"/>
        </w:rPr>
        <w:t xml:space="preserve"> 2013</w:t>
      </w:r>
    </w:p>
    <w:tbl>
      <w:tblPr>
        <w:tblW w:w="8094" w:type="dxa"/>
        <w:tblInd w:w="103" w:type="dxa"/>
        <w:tblLayout w:type="fixed"/>
        <w:tblLook w:val="04A0" w:firstRow="1" w:lastRow="0" w:firstColumn="1" w:lastColumn="0" w:noHBand="0" w:noVBand="1"/>
      </w:tblPr>
      <w:tblGrid>
        <w:gridCol w:w="2415"/>
        <w:gridCol w:w="1135"/>
        <w:gridCol w:w="1136"/>
        <w:gridCol w:w="1136"/>
        <w:gridCol w:w="1136"/>
        <w:gridCol w:w="1136"/>
      </w:tblGrid>
      <w:tr w:rsidR="003712A9" w:rsidRPr="003712A9" w:rsidTr="003712A9">
        <w:trPr>
          <w:trHeight w:hRule="exact" w:val="760"/>
        </w:trPr>
        <w:tc>
          <w:tcPr>
            <w:tcW w:w="2415"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3712A9" w:rsidRPr="003712A9" w:rsidRDefault="003712A9" w:rsidP="003712A9">
            <w:pPr>
              <w:spacing w:after="0" w:line="240" w:lineRule="auto"/>
              <w:jc w:val="left"/>
              <w:rPr>
                <w:rFonts w:cs="Arial"/>
                <w:b/>
                <w:bCs/>
                <w:color w:val="FFFFFF"/>
                <w:sz w:val="18"/>
                <w:szCs w:val="18"/>
                <w:lang w:eastAsia="en-AU"/>
              </w:rPr>
            </w:pPr>
            <w:r w:rsidRPr="003712A9">
              <w:rPr>
                <w:rFonts w:cs="Arial"/>
                <w:b/>
                <w:bCs/>
                <w:color w:val="FFFFFF"/>
                <w:sz w:val="18"/>
                <w:szCs w:val="18"/>
                <w:lang w:eastAsia="en-AU"/>
              </w:rPr>
              <w:t> </w:t>
            </w:r>
          </w:p>
        </w:tc>
        <w:tc>
          <w:tcPr>
            <w:tcW w:w="1135" w:type="dxa"/>
            <w:tcBorders>
              <w:top w:val="single" w:sz="4" w:space="0" w:color="5E8A00"/>
              <w:left w:val="nil"/>
              <w:bottom w:val="single" w:sz="4" w:space="0" w:color="5E8A00"/>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Q3 2011</w:t>
            </w:r>
          </w:p>
        </w:tc>
        <w:tc>
          <w:tcPr>
            <w:tcW w:w="1136" w:type="dxa"/>
            <w:tcBorders>
              <w:top w:val="single" w:sz="4" w:space="0" w:color="5E8A00"/>
              <w:left w:val="nil"/>
              <w:bottom w:val="single" w:sz="4" w:space="0" w:color="5E8A00"/>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Q3 2012</w:t>
            </w:r>
          </w:p>
        </w:tc>
        <w:tc>
          <w:tcPr>
            <w:tcW w:w="1136" w:type="dxa"/>
            <w:tcBorders>
              <w:top w:val="single" w:sz="4" w:space="0" w:color="5E8A00"/>
              <w:left w:val="nil"/>
              <w:bottom w:val="single" w:sz="4" w:space="0" w:color="5E8A00"/>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Q3 2013</w:t>
            </w:r>
          </w:p>
        </w:tc>
        <w:tc>
          <w:tcPr>
            <w:tcW w:w="1136" w:type="dxa"/>
            <w:tcBorders>
              <w:top w:val="single" w:sz="4" w:space="0" w:color="5E8A00"/>
              <w:left w:val="nil"/>
              <w:bottom w:val="single" w:sz="4" w:space="0" w:color="5E8A00"/>
              <w:right w:val="single" w:sz="4" w:space="0" w:color="5E8A00"/>
            </w:tcBorders>
            <w:shd w:val="clear" w:color="000000" w:fill="5E8A00"/>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 change</w:t>
            </w:r>
            <w:r w:rsidRPr="003712A9">
              <w:rPr>
                <w:rFonts w:cs="Arial"/>
                <w:b/>
                <w:bCs/>
                <w:color w:val="FFFFFF"/>
                <w:sz w:val="18"/>
                <w:szCs w:val="18"/>
                <w:lang w:eastAsia="en-AU"/>
              </w:rPr>
              <w:br/>
              <w:t>Q3 2011-Q3 2013 </w:t>
            </w:r>
          </w:p>
        </w:tc>
        <w:tc>
          <w:tcPr>
            <w:tcW w:w="1136" w:type="dxa"/>
            <w:tcBorders>
              <w:top w:val="single" w:sz="4" w:space="0" w:color="5E8A00"/>
              <w:left w:val="nil"/>
              <w:bottom w:val="single" w:sz="4" w:space="0" w:color="5E8A00"/>
              <w:right w:val="single" w:sz="4" w:space="0" w:color="5E8A00"/>
            </w:tcBorders>
            <w:shd w:val="clear" w:color="000000" w:fill="5E8A00"/>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 change</w:t>
            </w:r>
            <w:r w:rsidRPr="003712A9">
              <w:rPr>
                <w:rFonts w:cs="Arial"/>
                <w:b/>
                <w:bCs/>
                <w:color w:val="FFFFFF"/>
                <w:sz w:val="18"/>
                <w:szCs w:val="18"/>
                <w:lang w:eastAsia="en-AU"/>
              </w:rPr>
              <w:br/>
              <w:t>Q1 2012-Q1 2013</w:t>
            </w:r>
          </w:p>
        </w:tc>
      </w:tr>
      <w:tr w:rsidR="003712A9" w:rsidRPr="003712A9" w:rsidTr="003712A9">
        <w:trPr>
          <w:trHeight w:hRule="exact" w:val="284"/>
        </w:trPr>
        <w:tc>
          <w:tcPr>
            <w:tcW w:w="2415" w:type="dxa"/>
            <w:tcBorders>
              <w:top w:val="nil"/>
              <w:left w:val="single" w:sz="4" w:space="0" w:color="5E8A00"/>
              <w:bottom w:val="single" w:sz="4" w:space="0" w:color="5E8A00"/>
              <w:right w:val="single" w:sz="4" w:space="0" w:color="5E8A00"/>
            </w:tcBorders>
            <w:shd w:val="clear" w:color="000000" w:fill="FFFFFF"/>
            <w:noWrap/>
            <w:vAlign w:val="bottom"/>
            <w:hideMark/>
          </w:tcPr>
          <w:p w:rsidR="003712A9" w:rsidRPr="003712A9" w:rsidRDefault="003712A9" w:rsidP="003712A9">
            <w:pPr>
              <w:spacing w:after="0" w:line="240" w:lineRule="auto"/>
              <w:jc w:val="left"/>
              <w:rPr>
                <w:rFonts w:cs="Arial"/>
                <w:color w:val="3E5B00"/>
                <w:sz w:val="18"/>
                <w:szCs w:val="18"/>
                <w:lang w:eastAsia="en-AU"/>
              </w:rPr>
            </w:pPr>
            <w:r w:rsidRPr="003712A9">
              <w:rPr>
                <w:rFonts w:cs="Arial"/>
                <w:color w:val="3E5B00"/>
                <w:sz w:val="18"/>
                <w:szCs w:val="18"/>
                <w:lang w:eastAsia="en-AU"/>
              </w:rPr>
              <w:t>Cert II</w:t>
            </w:r>
          </w:p>
        </w:tc>
        <w:tc>
          <w:tcPr>
            <w:tcW w:w="1135"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10,700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10,700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8,400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-21%</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-22%</w:t>
            </w:r>
          </w:p>
        </w:tc>
      </w:tr>
      <w:tr w:rsidR="003712A9" w:rsidRPr="003712A9" w:rsidTr="003712A9">
        <w:trPr>
          <w:trHeight w:hRule="exact" w:val="284"/>
        </w:trPr>
        <w:tc>
          <w:tcPr>
            <w:tcW w:w="2415" w:type="dxa"/>
            <w:tcBorders>
              <w:top w:val="nil"/>
              <w:left w:val="single" w:sz="4" w:space="0" w:color="5E8A00"/>
              <w:bottom w:val="single" w:sz="4" w:space="0" w:color="5E8A00"/>
              <w:right w:val="single" w:sz="4" w:space="0" w:color="5E8A00"/>
            </w:tcBorders>
            <w:shd w:val="clear" w:color="000000" w:fill="FFFFFF"/>
            <w:noWrap/>
            <w:vAlign w:val="bottom"/>
            <w:hideMark/>
          </w:tcPr>
          <w:p w:rsidR="003712A9" w:rsidRPr="003712A9" w:rsidRDefault="003712A9" w:rsidP="003712A9">
            <w:pPr>
              <w:spacing w:after="0" w:line="240" w:lineRule="auto"/>
              <w:jc w:val="left"/>
              <w:rPr>
                <w:rFonts w:cs="Arial"/>
                <w:color w:val="3E5B00"/>
                <w:sz w:val="18"/>
                <w:szCs w:val="18"/>
                <w:lang w:eastAsia="en-AU"/>
              </w:rPr>
            </w:pPr>
            <w:r w:rsidRPr="003712A9">
              <w:rPr>
                <w:rFonts w:cs="Arial"/>
                <w:color w:val="3E5B00"/>
                <w:sz w:val="18"/>
                <w:szCs w:val="18"/>
                <w:lang w:eastAsia="en-AU"/>
              </w:rPr>
              <w:t>Cert III-IV</w:t>
            </w:r>
          </w:p>
        </w:tc>
        <w:tc>
          <w:tcPr>
            <w:tcW w:w="1135"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17,500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19,300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15,800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-9%</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-18%</w:t>
            </w:r>
          </w:p>
        </w:tc>
      </w:tr>
      <w:tr w:rsidR="003712A9" w:rsidRPr="003712A9" w:rsidTr="003712A9">
        <w:trPr>
          <w:trHeight w:hRule="exact" w:val="284"/>
        </w:trPr>
        <w:tc>
          <w:tcPr>
            <w:tcW w:w="2415" w:type="dxa"/>
            <w:tcBorders>
              <w:top w:val="nil"/>
              <w:left w:val="single" w:sz="4" w:space="0" w:color="5E8A00"/>
              <w:bottom w:val="single" w:sz="4" w:space="0" w:color="5E8A00"/>
              <w:right w:val="single" w:sz="4" w:space="0" w:color="5E8A00"/>
            </w:tcBorders>
            <w:shd w:val="clear" w:color="000000" w:fill="FFFFFF"/>
            <w:noWrap/>
            <w:vAlign w:val="bottom"/>
            <w:hideMark/>
          </w:tcPr>
          <w:p w:rsidR="003712A9" w:rsidRPr="003712A9" w:rsidRDefault="003712A9" w:rsidP="003712A9">
            <w:pPr>
              <w:spacing w:after="0" w:line="240" w:lineRule="auto"/>
              <w:jc w:val="left"/>
              <w:rPr>
                <w:rFonts w:cs="Arial"/>
                <w:color w:val="3E5B00"/>
                <w:sz w:val="18"/>
                <w:szCs w:val="18"/>
                <w:lang w:eastAsia="en-AU"/>
              </w:rPr>
            </w:pPr>
            <w:r w:rsidRPr="003712A9">
              <w:rPr>
                <w:rFonts w:cs="Arial"/>
                <w:color w:val="3E5B00"/>
                <w:sz w:val="18"/>
                <w:szCs w:val="18"/>
                <w:lang w:eastAsia="en-AU"/>
              </w:rPr>
              <w:t>Diploma &amp; Above</w:t>
            </w:r>
          </w:p>
        </w:tc>
        <w:tc>
          <w:tcPr>
            <w:tcW w:w="1135"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1,600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900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 xml:space="preserve">550 </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-65%</w:t>
            </w:r>
          </w:p>
        </w:tc>
        <w:tc>
          <w:tcPr>
            <w:tcW w:w="1136" w:type="dxa"/>
            <w:tcBorders>
              <w:top w:val="nil"/>
              <w:left w:val="nil"/>
              <w:bottom w:val="single" w:sz="4" w:space="0" w:color="5E8A00"/>
              <w:right w:val="single" w:sz="4" w:space="0" w:color="5E8A00"/>
            </w:tcBorders>
            <w:shd w:val="clear" w:color="auto" w:fill="auto"/>
            <w:noWrap/>
            <w:vAlign w:val="center"/>
            <w:hideMark/>
          </w:tcPr>
          <w:p w:rsidR="003712A9" w:rsidRPr="003712A9" w:rsidRDefault="003712A9" w:rsidP="003712A9">
            <w:pPr>
              <w:spacing w:after="0" w:line="240" w:lineRule="auto"/>
              <w:jc w:val="right"/>
              <w:rPr>
                <w:rFonts w:cs="Arial"/>
                <w:sz w:val="18"/>
                <w:szCs w:val="18"/>
                <w:lang w:eastAsia="en-AU"/>
              </w:rPr>
            </w:pPr>
            <w:r w:rsidRPr="003712A9">
              <w:rPr>
                <w:rFonts w:cs="Arial"/>
                <w:sz w:val="18"/>
                <w:szCs w:val="18"/>
                <w:lang w:eastAsia="en-AU"/>
              </w:rPr>
              <w:t>-40%</w:t>
            </w:r>
          </w:p>
        </w:tc>
      </w:tr>
      <w:tr w:rsidR="003712A9" w:rsidRPr="003712A9" w:rsidTr="003712A9">
        <w:trPr>
          <w:trHeight w:hRule="exact" w:val="284"/>
        </w:trPr>
        <w:tc>
          <w:tcPr>
            <w:tcW w:w="2415" w:type="dxa"/>
            <w:tcBorders>
              <w:top w:val="nil"/>
              <w:left w:val="single" w:sz="4" w:space="0" w:color="5E8A00"/>
              <w:bottom w:val="nil"/>
              <w:right w:val="single" w:sz="4" w:space="0" w:color="5E8A00"/>
            </w:tcBorders>
            <w:shd w:val="clear" w:color="000000" w:fill="5E8A00"/>
            <w:noWrap/>
            <w:vAlign w:val="bottom"/>
            <w:hideMark/>
          </w:tcPr>
          <w:p w:rsidR="003712A9" w:rsidRPr="003712A9" w:rsidRDefault="003712A9" w:rsidP="003712A9">
            <w:pPr>
              <w:spacing w:after="0" w:line="240" w:lineRule="auto"/>
              <w:jc w:val="left"/>
              <w:rPr>
                <w:rFonts w:cs="Arial"/>
                <w:b/>
                <w:bCs/>
                <w:color w:val="FFFFFF"/>
                <w:sz w:val="18"/>
                <w:szCs w:val="18"/>
                <w:lang w:eastAsia="en-AU"/>
              </w:rPr>
            </w:pPr>
            <w:r w:rsidRPr="003712A9">
              <w:rPr>
                <w:rFonts w:cs="Arial"/>
                <w:b/>
                <w:bCs/>
                <w:color w:val="FFFFFF"/>
                <w:sz w:val="18"/>
                <w:szCs w:val="18"/>
                <w:lang w:eastAsia="en-AU"/>
              </w:rPr>
              <w:t>Total</w:t>
            </w:r>
          </w:p>
        </w:tc>
        <w:tc>
          <w:tcPr>
            <w:tcW w:w="1135" w:type="dxa"/>
            <w:tcBorders>
              <w:top w:val="nil"/>
              <w:left w:val="nil"/>
              <w:bottom w:val="nil"/>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 xml:space="preserve">29,700 </w:t>
            </w:r>
          </w:p>
        </w:tc>
        <w:tc>
          <w:tcPr>
            <w:tcW w:w="1136" w:type="dxa"/>
            <w:tcBorders>
              <w:top w:val="nil"/>
              <w:left w:val="nil"/>
              <w:bottom w:val="nil"/>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 xml:space="preserve">31,000 </w:t>
            </w:r>
          </w:p>
        </w:tc>
        <w:tc>
          <w:tcPr>
            <w:tcW w:w="1136" w:type="dxa"/>
            <w:tcBorders>
              <w:top w:val="nil"/>
              <w:left w:val="nil"/>
              <w:bottom w:val="nil"/>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 xml:space="preserve">24,800 </w:t>
            </w:r>
          </w:p>
        </w:tc>
        <w:tc>
          <w:tcPr>
            <w:tcW w:w="1136" w:type="dxa"/>
            <w:tcBorders>
              <w:top w:val="nil"/>
              <w:left w:val="nil"/>
              <w:bottom w:val="nil"/>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-17%</w:t>
            </w:r>
          </w:p>
        </w:tc>
        <w:tc>
          <w:tcPr>
            <w:tcW w:w="1136" w:type="dxa"/>
            <w:tcBorders>
              <w:top w:val="nil"/>
              <w:left w:val="nil"/>
              <w:bottom w:val="nil"/>
              <w:right w:val="single" w:sz="4" w:space="0" w:color="5E8A00"/>
            </w:tcBorders>
            <w:shd w:val="clear" w:color="000000" w:fill="5E8A00"/>
            <w:noWrap/>
            <w:vAlign w:val="center"/>
            <w:hideMark/>
          </w:tcPr>
          <w:p w:rsidR="003712A9" w:rsidRPr="003712A9" w:rsidRDefault="003712A9" w:rsidP="003712A9">
            <w:pPr>
              <w:spacing w:after="0" w:line="240" w:lineRule="auto"/>
              <w:jc w:val="right"/>
              <w:rPr>
                <w:rFonts w:cs="Arial"/>
                <w:b/>
                <w:bCs/>
                <w:color w:val="FFFFFF"/>
                <w:sz w:val="18"/>
                <w:szCs w:val="18"/>
                <w:lang w:eastAsia="en-AU"/>
              </w:rPr>
            </w:pPr>
            <w:r w:rsidRPr="003712A9">
              <w:rPr>
                <w:rFonts w:cs="Arial"/>
                <w:b/>
                <w:bCs/>
                <w:color w:val="FFFFFF"/>
                <w:sz w:val="18"/>
                <w:szCs w:val="18"/>
                <w:lang w:eastAsia="en-AU"/>
              </w:rPr>
              <w:t>-20%</w:t>
            </w:r>
          </w:p>
        </w:tc>
      </w:tr>
    </w:tbl>
    <w:p w:rsidR="003712A9" w:rsidRDefault="003712A9" w:rsidP="003712A9"/>
    <w:p w:rsidR="003712A9" w:rsidRDefault="003712A9">
      <w:pPr>
        <w:spacing w:after="0" w:line="240" w:lineRule="auto"/>
        <w:jc w:val="left"/>
        <w:rPr>
          <w:rFonts w:cs="Arial"/>
          <w:bCs/>
          <w:iCs/>
          <w:color w:val="76923C" w:themeColor="accent3" w:themeShade="BF"/>
          <w:sz w:val="28"/>
          <w:szCs w:val="28"/>
        </w:rPr>
      </w:pPr>
      <w:r>
        <w:br w:type="page"/>
      </w:r>
    </w:p>
    <w:p w:rsidR="00D67B5E" w:rsidRPr="001F29E3" w:rsidRDefault="00D67B5E" w:rsidP="00D67B5E">
      <w:pPr>
        <w:pStyle w:val="Heading2"/>
      </w:pPr>
      <w:bookmarkStart w:id="85" w:name="_Toc372613437"/>
      <w:r w:rsidRPr="001F29E3">
        <w:lastRenderedPageBreak/>
        <w:t>Students with Low Prior Qualifications</w:t>
      </w:r>
      <w:bookmarkEnd w:id="85"/>
    </w:p>
    <w:p w:rsidR="00D67B5E" w:rsidRDefault="00D67B5E" w:rsidP="00D67B5E">
      <w:pPr>
        <w:rPr>
          <w:rFonts w:cs="Arial"/>
        </w:rPr>
      </w:pPr>
    </w:p>
    <w:p w:rsidR="00D67B5E" w:rsidRDefault="00D67B5E" w:rsidP="00D67B5E">
      <w:pPr>
        <w:pStyle w:val="Heading3"/>
      </w:pPr>
      <w:r>
        <w:t>Enrolments</w:t>
      </w:r>
    </w:p>
    <w:p w:rsidR="00D67B5E" w:rsidRPr="001F29E3" w:rsidRDefault="00D67B5E" w:rsidP="00D67B5E">
      <w:pPr>
        <w:rPr>
          <w:rFonts w:cs="Arial"/>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D54C88" w:rsidTr="0051046D">
        <w:trPr>
          <w:trHeight w:val="1449"/>
        </w:trPr>
        <w:tc>
          <w:tcPr>
            <w:tcW w:w="9088" w:type="dxa"/>
          </w:tcPr>
          <w:p w:rsidR="00D67B5E" w:rsidRDefault="00D67B5E" w:rsidP="0051046D">
            <w:pPr>
              <w:pStyle w:val="Heading3"/>
            </w:pPr>
            <w:r w:rsidRPr="00D54C88">
              <w:t>Key Points</w:t>
            </w:r>
          </w:p>
          <w:p w:rsidR="00D67B5E" w:rsidRPr="00A326AF" w:rsidRDefault="00D67B5E" w:rsidP="0051046D"/>
          <w:p w:rsidR="00BC23CB" w:rsidRDefault="00D67B5E" w:rsidP="00BC23CB">
            <w:pPr>
              <w:pStyle w:val="ListBullet"/>
              <w:numPr>
                <w:ilvl w:val="0"/>
                <w:numId w:val="9"/>
              </w:numPr>
              <w:ind w:right="113"/>
              <w:rPr>
                <w:rFonts w:cs="Arial"/>
              </w:rPr>
            </w:pPr>
            <w:r w:rsidRPr="007D478D">
              <w:rPr>
                <w:rFonts w:cs="Arial"/>
              </w:rPr>
              <w:t xml:space="preserve">In Q2 2013, there were </w:t>
            </w:r>
            <w:r w:rsidR="007D478D" w:rsidRPr="007D478D">
              <w:rPr>
                <w:rFonts w:cs="Arial"/>
              </w:rPr>
              <w:t>212</w:t>
            </w:r>
            <w:r w:rsidRPr="007D478D">
              <w:rPr>
                <w:rFonts w:cs="Arial"/>
              </w:rPr>
              <w:t>,</w:t>
            </w:r>
            <w:r w:rsidR="007D478D" w:rsidRPr="007D478D">
              <w:rPr>
                <w:rFonts w:cs="Arial"/>
              </w:rPr>
              <w:t>100</w:t>
            </w:r>
            <w:r w:rsidRPr="007D478D">
              <w:rPr>
                <w:rFonts w:cs="Arial"/>
              </w:rPr>
              <w:t xml:space="preserve"> students who wer</w:t>
            </w:r>
            <w:r w:rsidR="00A516C2" w:rsidRPr="007D478D">
              <w:rPr>
                <w:rFonts w:cs="Arial"/>
              </w:rPr>
              <w:t>e aged 20-64 and not holding a C</w:t>
            </w:r>
            <w:r w:rsidRPr="007D478D">
              <w:rPr>
                <w:rFonts w:cs="Arial"/>
              </w:rPr>
              <w:t>ertificate III or above qualification enrolled in 2</w:t>
            </w:r>
            <w:r w:rsidR="007D478D" w:rsidRPr="007D478D">
              <w:rPr>
                <w:rFonts w:cs="Arial"/>
              </w:rPr>
              <w:t>78</w:t>
            </w:r>
            <w:r w:rsidRPr="007D478D">
              <w:rPr>
                <w:rFonts w:cs="Arial"/>
              </w:rPr>
              <w:t>,</w:t>
            </w:r>
            <w:r w:rsidR="007D478D" w:rsidRPr="007D478D">
              <w:rPr>
                <w:rFonts w:cs="Arial"/>
              </w:rPr>
              <w:t>5</w:t>
            </w:r>
            <w:r w:rsidRPr="007D478D">
              <w:rPr>
                <w:rFonts w:cs="Arial"/>
              </w:rPr>
              <w:t xml:space="preserve">00 </w:t>
            </w:r>
            <w:proofErr w:type="gramStart"/>
            <w:r w:rsidRPr="007D478D">
              <w:rPr>
                <w:rFonts w:cs="Arial"/>
              </w:rPr>
              <w:t>government</w:t>
            </w:r>
            <w:proofErr w:type="gramEnd"/>
            <w:r w:rsidRPr="007D478D">
              <w:rPr>
                <w:rFonts w:cs="Arial"/>
              </w:rPr>
              <w:t xml:space="preserve"> subsidised courses.</w:t>
            </w:r>
          </w:p>
          <w:p w:rsidR="00D67B5E" w:rsidRPr="00D54C88" w:rsidRDefault="00D67B5E" w:rsidP="00BC23CB">
            <w:pPr>
              <w:pStyle w:val="ListBullet"/>
              <w:numPr>
                <w:ilvl w:val="0"/>
                <w:numId w:val="9"/>
              </w:numPr>
              <w:ind w:right="113"/>
              <w:rPr>
                <w:rFonts w:cs="Arial"/>
              </w:rPr>
            </w:pPr>
            <w:r w:rsidRPr="0043328F">
              <w:rPr>
                <w:rFonts w:cs="Arial"/>
              </w:rPr>
              <w:t>Of enrolments in industry-specific qualifications (</w:t>
            </w:r>
            <w:r w:rsidR="007D478D" w:rsidRPr="0043328F">
              <w:rPr>
                <w:rFonts w:cs="Arial"/>
              </w:rPr>
              <w:t>201,100</w:t>
            </w:r>
            <w:r w:rsidRPr="0043328F">
              <w:rPr>
                <w:rFonts w:cs="Arial"/>
              </w:rPr>
              <w:t xml:space="preserve"> enrolments) which exclude foundation skills and short courses in Q2 2013, 4</w:t>
            </w:r>
            <w:r w:rsidR="007D478D" w:rsidRPr="0043328F">
              <w:rPr>
                <w:rFonts w:cs="Arial"/>
              </w:rPr>
              <w:t>1</w:t>
            </w:r>
            <w:r w:rsidRPr="0043328F">
              <w:rPr>
                <w:rFonts w:cs="Arial"/>
              </w:rPr>
              <w:t xml:space="preserve"> per cent were in courses related to </w:t>
            </w:r>
            <w:proofErr w:type="gramStart"/>
            <w:r w:rsidRPr="0043328F">
              <w:rPr>
                <w:rFonts w:cs="Arial"/>
              </w:rPr>
              <w:t>specialised</w:t>
            </w:r>
            <w:proofErr w:type="gramEnd"/>
            <w:r w:rsidRPr="0043328F">
              <w:rPr>
                <w:rFonts w:cs="Arial"/>
              </w:rPr>
              <w:t xml:space="preserve"> or in shortage occupations.</w:t>
            </w:r>
            <w:r w:rsidR="00BB7E11">
              <w:rPr>
                <w:rFonts w:cs="Arial"/>
              </w:rPr>
              <w:t xml:space="preserve"> </w:t>
            </w:r>
          </w:p>
        </w:tc>
      </w:tr>
    </w:tbl>
    <w:p w:rsidR="00D67B5E" w:rsidRPr="001F29E3" w:rsidRDefault="00D67B5E" w:rsidP="00D67B5E">
      <w:pPr>
        <w:rPr>
          <w:rFonts w:cs="Arial"/>
        </w:rPr>
      </w:pPr>
    </w:p>
    <w:p w:rsidR="00D67B5E" w:rsidRDefault="00D67B5E" w:rsidP="00D67B5E">
      <w:pPr>
        <w:pStyle w:val="Caption"/>
        <w:spacing w:after="0"/>
        <w:jc w:val="left"/>
        <w:rPr>
          <w:rFonts w:cs="Arial"/>
        </w:rPr>
      </w:pPr>
    </w:p>
    <w:p w:rsidR="00D67B5E" w:rsidRDefault="005654CD" w:rsidP="00D67B5E">
      <w:pPr>
        <w:pStyle w:val="Caption"/>
        <w:spacing w:after="0"/>
        <w:jc w:val="left"/>
        <w:rPr>
          <w:rFonts w:cs="Arial"/>
        </w:rPr>
      </w:pPr>
      <w:r>
        <w:rPr>
          <w:rFonts w:cs="Arial"/>
        </w:rPr>
        <w:t>Table 2</w:t>
      </w:r>
      <w:r w:rsidR="00D67B5E" w:rsidRPr="001F29E3">
        <w:rPr>
          <w:rFonts w:cs="Arial"/>
        </w:rPr>
        <w:t>.</w:t>
      </w:r>
      <w:r w:rsidR="00D67B5E">
        <w:rPr>
          <w:rFonts w:cs="Arial"/>
        </w:rPr>
        <w:t>7.1</w:t>
      </w:r>
      <w:r w:rsidR="00D67B5E" w:rsidRPr="001F29E3">
        <w:rPr>
          <w:rFonts w:cs="Arial"/>
        </w:rPr>
        <w:t>: Government subsidised enrolments by students aged 20-64 not holding a Cert III or above</w:t>
      </w:r>
      <w:r w:rsidR="00D67B5E">
        <w:rPr>
          <w:rFonts w:cs="Arial"/>
        </w:rPr>
        <w:t>, 2008 – 2012</w:t>
      </w:r>
    </w:p>
    <w:tbl>
      <w:tblPr>
        <w:tblW w:w="8640" w:type="dxa"/>
        <w:tblInd w:w="108" w:type="dxa"/>
        <w:tblLook w:val="04A0" w:firstRow="1" w:lastRow="0" w:firstColumn="1" w:lastColumn="0" w:noHBand="0" w:noVBand="1"/>
      </w:tblPr>
      <w:tblGrid>
        <w:gridCol w:w="1920"/>
        <w:gridCol w:w="1120"/>
        <w:gridCol w:w="1120"/>
        <w:gridCol w:w="1120"/>
        <w:gridCol w:w="1120"/>
        <w:gridCol w:w="1120"/>
        <w:gridCol w:w="1120"/>
      </w:tblGrid>
      <w:tr w:rsidR="00D67B5E" w:rsidRPr="00156E3A" w:rsidTr="0051046D">
        <w:trPr>
          <w:trHeight w:hRule="exact" w:val="760"/>
        </w:trPr>
        <w:tc>
          <w:tcPr>
            <w:tcW w:w="1920" w:type="dxa"/>
            <w:tcBorders>
              <w:top w:val="single" w:sz="4" w:space="0" w:color="5E8A00"/>
              <w:left w:val="single" w:sz="4" w:space="0" w:color="5E8A00"/>
              <w:bottom w:val="single" w:sz="4" w:space="0" w:color="5E8A00"/>
            </w:tcBorders>
            <w:shd w:val="clear" w:color="000000" w:fill="5E8A00"/>
            <w:noWrap/>
            <w:vAlign w:val="center"/>
            <w:hideMark/>
          </w:tcPr>
          <w:p w:rsidR="00D67B5E" w:rsidRPr="00156E3A" w:rsidRDefault="00D67B5E" w:rsidP="00F034AF">
            <w:pPr>
              <w:spacing w:after="0" w:line="240" w:lineRule="auto"/>
              <w:ind w:firstLineChars="100" w:firstLine="161"/>
              <w:jc w:val="left"/>
              <w:rPr>
                <w:rFonts w:cs="Arial"/>
                <w:b/>
                <w:bCs/>
                <w:color w:val="FFFFFF"/>
                <w:sz w:val="16"/>
                <w:szCs w:val="16"/>
                <w:lang w:eastAsia="en-AU"/>
              </w:rPr>
            </w:pPr>
            <w:r w:rsidRPr="00156E3A">
              <w:rPr>
                <w:rFonts w:cs="Arial"/>
                <w:b/>
                <w:bCs/>
                <w:color w:val="FFFFFF"/>
                <w:sz w:val="16"/>
                <w:szCs w:val="16"/>
                <w:lang w:eastAsia="en-AU"/>
              </w:rPr>
              <w:t> </w:t>
            </w:r>
          </w:p>
        </w:tc>
        <w:tc>
          <w:tcPr>
            <w:tcW w:w="1120" w:type="dxa"/>
            <w:tcBorders>
              <w:top w:val="single" w:sz="4" w:space="0" w:color="5E8A00"/>
              <w:bottom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67B5E" w:rsidRPr="00156E3A" w:rsidRDefault="00D67B5E" w:rsidP="0051046D">
            <w:pPr>
              <w:spacing w:after="0" w:line="240" w:lineRule="auto"/>
              <w:jc w:val="right"/>
              <w:rPr>
                <w:rFonts w:cs="Arial"/>
                <w:b/>
                <w:bCs/>
                <w:color w:val="FFFFFF"/>
                <w:sz w:val="18"/>
                <w:szCs w:val="18"/>
                <w:lang w:eastAsia="en-AU"/>
              </w:rPr>
            </w:pPr>
            <w:r w:rsidRPr="00156E3A">
              <w:rPr>
                <w:rFonts w:cs="Arial"/>
                <w:b/>
                <w:bCs/>
                <w:color w:val="FFFFFF"/>
                <w:sz w:val="18"/>
                <w:szCs w:val="18"/>
                <w:lang w:eastAsia="en-AU"/>
              </w:rPr>
              <w:t>% change</w:t>
            </w:r>
            <w:r w:rsidRPr="00156E3A">
              <w:rPr>
                <w:rFonts w:cs="Arial"/>
                <w:b/>
                <w:bCs/>
                <w:color w:val="FFFFFF"/>
                <w:sz w:val="18"/>
                <w:szCs w:val="18"/>
                <w:lang w:eastAsia="en-AU"/>
              </w:rPr>
              <w:br/>
              <w:t>2008-2012</w:t>
            </w:r>
          </w:p>
        </w:tc>
      </w:tr>
      <w:tr w:rsidR="00D67B5E" w:rsidRPr="00156E3A" w:rsidTr="0051046D">
        <w:trPr>
          <w:trHeight w:hRule="exact" w:val="284"/>
        </w:trPr>
        <w:tc>
          <w:tcPr>
            <w:tcW w:w="19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56E3A" w:rsidRDefault="00D67B5E" w:rsidP="0051046D">
            <w:pPr>
              <w:spacing w:after="0" w:line="240" w:lineRule="auto"/>
              <w:jc w:val="left"/>
              <w:rPr>
                <w:rFonts w:cs="Arial"/>
                <w:color w:val="3E5B00"/>
                <w:sz w:val="18"/>
                <w:szCs w:val="18"/>
                <w:lang w:eastAsia="en-AU"/>
              </w:rPr>
            </w:pPr>
            <w:r w:rsidRPr="00156E3A">
              <w:rPr>
                <w:rFonts w:cs="Arial"/>
                <w:color w:val="3E5B00"/>
                <w:sz w:val="18"/>
                <w:szCs w:val="18"/>
                <w:lang w:eastAsia="en-AU"/>
              </w:rPr>
              <w:t>Course Enrolments</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164,100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166,200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185,400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271,800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345,700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111%</w:t>
            </w:r>
          </w:p>
        </w:tc>
      </w:tr>
      <w:tr w:rsidR="00D67B5E" w:rsidRPr="00156E3A" w:rsidTr="0051046D">
        <w:trPr>
          <w:trHeight w:hRule="exact" w:val="284"/>
        </w:trPr>
        <w:tc>
          <w:tcPr>
            <w:tcW w:w="1920" w:type="dxa"/>
            <w:tcBorders>
              <w:top w:val="nil"/>
              <w:left w:val="single" w:sz="4" w:space="0" w:color="5E8A00"/>
              <w:bottom w:val="single" w:sz="4" w:space="0" w:color="5E8A00"/>
              <w:right w:val="single" w:sz="4" w:space="0" w:color="5E8A00"/>
            </w:tcBorders>
            <w:shd w:val="clear" w:color="000000" w:fill="FFFFFF"/>
            <w:noWrap/>
            <w:vAlign w:val="center"/>
            <w:hideMark/>
          </w:tcPr>
          <w:p w:rsidR="00D67B5E" w:rsidRPr="00156E3A" w:rsidRDefault="00D67B5E" w:rsidP="0051046D">
            <w:pPr>
              <w:spacing w:after="0" w:line="240" w:lineRule="auto"/>
              <w:jc w:val="left"/>
              <w:rPr>
                <w:rFonts w:cs="Arial"/>
                <w:color w:val="3E5B00"/>
                <w:sz w:val="18"/>
                <w:szCs w:val="18"/>
                <w:lang w:eastAsia="en-AU"/>
              </w:rPr>
            </w:pPr>
            <w:r w:rsidRPr="00156E3A">
              <w:rPr>
                <w:rFonts w:cs="Arial"/>
                <w:color w:val="3E5B00"/>
                <w:sz w:val="18"/>
                <w:szCs w:val="18"/>
                <w:lang w:eastAsia="en-AU"/>
              </w:rPr>
              <w:t>Up-Skilling</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92,500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100,200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118,600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190,600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 xml:space="preserve">251,500 </w:t>
            </w:r>
          </w:p>
        </w:tc>
        <w:tc>
          <w:tcPr>
            <w:tcW w:w="1120" w:type="dxa"/>
            <w:tcBorders>
              <w:top w:val="nil"/>
              <w:left w:val="nil"/>
              <w:bottom w:val="single" w:sz="4" w:space="0" w:color="5E8A00"/>
              <w:right w:val="single" w:sz="4" w:space="0" w:color="5E8A00"/>
            </w:tcBorders>
            <w:shd w:val="clear" w:color="auto" w:fill="auto"/>
            <w:noWrap/>
            <w:vAlign w:val="center"/>
            <w:hideMark/>
          </w:tcPr>
          <w:p w:rsidR="00D67B5E" w:rsidRPr="00156E3A" w:rsidRDefault="00D67B5E" w:rsidP="0051046D">
            <w:pPr>
              <w:spacing w:after="0" w:line="240" w:lineRule="auto"/>
              <w:jc w:val="right"/>
              <w:rPr>
                <w:rFonts w:cs="Arial"/>
                <w:sz w:val="18"/>
                <w:szCs w:val="18"/>
                <w:lang w:eastAsia="en-AU"/>
              </w:rPr>
            </w:pPr>
            <w:r w:rsidRPr="00156E3A">
              <w:rPr>
                <w:rFonts w:cs="Arial"/>
                <w:sz w:val="18"/>
                <w:szCs w:val="18"/>
                <w:lang w:eastAsia="en-AU"/>
              </w:rPr>
              <w:t>172%</w:t>
            </w:r>
          </w:p>
        </w:tc>
      </w:tr>
    </w:tbl>
    <w:p w:rsidR="00D67B5E" w:rsidRPr="001F29E3" w:rsidRDefault="00D67B5E" w:rsidP="00D67B5E">
      <w:pPr>
        <w:spacing w:after="0"/>
        <w:rPr>
          <w:rFonts w:cs="Arial"/>
          <w:sz w:val="16"/>
          <w:szCs w:val="16"/>
        </w:rPr>
      </w:pPr>
      <w:r w:rsidRPr="001F29E3">
        <w:rPr>
          <w:rFonts w:cs="Arial"/>
          <w:sz w:val="16"/>
          <w:szCs w:val="16"/>
        </w:rPr>
        <w:t>Up-skilling refers to studying at a higher level than their current qualification.</w:t>
      </w:r>
    </w:p>
    <w:p w:rsidR="00D67B5E" w:rsidRPr="00156E3A" w:rsidRDefault="00D67B5E" w:rsidP="00D67B5E"/>
    <w:p w:rsidR="00D67B5E" w:rsidRDefault="00D67B5E" w:rsidP="00D67B5E">
      <w:pPr>
        <w:pStyle w:val="Caption"/>
        <w:spacing w:after="0"/>
        <w:jc w:val="left"/>
        <w:rPr>
          <w:rFonts w:cs="Arial"/>
        </w:rPr>
      </w:pPr>
      <w:r>
        <w:rPr>
          <w:rFonts w:cs="Arial"/>
        </w:rPr>
        <w:t xml:space="preserve">Table </w:t>
      </w:r>
      <w:r w:rsidR="005654CD">
        <w:rPr>
          <w:rFonts w:cs="Arial"/>
        </w:rPr>
        <w:t>2</w:t>
      </w:r>
      <w:r w:rsidRPr="001F29E3">
        <w:rPr>
          <w:rFonts w:cs="Arial"/>
        </w:rPr>
        <w:t>.</w:t>
      </w:r>
      <w:r>
        <w:rPr>
          <w:rFonts w:cs="Arial"/>
        </w:rPr>
        <w:t>7.2</w:t>
      </w:r>
      <w:r w:rsidRPr="001F29E3">
        <w:rPr>
          <w:rFonts w:cs="Arial"/>
        </w:rPr>
        <w:t xml:space="preserve">: Government subsidised enrolments by students aged 20-64 not holding a Cert III or above, </w:t>
      </w:r>
      <w:r w:rsidRPr="001F29E3">
        <w:rPr>
          <w:rFonts w:cs="Arial"/>
        </w:rPr>
        <w:br/>
      </w:r>
      <w:r>
        <w:rPr>
          <w:rFonts w:cs="Arial"/>
        </w:rPr>
        <w:t>Q</w:t>
      </w:r>
      <w:r w:rsidR="00F156DC">
        <w:rPr>
          <w:rFonts w:cs="Arial"/>
        </w:rPr>
        <w:t>3</w:t>
      </w:r>
      <w:r>
        <w:rPr>
          <w:rFonts w:cs="Arial"/>
        </w:rPr>
        <w:t xml:space="preserve"> 2011, </w:t>
      </w:r>
      <w:r w:rsidRPr="001F29E3">
        <w:rPr>
          <w:rFonts w:cs="Arial"/>
        </w:rPr>
        <w:t>Q</w:t>
      </w:r>
      <w:r w:rsidR="00F156DC">
        <w:rPr>
          <w:rFonts w:cs="Arial"/>
        </w:rPr>
        <w:t>3</w:t>
      </w:r>
      <w:r w:rsidRPr="001F29E3">
        <w:rPr>
          <w:rFonts w:cs="Arial"/>
        </w:rPr>
        <w:t xml:space="preserve"> 2012 and Q</w:t>
      </w:r>
      <w:r w:rsidR="00F156DC">
        <w:rPr>
          <w:rFonts w:cs="Arial"/>
        </w:rPr>
        <w:t>3</w:t>
      </w:r>
      <w:r w:rsidRPr="001F29E3">
        <w:rPr>
          <w:rFonts w:cs="Arial"/>
        </w:rPr>
        <w:t xml:space="preserve"> 2013</w:t>
      </w:r>
    </w:p>
    <w:tbl>
      <w:tblPr>
        <w:tblW w:w="8580" w:type="dxa"/>
        <w:tblInd w:w="108" w:type="dxa"/>
        <w:tblLook w:val="04A0" w:firstRow="1" w:lastRow="0" w:firstColumn="1" w:lastColumn="0" w:noHBand="0" w:noVBand="1"/>
      </w:tblPr>
      <w:tblGrid>
        <w:gridCol w:w="2980"/>
        <w:gridCol w:w="1120"/>
        <w:gridCol w:w="1120"/>
        <w:gridCol w:w="1120"/>
        <w:gridCol w:w="1120"/>
        <w:gridCol w:w="1120"/>
      </w:tblGrid>
      <w:tr w:rsidR="00C35EAE" w:rsidRPr="00C35EAE" w:rsidTr="00F156DC">
        <w:trPr>
          <w:trHeight w:hRule="exact" w:val="760"/>
        </w:trPr>
        <w:tc>
          <w:tcPr>
            <w:tcW w:w="298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35EAE" w:rsidRPr="00C35EAE" w:rsidRDefault="00C35EAE" w:rsidP="00C35EAE">
            <w:pPr>
              <w:spacing w:after="0" w:line="240" w:lineRule="auto"/>
              <w:ind w:firstLineChars="100" w:firstLine="161"/>
              <w:jc w:val="left"/>
              <w:rPr>
                <w:rFonts w:cs="Arial"/>
                <w:b/>
                <w:bCs/>
                <w:color w:val="FFFFFF"/>
                <w:sz w:val="16"/>
                <w:szCs w:val="16"/>
                <w:lang w:eastAsia="en-AU"/>
              </w:rPr>
            </w:pPr>
            <w:r w:rsidRPr="00C35EAE">
              <w:rPr>
                <w:rFonts w:cs="Arial"/>
                <w:b/>
                <w:bCs/>
                <w:color w:val="FFFFFF"/>
                <w:sz w:val="16"/>
                <w:szCs w:val="16"/>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change</w:t>
            </w:r>
            <w:r w:rsidRPr="00C35EAE">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C35EAE" w:rsidRPr="00C35EAE" w:rsidRDefault="00C35EAE" w:rsidP="00C35EAE">
            <w:pPr>
              <w:spacing w:after="0" w:line="240" w:lineRule="auto"/>
              <w:jc w:val="right"/>
              <w:rPr>
                <w:rFonts w:cs="Arial"/>
                <w:b/>
                <w:bCs/>
                <w:color w:val="FFFFFF"/>
                <w:sz w:val="18"/>
                <w:szCs w:val="18"/>
                <w:lang w:eastAsia="en-AU"/>
              </w:rPr>
            </w:pPr>
            <w:r w:rsidRPr="00C35EAE">
              <w:rPr>
                <w:rFonts w:cs="Arial"/>
                <w:b/>
                <w:bCs/>
                <w:color w:val="FFFFFF"/>
                <w:sz w:val="18"/>
                <w:szCs w:val="18"/>
                <w:lang w:eastAsia="en-AU"/>
              </w:rPr>
              <w:t>% change</w:t>
            </w:r>
            <w:r w:rsidRPr="00C35EAE">
              <w:rPr>
                <w:rFonts w:cs="Arial"/>
                <w:b/>
                <w:bCs/>
                <w:color w:val="FFFFFF"/>
                <w:sz w:val="18"/>
                <w:szCs w:val="18"/>
                <w:lang w:eastAsia="en-AU"/>
              </w:rPr>
              <w:br/>
              <w:t>Q3 2012-Q3 2013</w:t>
            </w:r>
          </w:p>
        </w:tc>
      </w:tr>
      <w:tr w:rsidR="00C35EAE" w:rsidRPr="00C35EAE"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Course Enrolments</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216,300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296,800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278,500 </w:t>
            </w:r>
          </w:p>
        </w:tc>
        <w:tc>
          <w:tcPr>
            <w:tcW w:w="1120" w:type="dxa"/>
            <w:tcBorders>
              <w:top w:val="nil"/>
              <w:left w:val="nil"/>
              <w:bottom w:val="single" w:sz="4" w:space="0" w:color="5E8A00"/>
              <w:right w:val="single" w:sz="4" w:space="0" w:color="5E8A00"/>
            </w:tcBorders>
            <w:shd w:val="clear" w:color="auto" w:fill="auto"/>
            <w:noWrap/>
            <w:vAlign w:val="bottom"/>
            <w:hideMark/>
          </w:tcPr>
          <w:p w:rsidR="00C35EAE" w:rsidRPr="00C35EAE" w:rsidRDefault="00C35EAE" w:rsidP="00C35EAE">
            <w:pPr>
              <w:spacing w:after="0" w:line="240" w:lineRule="auto"/>
              <w:ind w:firstLineChars="100" w:firstLine="180"/>
              <w:jc w:val="right"/>
              <w:rPr>
                <w:rFonts w:cs="Arial"/>
                <w:sz w:val="18"/>
                <w:szCs w:val="18"/>
                <w:lang w:eastAsia="en-AU"/>
              </w:rPr>
            </w:pPr>
            <w:r w:rsidRPr="00C35EAE">
              <w:rPr>
                <w:rFonts w:cs="Arial"/>
                <w:sz w:val="18"/>
                <w:szCs w:val="18"/>
                <w:lang w:eastAsia="en-AU"/>
              </w:rPr>
              <w:t>29%</w:t>
            </w:r>
          </w:p>
        </w:tc>
        <w:tc>
          <w:tcPr>
            <w:tcW w:w="1120" w:type="dxa"/>
            <w:tcBorders>
              <w:top w:val="nil"/>
              <w:left w:val="nil"/>
              <w:bottom w:val="single" w:sz="4" w:space="0" w:color="5E8A00"/>
              <w:right w:val="single" w:sz="4" w:space="0" w:color="5E8A00"/>
            </w:tcBorders>
            <w:shd w:val="clear" w:color="auto" w:fill="auto"/>
            <w:noWrap/>
            <w:vAlign w:val="bottom"/>
            <w:hideMark/>
          </w:tcPr>
          <w:p w:rsidR="00C35EAE" w:rsidRPr="00C35EAE" w:rsidRDefault="00C35EAE" w:rsidP="00C35EAE">
            <w:pPr>
              <w:spacing w:after="0" w:line="240" w:lineRule="auto"/>
              <w:ind w:firstLineChars="100" w:firstLine="180"/>
              <w:jc w:val="right"/>
              <w:rPr>
                <w:rFonts w:cs="Arial"/>
                <w:sz w:val="18"/>
                <w:szCs w:val="18"/>
                <w:lang w:eastAsia="en-AU"/>
              </w:rPr>
            </w:pPr>
            <w:r w:rsidRPr="00C35EAE">
              <w:rPr>
                <w:rFonts w:cs="Arial"/>
                <w:sz w:val="18"/>
                <w:szCs w:val="18"/>
                <w:lang w:eastAsia="en-AU"/>
              </w:rPr>
              <w:t>-6%</w:t>
            </w:r>
          </w:p>
        </w:tc>
      </w:tr>
      <w:tr w:rsidR="00C35EAE" w:rsidRPr="00C35EAE"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C35EAE" w:rsidRPr="00C35EAE" w:rsidRDefault="00C35EAE" w:rsidP="00C35EAE">
            <w:pPr>
              <w:spacing w:after="0" w:line="240" w:lineRule="auto"/>
              <w:jc w:val="left"/>
              <w:rPr>
                <w:rFonts w:cs="Arial"/>
                <w:color w:val="3E5B00"/>
                <w:sz w:val="18"/>
                <w:szCs w:val="18"/>
                <w:lang w:eastAsia="en-AU"/>
              </w:rPr>
            </w:pPr>
            <w:r w:rsidRPr="00C35EAE">
              <w:rPr>
                <w:rFonts w:cs="Arial"/>
                <w:color w:val="3E5B00"/>
                <w:sz w:val="18"/>
                <w:szCs w:val="18"/>
                <w:lang w:eastAsia="en-AU"/>
              </w:rPr>
              <w:t>Up-Skilling</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155,600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220,100 </w:t>
            </w:r>
          </w:p>
        </w:tc>
        <w:tc>
          <w:tcPr>
            <w:tcW w:w="1120" w:type="dxa"/>
            <w:tcBorders>
              <w:top w:val="nil"/>
              <w:left w:val="nil"/>
              <w:bottom w:val="single" w:sz="4" w:space="0" w:color="5E8A00"/>
              <w:right w:val="single" w:sz="4" w:space="0" w:color="5E8A00"/>
            </w:tcBorders>
            <w:shd w:val="clear" w:color="auto" w:fill="auto"/>
            <w:noWrap/>
            <w:vAlign w:val="center"/>
            <w:hideMark/>
          </w:tcPr>
          <w:p w:rsidR="00C35EAE" w:rsidRPr="00C35EAE" w:rsidRDefault="00C35EAE" w:rsidP="00C35EAE">
            <w:pPr>
              <w:spacing w:after="0" w:line="240" w:lineRule="auto"/>
              <w:jc w:val="right"/>
              <w:rPr>
                <w:rFonts w:cs="Arial"/>
                <w:sz w:val="18"/>
                <w:szCs w:val="18"/>
                <w:lang w:eastAsia="en-AU"/>
              </w:rPr>
            </w:pPr>
            <w:r w:rsidRPr="00C35EAE">
              <w:rPr>
                <w:rFonts w:cs="Arial"/>
                <w:sz w:val="18"/>
                <w:szCs w:val="18"/>
                <w:lang w:eastAsia="en-AU"/>
              </w:rPr>
              <w:t xml:space="preserve">193,900 </w:t>
            </w:r>
          </w:p>
        </w:tc>
        <w:tc>
          <w:tcPr>
            <w:tcW w:w="1120" w:type="dxa"/>
            <w:tcBorders>
              <w:top w:val="nil"/>
              <w:left w:val="nil"/>
              <w:bottom w:val="single" w:sz="4" w:space="0" w:color="5E8A00"/>
              <w:right w:val="single" w:sz="4" w:space="0" w:color="5E8A00"/>
            </w:tcBorders>
            <w:shd w:val="clear" w:color="auto" w:fill="auto"/>
            <w:noWrap/>
            <w:vAlign w:val="bottom"/>
            <w:hideMark/>
          </w:tcPr>
          <w:p w:rsidR="00C35EAE" w:rsidRPr="00C35EAE" w:rsidRDefault="00C35EAE" w:rsidP="00C35EAE">
            <w:pPr>
              <w:spacing w:after="0" w:line="240" w:lineRule="auto"/>
              <w:ind w:firstLineChars="100" w:firstLine="180"/>
              <w:jc w:val="right"/>
              <w:rPr>
                <w:rFonts w:cs="Arial"/>
                <w:sz w:val="18"/>
                <w:szCs w:val="18"/>
                <w:lang w:eastAsia="en-AU"/>
              </w:rPr>
            </w:pPr>
            <w:r w:rsidRPr="00C35EAE">
              <w:rPr>
                <w:rFonts w:cs="Arial"/>
                <w:sz w:val="18"/>
                <w:szCs w:val="18"/>
                <w:lang w:eastAsia="en-AU"/>
              </w:rPr>
              <w:t>25%</w:t>
            </w:r>
          </w:p>
        </w:tc>
        <w:tc>
          <w:tcPr>
            <w:tcW w:w="1120" w:type="dxa"/>
            <w:tcBorders>
              <w:top w:val="nil"/>
              <w:left w:val="nil"/>
              <w:bottom w:val="single" w:sz="4" w:space="0" w:color="5E8A00"/>
              <w:right w:val="single" w:sz="4" w:space="0" w:color="5E8A00"/>
            </w:tcBorders>
            <w:shd w:val="clear" w:color="auto" w:fill="auto"/>
            <w:noWrap/>
            <w:vAlign w:val="bottom"/>
            <w:hideMark/>
          </w:tcPr>
          <w:p w:rsidR="00C35EAE" w:rsidRPr="00C35EAE" w:rsidRDefault="00C35EAE" w:rsidP="00C35EAE">
            <w:pPr>
              <w:spacing w:after="0" w:line="240" w:lineRule="auto"/>
              <w:ind w:firstLineChars="100" w:firstLine="180"/>
              <w:jc w:val="right"/>
              <w:rPr>
                <w:rFonts w:cs="Arial"/>
                <w:sz w:val="18"/>
                <w:szCs w:val="18"/>
                <w:lang w:eastAsia="en-AU"/>
              </w:rPr>
            </w:pPr>
            <w:r w:rsidRPr="00C35EAE">
              <w:rPr>
                <w:rFonts w:cs="Arial"/>
                <w:sz w:val="18"/>
                <w:szCs w:val="18"/>
                <w:lang w:eastAsia="en-AU"/>
              </w:rPr>
              <w:t>-12%</w:t>
            </w:r>
          </w:p>
        </w:tc>
      </w:tr>
    </w:tbl>
    <w:p w:rsidR="00D67B5E" w:rsidRPr="00A326AF" w:rsidRDefault="00D67B5E" w:rsidP="00BC23CB">
      <w:pPr>
        <w:spacing w:after="0"/>
        <w:rPr>
          <w:rFonts w:cs="Arial"/>
          <w:b/>
          <w:bCs/>
          <w:szCs w:val="19"/>
        </w:rPr>
      </w:pPr>
      <w:r w:rsidRPr="001F29E3">
        <w:rPr>
          <w:rFonts w:cs="Arial"/>
          <w:sz w:val="16"/>
          <w:szCs w:val="16"/>
        </w:rPr>
        <w:t>Up-skilling refers to studying at a higher level than their current qualification.</w:t>
      </w:r>
      <w:r w:rsidR="00BC23CB" w:rsidRPr="00A326AF">
        <w:rPr>
          <w:rFonts w:cs="Arial"/>
          <w:b/>
          <w:bCs/>
          <w:szCs w:val="19"/>
        </w:rPr>
        <w:t xml:space="preserve"> </w:t>
      </w:r>
    </w:p>
    <w:p w:rsidR="00D67B5E" w:rsidRPr="001F29E3" w:rsidRDefault="00D67B5E" w:rsidP="00D67B5E">
      <w:pPr>
        <w:pStyle w:val="Heading2"/>
      </w:pPr>
      <w:r w:rsidRPr="001F29E3">
        <w:br w:type="page"/>
      </w:r>
      <w:bookmarkStart w:id="86" w:name="_Toc372613438"/>
      <w:r w:rsidRPr="001F29E3">
        <w:lastRenderedPageBreak/>
        <w:t>Foundation Level Training</w:t>
      </w:r>
      <w:bookmarkEnd w:id="86"/>
    </w:p>
    <w:p w:rsidR="00D67B5E" w:rsidRDefault="00D67B5E" w:rsidP="00D67B5E">
      <w:pPr>
        <w:rPr>
          <w:rFonts w:cs="Arial"/>
        </w:rPr>
      </w:pPr>
    </w:p>
    <w:p w:rsidR="00D67B5E" w:rsidRDefault="00D67B5E" w:rsidP="00D67B5E">
      <w:pPr>
        <w:rPr>
          <w:rFonts w:cs="Arial"/>
        </w:rPr>
      </w:pPr>
      <w:r w:rsidRPr="001F29E3">
        <w:rPr>
          <w:rFonts w:cs="Arial"/>
        </w:rPr>
        <w:t xml:space="preserve">An efficient and effective training market </w:t>
      </w:r>
      <w:r>
        <w:rPr>
          <w:rFonts w:cs="Arial"/>
        </w:rPr>
        <w:t xml:space="preserve">is </w:t>
      </w:r>
      <w:r w:rsidRPr="001F29E3">
        <w:rPr>
          <w:rFonts w:cs="Arial"/>
        </w:rPr>
        <w:t xml:space="preserve">vital </w:t>
      </w:r>
      <w:r>
        <w:rPr>
          <w:rFonts w:cs="Arial"/>
        </w:rPr>
        <w:t xml:space="preserve">to </w:t>
      </w:r>
      <w:r w:rsidRPr="001F29E3">
        <w:rPr>
          <w:rFonts w:cs="Arial"/>
        </w:rPr>
        <w:t>provid</w:t>
      </w:r>
      <w:r>
        <w:rPr>
          <w:rFonts w:cs="Arial"/>
        </w:rPr>
        <w:t>e</w:t>
      </w:r>
      <w:r w:rsidRPr="001F29E3">
        <w:rPr>
          <w:rFonts w:cs="Arial"/>
        </w:rPr>
        <w:t xml:space="preserve"> better outcomes for </w:t>
      </w:r>
      <w:r>
        <w:rPr>
          <w:rFonts w:cs="Arial"/>
        </w:rPr>
        <w:t xml:space="preserve">students </w:t>
      </w:r>
      <w:r w:rsidRPr="001F29E3">
        <w:rPr>
          <w:rFonts w:cs="Arial"/>
        </w:rPr>
        <w:t xml:space="preserve">and employers, as well as the wider Victorian community. </w:t>
      </w:r>
      <w:r>
        <w:rPr>
          <w:rFonts w:cs="Arial"/>
        </w:rPr>
        <w:t xml:space="preserve">It is </w:t>
      </w:r>
      <w:r w:rsidRPr="001F29E3">
        <w:rPr>
          <w:rFonts w:cs="Arial"/>
        </w:rPr>
        <w:t>particular</w:t>
      </w:r>
      <w:r>
        <w:rPr>
          <w:rFonts w:cs="Arial"/>
        </w:rPr>
        <w:t>ly</w:t>
      </w:r>
      <w:r w:rsidRPr="001F29E3">
        <w:rPr>
          <w:rFonts w:cs="Arial"/>
        </w:rPr>
        <w:t xml:space="preserve"> importan</w:t>
      </w:r>
      <w:r>
        <w:rPr>
          <w:rFonts w:cs="Arial"/>
        </w:rPr>
        <w:t>t</w:t>
      </w:r>
      <w:r w:rsidRPr="001F29E3">
        <w:rPr>
          <w:rFonts w:cs="Arial"/>
        </w:rPr>
        <w:t xml:space="preserve"> </w:t>
      </w:r>
      <w:r>
        <w:rPr>
          <w:rFonts w:cs="Arial"/>
        </w:rPr>
        <w:t xml:space="preserve">to make sure </w:t>
      </w:r>
      <w:r w:rsidRPr="001F29E3">
        <w:rPr>
          <w:rFonts w:cs="Arial"/>
        </w:rPr>
        <w:t xml:space="preserve">school leavers and adults without </w:t>
      </w:r>
      <w:r>
        <w:rPr>
          <w:rFonts w:cs="Arial"/>
        </w:rPr>
        <w:t xml:space="preserve">solid literacy and numeracy skills </w:t>
      </w:r>
      <w:r w:rsidRPr="001F29E3">
        <w:rPr>
          <w:rFonts w:cs="Arial"/>
        </w:rPr>
        <w:t>are given the opportunity to acquire them</w:t>
      </w:r>
      <w:r>
        <w:rPr>
          <w:rFonts w:cs="Arial"/>
        </w:rPr>
        <w:t xml:space="preserve">. These skills will </w:t>
      </w:r>
      <w:r w:rsidRPr="001F29E3">
        <w:rPr>
          <w:rFonts w:cs="Arial"/>
        </w:rPr>
        <w:t xml:space="preserve">greatly improve their chances of </w:t>
      </w:r>
      <w:proofErr w:type="gramStart"/>
      <w:r w:rsidRPr="001F29E3">
        <w:rPr>
          <w:rFonts w:cs="Arial"/>
        </w:rPr>
        <w:t>employment,</w:t>
      </w:r>
      <w:proofErr w:type="gramEnd"/>
      <w:r w:rsidRPr="001F29E3">
        <w:rPr>
          <w:rFonts w:cs="Arial"/>
        </w:rPr>
        <w:t xml:space="preserve"> </w:t>
      </w:r>
      <w:r>
        <w:rPr>
          <w:rFonts w:cs="Arial"/>
        </w:rPr>
        <w:t xml:space="preserve">provide opportunities for </w:t>
      </w:r>
      <w:r w:rsidRPr="001F29E3">
        <w:rPr>
          <w:rFonts w:cs="Arial"/>
        </w:rPr>
        <w:t>further education and broader social participation.</w:t>
      </w:r>
    </w:p>
    <w:p w:rsidR="00D3348C" w:rsidRPr="000F15B8" w:rsidRDefault="00D3348C" w:rsidP="00D3348C">
      <w:r w:rsidRPr="0043328F">
        <w:t xml:space="preserve">The latest OECD study on adult literacy and numeracy </w:t>
      </w:r>
      <w:r w:rsidR="00BB7E11" w:rsidRPr="0043328F">
        <w:t xml:space="preserve">(Program for the International Assessment of Adult Competencies) </w:t>
      </w:r>
      <w:r w:rsidRPr="0043328F">
        <w:t>suggests that there is a significant proportion of the adult population with very low skills in literacy and numeracy, likely to be of a level to limit their effective participation in the economy</w:t>
      </w:r>
      <w:r w:rsidR="00BB7E11" w:rsidRPr="0043328F">
        <w:t xml:space="preserve">: </w:t>
      </w:r>
      <w:r w:rsidR="000F15B8" w:rsidRPr="0043328F">
        <w:t>about 14% (or 518,000) of Victorians aged 15-64 had low level of skills (proficiency level 1 or below) in literacy and 22% (or 818,600) had low level of skills in numeracy.</w:t>
      </w:r>
      <w:r w:rsidR="0043328F">
        <w:t xml:space="preserve"> These individuals</w:t>
      </w:r>
      <w:r w:rsidR="00D17AF1">
        <w:t xml:space="preserve"> would </w:t>
      </w:r>
      <w:r w:rsidR="0043328F">
        <w:t>benefit</w:t>
      </w:r>
      <w:r w:rsidR="00D17AF1">
        <w:t xml:space="preserve"> from f</w:t>
      </w:r>
      <w:r w:rsidR="0043328F">
        <w:t>oundation type courses.</w:t>
      </w:r>
      <w:r w:rsidR="00B5417B">
        <w:t xml:space="preserve"> </w:t>
      </w:r>
      <w:proofErr w:type="gramStart"/>
      <w:r w:rsidR="00B5417B">
        <w:t xml:space="preserve">A recent study undertaken by the Australian Industry Group </w:t>
      </w:r>
      <w:r w:rsidR="00B5417B" w:rsidRPr="00B5417B">
        <w:rPr>
          <w:i/>
        </w:rPr>
        <w:t>Getting it Right: Foundation Skills for the Workforce</w:t>
      </w:r>
      <w:r w:rsidR="00B5417B">
        <w:t xml:space="preserve"> found that employers continue to be concerned about the low levels of workplace literacy and numeracy, with 93 per cent of employers identifying some impact on their business.</w:t>
      </w:r>
      <w:proofErr w:type="gramEnd"/>
    </w:p>
    <w:p w:rsidR="004C5F99" w:rsidRPr="004C5F99" w:rsidRDefault="004C5F99" w:rsidP="004C5F99"/>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D67B5E" w:rsidRPr="00240F20" w:rsidTr="0051046D">
        <w:trPr>
          <w:trHeight w:val="1449"/>
        </w:trPr>
        <w:tc>
          <w:tcPr>
            <w:tcW w:w="9088" w:type="dxa"/>
          </w:tcPr>
          <w:p w:rsidR="00D67B5E" w:rsidRDefault="00D67B5E" w:rsidP="0051046D">
            <w:pPr>
              <w:pStyle w:val="Heading3"/>
            </w:pPr>
            <w:r w:rsidRPr="00240F20">
              <w:t>Key Points</w:t>
            </w:r>
          </w:p>
          <w:p w:rsidR="00D67B5E" w:rsidRPr="00A326AF" w:rsidRDefault="00D67B5E" w:rsidP="0051046D"/>
          <w:p w:rsidR="00D67B5E" w:rsidRPr="006A344C" w:rsidRDefault="00D67B5E" w:rsidP="0051046D">
            <w:pPr>
              <w:pStyle w:val="ListBullet"/>
              <w:numPr>
                <w:ilvl w:val="0"/>
                <w:numId w:val="11"/>
              </w:numPr>
              <w:ind w:right="113"/>
              <w:rPr>
                <w:rFonts w:cs="Arial"/>
              </w:rPr>
            </w:pPr>
            <w:r w:rsidRPr="006A344C">
              <w:rPr>
                <w:rFonts w:cs="Arial"/>
              </w:rPr>
              <w:t xml:space="preserve">Enrolments in government subsidised foundation skills courses were </w:t>
            </w:r>
            <w:r w:rsidR="006A344C" w:rsidRPr="006A344C">
              <w:rPr>
                <w:rFonts w:cs="Arial"/>
              </w:rPr>
              <w:t>136</w:t>
            </w:r>
            <w:r w:rsidRPr="006A344C">
              <w:rPr>
                <w:rFonts w:cs="Arial"/>
              </w:rPr>
              <w:t>,</w:t>
            </w:r>
            <w:r w:rsidR="006A344C" w:rsidRPr="006A344C">
              <w:rPr>
                <w:rFonts w:cs="Arial"/>
              </w:rPr>
              <w:t>200</w:t>
            </w:r>
            <w:r w:rsidRPr="006A344C">
              <w:rPr>
                <w:rFonts w:cs="Arial"/>
              </w:rPr>
              <w:t xml:space="preserve"> in Q</w:t>
            </w:r>
            <w:r w:rsidR="006A344C" w:rsidRPr="006A344C">
              <w:rPr>
                <w:rFonts w:cs="Arial"/>
              </w:rPr>
              <w:t>3</w:t>
            </w:r>
            <w:r w:rsidRPr="006A344C">
              <w:rPr>
                <w:rFonts w:cs="Arial"/>
              </w:rPr>
              <w:t xml:space="preserve"> 2013. This figure is higher compared to the corresponding figures over the same period in 2011 and 2012.</w:t>
            </w:r>
          </w:p>
          <w:p w:rsidR="00D67B5E" w:rsidRPr="006A344C" w:rsidRDefault="00D67B5E" w:rsidP="0051046D">
            <w:pPr>
              <w:pStyle w:val="ListBullet"/>
              <w:numPr>
                <w:ilvl w:val="0"/>
                <w:numId w:val="11"/>
              </w:numPr>
              <w:ind w:right="113"/>
              <w:rPr>
                <w:rFonts w:cs="Arial"/>
              </w:rPr>
            </w:pPr>
            <w:r w:rsidRPr="006A344C">
              <w:rPr>
                <w:rFonts w:cs="Arial"/>
              </w:rPr>
              <w:t xml:space="preserve">In terms of students, there were </w:t>
            </w:r>
            <w:r w:rsidR="006A344C" w:rsidRPr="006A344C">
              <w:rPr>
                <w:rFonts w:cs="Arial"/>
              </w:rPr>
              <w:t>111,000</w:t>
            </w:r>
            <w:r w:rsidRPr="006A344C">
              <w:rPr>
                <w:rFonts w:cs="Arial"/>
              </w:rPr>
              <w:t xml:space="preserve"> government subsidised students enrolled in these courses in Q</w:t>
            </w:r>
            <w:r w:rsidR="006A344C" w:rsidRPr="006A344C">
              <w:rPr>
                <w:rFonts w:cs="Arial"/>
              </w:rPr>
              <w:t>3</w:t>
            </w:r>
            <w:r w:rsidRPr="006A344C">
              <w:rPr>
                <w:rFonts w:cs="Arial"/>
              </w:rPr>
              <w:t xml:space="preserve"> 2013.  </w:t>
            </w:r>
            <w:r w:rsidR="006A344C" w:rsidRPr="006A344C">
              <w:rPr>
                <w:rFonts w:cs="Arial"/>
              </w:rPr>
              <w:t xml:space="preserve">Nearly </w:t>
            </w:r>
            <w:r w:rsidRPr="006A344C">
              <w:rPr>
                <w:rFonts w:cs="Arial"/>
              </w:rPr>
              <w:t>half (</w:t>
            </w:r>
            <w:r w:rsidR="006A344C" w:rsidRPr="006A344C">
              <w:rPr>
                <w:rFonts w:cs="Arial"/>
              </w:rPr>
              <w:t>49</w:t>
            </w:r>
            <w:r w:rsidRPr="006A344C">
              <w:rPr>
                <w:rFonts w:cs="Arial"/>
              </w:rPr>
              <w:t xml:space="preserve"> per cent) of these students were aged between 15 and 24 years.</w:t>
            </w:r>
          </w:p>
          <w:p w:rsidR="00D67B5E" w:rsidRPr="00240F20" w:rsidRDefault="00D67B5E" w:rsidP="006A344C">
            <w:pPr>
              <w:pStyle w:val="ListBullet"/>
              <w:numPr>
                <w:ilvl w:val="0"/>
                <w:numId w:val="11"/>
              </w:numPr>
              <w:ind w:right="113"/>
              <w:rPr>
                <w:rFonts w:cs="Arial"/>
              </w:rPr>
            </w:pPr>
            <w:r w:rsidRPr="006A344C">
              <w:rPr>
                <w:rFonts w:cs="Arial"/>
              </w:rPr>
              <w:t>The top three foundation skills course enrolments in Q</w:t>
            </w:r>
            <w:r w:rsidR="006A344C" w:rsidRPr="006A344C">
              <w:rPr>
                <w:rFonts w:cs="Arial"/>
              </w:rPr>
              <w:t>3</w:t>
            </w:r>
            <w:r w:rsidRPr="006A344C">
              <w:rPr>
                <w:rFonts w:cs="Arial"/>
              </w:rPr>
              <w:t xml:space="preserve"> 2013 were Certificate I in Vocational Preparation, the Certificate II in General Education for Adults and the Certificate I in</w:t>
            </w:r>
            <w:r w:rsidR="00BB7E11">
              <w:rPr>
                <w:rFonts w:cs="Arial"/>
              </w:rPr>
              <w:t xml:space="preserve"> General Education for Adults. </w:t>
            </w:r>
            <w:r w:rsidRPr="006A344C">
              <w:rPr>
                <w:rFonts w:cs="Arial"/>
              </w:rPr>
              <w:t>Enrolments in these courses accounted for 63 per cent of all government subsidised foundation course enrolments.</w:t>
            </w:r>
          </w:p>
        </w:tc>
      </w:tr>
    </w:tbl>
    <w:p w:rsidR="00D67B5E" w:rsidRDefault="00D67B5E" w:rsidP="00D67B5E">
      <w:pPr>
        <w:pStyle w:val="Caption"/>
        <w:jc w:val="left"/>
        <w:rPr>
          <w:rFonts w:cs="Arial"/>
        </w:rPr>
      </w:pPr>
    </w:p>
    <w:p w:rsidR="00D67B5E" w:rsidRPr="001865CC" w:rsidRDefault="00D67B5E" w:rsidP="00D67B5E"/>
    <w:p w:rsidR="00D67B5E" w:rsidRPr="001F29E3" w:rsidRDefault="00D67B5E" w:rsidP="00D67B5E">
      <w:pPr>
        <w:pStyle w:val="Caption"/>
        <w:jc w:val="left"/>
        <w:rPr>
          <w:rFonts w:cs="Arial"/>
        </w:rPr>
      </w:pPr>
      <w:r>
        <w:rPr>
          <w:rFonts w:cs="Arial"/>
        </w:rPr>
        <w:t xml:space="preserve">Figure </w:t>
      </w:r>
      <w:r w:rsidR="005654CD">
        <w:rPr>
          <w:rFonts w:cs="Arial"/>
        </w:rPr>
        <w:t>2</w:t>
      </w:r>
      <w:r w:rsidRPr="001F29E3">
        <w:rPr>
          <w:rFonts w:cs="Arial"/>
        </w:rPr>
        <w:t>.</w:t>
      </w:r>
      <w:r>
        <w:rPr>
          <w:rFonts w:cs="Arial"/>
        </w:rPr>
        <w:t>1</w:t>
      </w:r>
      <w:r w:rsidRPr="001F29E3">
        <w:rPr>
          <w:rFonts w:cs="Arial"/>
        </w:rPr>
        <w:t>: Government subsidised enrolments in foundation</w:t>
      </w:r>
      <w:r w:rsidR="00F156DC">
        <w:rPr>
          <w:rFonts w:cs="Arial"/>
        </w:rPr>
        <w:t xml:space="preserve"> </w:t>
      </w:r>
      <w:r w:rsidRPr="001F29E3">
        <w:rPr>
          <w:rFonts w:cs="Arial"/>
        </w:rPr>
        <w:t xml:space="preserve">skills courses, 2008 – 2012, </w:t>
      </w:r>
      <w:r w:rsidR="00F156DC">
        <w:rPr>
          <w:rFonts w:cs="Arial"/>
        </w:rPr>
        <w:br/>
      </w:r>
      <w:r w:rsidRPr="001F29E3">
        <w:rPr>
          <w:rFonts w:cs="Arial"/>
        </w:rPr>
        <w:t>Q</w:t>
      </w:r>
      <w:r w:rsidR="00F156DC">
        <w:rPr>
          <w:rFonts w:cs="Arial"/>
        </w:rPr>
        <w:t>3</w:t>
      </w:r>
      <w:r w:rsidRPr="001F29E3">
        <w:rPr>
          <w:rFonts w:cs="Arial"/>
        </w:rPr>
        <w:t xml:space="preserve"> 201</w:t>
      </w:r>
      <w:r>
        <w:rPr>
          <w:rFonts w:cs="Arial"/>
        </w:rPr>
        <w:t>1, Q</w:t>
      </w:r>
      <w:r w:rsidR="00F156DC">
        <w:rPr>
          <w:rFonts w:cs="Arial"/>
        </w:rPr>
        <w:t>3</w:t>
      </w:r>
      <w:r>
        <w:rPr>
          <w:rFonts w:cs="Arial"/>
        </w:rPr>
        <w:t xml:space="preserve"> 2012</w:t>
      </w:r>
      <w:r w:rsidRPr="001F29E3">
        <w:rPr>
          <w:rFonts w:cs="Arial"/>
        </w:rPr>
        <w:t xml:space="preserve"> and Q</w:t>
      </w:r>
      <w:r w:rsidR="00F156DC">
        <w:rPr>
          <w:rFonts w:cs="Arial"/>
        </w:rPr>
        <w:t>3</w:t>
      </w:r>
      <w:r w:rsidRPr="001F29E3">
        <w:rPr>
          <w:rFonts w:cs="Arial"/>
        </w:rPr>
        <w:t xml:space="preserve"> 2013</w:t>
      </w:r>
    </w:p>
    <w:p w:rsidR="00D67B5E" w:rsidRPr="001F29E3" w:rsidRDefault="00F156DC" w:rsidP="00D67B5E">
      <w:pPr>
        <w:jc w:val="center"/>
        <w:rPr>
          <w:rFonts w:cs="Arial"/>
        </w:rPr>
      </w:pPr>
      <w:r>
        <w:rPr>
          <w:rFonts w:cs="Arial"/>
          <w:noProof/>
          <w:lang w:eastAsia="en-AU"/>
        </w:rPr>
        <w:drawing>
          <wp:inline distT="0" distB="0" distL="0" distR="0" wp14:anchorId="206FC38A" wp14:editId="7AAD50BB">
            <wp:extent cx="5895340" cy="3152140"/>
            <wp:effectExtent l="0" t="0" r="0" b="0"/>
            <wp:docPr id="9" name="Picture 9" descr="This chart presents the number of government subsidised enrolments in foundation courses of study from 2008 to 2012 and in Q3 2011, Q3 2012 and Q3 2013." title="Figure 2.1: Government subsidised enrolments in foundation skills courses, 2008 –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5340" cy="3152140"/>
                    </a:xfrm>
                    <a:prstGeom prst="rect">
                      <a:avLst/>
                    </a:prstGeom>
                    <a:noFill/>
                  </pic:spPr>
                </pic:pic>
              </a:graphicData>
            </a:graphic>
          </wp:inline>
        </w:drawing>
      </w:r>
    </w:p>
    <w:p w:rsidR="00D67B5E" w:rsidRDefault="00D67B5E" w:rsidP="00D67B5E">
      <w:pPr>
        <w:pStyle w:val="Caption"/>
      </w:pPr>
    </w:p>
    <w:p w:rsidR="00D67B5E" w:rsidRDefault="00D67B5E" w:rsidP="00D67B5E">
      <w:pPr>
        <w:spacing w:after="0" w:line="240" w:lineRule="auto"/>
        <w:jc w:val="left"/>
        <w:rPr>
          <w:rFonts w:cs="Arial"/>
          <w:b/>
          <w:bCs/>
          <w:color w:val="76923C" w:themeColor="accent3" w:themeShade="BF"/>
          <w:sz w:val="18"/>
          <w:szCs w:val="16"/>
        </w:rPr>
      </w:pPr>
      <w:r>
        <w:rPr>
          <w:rFonts w:cs="Arial"/>
        </w:rPr>
        <w:br w:type="page"/>
      </w:r>
    </w:p>
    <w:p w:rsidR="00D67B5E" w:rsidRDefault="00D67B5E" w:rsidP="00D67B5E">
      <w:pPr>
        <w:pStyle w:val="Caption"/>
        <w:spacing w:after="0" w:line="240" w:lineRule="auto"/>
        <w:jc w:val="left"/>
        <w:rPr>
          <w:rFonts w:cs="Arial"/>
        </w:rPr>
      </w:pPr>
      <w:r>
        <w:rPr>
          <w:rFonts w:cs="Arial"/>
        </w:rPr>
        <w:lastRenderedPageBreak/>
        <w:t xml:space="preserve">Table </w:t>
      </w:r>
      <w:r w:rsidR="005654CD">
        <w:rPr>
          <w:rFonts w:cs="Arial"/>
        </w:rPr>
        <w:t>2</w:t>
      </w:r>
      <w:r w:rsidRPr="001F29E3">
        <w:rPr>
          <w:rFonts w:cs="Arial"/>
        </w:rPr>
        <w:t>.</w:t>
      </w:r>
      <w:r>
        <w:rPr>
          <w:rFonts w:cs="Arial"/>
        </w:rPr>
        <w:t>8.1</w:t>
      </w:r>
      <w:r w:rsidRPr="001F29E3">
        <w:rPr>
          <w:rFonts w:cs="Arial"/>
        </w:rPr>
        <w:t>: Government subsidised student</w:t>
      </w:r>
      <w:r>
        <w:rPr>
          <w:rFonts w:cs="Arial"/>
        </w:rPr>
        <w:t xml:space="preserve"> contact hours </w:t>
      </w:r>
      <w:r w:rsidRPr="001F29E3">
        <w:rPr>
          <w:rFonts w:cs="Arial"/>
        </w:rPr>
        <w:t>in foundation skills courses, 2008-2012</w:t>
      </w:r>
    </w:p>
    <w:tbl>
      <w:tblPr>
        <w:tblW w:w="9100" w:type="dxa"/>
        <w:tblInd w:w="108" w:type="dxa"/>
        <w:tblLook w:val="04A0" w:firstRow="1" w:lastRow="0" w:firstColumn="1" w:lastColumn="0" w:noHBand="0" w:noVBand="1"/>
      </w:tblPr>
      <w:tblGrid>
        <w:gridCol w:w="2380"/>
        <w:gridCol w:w="1120"/>
        <w:gridCol w:w="1120"/>
        <w:gridCol w:w="1120"/>
        <w:gridCol w:w="1120"/>
        <w:gridCol w:w="1120"/>
        <w:gridCol w:w="1120"/>
      </w:tblGrid>
      <w:tr w:rsidR="00D67B5E" w:rsidRPr="00C7735A" w:rsidTr="0051046D">
        <w:trPr>
          <w:trHeight w:hRule="exact" w:val="760"/>
        </w:trPr>
        <w:tc>
          <w:tcPr>
            <w:tcW w:w="238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D67B5E" w:rsidRPr="00C7735A" w:rsidRDefault="00D67B5E" w:rsidP="00F034AF">
            <w:pPr>
              <w:spacing w:after="0" w:line="240" w:lineRule="auto"/>
              <w:ind w:firstLineChars="100" w:firstLine="181"/>
              <w:jc w:val="left"/>
              <w:rPr>
                <w:rFonts w:cs="Arial"/>
                <w:b/>
                <w:bCs/>
                <w:color w:val="FFFFFF"/>
                <w:sz w:val="18"/>
                <w:szCs w:val="18"/>
                <w:lang w:eastAsia="en-AU"/>
              </w:rPr>
            </w:pPr>
            <w:r w:rsidRPr="00C7735A">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F034AF">
            <w:pPr>
              <w:spacing w:after="0" w:line="240" w:lineRule="auto"/>
              <w:ind w:firstLineChars="100" w:firstLine="181"/>
              <w:jc w:val="right"/>
              <w:rPr>
                <w:rFonts w:cs="Arial"/>
                <w:b/>
                <w:bCs/>
                <w:color w:val="FFFFFF"/>
                <w:sz w:val="18"/>
                <w:szCs w:val="18"/>
                <w:lang w:eastAsia="en-AU"/>
              </w:rPr>
            </w:pPr>
            <w:r w:rsidRPr="00C7735A">
              <w:rPr>
                <w:rFonts w:cs="Arial"/>
                <w:b/>
                <w:bCs/>
                <w:color w:val="FFFFFF"/>
                <w:sz w:val="18"/>
                <w:szCs w:val="18"/>
                <w:lang w:eastAsia="en-AU"/>
              </w:rPr>
              <w:t>2008</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F034AF">
            <w:pPr>
              <w:spacing w:after="0" w:line="240" w:lineRule="auto"/>
              <w:ind w:firstLineChars="100" w:firstLine="181"/>
              <w:jc w:val="right"/>
              <w:rPr>
                <w:rFonts w:cs="Arial"/>
                <w:b/>
                <w:bCs/>
                <w:color w:val="FFFFFF"/>
                <w:sz w:val="18"/>
                <w:szCs w:val="18"/>
                <w:lang w:eastAsia="en-AU"/>
              </w:rPr>
            </w:pPr>
            <w:r w:rsidRPr="00C7735A">
              <w:rPr>
                <w:rFonts w:cs="Arial"/>
                <w:b/>
                <w:bCs/>
                <w:color w:val="FFFFFF"/>
                <w:sz w:val="18"/>
                <w:szCs w:val="18"/>
                <w:lang w:eastAsia="en-AU"/>
              </w:rPr>
              <w:t>2009</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F034AF">
            <w:pPr>
              <w:spacing w:after="0" w:line="240" w:lineRule="auto"/>
              <w:ind w:firstLineChars="100" w:firstLine="181"/>
              <w:jc w:val="right"/>
              <w:rPr>
                <w:rFonts w:cs="Arial"/>
                <w:b/>
                <w:bCs/>
                <w:color w:val="FFFFFF"/>
                <w:sz w:val="18"/>
                <w:szCs w:val="18"/>
                <w:lang w:eastAsia="en-AU"/>
              </w:rPr>
            </w:pPr>
            <w:r w:rsidRPr="00C7735A">
              <w:rPr>
                <w:rFonts w:cs="Arial"/>
                <w:b/>
                <w:bCs/>
                <w:color w:val="FFFFFF"/>
                <w:sz w:val="18"/>
                <w:szCs w:val="18"/>
                <w:lang w:eastAsia="en-AU"/>
              </w:rPr>
              <w:t>2010</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F034AF">
            <w:pPr>
              <w:spacing w:after="0" w:line="240" w:lineRule="auto"/>
              <w:ind w:firstLineChars="100" w:firstLine="181"/>
              <w:jc w:val="right"/>
              <w:rPr>
                <w:rFonts w:cs="Arial"/>
                <w:b/>
                <w:bCs/>
                <w:color w:val="FFFFFF"/>
                <w:sz w:val="18"/>
                <w:szCs w:val="18"/>
                <w:lang w:eastAsia="en-AU"/>
              </w:rPr>
            </w:pPr>
            <w:r w:rsidRPr="00C7735A">
              <w:rPr>
                <w:rFonts w:cs="Arial"/>
                <w:b/>
                <w:bCs/>
                <w:color w:val="FFFFFF"/>
                <w:sz w:val="18"/>
                <w:szCs w:val="18"/>
                <w:lang w:eastAsia="en-AU"/>
              </w:rPr>
              <w:t>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F034AF">
            <w:pPr>
              <w:spacing w:after="0" w:line="240" w:lineRule="auto"/>
              <w:ind w:firstLineChars="100" w:firstLine="181"/>
              <w:jc w:val="right"/>
              <w:rPr>
                <w:rFonts w:cs="Arial"/>
                <w:b/>
                <w:bCs/>
                <w:color w:val="FFFFFF"/>
                <w:sz w:val="18"/>
                <w:szCs w:val="18"/>
                <w:lang w:eastAsia="en-AU"/>
              </w:rPr>
            </w:pPr>
            <w:r w:rsidRPr="00C7735A">
              <w:rPr>
                <w:rFonts w:cs="Arial"/>
                <w:b/>
                <w:bCs/>
                <w:color w:val="FFFFFF"/>
                <w:sz w:val="18"/>
                <w:szCs w:val="18"/>
                <w:lang w:eastAsia="en-AU"/>
              </w:rPr>
              <w:t>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D67B5E" w:rsidRPr="00C7735A" w:rsidRDefault="00D67B5E" w:rsidP="0051046D">
            <w:pPr>
              <w:spacing w:after="0" w:line="240" w:lineRule="auto"/>
              <w:jc w:val="right"/>
              <w:rPr>
                <w:rFonts w:cs="Arial"/>
                <w:b/>
                <w:bCs/>
                <w:color w:val="FFFFFF"/>
                <w:sz w:val="18"/>
                <w:szCs w:val="18"/>
                <w:lang w:eastAsia="en-AU"/>
              </w:rPr>
            </w:pPr>
            <w:r w:rsidRPr="00C7735A">
              <w:rPr>
                <w:rFonts w:cs="Arial"/>
                <w:b/>
                <w:bCs/>
                <w:color w:val="FFFFFF"/>
                <w:sz w:val="18"/>
                <w:szCs w:val="18"/>
                <w:lang w:eastAsia="en-AU"/>
              </w:rPr>
              <w:t>% change</w:t>
            </w:r>
            <w:r w:rsidRPr="00C7735A">
              <w:rPr>
                <w:rFonts w:cs="Arial"/>
                <w:b/>
                <w:bCs/>
                <w:color w:val="FFFFFF"/>
                <w:sz w:val="18"/>
                <w:szCs w:val="18"/>
                <w:lang w:eastAsia="en-AU"/>
              </w:rPr>
              <w:br/>
              <w:t>2008-2012</w:t>
            </w:r>
          </w:p>
        </w:tc>
      </w:tr>
      <w:tr w:rsidR="00D67B5E" w:rsidRPr="00C7735A" w:rsidTr="0051046D">
        <w:trPr>
          <w:trHeight w:hRule="exact" w:val="284"/>
        </w:trPr>
        <w:tc>
          <w:tcPr>
            <w:tcW w:w="2380"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C7735A" w:rsidRDefault="00D67B5E" w:rsidP="0051046D">
            <w:pPr>
              <w:spacing w:after="0" w:line="240" w:lineRule="auto"/>
              <w:jc w:val="left"/>
              <w:rPr>
                <w:rFonts w:cs="Arial"/>
                <w:color w:val="3E5B00"/>
                <w:sz w:val="18"/>
                <w:szCs w:val="18"/>
                <w:lang w:eastAsia="en-AU"/>
              </w:rPr>
            </w:pPr>
            <w:r w:rsidRPr="00C7735A">
              <w:rPr>
                <w:rFonts w:cs="Arial"/>
                <w:color w:val="3E5B00"/>
                <w:sz w:val="18"/>
                <w:szCs w:val="18"/>
                <w:lang w:eastAsia="en-AU"/>
              </w:rPr>
              <w:t>Student contact hours</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jc w:val="right"/>
              <w:rPr>
                <w:rFonts w:cs="Arial"/>
                <w:sz w:val="18"/>
                <w:szCs w:val="18"/>
                <w:lang w:eastAsia="en-AU"/>
              </w:rPr>
            </w:pPr>
            <w:r w:rsidRPr="00C7735A">
              <w:rPr>
                <w:rFonts w:cs="Arial"/>
                <w:sz w:val="18"/>
                <w:szCs w:val="18"/>
                <w:lang w:eastAsia="en-AU"/>
              </w:rPr>
              <w:t xml:space="preserve">6.8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jc w:val="right"/>
              <w:rPr>
                <w:rFonts w:cs="Arial"/>
                <w:sz w:val="18"/>
                <w:szCs w:val="18"/>
                <w:lang w:eastAsia="en-AU"/>
              </w:rPr>
            </w:pPr>
            <w:r w:rsidRPr="00C7735A">
              <w:rPr>
                <w:rFonts w:cs="Arial"/>
                <w:sz w:val="18"/>
                <w:szCs w:val="18"/>
                <w:lang w:eastAsia="en-AU"/>
              </w:rPr>
              <w:t xml:space="preserve">7.6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jc w:val="right"/>
              <w:rPr>
                <w:rFonts w:cs="Arial"/>
                <w:sz w:val="18"/>
                <w:szCs w:val="18"/>
                <w:lang w:eastAsia="en-AU"/>
              </w:rPr>
            </w:pPr>
            <w:r w:rsidRPr="00C7735A">
              <w:rPr>
                <w:rFonts w:cs="Arial"/>
                <w:sz w:val="18"/>
                <w:szCs w:val="18"/>
                <w:lang w:eastAsia="en-AU"/>
              </w:rPr>
              <w:t xml:space="preserve">7.1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jc w:val="right"/>
              <w:rPr>
                <w:rFonts w:cs="Arial"/>
                <w:sz w:val="18"/>
                <w:szCs w:val="18"/>
                <w:lang w:eastAsia="en-AU"/>
              </w:rPr>
            </w:pPr>
            <w:r w:rsidRPr="00C7735A">
              <w:rPr>
                <w:rFonts w:cs="Arial"/>
                <w:sz w:val="18"/>
                <w:szCs w:val="18"/>
                <w:lang w:eastAsia="en-AU"/>
              </w:rPr>
              <w:t xml:space="preserve">11.0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jc w:val="right"/>
              <w:rPr>
                <w:rFonts w:cs="Arial"/>
                <w:sz w:val="18"/>
                <w:szCs w:val="18"/>
                <w:lang w:eastAsia="en-AU"/>
              </w:rPr>
            </w:pPr>
            <w:r w:rsidRPr="00C7735A">
              <w:rPr>
                <w:rFonts w:cs="Arial"/>
                <w:sz w:val="18"/>
                <w:szCs w:val="18"/>
                <w:lang w:eastAsia="en-AU"/>
              </w:rPr>
              <w:t xml:space="preserve">19.2 </w:t>
            </w:r>
          </w:p>
        </w:tc>
        <w:tc>
          <w:tcPr>
            <w:tcW w:w="1120" w:type="dxa"/>
            <w:tcBorders>
              <w:top w:val="nil"/>
              <w:left w:val="nil"/>
              <w:bottom w:val="single" w:sz="4" w:space="0" w:color="5E8A00"/>
              <w:right w:val="single" w:sz="4" w:space="0" w:color="5E8A00"/>
            </w:tcBorders>
            <w:shd w:val="clear" w:color="auto" w:fill="auto"/>
            <w:noWrap/>
            <w:vAlign w:val="bottom"/>
            <w:hideMark/>
          </w:tcPr>
          <w:p w:rsidR="00D67B5E" w:rsidRPr="00C7735A" w:rsidRDefault="00D67B5E" w:rsidP="0051046D">
            <w:pPr>
              <w:spacing w:after="0" w:line="240" w:lineRule="auto"/>
              <w:ind w:firstLineChars="100" w:firstLine="180"/>
              <w:jc w:val="right"/>
              <w:rPr>
                <w:rFonts w:cs="Arial"/>
                <w:sz w:val="18"/>
                <w:szCs w:val="18"/>
                <w:lang w:eastAsia="en-AU"/>
              </w:rPr>
            </w:pPr>
            <w:r w:rsidRPr="00C7735A">
              <w:rPr>
                <w:rFonts w:cs="Arial"/>
                <w:sz w:val="18"/>
                <w:szCs w:val="18"/>
                <w:lang w:eastAsia="en-AU"/>
              </w:rPr>
              <w:t>180%</w:t>
            </w:r>
          </w:p>
        </w:tc>
      </w:tr>
    </w:tbl>
    <w:p w:rsidR="00D67B5E" w:rsidRDefault="00D67B5E" w:rsidP="00D67B5E">
      <w:pPr>
        <w:pStyle w:val="Caption"/>
        <w:jc w:val="left"/>
        <w:rPr>
          <w:rFonts w:cs="Arial"/>
        </w:rPr>
      </w:pPr>
    </w:p>
    <w:p w:rsidR="00D67B5E" w:rsidRDefault="00D67B5E" w:rsidP="00D67B5E">
      <w:pPr>
        <w:pStyle w:val="Caption"/>
        <w:spacing w:after="0" w:line="240" w:lineRule="auto"/>
        <w:jc w:val="left"/>
        <w:rPr>
          <w:rFonts w:cs="Arial"/>
        </w:rPr>
      </w:pPr>
      <w:r>
        <w:rPr>
          <w:rFonts w:cs="Arial"/>
        </w:rPr>
        <w:t xml:space="preserve">Table </w:t>
      </w:r>
      <w:r w:rsidR="005654CD">
        <w:rPr>
          <w:rFonts w:cs="Arial"/>
        </w:rPr>
        <w:t>2</w:t>
      </w:r>
      <w:r w:rsidRPr="001F29E3">
        <w:rPr>
          <w:rFonts w:cs="Arial"/>
        </w:rPr>
        <w:t>.</w:t>
      </w:r>
      <w:r>
        <w:rPr>
          <w:rFonts w:cs="Arial"/>
        </w:rPr>
        <w:t>8.2</w:t>
      </w:r>
      <w:r w:rsidRPr="001F29E3">
        <w:rPr>
          <w:rFonts w:cs="Arial"/>
        </w:rPr>
        <w:t>: Government subsidised student</w:t>
      </w:r>
      <w:r>
        <w:rPr>
          <w:rFonts w:cs="Arial"/>
        </w:rPr>
        <w:t xml:space="preserve"> contact hours </w:t>
      </w:r>
      <w:r w:rsidRPr="001F29E3">
        <w:rPr>
          <w:rFonts w:cs="Arial"/>
        </w:rPr>
        <w:t xml:space="preserve">in foundation skills courses, </w:t>
      </w:r>
      <w:r w:rsidR="00F156DC">
        <w:rPr>
          <w:rFonts w:cs="Arial"/>
        </w:rPr>
        <w:br/>
      </w:r>
      <w:r>
        <w:rPr>
          <w:rFonts w:cs="Arial"/>
        </w:rPr>
        <w:t>Q</w:t>
      </w:r>
      <w:r w:rsidR="00F156DC">
        <w:rPr>
          <w:rFonts w:cs="Arial"/>
        </w:rPr>
        <w:t>3</w:t>
      </w:r>
      <w:r>
        <w:rPr>
          <w:rFonts w:cs="Arial"/>
        </w:rPr>
        <w:t xml:space="preserve"> 2011, </w:t>
      </w:r>
      <w:r w:rsidRPr="001F29E3">
        <w:rPr>
          <w:rFonts w:cs="Arial"/>
        </w:rPr>
        <w:t>Q</w:t>
      </w:r>
      <w:r w:rsidR="00F156DC">
        <w:rPr>
          <w:rFonts w:cs="Arial"/>
        </w:rPr>
        <w:t>3</w:t>
      </w:r>
      <w:r w:rsidRPr="001F29E3">
        <w:rPr>
          <w:rFonts w:cs="Arial"/>
        </w:rPr>
        <w:t xml:space="preserve"> 2012 and Q</w:t>
      </w:r>
      <w:r w:rsidR="00F156DC">
        <w:rPr>
          <w:rFonts w:cs="Arial"/>
        </w:rPr>
        <w:t>3</w:t>
      </w:r>
      <w:r w:rsidRPr="001F29E3">
        <w:rPr>
          <w:rFonts w:cs="Arial"/>
        </w:rPr>
        <w:t xml:space="preserve"> 2013</w:t>
      </w:r>
    </w:p>
    <w:tbl>
      <w:tblPr>
        <w:tblW w:w="7980" w:type="dxa"/>
        <w:tblInd w:w="108" w:type="dxa"/>
        <w:tblLook w:val="04A0" w:firstRow="1" w:lastRow="0" w:firstColumn="1" w:lastColumn="0" w:noHBand="0" w:noVBand="1"/>
      </w:tblPr>
      <w:tblGrid>
        <w:gridCol w:w="2380"/>
        <w:gridCol w:w="1120"/>
        <w:gridCol w:w="1120"/>
        <w:gridCol w:w="1120"/>
        <w:gridCol w:w="1120"/>
        <w:gridCol w:w="1120"/>
      </w:tblGrid>
      <w:tr w:rsidR="00F156DC" w:rsidRPr="00F156DC" w:rsidTr="00F156DC">
        <w:trPr>
          <w:trHeight w:hRule="exact" w:val="760"/>
        </w:trPr>
        <w:tc>
          <w:tcPr>
            <w:tcW w:w="238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F156DC" w:rsidRPr="00F156DC" w:rsidRDefault="00F156DC" w:rsidP="00F156DC">
            <w:pPr>
              <w:spacing w:after="0" w:line="240" w:lineRule="auto"/>
              <w:ind w:firstLineChars="100" w:firstLine="181"/>
              <w:jc w:val="left"/>
              <w:rPr>
                <w:rFonts w:cs="Arial"/>
                <w:b/>
                <w:bCs/>
                <w:color w:val="FFFFFF"/>
                <w:sz w:val="18"/>
                <w:szCs w:val="18"/>
                <w:lang w:eastAsia="en-AU"/>
              </w:rPr>
            </w:pPr>
            <w:r w:rsidRPr="00F156DC">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ind w:firstLineChars="100" w:firstLine="181"/>
              <w:jc w:val="right"/>
              <w:rPr>
                <w:rFonts w:cs="Arial"/>
                <w:b/>
                <w:bCs/>
                <w:color w:val="FFFFFF"/>
                <w:sz w:val="18"/>
                <w:szCs w:val="18"/>
                <w:lang w:eastAsia="en-AU"/>
              </w:rPr>
            </w:pPr>
            <w:r w:rsidRPr="00F156DC">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ind w:firstLineChars="100" w:firstLine="181"/>
              <w:jc w:val="right"/>
              <w:rPr>
                <w:rFonts w:cs="Arial"/>
                <w:b/>
                <w:bCs/>
                <w:color w:val="FFFFFF"/>
                <w:sz w:val="18"/>
                <w:szCs w:val="18"/>
                <w:lang w:eastAsia="en-AU"/>
              </w:rPr>
            </w:pPr>
            <w:r w:rsidRPr="00F156DC">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ind w:firstLineChars="100" w:firstLine="181"/>
              <w:jc w:val="right"/>
              <w:rPr>
                <w:rFonts w:cs="Arial"/>
                <w:b/>
                <w:bCs/>
                <w:color w:val="FFFFFF"/>
                <w:sz w:val="18"/>
                <w:szCs w:val="18"/>
                <w:lang w:eastAsia="en-AU"/>
              </w:rPr>
            </w:pPr>
            <w:r w:rsidRPr="00F156DC">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center"/>
              <w:rPr>
                <w:rFonts w:cs="Arial"/>
                <w:b/>
                <w:bCs/>
                <w:color w:val="FFFFFF"/>
                <w:sz w:val="18"/>
                <w:szCs w:val="18"/>
                <w:lang w:eastAsia="en-AU"/>
              </w:rPr>
            </w:pPr>
            <w:r w:rsidRPr="00F156DC">
              <w:rPr>
                <w:rFonts w:cs="Arial"/>
                <w:b/>
                <w:bCs/>
                <w:color w:val="FFFFFF"/>
                <w:sz w:val="18"/>
                <w:szCs w:val="18"/>
                <w:lang w:eastAsia="en-AU"/>
              </w:rPr>
              <w:t>% change</w:t>
            </w:r>
            <w:r w:rsidRPr="00F156DC">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center"/>
              <w:rPr>
                <w:rFonts w:cs="Arial"/>
                <w:b/>
                <w:bCs/>
                <w:color w:val="FFFFFF"/>
                <w:sz w:val="18"/>
                <w:szCs w:val="18"/>
                <w:lang w:eastAsia="en-AU"/>
              </w:rPr>
            </w:pPr>
            <w:r w:rsidRPr="00F156DC">
              <w:rPr>
                <w:rFonts w:cs="Arial"/>
                <w:b/>
                <w:bCs/>
                <w:color w:val="FFFFFF"/>
                <w:sz w:val="18"/>
                <w:szCs w:val="18"/>
                <w:lang w:eastAsia="en-AU"/>
              </w:rPr>
              <w:t>% change</w:t>
            </w:r>
            <w:r w:rsidRPr="00F156DC">
              <w:rPr>
                <w:rFonts w:cs="Arial"/>
                <w:b/>
                <w:bCs/>
                <w:color w:val="FFFFFF"/>
                <w:sz w:val="18"/>
                <w:szCs w:val="18"/>
                <w:lang w:eastAsia="en-AU"/>
              </w:rPr>
              <w:br/>
              <w:t>Q3 2012-Q3 2013</w:t>
            </w:r>
          </w:p>
        </w:tc>
      </w:tr>
      <w:tr w:rsidR="00F156DC" w:rsidRPr="00F156DC" w:rsidTr="00F156DC">
        <w:trPr>
          <w:trHeight w:hRule="exact" w:val="284"/>
        </w:trPr>
        <w:tc>
          <w:tcPr>
            <w:tcW w:w="23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Student contact hours</w:t>
            </w:r>
          </w:p>
        </w:tc>
        <w:tc>
          <w:tcPr>
            <w:tcW w:w="1120" w:type="dxa"/>
            <w:tcBorders>
              <w:top w:val="nil"/>
              <w:left w:val="nil"/>
              <w:bottom w:val="single" w:sz="4" w:space="0" w:color="5E8A00"/>
              <w:right w:val="single" w:sz="4" w:space="0" w:color="5E8A00"/>
            </w:tcBorders>
            <w:shd w:val="clear" w:color="auto" w:fill="auto"/>
            <w:noWrap/>
            <w:vAlign w:val="bottom"/>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9.7 </w:t>
            </w:r>
          </w:p>
        </w:tc>
        <w:tc>
          <w:tcPr>
            <w:tcW w:w="1120" w:type="dxa"/>
            <w:tcBorders>
              <w:top w:val="nil"/>
              <w:left w:val="nil"/>
              <w:bottom w:val="single" w:sz="4" w:space="0" w:color="5E8A00"/>
              <w:right w:val="single" w:sz="4" w:space="0" w:color="5E8A00"/>
            </w:tcBorders>
            <w:shd w:val="clear" w:color="auto" w:fill="auto"/>
            <w:noWrap/>
            <w:vAlign w:val="bottom"/>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16.4 </w:t>
            </w:r>
          </w:p>
        </w:tc>
        <w:tc>
          <w:tcPr>
            <w:tcW w:w="1120" w:type="dxa"/>
            <w:tcBorders>
              <w:top w:val="nil"/>
              <w:left w:val="nil"/>
              <w:bottom w:val="single" w:sz="4" w:space="0" w:color="5E8A00"/>
              <w:right w:val="single" w:sz="4" w:space="0" w:color="5E8A00"/>
            </w:tcBorders>
            <w:shd w:val="clear" w:color="auto" w:fill="auto"/>
            <w:noWrap/>
            <w:vAlign w:val="bottom"/>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24.7 </w:t>
            </w:r>
          </w:p>
        </w:tc>
        <w:tc>
          <w:tcPr>
            <w:tcW w:w="1120" w:type="dxa"/>
            <w:tcBorders>
              <w:top w:val="nil"/>
              <w:left w:val="nil"/>
              <w:bottom w:val="single" w:sz="4" w:space="0" w:color="5E8A00"/>
              <w:right w:val="single" w:sz="4" w:space="0" w:color="5E8A00"/>
            </w:tcBorders>
            <w:shd w:val="clear" w:color="auto" w:fill="auto"/>
            <w:noWrap/>
            <w:vAlign w:val="bottom"/>
            <w:hideMark/>
          </w:tcPr>
          <w:p w:rsidR="00F156DC" w:rsidRPr="00F156DC" w:rsidRDefault="00F156DC" w:rsidP="00F156DC">
            <w:pPr>
              <w:spacing w:after="0" w:line="240" w:lineRule="auto"/>
              <w:ind w:firstLineChars="100" w:firstLine="180"/>
              <w:jc w:val="right"/>
              <w:rPr>
                <w:rFonts w:cs="Arial"/>
                <w:sz w:val="18"/>
                <w:szCs w:val="18"/>
                <w:lang w:eastAsia="en-AU"/>
              </w:rPr>
            </w:pPr>
            <w:r w:rsidRPr="00F156DC">
              <w:rPr>
                <w:rFonts w:cs="Arial"/>
                <w:sz w:val="18"/>
                <w:szCs w:val="18"/>
                <w:lang w:eastAsia="en-AU"/>
              </w:rPr>
              <w:t>154%</w:t>
            </w:r>
          </w:p>
        </w:tc>
        <w:tc>
          <w:tcPr>
            <w:tcW w:w="1120" w:type="dxa"/>
            <w:tcBorders>
              <w:top w:val="nil"/>
              <w:left w:val="nil"/>
              <w:bottom w:val="single" w:sz="4" w:space="0" w:color="5E8A00"/>
              <w:right w:val="single" w:sz="4" w:space="0" w:color="5E8A00"/>
            </w:tcBorders>
            <w:shd w:val="clear" w:color="auto" w:fill="auto"/>
            <w:noWrap/>
            <w:vAlign w:val="bottom"/>
            <w:hideMark/>
          </w:tcPr>
          <w:p w:rsidR="00F156DC" w:rsidRPr="00F156DC" w:rsidRDefault="00F156DC" w:rsidP="00F156DC">
            <w:pPr>
              <w:spacing w:after="0" w:line="240" w:lineRule="auto"/>
              <w:ind w:firstLineChars="100" w:firstLine="180"/>
              <w:jc w:val="right"/>
              <w:rPr>
                <w:rFonts w:cs="Arial"/>
                <w:sz w:val="18"/>
                <w:szCs w:val="18"/>
                <w:lang w:eastAsia="en-AU"/>
              </w:rPr>
            </w:pPr>
            <w:r w:rsidRPr="00F156DC">
              <w:rPr>
                <w:rFonts w:cs="Arial"/>
                <w:sz w:val="18"/>
                <w:szCs w:val="18"/>
                <w:lang w:eastAsia="en-AU"/>
              </w:rPr>
              <w:t>50%</w:t>
            </w:r>
          </w:p>
        </w:tc>
      </w:tr>
    </w:tbl>
    <w:p w:rsidR="00D67B5E" w:rsidRPr="00C7735A" w:rsidRDefault="00D67B5E" w:rsidP="00D67B5E"/>
    <w:p w:rsidR="00D67B5E" w:rsidRDefault="005654CD" w:rsidP="00F156DC">
      <w:pPr>
        <w:pStyle w:val="Caption"/>
        <w:spacing w:after="0"/>
        <w:jc w:val="left"/>
        <w:rPr>
          <w:rFonts w:cs="Arial"/>
        </w:rPr>
      </w:pPr>
      <w:r>
        <w:rPr>
          <w:rFonts w:cs="Arial"/>
        </w:rPr>
        <w:t>Table 2</w:t>
      </w:r>
      <w:r w:rsidR="00D67B5E" w:rsidRPr="001F29E3">
        <w:rPr>
          <w:rFonts w:cs="Arial"/>
        </w:rPr>
        <w:t>.</w:t>
      </w:r>
      <w:r w:rsidR="00D67B5E">
        <w:rPr>
          <w:rFonts w:cs="Arial"/>
        </w:rPr>
        <w:t>9.1</w:t>
      </w:r>
      <w:r w:rsidR="00D67B5E" w:rsidRPr="001F29E3">
        <w:rPr>
          <w:rFonts w:cs="Arial"/>
        </w:rPr>
        <w:t>: Government subsidised students in foundation skills courses by age group, 2008-2012</w:t>
      </w:r>
    </w:p>
    <w:tbl>
      <w:tblPr>
        <w:tblW w:w="9072" w:type="dxa"/>
        <w:tblInd w:w="108" w:type="dxa"/>
        <w:tblLook w:val="04A0" w:firstRow="1" w:lastRow="0" w:firstColumn="1" w:lastColumn="0" w:noHBand="0" w:noVBand="1"/>
      </w:tblPr>
      <w:tblGrid>
        <w:gridCol w:w="2552"/>
        <w:gridCol w:w="1075"/>
        <w:gridCol w:w="1075"/>
        <w:gridCol w:w="1075"/>
        <w:gridCol w:w="1075"/>
        <w:gridCol w:w="1075"/>
        <w:gridCol w:w="1145"/>
      </w:tblGrid>
      <w:tr w:rsidR="00D67B5E" w:rsidRPr="0086172F" w:rsidTr="0051046D">
        <w:trPr>
          <w:trHeight w:hRule="exact" w:val="760"/>
        </w:trPr>
        <w:tc>
          <w:tcPr>
            <w:tcW w:w="2552" w:type="dxa"/>
            <w:tcBorders>
              <w:top w:val="single" w:sz="4" w:space="0" w:color="5E8A00"/>
              <w:left w:val="single" w:sz="4" w:space="0" w:color="5E8A00"/>
              <w:bottom w:val="single" w:sz="4" w:space="0" w:color="5E8A00"/>
            </w:tcBorders>
            <w:shd w:val="clear" w:color="000000" w:fill="5E8A00"/>
            <w:noWrap/>
            <w:vAlign w:val="center"/>
            <w:hideMark/>
          </w:tcPr>
          <w:p w:rsidR="00D67B5E" w:rsidRPr="0086172F" w:rsidRDefault="00D67B5E" w:rsidP="00F034AF">
            <w:pPr>
              <w:spacing w:after="0" w:line="240" w:lineRule="auto"/>
              <w:ind w:firstLineChars="100" w:firstLine="181"/>
              <w:jc w:val="left"/>
              <w:rPr>
                <w:rFonts w:cs="Arial"/>
                <w:b/>
                <w:bCs/>
                <w:color w:val="FFFFFF"/>
                <w:sz w:val="18"/>
                <w:szCs w:val="18"/>
                <w:lang w:eastAsia="en-AU"/>
              </w:rPr>
            </w:pPr>
            <w:r w:rsidRPr="0086172F">
              <w:rPr>
                <w:rFonts w:cs="Arial"/>
                <w:b/>
                <w:bCs/>
                <w:color w:val="FFFFFF"/>
                <w:sz w:val="18"/>
                <w:szCs w:val="18"/>
                <w:lang w:eastAsia="en-AU"/>
              </w:rPr>
              <w:t> </w:t>
            </w:r>
          </w:p>
        </w:tc>
        <w:tc>
          <w:tcPr>
            <w:tcW w:w="1075" w:type="dxa"/>
            <w:tcBorders>
              <w:top w:val="single" w:sz="4" w:space="0" w:color="5E8A00"/>
              <w:bottom w:val="single" w:sz="4" w:space="0" w:color="5E8A00"/>
            </w:tcBorders>
            <w:shd w:val="clear" w:color="000000" w:fill="5E8A00"/>
            <w:vAlign w:val="center"/>
            <w:hideMark/>
          </w:tcPr>
          <w:p w:rsidR="00D67B5E" w:rsidRPr="0086172F" w:rsidRDefault="00D67B5E" w:rsidP="00F034AF">
            <w:pPr>
              <w:spacing w:after="0" w:line="240" w:lineRule="auto"/>
              <w:ind w:firstLineChars="100" w:firstLine="181"/>
              <w:jc w:val="right"/>
              <w:rPr>
                <w:rFonts w:cs="Arial"/>
                <w:b/>
                <w:bCs/>
                <w:color w:val="FFFFFF"/>
                <w:sz w:val="18"/>
                <w:szCs w:val="18"/>
                <w:lang w:eastAsia="en-AU"/>
              </w:rPr>
            </w:pPr>
            <w:r w:rsidRPr="0086172F">
              <w:rPr>
                <w:rFonts w:cs="Arial"/>
                <w:b/>
                <w:bCs/>
                <w:color w:val="FFFFFF"/>
                <w:sz w:val="18"/>
                <w:szCs w:val="18"/>
                <w:lang w:eastAsia="en-AU"/>
              </w:rPr>
              <w:t>2008</w:t>
            </w:r>
          </w:p>
        </w:tc>
        <w:tc>
          <w:tcPr>
            <w:tcW w:w="1075" w:type="dxa"/>
            <w:tcBorders>
              <w:top w:val="single" w:sz="4" w:space="0" w:color="5E8A00"/>
              <w:bottom w:val="single" w:sz="4" w:space="0" w:color="5E8A00"/>
            </w:tcBorders>
            <w:shd w:val="clear" w:color="000000" w:fill="5E8A00"/>
            <w:vAlign w:val="center"/>
            <w:hideMark/>
          </w:tcPr>
          <w:p w:rsidR="00D67B5E" w:rsidRPr="0086172F" w:rsidRDefault="00D67B5E" w:rsidP="00F034AF">
            <w:pPr>
              <w:spacing w:after="0" w:line="240" w:lineRule="auto"/>
              <w:ind w:firstLineChars="100" w:firstLine="181"/>
              <w:jc w:val="right"/>
              <w:rPr>
                <w:rFonts w:cs="Arial"/>
                <w:b/>
                <w:bCs/>
                <w:color w:val="FFFFFF"/>
                <w:sz w:val="18"/>
                <w:szCs w:val="18"/>
                <w:lang w:eastAsia="en-AU"/>
              </w:rPr>
            </w:pPr>
            <w:r w:rsidRPr="0086172F">
              <w:rPr>
                <w:rFonts w:cs="Arial"/>
                <w:b/>
                <w:bCs/>
                <w:color w:val="FFFFFF"/>
                <w:sz w:val="18"/>
                <w:szCs w:val="18"/>
                <w:lang w:eastAsia="en-AU"/>
              </w:rPr>
              <w:t>2009</w:t>
            </w:r>
          </w:p>
        </w:tc>
        <w:tc>
          <w:tcPr>
            <w:tcW w:w="1075" w:type="dxa"/>
            <w:tcBorders>
              <w:top w:val="single" w:sz="4" w:space="0" w:color="5E8A00"/>
              <w:bottom w:val="single" w:sz="4" w:space="0" w:color="5E8A00"/>
            </w:tcBorders>
            <w:shd w:val="clear" w:color="000000" w:fill="5E8A00"/>
            <w:vAlign w:val="center"/>
            <w:hideMark/>
          </w:tcPr>
          <w:p w:rsidR="00D67B5E" w:rsidRPr="0086172F" w:rsidRDefault="00D67B5E" w:rsidP="00F034AF">
            <w:pPr>
              <w:spacing w:after="0" w:line="240" w:lineRule="auto"/>
              <w:ind w:firstLineChars="100" w:firstLine="181"/>
              <w:jc w:val="right"/>
              <w:rPr>
                <w:rFonts w:cs="Arial"/>
                <w:b/>
                <w:bCs/>
                <w:color w:val="FFFFFF"/>
                <w:sz w:val="18"/>
                <w:szCs w:val="18"/>
                <w:lang w:eastAsia="en-AU"/>
              </w:rPr>
            </w:pPr>
            <w:r w:rsidRPr="0086172F">
              <w:rPr>
                <w:rFonts w:cs="Arial"/>
                <w:b/>
                <w:bCs/>
                <w:color w:val="FFFFFF"/>
                <w:sz w:val="18"/>
                <w:szCs w:val="18"/>
                <w:lang w:eastAsia="en-AU"/>
              </w:rPr>
              <w:t>2010</w:t>
            </w:r>
          </w:p>
        </w:tc>
        <w:tc>
          <w:tcPr>
            <w:tcW w:w="1075" w:type="dxa"/>
            <w:tcBorders>
              <w:top w:val="single" w:sz="4" w:space="0" w:color="5E8A00"/>
              <w:bottom w:val="single" w:sz="4" w:space="0" w:color="5E8A00"/>
            </w:tcBorders>
            <w:shd w:val="clear" w:color="000000" w:fill="5E8A00"/>
            <w:vAlign w:val="center"/>
            <w:hideMark/>
          </w:tcPr>
          <w:p w:rsidR="00D67B5E" w:rsidRPr="0086172F" w:rsidRDefault="00D67B5E" w:rsidP="00F034AF">
            <w:pPr>
              <w:spacing w:after="0" w:line="240" w:lineRule="auto"/>
              <w:ind w:firstLineChars="100" w:firstLine="181"/>
              <w:jc w:val="right"/>
              <w:rPr>
                <w:rFonts w:cs="Arial"/>
                <w:b/>
                <w:bCs/>
                <w:color w:val="FFFFFF"/>
                <w:sz w:val="18"/>
                <w:szCs w:val="18"/>
                <w:lang w:eastAsia="en-AU"/>
              </w:rPr>
            </w:pPr>
            <w:r w:rsidRPr="0086172F">
              <w:rPr>
                <w:rFonts w:cs="Arial"/>
                <w:b/>
                <w:bCs/>
                <w:color w:val="FFFFFF"/>
                <w:sz w:val="18"/>
                <w:szCs w:val="18"/>
                <w:lang w:eastAsia="en-AU"/>
              </w:rPr>
              <w:t>2011</w:t>
            </w:r>
          </w:p>
        </w:tc>
        <w:tc>
          <w:tcPr>
            <w:tcW w:w="1075" w:type="dxa"/>
            <w:tcBorders>
              <w:top w:val="single" w:sz="4" w:space="0" w:color="5E8A00"/>
              <w:bottom w:val="single" w:sz="4" w:space="0" w:color="5E8A00"/>
            </w:tcBorders>
            <w:shd w:val="clear" w:color="000000" w:fill="5E8A00"/>
            <w:vAlign w:val="center"/>
            <w:hideMark/>
          </w:tcPr>
          <w:p w:rsidR="00D67B5E" w:rsidRPr="0086172F" w:rsidRDefault="00D67B5E" w:rsidP="00F034AF">
            <w:pPr>
              <w:spacing w:after="0" w:line="240" w:lineRule="auto"/>
              <w:ind w:firstLineChars="100" w:firstLine="181"/>
              <w:jc w:val="right"/>
              <w:rPr>
                <w:rFonts w:cs="Arial"/>
                <w:b/>
                <w:bCs/>
                <w:color w:val="FFFFFF"/>
                <w:sz w:val="18"/>
                <w:szCs w:val="18"/>
                <w:lang w:eastAsia="en-AU"/>
              </w:rPr>
            </w:pPr>
            <w:r w:rsidRPr="0086172F">
              <w:rPr>
                <w:rFonts w:cs="Arial"/>
                <w:b/>
                <w:bCs/>
                <w:color w:val="FFFFFF"/>
                <w:sz w:val="18"/>
                <w:szCs w:val="18"/>
                <w:lang w:eastAsia="en-AU"/>
              </w:rPr>
              <w:t>2012</w:t>
            </w:r>
          </w:p>
        </w:tc>
        <w:tc>
          <w:tcPr>
            <w:tcW w:w="1145" w:type="dxa"/>
            <w:tcBorders>
              <w:top w:val="single" w:sz="4" w:space="0" w:color="5E8A00"/>
              <w:bottom w:val="single" w:sz="4" w:space="0" w:color="5E8A00"/>
              <w:right w:val="single" w:sz="4" w:space="0" w:color="5E8A00"/>
            </w:tcBorders>
            <w:shd w:val="clear" w:color="000000" w:fill="5E8A00"/>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 change</w:t>
            </w:r>
            <w:r w:rsidRPr="0086172F">
              <w:rPr>
                <w:rFonts w:cs="Arial"/>
                <w:b/>
                <w:bCs/>
                <w:color w:val="FFFFFF"/>
                <w:sz w:val="18"/>
                <w:szCs w:val="18"/>
                <w:lang w:eastAsia="en-AU"/>
              </w:rPr>
              <w:br/>
              <w:t>2008-2012</w:t>
            </w:r>
          </w:p>
        </w:tc>
      </w:tr>
      <w:tr w:rsidR="00D67B5E" w:rsidRPr="0086172F" w:rsidTr="0051046D">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86172F" w:rsidRDefault="00D67B5E" w:rsidP="0051046D">
            <w:pPr>
              <w:spacing w:after="0" w:line="240" w:lineRule="auto"/>
              <w:jc w:val="left"/>
              <w:rPr>
                <w:rFonts w:cs="Arial"/>
                <w:color w:val="3E5B00"/>
                <w:sz w:val="18"/>
                <w:szCs w:val="18"/>
                <w:lang w:eastAsia="en-AU"/>
              </w:rPr>
            </w:pPr>
            <w:r w:rsidRPr="0086172F">
              <w:rPr>
                <w:rFonts w:cs="Arial"/>
                <w:color w:val="3E5B00"/>
                <w:sz w:val="18"/>
                <w:szCs w:val="18"/>
                <w:lang w:eastAsia="en-AU"/>
              </w:rPr>
              <w:t>15 to 19</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5,100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5,200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6,600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11,200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27,900</w:t>
            </w:r>
          </w:p>
        </w:tc>
        <w:tc>
          <w:tcPr>
            <w:tcW w:w="114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451%</w:t>
            </w:r>
          </w:p>
        </w:tc>
      </w:tr>
      <w:tr w:rsidR="00D67B5E" w:rsidRPr="0086172F" w:rsidTr="0051046D">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86172F" w:rsidRDefault="00D67B5E" w:rsidP="0051046D">
            <w:pPr>
              <w:spacing w:after="0" w:line="240" w:lineRule="auto"/>
              <w:jc w:val="left"/>
              <w:rPr>
                <w:rFonts w:cs="Arial"/>
                <w:color w:val="3E5B00"/>
                <w:sz w:val="18"/>
                <w:szCs w:val="18"/>
                <w:lang w:eastAsia="en-AU"/>
              </w:rPr>
            </w:pPr>
            <w:r w:rsidRPr="0086172F">
              <w:rPr>
                <w:rFonts w:cs="Arial"/>
                <w:color w:val="3E5B00"/>
                <w:sz w:val="18"/>
                <w:szCs w:val="18"/>
                <w:lang w:eastAsia="en-AU"/>
              </w:rPr>
              <w:t>20 to 24</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2,700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2,500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3,100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6,000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18,800</w:t>
            </w:r>
          </w:p>
        </w:tc>
        <w:tc>
          <w:tcPr>
            <w:tcW w:w="114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602%</w:t>
            </w:r>
          </w:p>
        </w:tc>
      </w:tr>
      <w:tr w:rsidR="00D67B5E" w:rsidRPr="0086172F" w:rsidTr="0051046D">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86172F" w:rsidRDefault="00D67B5E" w:rsidP="0051046D">
            <w:pPr>
              <w:spacing w:after="0" w:line="240" w:lineRule="auto"/>
              <w:jc w:val="left"/>
              <w:rPr>
                <w:rFonts w:cs="Arial"/>
                <w:color w:val="3E5B00"/>
                <w:sz w:val="18"/>
                <w:szCs w:val="18"/>
                <w:lang w:eastAsia="en-AU"/>
              </w:rPr>
            </w:pPr>
            <w:r w:rsidRPr="0086172F">
              <w:rPr>
                <w:rFonts w:cs="Arial"/>
                <w:color w:val="3E5B00"/>
                <w:sz w:val="18"/>
                <w:szCs w:val="18"/>
                <w:lang w:eastAsia="en-AU"/>
              </w:rPr>
              <w:t>25 to 44</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11,200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9,700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10,300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16,400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31,400</w:t>
            </w:r>
          </w:p>
        </w:tc>
        <w:tc>
          <w:tcPr>
            <w:tcW w:w="114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179%</w:t>
            </w:r>
          </w:p>
        </w:tc>
      </w:tr>
      <w:tr w:rsidR="00D67B5E" w:rsidRPr="0086172F" w:rsidTr="0051046D">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86172F" w:rsidRDefault="00D67B5E" w:rsidP="0051046D">
            <w:pPr>
              <w:spacing w:after="0" w:line="240" w:lineRule="auto"/>
              <w:jc w:val="left"/>
              <w:rPr>
                <w:rFonts w:cs="Arial"/>
                <w:color w:val="3E5B00"/>
                <w:sz w:val="18"/>
                <w:szCs w:val="18"/>
                <w:lang w:eastAsia="en-AU"/>
              </w:rPr>
            </w:pPr>
            <w:r w:rsidRPr="0086172F">
              <w:rPr>
                <w:rFonts w:cs="Arial"/>
                <w:color w:val="3E5B00"/>
                <w:sz w:val="18"/>
                <w:szCs w:val="18"/>
                <w:lang w:eastAsia="en-AU"/>
              </w:rPr>
              <w:t>45 to 64</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5,300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4,800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5,100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8,700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16,600</w:t>
            </w:r>
          </w:p>
        </w:tc>
        <w:tc>
          <w:tcPr>
            <w:tcW w:w="114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214%</w:t>
            </w:r>
          </w:p>
        </w:tc>
      </w:tr>
      <w:tr w:rsidR="00D67B5E" w:rsidRPr="0086172F" w:rsidTr="0051046D">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bottom"/>
            <w:hideMark/>
          </w:tcPr>
          <w:p w:rsidR="00D67B5E" w:rsidRPr="0086172F" w:rsidRDefault="00D67B5E" w:rsidP="0051046D">
            <w:pPr>
              <w:spacing w:after="0" w:line="240" w:lineRule="auto"/>
              <w:jc w:val="left"/>
              <w:rPr>
                <w:rFonts w:cs="Arial"/>
                <w:color w:val="3E5B00"/>
                <w:sz w:val="18"/>
                <w:szCs w:val="18"/>
                <w:lang w:eastAsia="en-AU"/>
              </w:rPr>
            </w:pPr>
            <w:r w:rsidRPr="0086172F">
              <w:rPr>
                <w:rFonts w:cs="Arial"/>
                <w:color w:val="3E5B00"/>
                <w:sz w:val="18"/>
                <w:szCs w:val="18"/>
                <w:lang w:eastAsia="en-AU"/>
              </w:rPr>
              <w:t>Under 15, over 64, not stated</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900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900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700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1,200</w:t>
            </w:r>
          </w:p>
        </w:tc>
        <w:tc>
          <w:tcPr>
            <w:tcW w:w="107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3,400</w:t>
            </w:r>
          </w:p>
        </w:tc>
        <w:tc>
          <w:tcPr>
            <w:tcW w:w="1145" w:type="dxa"/>
            <w:tcBorders>
              <w:top w:val="nil"/>
              <w:left w:val="nil"/>
              <w:bottom w:val="single" w:sz="4" w:space="0" w:color="5E8A00"/>
              <w:right w:val="single" w:sz="4" w:space="0" w:color="5E8A00"/>
            </w:tcBorders>
            <w:shd w:val="clear" w:color="auto" w:fill="auto"/>
            <w:noWrap/>
            <w:vAlign w:val="center"/>
            <w:hideMark/>
          </w:tcPr>
          <w:p w:rsidR="00D67B5E" w:rsidRPr="0086172F" w:rsidRDefault="00D67B5E" w:rsidP="0051046D">
            <w:pPr>
              <w:spacing w:after="0" w:line="240" w:lineRule="auto"/>
              <w:jc w:val="right"/>
              <w:rPr>
                <w:rFonts w:cs="Arial"/>
                <w:sz w:val="18"/>
                <w:szCs w:val="18"/>
                <w:lang w:eastAsia="en-AU"/>
              </w:rPr>
            </w:pPr>
            <w:r w:rsidRPr="0086172F">
              <w:rPr>
                <w:rFonts w:cs="Arial"/>
                <w:sz w:val="18"/>
                <w:szCs w:val="18"/>
                <w:lang w:eastAsia="en-AU"/>
              </w:rPr>
              <w:t>269%</w:t>
            </w:r>
          </w:p>
        </w:tc>
      </w:tr>
      <w:tr w:rsidR="00D67B5E" w:rsidRPr="0086172F" w:rsidTr="0051046D">
        <w:trPr>
          <w:trHeight w:hRule="exact" w:val="284"/>
        </w:trPr>
        <w:tc>
          <w:tcPr>
            <w:tcW w:w="2552" w:type="dxa"/>
            <w:tcBorders>
              <w:top w:val="single" w:sz="4" w:space="0" w:color="5E8A00"/>
              <w:left w:val="single" w:sz="4" w:space="0" w:color="5E8A00"/>
              <w:bottom w:val="nil"/>
            </w:tcBorders>
            <w:shd w:val="clear" w:color="000000" w:fill="5E8A00"/>
            <w:noWrap/>
            <w:vAlign w:val="bottom"/>
            <w:hideMark/>
          </w:tcPr>
          <w:p w:rsidR="00D67B5E" w:rsidRPr="0086172F" w:rsidRDefault="00D67B5E" w:rsidP="0051046D">
            <w:pPr>
              <w:spacing w:after="0" w:line="240" w:lineRule="auto"/>
              <w:jc w:val="left"/>
              <w:rPr>
                <w:rFonts w:cs="Arial"/>
                <w:b/>
                <w:bCs/>
                <w:color w:val="FFFFFF"/>
                <w:sz w:val="18"/>
                <w:szCs w:val="18"/>
                <w:lang w:eastAsia="en-AU"/>
              </w:rPr>
            </w:pPr>
            <w:r w:rsidRPr="0086172F">
              <w:rPr>
                <w:rFonts w:cs="Arial"/>
                <w:b/>
                <w:bCs/>
                <w:color w:val="FFFFFF"/>
                <w:sz w:val="18"/>
                <w:szCs w:val="18"/>
                <w:lang w:eastAsia="en-AU"/>
              </w:rPr>
              <w:t>Total</w:t>
            </w:r>
          </w:p>
        </w:tc>
        <w:tc>
          <w:tcPr>
            <w:tcW w:w="1075" w:type="dxa"/>
            <w:tcBorders>
              <w:top w:val="single" w:sz="4" w:space="0" w:color="5E8A00"/>
              <w:bottom w:val="nil"/>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Pr>
                <w:rFonts w:cs="Arial"/>
                <w:b/>
                <w:bCs/>
                <w:color w:val="FFFFFF"/>
                <w:sz w:val="18"/>
                <w:szCs w:val="18"/>
                <w:lang w:eastAsia="en-AU"/>
              </w:rPr>
              <w:t>2</w:t>
            </w:r>
            <w:r w:rsidRPr="0086172F">
              <w:rPr>
                <w:rFonts w:cs="Arial"/>
                <w:b/>
                <w:bCs/>
                <w:color w:val="FFFFFF"/>
                <w:sz w:val="18"/>
                <w:szCs w:val="18"/>
                <w:lang w:eastAsia="en-AU"/>
              </w:rPr>
              <w:t xml:space="preserve">5,200 </w:t>
            </w:r>
          </w:p>
        </w:tc>
        <w:tc>
          <w:tcPr>
            <w:tcW w:w="1075" w:type="dxa"/>
            <w:tcBorders>
              <w:top w:val="single" w:sz="4" w:space="0" w:color="5E8A00"/>
              <w:bottom w:val="nil"/>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 xml:space="preserve">23,200 </w:t>
            </w:r>
          </w:p>
        </w:tc>
        <w:tc>
          <w:tcPr>
            <w:tcW w:w="1075" w:type="dxa"/>
            <w:tcBorders>
              <w:top w:val="single" w:sz="4" w:space="0" w:color="5E8A00"/>
              <w:bottom w:val="nil"/>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 xml:space="preserve">25,700 </w:t>
            </w:r>
          </w:p>
        </w:tc>
        <w:tc>
          <w:tcPr>
            <w:tcW w:w="1075" w:type="dxa"/>
            <w:tcBorders>
              <w:top w:val="single" w:sz="4" w:space="0" w:color="5E8A00"/>
              <w:bottom w:val="nil"/>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 xml:space="preserve">43,500 </w:t>
            </w:r>
          </w:p>
        </w:tc>
        <w:tc>
          <w:tcPr>
            <w:tcW w:w="1075" w:type="dxa"/>
            <w:tcBorders>
              <w:top w:val="single" w:sz="4" w:space="0" w:color="5E8A00"/>
              <w:bottom w:val="nil"/>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 xml:space="preserve">98,100 </w:t>
            </w:r>
          </w:p>
        </w:tc>
        <w:tc>
          <w:tcPr>
            <w:tcW w:w="1145" w:type="dxa"/>
            <w:tcBorders>
              <w:top w:val="single" w:sz="4" w:space="0" w:color="5E8A00"/>
              <w:bottom w:val="nil"/>
              <w:right w:val="single" w:sz="4" w:space="0" w:color="5E8A00"/>
            </w:tcBorders>
            <w:shd w:val="clear" w:color="000000" w:fill="5E8A00"/>
            <w:noWrap/>
            <w:vAlign w:val="center"/>
            <w:hideMark/>
          </w:tcPr>
          <w:p w:rsidR="00D67B5E" w:rsidRPr="0086172F" w:rsidRDefault="00D67B5E" w:rsidP="0051046D">
            <w:pPr>
              <w:spacing w:after="0" w:line="240" w:lineRule="auto"/>
              <w:jc w:val="right"/>
              <w:rPr>
                <w:rFonts w:cs="Arial"/>
                <w:b/>
                <w:bCs/>
                <w:color w:val="FFFFFF"/>
                <w:sz w:val="18"/>
                <w:szCs w:val="18"/>
                <w:lang w:eastAsia="en-AU"/>
              </w:rPr>
            </w:pPr>
            <w:r w:rsidRPr="0086172F">
              <w:rPr>
                <w:rFonts w:cs="Arial"/>
                <w:b/>
                <w:bCs/>
                <w:color w:val="FFFFFF"/>
                <w:sz w:val="18"/>
                <w:szCs w:val="18"/>
                <w:lang w:eastAsia="en-AU"/>
              </w:rPr>
              <w:t>289%</w:t>
            </w:r>
          </w:p>
        </w:tc>
      </w:tr>
    </w:tbl>
    <w:p w:rsidR="00D67B5E" w:rsidRDefault="00D67B5E" w:rsidP="00D67B5E"/>
    <w:p w:rsidR="00D67B5E" w:rsidRDefault="00D67B5E" w:rsidP="00F156DC">
      <w:pPr>
        <w:pStyle w:val="Caption"/>
        <w:spacing w:after="0"/>
        <w:jc w:val="left"/>
        <w:rPr>
          <w:rFonts w:cs="Arial"/>
        </w:rPr>
      </w:pPr>
      <w:r>
        <w:rPr>
          <w:rFonts w:cs="Arial"/>
        </w:rPr>
        <w:t xml:space="preserve">Table </w:t>
      </w:r>
      <w:r w:rsidR="005654CD">
        <w:rPr>
          <w:rFonts w:cs="Arial"/>
        </w:rPr>
        <w:t>2</w:t>
      </w:r>
      <w:r w:rsidRPr="001F29E3">
        <w:rPr>
          <w:rFonts w:cs="Arial"/>
        </w:rPr>
        <w:t>.</w:t>
      </w:r>
      <w:r>
        <w:rPr>
          <w:rFonts w:cs="Arial"/>
        </w:rPr>
        <w:t>9.2</w:t>
      </w:r>
      <w:r w:rsidRPr="001F29E3">
        <w:rPr>
          <w:rFonts w:cs="Arial"/>
        </w:rPr>
        <w:t xml:space="preserve">: Government subsidised students in foundation skills courses by age group, </w:t>
      </w:r>
      <w:r w:rsidR="00F156DC">
        <w:rPr>
          <w:rFonts w:cs="Arial"/>
        </w:rPr>
        <w:br/>
      </w:r>
      <w:r>
        <w:rPr>
          <w:rFonts w:cs="Arial"/>
        </w:rPr>
        <w:t>Q</w:t>
      </w:r>
      <w:r w:rsidR="00F156DC">
        <w:rPr>
          <w:rFonts w:cs="Arial"/>
        </w:rPr>
        <w:t>3</w:t>
      </w:r>
      <w:r>
        <w:rPr>
          <w:rFonts w:cs="Arial"/>
        </w:rPr>
        <w:t xml:space="preserve"> 2011, </w:t>
      </w:r>
      <w:r w:rsidRPr="001F29E3">
        <w:rPr>
          <w:rFonts w:cs="Arial"/>
        </w:rPr>
        <w:t>Q</w:t>
      </w:r>
      <w:r w:rsidR="00F156DC">
        <w:rPr>
          <w:rFonts w:cs="Arial"/>
        </w:rPr>
        <w:t>3</w:t>
      </w:r>
      <w:r w:rsidRPr="001F29E3">
        <w:rPr>
          <w:rFonts w:cs="Arial"/>
        </w:rPr>
        <w:t xml:space="preserve"> 2012 and Q</w:t>
      </w:r>
      <w:r w:rsidR="00F156DC">
        <w:rPr>
          <w:rFonts w:cs="Arial"/>
        </w:rPr>
        <w:t>3</w:t>
      </w:r>
      <w:r w:rsidRPr="001F29E3">
        <w:rPr>
          <w:rFonts w:cs="Arial"/>
        </w:rPr>
        <w:t xml:space="preserve"> 2013</w:t>
      </w:r>
    </w:p>
    <w:tbl>
      <w:tblPr>
        <w:tblW w:w="8580" w:type="dxa"/>
        <w:tblInd w:w="108" w:type="dxa"/>
        <w:tblLook w:val="04A0" w:firstRow="1" w:lastRow="0" w:firstColumn="1" w:lastColumn="0" w:noHBand="0" w:noVBand="1"/>
      </w:tblPr>
      <w:tblGrid>
        <w:gridCol w:w="2980"/>
        <w:gridCol w:w="1120"/>
        <w:gridCol w:w="1120"/>
        <w:gridCol w:w="1120"/>
        <w:gridCol w:w="1120"/>
        <w:gridCol w:w="1120"/>
      </w:tblGrid>
      <w:tr w:rsidR="00F156DC" w:rsidRPr="00F156DC" w:rsidTr="00F156DC">
        <w:trPr>
          <w:trHeight w:hRule="exact" w:val="760"/>
        </w:trPr>
        <w:tc>
          <w:tcPr>
            <w:tcW w:w="298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F156DC" w:rsidRPr="00F156DC" w:rsidRDefault="00F156DC" w:rsidP="00F156DC">
            <w:pPr>
              <w:spacing w:after="0" w:line="240" w:lineRule="auto"/>
              <w:ind w:firstLineChars="100" w:firstLine="181"/>
              <w:jc w:val="left"/>
              <w:rPr>
                <w:rFonts w:cs="Arial"/>
                <w:b/>
                <w:bCs/>
                <w:color w:val="FFFFFF"/>
                <w:sz w:val="18"/>
                <w:szCs w:val="18"/>
                <w:lang w:eastAsia="en-AU"/>
              </w:rPr>
            </w:pPr>
            <w:r w:rsidRPr="00F156DC">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 change</w:t>
            </w:r>
            <w:r w:rsidRPr="00F156DC">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 change</w:t>
            </w:r>
            <w:r w:rsidRPr="00F156DC">
              <w:rPr>
                <w:rFonts w:cs="Arial"/>
                <w:b/>
                <w:bCs/>
                <w:color w:val="FFFFFF"/>
                <w:sz w:val="18"/>
                <w:szCs w:val="18"/>
                <w:lang w:eastAsia="en-AU"/>
              </w:rPr>
              <w:br/>
              <w:t>Q3 2012-Q3 2013</w:t>
            </w:r>
          </w:p>
        </w:tc>
      </w:tr>
      <w:tr w:rsidR="00F156DC" w:rsidRPr="00F156DC"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9,200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23,500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31,500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243%</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34%</w:t>
            </w:r>
          </w:p>
        </w:tc>
      </w:tr>
      <w:tr w:rsidR="00F156DC" w:rsidRPr="00F156DC"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4,800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16,100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22,700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376%</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41%</w:t>
            </w:r>
          </w:p>
        </w:tc>
      </w:tr>
      <w:tr w:rsidR="00F156DC" w:rsidRPr="00F156DC"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13,100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26,200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36,000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174%</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38%</w:t>
            </w:r>
          </w:p>
        </w:tc>
      </w:tr>
      <w:tr w:rsidR="00F156DC" w:rsidRPr="00F156DC"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6,900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13,900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18,000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160%</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29%</w:t>
            </w:r>
          </w:p>
        </w:tc>
      </w:tr>
      <w:tr w:rsidR="00F156DC" w:rsidRPr="00F156DC" w:rsidTr="00F156DC">
        <w:trPr>
          <w:trHeight w:hRule="exact" w:val="284"/>
        </w:trPr>
        <w:tc>
          <w:tcPr>
            <w:tcW w:w="2980" w:type="dxa"/>
            <w:tcBorders>
              <w:top w:val="nil"/>
              <w:left w:val="single" w:sz="4" w:space="0" w:color="5E8A00"/>
              <w:bottom w:val="single" w:sz="4" w:space="0" w:color="5E8A00"/>
              <w:right w:val="single" w:sz="4" w:space="0" w:color="5E8A00"/>
            </w:tcBorders>
            <w:shd w:val="clear" w:color="000000" w:fill="FFFFFF"/>
            <w:noWrap/>
            <w:vAlign w:val="bottom"/>
            <w:hideMark/>
          </w:tcPr>
          <w:p w:rsidR="00F156DC" w:rsidRPr="00F156DC" w:rsidRDefault="00F156DC" w:rsidP="00F156DC">
            <w:pPr>
              <w:spacing w:after="0" w:line="240" w:lineRule="auto"/>
              <w:jc w:val="left"/>
              <w:rPr>
                <w:rFonts w:cs="Arial"/>
                <w:color w:val="3E5B00"/>
                <w:sz w:val="18"/>
                <w:szCs w:val="18"/>
                <w:lang w:eastAsia="en-AU"/>
              </w:rPr>
            </w:pPr>
            <w:r w:rsidRPr="00F156DC">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750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2,400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 xml:space="preserve">2,800 </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274%</w:t>
            </w:r>
          </w:p>
        </w:tc>
        <w:tc>
          <w:tcPr>
            <w:tcW w:w="1120" w:type="dxa"/>
            <w:tcBorders>
              <w:top w:val="nil"/>
              <w:left w:val="nil"/>
              <w:bottom w:val="single" w:sz="4" w:space="0" w:color="5E8A00"/>
              <w:right w:val="single" w:sz="4" w:space="0" w:color="5E8A00"/>
            </w:tcBorders>
            <w:shd w:val="clear" w:color="auto" w:fill="auto"/>
            <w:noWrap/>
            <w:vAlign w:val="center"/>
            <w:hideMark/>
          </w:tcPr>
          <w:p w:rsidR="00F156DC" w:rsidRPr="00F156DC" w:rsidRDefault="00F156DC" w:rsidP="00F156DC">
            <w:pPr>
              <w:spacing w:after="0" w:line="240" w:lineRule="auto"/>
              <w:jc w:val="right"/>
              <w:rPr>
                <w:rFonts w:cs="Arial"/>
                <w:sz w:val="18"/>
                <w:szCs w:val="18"/>
                <w:lang w:eastAsia="en-AU"/>
              </w:rPr>
            </w:pPr>
            <w:r w:rsidRPr="00F156DC">
              <w:rPr>
                <w:rFonts w:cs="Arial"/>
                <w:sz w:val="18"/>
                <w:szCs w:val="18"/>
                <w:lang w:eastAsia="en-AU"/>
              </w:rPr>
              <w:t>16%</w:t>
            </w:r>
          </w:p>
        </w:tc>
      </w:tr>
      <w:tr w:rsidR="00F156DC" w:rsidRPr="00F156DC" w:rsidTr="00F156DC">
        <w:trPr>
          <w:trHeight w:hRule="exact" w:val="284"/>
        </w:trPr>
        <w:tc>
          <w:tcPr>
            <w:tcW w:w="2980" w:type="dxa"/>
            <w:tcBorders>
              <w:top w:val="nil"/>
              <w:left w:val="single" w:sz="4" w:space="0" w:color="5E8A00"/>
              <w:bottom w:val="nil"/>
              <w:right w:val="single" w:sz="4" w:space="0" w:color="5E8A00"/>
            </w:tcBorders>
            <w:shd w:val="clear" w:color="000000" w:fill="5E8A00"/>
            <w:noWrap/>
            <w:vAlign w:val="bottom"/>
            <w:hideMark/>
          </w:tcPr>
          <w:p w:rsidR="00F156DC" w:rsidRPr="00F156DC" w:rsidRDefault="00F156DC" w:rsidP="00F156DC">
            <w:pPr>
              <w:spacing w:after="0" w:line="240" w:lineRule="auto"/>
              <w:jc w:val="left"/>
              <w:rPr>
                <w:rFonts w:cs="Arial"/>
                <w:b/>
                <w:bCs/>
                <w:color w:val="FFFFFF"/>
                <w:sz w:val="18"/>
                <w:szCs w:val="18"/>
                <w:lang w:eastAsia="en-AU"/>
              </w:rPr>
            </w:pPr>
            <w:r w:rsidRPr="00F156DC">
              <w:rPr>
                <w:rFonts w:cs="Arial"/>
                <w:b/>
                <w:bCs/>
                <w:color w:val="FFFFFF"/>
                <w:sz w:val="18"/>
                <w:szCs w:val="18"/>
                <w:lang w:eastAsia="en-AU"/>
              </w:rPr>
              <w:t>Total</w:t>
            </w:r>
          </w:p>
        </w:tc>
        <w:tc>
          <w:tcPr>
            <w:tcW w:w="1120" w:type="dxa"/>
            <w:tcBorders>
              <w:top w:val="nil"/>
              <w:left w:val="nil"/>
              <w:bottom w:val="nil"/>
              <w:right w:val="single" w:sz="4" w:space="0" w:color="5E8A00"/>
            </w:tcBorders>
            <w:shd w:val="clear" w:color="000000" w:fill="5E8A00"/>
            <w:noWrap/>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 xml:space="preserve">34,800 </w:t>
            </w:r>
          </w:p>
        </w:tc>
        <w:tc>
          <w:tcPr>
            <w:tcW w:w="1120" w:type="dxa"/>
            <w:tcBorders>
              <w:top w:val="nil"/>
              <w:left w:val="nil"/>
              <w:bottom w:val="nil"/>
              <w:right w:val="single" w:sz="4" w:space="0" w:color="5E8A00"/>
            </w:tcBorders>
            <w:shd w:val="clear" w:color="000000" w:fill="5E8A00"/>
            <w:noWrap/>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 xml:space="preserve">82,200 </w:t>
            </w:r>
          </w:p>
        </w:tc>
        <w:tc>
          <w:tcPr>
            <w:tcW w:w="1120" w:type="dxa"/>
            <w:tcBorders>
              <w:top w:val="nil"/>
              <w:left w:val="nil"/>
              <w:bottom w:val="nil"/>
              <w:right w:val="single" w:sz="4" w:space="0" w:color="5E8A00"/>
            </w:tcBorders>
            <w:shd w:val="clear" w:color="000000" w:fill="5E8A00"/>
            <w:noWrap/>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 xml:space="preserve">111,000 </w:t>
            </w:r>
          </w:p>
        </w:tc>
        <w:tc>
          <w:tcPr>
            <w:tcW w:w="1120" w:type="dxa"/>
            <w:tcBorders>
              <w:top w:val="nil"/>
              <w:left w:val="nil"/>
              <w:bottom w:val="nil"/>
              <w:right w:val="single" w:sz="4" w:space="0" w:color="5E8A00"/>
            </w:tcBorders>
            <w:shd w:val="clear" w:color="000000" w:fill="5E8A00"/>
            <w:noWrap/>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219%</w:t>
            </w:r>
          </w:p>
        </w:tc>
        <w:tc>
          <w:tcPr>
            <w:tcW w:w="1120" w:type="dxa"/>
            <w:tcBorders>
              <w:top w:val="nil"/>
              <w:left w:val="nil"/>
              <w:bottom w:val="nil"/>
              <w:right w:val="single" w:sz="4" w:space="0" w:color="5E8A00"/>
            </w:tcBorders>
            <w:shd w:val="clear" w:color="000000" w:fill="5E8A00"/>
            <w:noWrap/>
            <w:vAlign w:val="center"/>
            <w:hideMark/>
          </w:tcPr>
          <w:p w:rsidR="00F156DC" w:rsidRPr="00F156DC" w:rsidRDefault="00F156DC" w:rsidP="00F156DC">
            <w:pPr>
              <w:spacing w:after="0" w:line="240" w:lineRule="auto"/>
              <w:jc w:val="right"/>
              <w:rPr>
                <w:rFonts w:cs="Arial"/>
                <w:b/>
                <w:bCs/>
                <w:color w:val="FFFFFF"/>
                <w:sz w:val="18"/>
                <w:szCs w:val="18"/>
                <w:lang w:eastAsia="en-AU"/>
              </w:rPr>
            </w:pPr>
            <w:r w:rsidRPr="00F156DC">
              <w:rPr>
                <w:rFonts w:cs="Arial"/>
                <w:b/>
                <w:bCs/>
                <w:color w:val="FFFFFF"/>
                <w:sz w:val="18"/>
                <w:szCs w:val="18"/>
                <w:lang w:eastAsia="en-AU"/>
              </w:rPr>
              <w:t>35%</w:t>
            </w:r>
          </w:p>
        </w:tc>
      </w:tr>
    </w:tbl>
    <w:p w:rsidR="00D67B5E" w:rsidRPr="0086172F" w:rsidRDefault="00D67B5E" w:rsidP="00D67B5E"/>
    <w:p w:rsidR="00D67B5E" w:rsidRDefault="00D67B5E" w:rsidP="00D67B5E">
      <w:pPr>
        <w:spacing w:after="0" w:line="240" w:lineRule="auto"/>
        <w:jc w:val="left"/>
        <w:rPr>
          <w:rFonts w:cs="Arial"/>
          <w:b/>
          <w:bCs/>
          <w:color w:val="76923C" w:themeColor="accent3" w:themeShade="BF"/>
          <w:sz w:val="18"/>
          <w:szCs w:val="16"/>
        </w:rPr>
      </w:pPr>
      <w:r>
        <w:rPr>
          <w:rFonts w:cs="Arial"/>
        </w:rPr>
        <w:br w:type="page"/>
      </w:r>
    </w:p>
    <w:p w:rsidR="00D67B5E" w:rsidRPr="001F29E3" w:rsidRDefault="00D67B5E" w:rsidP="00D67B5E">
      <w:pPr>
        <w:pStyle w:val="Caption"/>
        <w:rPr>
          <w:rFonts w:cs="Arial"/>
        </w:rPr>
      </w:pPr>
    </w:p>
    <w:p w:rsidR="00D67B5E" w:rsidRDefault="00D67B5E" w:rsidP="00BB7E11">
      <w:pPr>
        <w:pStyle w:val="Caption"/>
        <w:spacing w:after="0"/>
        <w:jc w:val="left"/>
      </w:pPr>
      <w:r w:rsidRPr="002D5B23">
        <w:t xml:space="preserve">Table </w:t>
      </w:r>
      <w:r w:rsidR="005654CD">
        <w:t>2</w:t>
      </w:r>
      <w:r w:rsidRPr="002D5B23">
        <w:t>.</w:t>
      </w:r>
      <w:r>
        <w:t>10</w:t>
      </w:r>
      <w:r w:rsidRPr="002D5B23">
        <w:t>: Top 13 government subsidised foundation skills course enrolments, Q</w:t>
      </w:r>
      <w:r w:rsidR="00F156DC">
        <w:t>3</w:t>
      </w:r>
      <w:r w:rsidRPr="002D5B23">
        <w:t xml:space="preserve"> 2011, Q</w:t>
      </w:r>
      <w:r w:rsidR="00F156DC">
        <w:t>3</w:t>
      </w:r>
      <w:r w:rsidRPr="002D5B23">
        <w:t xml:space="preserve"> 2012 </w:t>
      </w:r>
      <w:r w:rsidR="00BB7E11">
        <w:br/>
      </w:r>
      <w:r w:rsidRPr="002D5B23">
        <w:t>and Q</w:t>
      </w:r>
      <w:r w:rsidR="00F156DC">
        <w:t>3</w:t>
      </w:r>
      <w:r w:rsidRPr="002D5B23">
        <w:t xml:space="preserve"> </w:t>
      </w:r>
      <w:r w:rsidR="00BB7E11">
        <w:t>2</w:t>
      </w:r>
      <w:r w:rsidRPr="002D5B23">
        <w:t>013</w:t>
      </w:r>
      <w:r w:rsidRPr="001F29E3">
        <w:t xml:space="preserve"> </w:t>
      </w:r>
    </w:p>
    <w:p w:rsidR="00704EB3" w:rsidRDefault="00D24593" w:rsidP="00BC23CB">
      <w:pPr>
        <w:rPr>
          <w:rFonts w:cs="Arial"/>
        </w:rPr>
      </w:pPr>
      <w:r w:rsidRPr="00D24593">
        <w:rPr>
          <w:noProof/>
          <w:lang w:eastAsia="en-AU"/>
        </w:rPr>
        <w:drawing>
          <wp:inline distT="0" distB="0" distL="0" distR="0" wp14:anchorId="65FF20B3" wp14:editId="07965C28">
            <wp:extent cx="6138000" cy="2822400"/>
            <wp:effectExtent l="0" t="0" r="0" b="0"/>
            <wp:docPr id="10" name="Picture 10" descr="This table shows top 13 enrolments in government subsidised foundation courses of study in Q3 2013.  Q3 2011 and Q3 2012 data were provided for comparative purpose." title="Table 2.10: Top 13 government subsidised foundation skills course enrolments, Q3 2011, Q3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8000" cy="2822400"/>
                    </a:xfrm>
                    <a:prstGeom prst="rect">
                      <a:avLst/>
                    </a:prstGeom>
                    <a:noFill/>
                    <a:ln>
                      <a:noFill/>
                    </a:ln>
                  </pic:spPr>
                </pic:pic>
              </a:graphicData>
            </a:graphic>
          </wp:inline>
        </w:drawing>
      </w:r>
      <w:bookmarkEnd w:id="44"/>
      <w:bookmarkEnd w:id="45"/>
      <w:bookmarkEnd w:id="61"/>
      <w:bookmarkEnd w:id="62"/>
      <w:bookmarkEnd w:id="63"/>
      <w:bookmarkEnd w:id="64"/>
      <w:bookmarkEnd w:id="65"/>
      <w:bookmarkEnd w:id="66"/>
      <w:bookmarkEnd w:id="67"/>
      <w:bookmarkEnd w:id="68"/>
      <w:bookmarkEnd w:id="69"/>
      <w:bookmarkEnd w:id="70"/>
      <w:bookmarkEnd w:id="71"/>
      <w:bookmarkEnd w:id="73"/>
      <w:bookmarkEnd w:id="74"/>
      <w:bookmarkEnd w:id="75"/>
      <w:bookmarkEnd w:id="76"/>
      <w:bookmarkEnd w:id="77"/>
      <w:bookmarkEnd w:id="78"/>
    </w:p>
    <w:p w:rsidR="00704EB3" w:rsidRDefault="00704EB3">
      <w:pPr>
        <w:spacing w:after="0" w:line="240" w:lineRule="auto"/>
        <w:jc w:val="left"/>
        <w:rPr>
          <w:rFonts w:cs="Arial"/>
          <w:b/>
          <w:bCs/>
          <w:color w:val="76923C" w:themeColor="accent3" w:themeShade="BF"/>
          <w:sz w:val="18"/>
          <w:szCs w:val="16"/>
        </w:rPr>
      </w:pPr>
      <w:r>
        <w:rPr>
          <w:rFonts w:cs="Arial"/>
        </w:rPr>
        <w:br w:type="page"/>
      </w:r>
    </w:p>
    <w:p w:rsidR="00704EB3" w:rsidRDefault="00704EB3" w:rsidP="00704EB3">
      <w:pPr>
        <w:pStyle w:val="Heading1"/>
        <w:rPr>
          <w:rStyle w:val="Heading1Char"/>
        </w:rPr>
      </w:pPr>
      <w:bookmarkStart w:id="87" w:name="_Toc372613439"/>
      <w:r>
        <w:rPr>
          <w:rStyle w:val="Heading1Char"/>
        </w:rPr>
        <w:lastRenderedPageBreak/>
        <w:t>Alignment of Training to Industry Skills Needs</w:t>
      </w:r>
      <w:bookmarkEnd w:id="87"/>
    </w:p>
    <w:p w:rsidR="00E1754F" w:rsidRDefault="00E1754F" w:rsidP="00E1754F">
      <w:pPr>
        <w:pStyle w:val="Heading3"/>
      </w:pPr>
    </w:p>
    <w:p w:rsidR="00704EB3" w:rsidRDefault="00704EB3" w:rsidP="00E1754F">
      <w:pPr>
        <w:pStyle w:val="Heading3"/>
      </w:pPr>
      <w:r>
        <w:t>Introduction</w:t>
      </w:r>
    </w:p>
    <w:p w:rsidR="00704EB3" w:rsidRPr="000E6968" w:rsidRDefault="0043328F" w:rsidP="00704EB3">
      <w:pPr>
        <w:rPr>
          <w:rFonts w:cs="Arial"/>
        </w:rPr>
      </w:pPr>
      <w:r w:rsidRPr="0043328F">
        <w:rPr>
          <w:rFonts w:cs="Arial"/>
        </w:rPr>
        <w:t>Since the implementation of the RVT policy</w:t>
      </w:r>
      <w:r w:rsidR="00704EB3" w:rsidRPr="0043328F">
        <w:rPr>
          <w:rFonts w:cs="Arial"/>
        </w:rPr>
        <w:t xml:space="preserve"> there have been shifts </w:t>
      </w:r>
      <w:r w:rsidR="00EF799D" w:rsidRPr="0043328F">
        <w:rPr>
          <w:rFonts w:cs="Arial"/>
        </w:rPr>
        <w:t>towards training</w:t>
      </w:r>
      <w:r w:rsidR="00704EB3" w:rsidRPr="0043328F">
        <w:rPr>
          <w:rFonts w:cs="Arial"/>
        </w:rPr>
        <w:t xml:space="preserve"> delivered </w:t>
      </w:r>
      <w:r w:rsidR="00A13C46" w:rsidRPr="0043328F">
        <w:rPr>
          <w:rFonts w:cs="Arial"/>
        </w:rPr>
        <w:t>in</w:t>
      </w:r>
      <w:r w:rsidR="00704EB3" w:rsidRPr="0043328F">
        <w:rPr>
          <w:rFonts w:cs="Arial"/>
        </w:rPr>
        <w:t xml:space="preserve"> areas that better meet the training requirements of the Victorian economy. The training market has been dynamic and responsive in seeking to align with these areas of need.</w:t>
      </w:r>
      <w:r w:rsidR="00704EB3" w:rsidRPr="000E6968">
        <w:rPr>
          <w:rFonts w:cs="Arial"/>
        </w:rPr>
        <w:t xml:space="preserve"> </w:t>
      </w:r>
    </w:p>
    <w:p w:rsidR="007100A8" w:rsidRPr="007100A8" w:rsidRDefault="007100A8" w:rsidP="007100A8">
      <w:pPr>
        <w:rPr>
          <w:rFonts w:cs="Arial"/>
        </w:rPr>
      </w:pPr>
      <w:proofErr w:type="gramStart"/>
      <w:r w:rsidRPr="007100A8">
        <w:rPr>
          <w:rFonts w:cs="Arial"/>
        </w:rPr>
        <w:t>The trends towards more training in areas of specialised skills and in shortage occupations since 2008 has continued in 2013, as well as a shift towards courses that support sectors with significant projected employment growth.</w:t>
      </w:r>
      <w:proofErr w:type="gramEnd"/>
      <w:r w:rsidRPr="007100A8">
        <w:rPr>
          <w:rFonts w:cs="Arial"/>
        </w:rPr>
        <w:t xml:space="preserve"> </w:t>
      </w:r>
    </w:p>
    <w:p w:rsidR="007100A8" w:rsidRPr="007100A8" w:rsidRDefault="007100A8" w:rsidP="007100A8">
      <w:pPr>
        <w:rPr>
          <w:rFonts w:cs="Arial"/>
        </w:rPr>
      </w:pPr>
      <w:r w:rsidRPr="007100A8">
        <w:rPr>
          <w:rFonts w:cs="Arial"/>
        </w:rPr>
        <w:t>There has been a reduction in courses that experienced unprecedented high levels of enrolments in 2012 that were not aligned with the employment trends of related industries.  Challenges remain as government seeks to support apprenticeships in a climate of business contraction in trade related industries as well as managing growth in training areas that are not aligned with industry or student needs such as foundation skills for individuals who already have highly developed literacy, numeracy and workplace skills and RPL in unlicensed occupations.</w:t>
      </w:r>
    </w:p>
    <w:p w:rsidR="007100A8" w:rsidRPr="007100A8" w:rsidRDefault="007100A8" w:rsidP="007100A8">
      <w:pPr>
        <w:rPr>
          <w:rFonts w:cs="Arial"/>
        </w:rPr>
      </w:pPr>
      <w:r w:rsidRPr="007100A8">
        <w:rPr>
          <w:rFonts w:cs="Arial"/>
        </w:rPr>
        <w:t>Under the new subsidy bands, weightings have been refined to apply at the course level to strengthen Government investment in training for specialised skills, training to address skills in shortage, training related to areas of growing employment opportunity and sectors delivering essential services. The reforms also assessed the extent to which government investment is required to stimulate delivery of, and participation in, this training to meet industry needs.</w:t>
      </w:r>
    </w:p>
    <w:p w:rsidR="00704EB3" w:rsidRPr="009554C8" w:rsidRDefault="007100A8" w:rsidP="007100A8">
      <w:pPr>
        <w:rPr>
          <w:rFonts w:cs="Arial"/>
        </w:rPr>
      </w:pPr>
      <w:r w:rsidRPr="007100A8">
        <w:rPr>
          <w:rFonts w:cs="Arial"/>
        </w:rPr>
        <w:t>Overall, the highest subsidy levels have been provided to courses where contribution to the economy is assessed as high, and where government subsidy is seen as essential in enabling delivery and participation in training.</w:t>
      </w:r>
    </w:p>
    <w:p w:rsidR="00704EB3" w:rsidRDefault="00704EB3" w:rsidP="00704EB3">
      <w:pPr>
        <w:spacing w:after="0" w:line="240" w:lineRule="auto"/>
        <w:jc w:val="left"/>
        <w:rPr>
          <w:rFonts w:cs="Arial"/>
          <w:sz w:val="16"/>
          <w:szCs w:val="16"/>
        </w:rPr>
      </w:pPr>
    </w:p>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704EB3" w:rsidRPr="001F29E3" w:rsidTr="007D3481">
        <w:trPr>
          <w:trHeight w:val="1467"/>
        </w:trPr>
        <w:tc>
          <w:tcPr>
            <w:tcW w:w="9088"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tcPr>
          <w:p w:rsidR="00704EB3" w:rsidRDefault="00704EB3" w:rsidP="007D3481">
            <w:pPr>
              <w:pStyle w:val="Heading3"/>
            </w:pPr>
            <w:r w:rsidRPr="00D940E1">
              <w:t>Key Points</w:t>
            </w:r>
            <w:r w:rsidR="003323B6">
              <w:t xml:space="preserve"> </w:t>
            </w:r>
          </w:p>
          <w:p w:rsidR="007100A8" w:rsidRPr="007100A8" w:rsidRDefault="007100A8" w:rsidP="007100A8">
            <w:pPr>
              <w:pStyle w:val="ListBullet"/>
              <w:numPr>
                <w:ilvl w:val="0"/>
                <w:numId w:val="13"/>
              </w:numPr>
              <w:ind w:right="113"/>
              <w:rPr>
                <w:rFonts w:cs="Arial"/>
              </w:rPr>
            </w:pPr>
            <w:r w:rsidRPr="007100A8">
              <w:rPr>
                <w:rFonts w:cs="Arial"/>
              </w:rPr>
              <w:t>Data from Q</w:t>
            </w:r>
            <w:r w:rsidR="00D17AF1">
              <w:rPr>
                <w:rFonts w:cs="Arial"/>
              </w:rPr>
              <w:t>3</w:t>
            </w:r>
            <w:r w:rsidRPr="007100A8">
              <w:rPr>
                <w:rFonts w:cs="Arial"/>
              </w:rPr>
              <w:t xml:space="preserve"> 2013 show that </w:t>
            </w:r>
            <w:r w:rsidR="00D17AF1">
              <w:rPr>
                <w:rFonts w:cs="Arial"/>
              </w:rPr>
              <w:t>about 70</w:t>
            </w:r>
            <w:r w:rsidRPr="007100A8">
              <w:rPr>
                <w:rFonts w:cs="Arial"/>
              </w:rPr>
              <w:t xml:space="preserve"> per cent of all government subsidised commencing enrolments were within subsidy bands A and B. </w:t>
            </w:r>
            <w:r w:rsidR="00D17AF1">
              <w:rPr>
                <w:rFonts w:cs="Arial"/>
              </w:rPr>
              <w:t>Cour</w:t>
            </w:r>
            <w:r w:rsidRPr="007100A8">
              <w:rPr>
                <w:rFonts w:cs="Arial"/>
              </w:rPr>
              <w:t xml:space="preserve">ses such as the Certificate III in </w:t>
            </w:r>
            <w:proofErr w:type="spellStart"/>
            <w:r w:rsidRPr="007100A8">
              <w:rPr>
                <w:rFonts w:cs="Arial"/>
              </w:rPr>
              <w:t>Electrotechnology</w:t>
            </w:r>
            <w:proofErr w:type="spellEnd"/>
            <w:r w:rsidRPr="007100A8">
              <w:rPr>
                <w:rFonts w:cs="Arial"/>
              </w:rPr>
              <w:t xml:space="preserve"> Electrician, Certificate III in Carpentry, Certificate III in Aged Care and the course in Initial General Education for Adults are represented in these funding bands. </w:t>
            </w:r>
          </w:p>
          <w:p w:rsidR="00704EB3" w:rsidRPr="00D940E1" w:rsidRDefault="007100A8" w:rsidP="00D17AF1">
            <w:pPr>
              <w:pStyle w:val="ListBullet"/>
              <w:numPr>
                <w:ilvl w:val="0"/>
                <w:numId w:val="13"/>
              </w:numPr>
              <w:ind w:right="113"/>
              <w:rPr>
                <w:rFonts w:cs="Arial"/>
              </w:rPr>
            </w:pPr>
            <w:r w:rsidRPr="007100A8">
              <w:rPr>
                <w:rFonts w:cs="Arial"/>
              </w:rPr>
              <w:t>Courses with less vocational outcome, or labour market requirement (Band D &amp; E) represented 9 per cent of all government subsidised commencements in Q</w:t>
            </w:r>
            <w:r w:rsidR="00D17AF1">
              <w:rPr>
                <w:rFonts w:cs="Arial"/>
              </w:rPr>
              <w:t>3</w:t>
            </w:r>
            <w:r w:rsidRPr="007100A8">
              <w:rPr>
                <w:rFonts w:cs="Arial"/>
              </w:rPr>
              <w:t xml:space="preserve"> 2013.</w:t>
            </w:r>
          </w:p>
        </w:tc>
      </w:tr>
    </w:tbl>
    <w:p w:rsidR="00704EB3" w:rsidRDefault="00704EB3" w:rsidP="00704EB3">
      <w:pPr>
        <w:spacing w:after="200" w:line="276" w:lineRule="auto"/>
        <w:jc w:val="left"/>
        <w:rPr>
          <w:rFonts w:cs="Arial"/>
          <w:b/>
          <w:bCs/>
          <w:color w:val="76923C" w:themeColor="accent3" w:themeShade="BF"/>
          <w:sz w:val="18"/>
          <w:szCs w:val="16"/>
        </w:rPr>
      </w:pPr>
    </w:p>
    <w:p w:rsidR="00704EB3" w:rsidRPr="007D276C" w:rsidRDefault="005654CD" w:rsidP="00704EB3">
      <w:pPr>
        <w:pStyle w:val="Caption"/>
        <w:jc w:val="left"/>
        <w:rPr>
          <w:rFonts w:cs="Arial"/>
          <w:color w:val="auto"/>
        </w:rPr>
      </w:pPr>
      <w:r w:rsidRPr="00E81C95">
        <w:rPr>
          <w:rFonts w:cs="Arial"/>
        </w:rPr>
        <w:t>Figure 3.1</w:t>
      </w:r>
      <w:r w:rsidR="00704EB3" w:rsidRPr="00E81C95">
        <w:rPr>
          <w:rFonts w:cs="Arial"/>
        </w:rPr>
        <w:t xml:space="preserve">: Government subsidised commencing </w:t>
      </w:r>
      <w:r w:rsidR="00EF799D" w:rsidRPr="00E81C95">
        <w:rPr>
          <w:rFonts w:cs="Arial"/>
        </w:rPr>
        <w:t xml:space="preserve">course </w:t>
      </w:r>
      <w:r w:rsidR="00704EB3" w:rsidRPr="00E81C95">
        <w:rPr>
          <w:rFonts w:cs="Arial"/>
        </w:rPr>
        <w:t>enrolments: proportion</w:t>
      </w:r>
      <w:r w:rsidR="00D57A7F">
        <w:rPr>
          <w:rFonts w:cs="Arial"/>
        </w:rPr>
        <w:t>**</w:t>
      </w:r>
      <w:r w:rsidR="00704EB3" w:rsidRPr="00E81C95">
        <w:rPr>
          <w:rFonts w:cs="Arial"/>
        </w:rPr>
        <w:t xml:space="preserve"> of commencing enrolments by subsidy band, Pre-July 2012, </w:t>
      </w:r>
      <w:r w:rsidR="00023B7E">
        <w:rPr>
          <w:rFonts w:cs="Arial"/>
        </w:rPr>
        <w:t xml:space="preserve">Q2 </w:t>
      </w:r>
      <w:r w:rsidR="00E81C95" w:rsidRPr="00E81C95">
        <w:rPr>
          <w:rFonts w:cs="Arial"/>
        </w:rPr>
        <w:t>201</w:t>
      </w:r>
      <w:r w:rsidR="00023B7E">
        <w:rPr>
          <w:rFonts w:cs="Arial"/>
        </w:rPr>
        <w:t>3 and</w:t>
      </w:r>
      <w:r w:rsidR="00E81C95" w:rsidRPr="00E81C95">
        <w:rPr>
          <w:rFonts w:cs="Arial"/>
        </w:rPr>
        <w:t xml:space="preserve"> Q3 2013</w:t>
      </w:r>
      <w:r w:rsidR="00704EB3" w:rsidRPr="001F29E3">
        <w:rPr>
          <w:rFonts w:cs="Arial"/>
        </w:rPr>
        <w:t xml:space="preserve"> </w:t>
      </w:r>
    </w:p>
    <w:p w:rsidR="00704EB3" w:rsidRPr="001F29E3" w:rsidRDefault="00023B7E" w:rsidP="00704EB3">
      <w:pPr>
        <w:rPr>
          <w:rFonts w:cs="Arial"/>
          <w:sz w:val="16"/>
          <w:szCs w:val="16"/>
        </w:rPr>
      </w:pPr>
      <w:r>
        <w:rPr>
          <w:rFonts w:cs="Arial"/>
          <w:noProof/>
          <w:sz w:val="16"/>
          <w:szCs w:val="16"/>
          <w:lang w:eastAsia="en-AU"/>
        </w:rPr>
        <w:drawing>
          <wp:inline distT="0" distB="0" distL="0" distR="0" wp14:anchorId="0B62EB7A" wp14:editId="6CF05B65">
            <wp:extent cx="5515200" cy="2451600"/>
            <wp:effectExtent l="0" t="0" r="0" b="6350"/>
            <wp:docPr id="24" name="Picture 24" descr="This chart presents the percentage of government subsidised commencing course enrolments in each subsidy band in pre-July 2012, Q2 2013 and Q3 2013." title="Figure 3.1: Government subsidised commencing course enrolments: proportion** of commencing enrolments by subsidy band, Pre-July 2012, Q2 2013 and Q3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5200" cy="2451600"/>
                    </a:xfrm>
                    <a:prstGeom prst="rect">
                      <a:avLst/>
                    </a:prstGeom>
                    <a:noFill/>
                  </pic:spPr>
                </pic:pic>
              </a:graphicData>
            </a:graphic>
          </wp:inline>
        </w:drawing>
      </w:r>
    </w:p>
    <w:p w:rsidR="00704EB3" w:rsidRPr="009554C8" w:rsidRDefault="00704EB3" w:rsidP="00704EB3">
      <w:pPr>
        <w:rPr>
          <w:rFonts w:cs="Arial"/>
          <w:sz w:val="16"/>
          <w:szCs w:val="16"/>
        </w:rPr>
      </w:pPr>
      <w:r>
        <w:rPr>
          <w:rFonts w:cs="Arial"/>
          <w:sz w:val="16"/>
          <w:szCs w:val="16"/>
        </w:rPr>
        <w:t>*Pre-July 2012 refers to January to June 2012.</w:t>
      </w:r>
      <w:r w:rsidR="00D57A7F">
        <w:rPr>
          <w:rFonts w:cs="Arial"/>
          <w:sz w:val="16"/>
          <w:szCs w:val="16"/>
        </w:rPr>
        <w:t xml:space="preserve"> ** Due to rounding the sum may not add up to 100 per cent.</w:t>
      </w:r>
    </w:p>
    <w:p w:rsidR="00704EB3" w:rsidRDefault="00704EB3" w:rsidP="00704EB3">
      <w:pPr>
        <w:rPr>
          <w:rFonts w:cs="Arial"/>
          <w:sz w:val="16"/>
          <w:szCs w:val="16"/>
        </w:rPr>
      </w:pPr>
      <w:r w:rsidRPr="001F29E3">
        <w:rPr>
          <w:rFonts w:cs="Arial"/>
          <w:sz w:val="16"/>
          <w:szCs w:val="16"/>
        </w:rPr>
        <w:t>Subsidy bands were introduced in 2012 and apply specifically to qualifications in 2012 and onward. In order to allow comparison with previous years, superseded courses have been assigned a subsidy band for analysis purposes only based on the bands of the current course to which they most closely align.</w:t>
      </w:r>
    </w:p>
    <w:p w:rsidR="00513C7F" w:rsidRDefault="00513C7F" w:rsidP="00513C7F"/>
    <w:p w:rsidR="00513C7F" w:rsidRPr="007100A8" w:rsidRDefault="004B1B0C" w:rsidP="004B1B0C">
      <w:pPr>
        <w:pStyle w:val="Heading2"/>
      </w:pPr>
      <w:bookmarkStart w:id="88" w:name="_Toc372613440"/>
      <w:r>
        <w:lastRenderedPageBreak/>
        <w:t>Training Activity</w:t>
      </w:r>
      <w:r w:rsidR="00513C7F" w:rsidRPr="007100A8">
        <w:t xml:space="preserve"> by Industry</w:t>
      </w:r>
      <w:bookmarkEnd w:id="88"/>
    </w:p>
    <w:p w:rsidR="00D17AF1" w:rsidRPr="00955358" w:rsidRDefault="00D17AF1" w:rsidP="00D17AF1">
      <w:r w:rsidRPr="00955358">
        <w:t>Victorian reforms in vocational training enhance the alignment between vocational training and the needs of industry. For students this provides the opportunity for improved career and education pathways and employment outcomes following completion of training. Analysis of vocational training data has shown a high correlation between share of employment and share of training delivery in Victoria's largest industries (also refer to figure below for a comparison between employment and enrolment by industry):</w:t>
      </w:r>
    </w:p>
    <w:p w:rsidR="00D17AF1" w:rsidRPr="001675DF" w:rsidRDefault="00D17AF1" w:rsidP="00D17AF1">
      <w:pPr>
        <w:rPr>
          <w:highlight w:val="yellow"/>
        </w:rPr>
      </w:pPr>
    </w:p>
    <w:p w:rsidR="00D17AF1" w:rsidRPr="00302C33" w:rsidRDefault="00D17AF1" w:rsidP="00D17AF1">
      <w:pPr>
        <w:numPr>
          <w:ilvl w:val="0"/>
          <w:numId w:val="33"/>
        </w:numPr>
      </w:pPr>
      <w:r>
        <w:t>Forty nine</w:t>
      </w:r>
      <w:r w:rsidRPr="00302C33">
        <w:t xml:space="preserve"> per cent of training was delivered in the five highest employing Victorian industry sectors, which account for 50 per cent of all Victorian jobs – Health Care and Social Assistance, Retail Trade, Manufacturing, Construction and Professional, Scientific and Technical Services.  In Q</w:t>
      </w:r>
      <w:r>
        <w:t>3</w:t>
      </w:r>
      <w:r w:rsidRPr="00302C33">
        <w:t xml:space="preserve"> 2013, these five industries continue to make up </w:t>
      </w:r>
      <w:r>
        <w:t>nearly half</w:t>
      </w:r>
      <w:r w:rsidRPr="00302C33">
        <w:t xml:space="preserve"> of all industry-specific</w:t>
      </w:r>
      <w:r w:rsidRPr="00302C33">
        <w:rPr>
          <w:rStyle w:val="FootnoteReference"/>
        </w:rPr>
        <w:footnoteReference w:id="7"/>
      </w:r>
      <w:r w:rsidRPr="00302C33">
        <w:t xml:space="preserve"> enrolments.</w:t>
      </w:r>
    </w:p>
    <w:p w:rsidR="00D17AF1" w:rsidRPr="00560F22" w:rsidRDefault="00D17AF1" w:rsidP="00D17AF1">
      <w:pPr>
        <w:numPr>
          <w:ilvl w:val="0"/>
          <w:numId w:val="33"/>
        </w:numPr>
      </w:pPr>
      <w:r w:rsidRPr="00560F22">
        <w:t>Health Care and Social Assistance, forecast to remain Victoria’s largest industry employer through to 2017</w:t>
      </w:r>
      <w:r w:rsidRPr="00560F22">
        <w:rPr>
          <w:rStyle w:val="FootnoteReference"/>
        </w:rPr>
        <w:footnoteReference w:id="8"/>
      </w:r>
      <w:r w:rsidRPr="00560F22">
        <w:t>, saw the highest enrolment growth for industry-specific training in 2012 (16,200 additional enrolments in 2012 when compared with 2011). In Q</w:t>
      </w:r>
      <w:r>
        <w:t>3</w:t>
      </w:r>
      <w:r w:rsidRPr="00560F22">
        <w:t xml:space="preserve"> 2013, training in courses related to Health Care and Social Assistance continued to grow with </w:t>
      </w:r>
      <w:r>
        <w:t>72</w:t>
      </w:r>
      <w:r w:rsidRPr="00560F22">
        <w:t>,</w:t>
      </w:r>
      <w:r>
        <w:t>5</w:t>
      </w:r>
      <w:r w:rsidRPr="00560F22">
        <w:t>00 enrolments (</w:t>
      </w:r>
      <w:r>
        <w:t>7</w:t>
      </w:r>
      <w:r w:rsidRPr="00560F22">
        <w:t xml:space="preserve"> per cent growth between Q</w:t>
      </w:r>
      <w:r>
        <w:t>3</w:t>
      </w:r>
      <w:r w:rsidRPr="00560F22">
        <w:t xml:space="preserve"> 2012 and Q</w:t>
      </w:r>
      <w:r>
        <w:t>3</w:t>
      </w:r>
      <w:r w:rsidRPr="00560F22">
        <w:t xml:space="preserve"> 2013).</w:t>
      </w:r>
    </w:p>
    <w:p w:rsidR="00D17AF1" w:rsidRPr="00560F22" w:rsidRDefault="00D17AF1" w:rsidP="00D17AF1">
      <w:pPr>
        <w:numPr>
          <w:ilvl w:val="0"/>
          <w:numId w:val="33"/>
        </w:numPr>
      </w:pPr>
      <w:r>
        <w:t>There were</w:t>
      </w:r>
      <w:r w:rsidRPr="00560F22">
        <w:t xml:space="preserve"> </w:t>
      </w:r>
      <w:r>
        <w:t xml:space="preserve">around 359,800 </w:t>
      </w:r>
      <w:r w:rsidRPr="00560F22">
        <w:t>enrolments in</w:t>
      </w:r>
      <w:r>
        <w:t xml:space="preserve"> all</w:t>
      </w:r>
      <w:r w:rsidRPr="00560F22">
        <w:t xml:space="preserve"> industry-specific training, </w:t>
      </w:r>
      <w:r>
        <w:t>including</w:t>
      </w:r>
      <w:r w:rsidRPr="00560F22">
        <w:t xml:space="preserve"> </w:t>
      </w:r>
      <w:r>
        <w:t>52,2</w:t>
      </w:r>
      <w:r w:rsidRPr="00560F22">
        <w:t>00 enrolments in Cross-industry training, which encompasses a broad range of skills applicable to all Victorian industries.</w:t>
      </w:r>
    </w:p>
    <w:p w:rsidR="00734456" w:rsidRPr="00023B7E" w:rsidRDefault="00734456">
      <w:pPr>
        <w:spacing w:after="0" w:line="240" w:lineRule="auto"/>
        <w:jc w:val="left"/>
        <w:rPr>
          <w:b/>
          <w:bCs/>
          <w:color w:val="76923C" w:themeColor="accent3" w:themeShade="BF"/>
          <w:sz w:val="18"/>
          <w:szCs w:val="16"/>
          <w:highlight w:val="lightGray"/>
        </w:rPr>
      </w:pPr>
    </w:p>
    <w:p w:rsidR="00513C7F" w:rsidRPr="00547292" w:rsidRDefault="00513C7F" w:rsidP="00513C7F">
      <w:pPr>
        <w:pStyle w:val="Caption"/>
      </w:pPr>
      <w:r w:rsidRPr="00547292">
        <w:t>3.</w:t>
      </w:r>
      <w:r w:rsidR="008610B1" w:rsidRPr="00547292">
        <w:t>2</w:t>
      </w:r>
      <w:r w:rsidRPr="00547292">
        <w:t xml:space="preserve">: Industry share of Victorian employment and vocational training 2012 </w:t>
      </w:r>
    </w:p>
    <w:p w:rsidR="00513C7F" w:rsidRPr="00023B7E" w:rsidRDefault="00513C7F" w:rsidP="00513C7F">
      <w:pPr>
        <w:jc w:val="center"/>
        <w:rPr>
          <w:highlight w:val="lightGray"/>
        </w:rPr>
      </w:pPr>
      <w:r w:rsidRPr="00023B7E">
        <w:rPr>
          <w:noProof/>
          <w:highlight w:val="lightGray"/>
          <w:lang w:eastAsia="en-AU"/>
        </w:rPr>
        <w:drawing>
          <wp:inline distT="0" distB="0" distL="0" distR="0" wp14:anchorId="5BEF14BF" wp14:editId="7DFBC22B">
            <wp:extent cx="5290676" cy="3705225"/>
            <wp:effectExtent l="0" t="0" r="5715" b="0"/>
            <wp:docPr id="11" name="Picture 11" descr="This charts presents the percentage of employment in each industry in Victoria and the percentage of government subsidised vocational training in each indistry in 2012." title="3.2: Industry share of Victorian employment and vocational training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7100" cy="3709724"/>
                    </a:xfrm>
                    <a:prstGeom prst="rect">
                      <a:avLst/>
                    </a:prstGeom>
                    <a:noFill/>
                    <a:ln>
                      <a:noFill/>
                    </a:ln>
                  </pic:spPr>
                </pic:pic>
              </a:graphicData>
            </a:graphic>
          </wp:inline>
        </w:drawing>
      </w:r>
    </w:p>
    <w:p w:rsidR="00513C7F" w:rsidRPr="00492838" w:rsidRDefault="00513C7F" w:rsidP="00513C7F"/>
    <w:p w:rsidR="00513C7F" w:rsidRPr="00492838" w:rsidRDefault="00513C7F" w:rsidP="00513C7F">
      <w:r w:rsidRPr="00492838">
        <w:t>The following table shows training in government subsidised qualifications, sorted highest to lowest by 2012 enrolments (excludes foundation training).  Rank by industry share of Victorian employment and equivalent 2008 ranks are also displayed.</w:t>
      </w:r>
    </w:p>
    <w:p w:rsidR="007A0034" w:rsidRPr="00023B7E" w:rsidRDefault="007A0034">
      <w:pPr>
        <w:spacing w:after="0" w:line="240" w:lineRule="auto"/>
        <w:jc w:val="left"/>
        <w:rPr>
          <w:b/>
          <w:bCs/>
          <w:color w:val="76923C" w:themeColor="accent3" w:themeShade="BF"/>
          <w:sz w:val="18"/>
          <w:szCs w:val="16"/>
          <w:highlight w:val="lightGray"/>
        </w:rPr>
      </w:pPr>
    </w:p>
    <w:p w:rsidR="00513C7F" w:rsidRPr="00547292" w:rsidRDefault="00513C7F" w:rsidP="00513C7F">
      <w:pPr>
        <w:pStyle w:val="Caption"/>
      </w:pPr>
      <w:r w:rsidRPr="00547292">
        <w:lastRenderedPageBreak/>
        <w:t>Table 3.</w:t>
      </w:r>
      <w:r w:rsidR="00734456" w:rsidRPr="00547292">
        <w:t>1</w:t>
      </w:r>
      <w:r w:rsidRPr="00547292">
        <w:t>: Industry-specific training and employment: 2012 vs. 2008</w:t>
      </w:r>
      <w:r w:rsidRPr="00547292">
        <w:rPr>
          <w:rStyle w:val="FootnoteReference"/>
        </w:rPr>
        <w:footnoteReference w:id="9"/>
      </w:r>
    </w:p>
    <w:p w:rsidR="00513C7F" w:rsidRPr="00547292" w:rsidRDefault="00513C7F" w:rsidP="00513C7F">
      <w:pPr>
        <w:spacing w:before="90"/>
      </w:pPr>
      <w:r w:rsidRPr="00547292">
        <w:rPr>
          <w:noProof/>
          <w:lang w:eastAsia="en-AU"/>
        </w:rPr>
        <w:drawing>
          <wp:inline distT="0" distB="0" distL="0" distR="0" wp14:anchorId="15841449" wp14:editId="070AE9A6">
            <wp:extent cx="6086475" cy="5363640"/>
            <wp:effectExtent l="0" t="0" r="0" b="8890"/>
            <wp:docPr id="14" name="Picture 14" descr="This table shows training in government subsidised qualifications, sorted highest to lowest by 2012 enrolments (excludes foundation training).  Rank by industry share of Victorian employment and equivalent 2008 ranks are also displayed." title="Table 3.1: Industry-specific training and employment: 2012 vs.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7066" cy="5372973"/>
                    </a:xfrm>
                    <a:prstGeom prst="rect">
                      <a:avLst/>
                    </a:prstGeom>
                    <a:noFill/>
                    <a:ln>
                      <a:noFill/>
                    </a:ln>
                  </pic:spPr>
                </pic:pic>
              </a:graphicData>
            </a:graphic>
          </wp:inline>
        </w:drawing>
      </w:r>
    </w:p>
    <w:p w:rsidR="00513C7F" w:rsidRPr="00023B7E" w:rsidRDefault="00513C7F" w:rsidP="00513C7F">
      <w:pPr>
        <w:pStyle w:val="Caption"/>
        <w:rPr>
          <w:highlight w:val="lightGray"/>
        </w:rPr>
      </w:pPr>
    </w:p>
    <w:p w:rsidR="00513C7F" w:rsidRPr="00023B7E" w:rsidRDefault="00513C7F" w:rsidP="00513C7F">
      <w:pPr>
        <w:spacing w:after="200" w:line="276" w:lineRule="auto"/>
        <w:jc w:val="left"/>
        <w:rPr>
          <w:highlight w:val="lightGray"/>
        </w:rPr>
      </w:pPr>
      <w:r w:rsidRPr="00023B7E">
        <w:rPr>
          <w:highlight w:val="lightGray"/>
        </w:rPr>
        <w:br w:type="page"/>
      </w:r>
    </w:p>
    <w:p w:rsidR="00492838" w:rsidRDefault="00492838" w:rsidP="00492838">
      <w:pPr>
        <w:pStyle w:val="Heading3"/>
      </w:pPr>
      <w:r>
        <w:lastRenderedPageBreak/>
        <w:t>Subsidy bands analysis per industry</w:t>
      </w:r>
    </w:p>
    <w:p w:rsidR="00492838" w:rsidRDefault="00492838" w:rsidP="00492838">
      <w:pPr>
        <w:rPr>
          <w:rFonts w:cs="Arial"/>
        </w:rPr>
      </w:pPr>
      <w:r w:rsidRPr="00E47621">
        <w:rPr>
          <w:rFonts w:cs="Arial"/>
        </w:rPr>
        <w:t>The table below shows the top 5</w:t>
      </w:r>
      <w:r>
        <w:rPr>
          <w:rFonts w:cs="Arial"/>
        </w:rPr>
        <w:t xml:space="preserve"> highest enrolments by</w:t>
      </w:r>
      <w:r w:rsidRPr="00E47621">
        <w:rPr>
          <w:rFonts w:cs="Arial"/>
        </w:rPr>
        <w:t xml:space="preserve"> industries for each subsidy band.</w:t>
      </w:r>
    </w:p>
    <w:p w:rsidR="00492838" w:rsidRDefault="00492838" w:rsidP="00492838">
      <w:pPr>
        <w:pStyle w:val="Caption"/>
      </w:pPr>
    </w:p>
    <w:p w:rsidR="00547292" w:rsidRPr="0096468B" w:rsidRDefault="00547292" w:rsidP="00547292">
      <w:pPr>
        <w:pStyle w:val="Caption"/>
        <w:spacing w:after="0"/>
      </w:pPr>
      <w:r>
        <w:t>Table 3.2: Industry-specific training by funding band, Q3 2013</w:t>
      </w:r>
    </w:p>
    <w:tbl>
      <w:tblPr>
        <w:tblW w:w="5000" w:type="pct"/>
        <w:tblCellMar>
          <w:left w:w="0" w:type="dxa"/>
          <w:right w:w="0" w:type="dxa"/>
        </w:tblCellMar>
        <w:tblLook w:val="04A0" w:firstRow="1" w:lastRow="0" w:firstColumn="1" w:lastColumn="0" w:noHBand="0" w:noVBand="1"/>
      </w:tblPr>
      <w:tblGrid>
        <w:gridCol w:w="5494"/>
        <w:gridCol w:w="1637"/>
        <w:gridCol w:w="1971"/>
      </w:tblGrid>
      <w:tr w:rsidR="00547292" w:rsidTr="00547292">
        <w:trPr>
          <w:trHeight w:hRule="exact" w:val="567"/>
        </w:trPr>
        <w:tc>
          <w:tcPr>
            <w:tcW w:w="3018" w:type="pct"/>
            <w:tcBorders>
              <w:top w:val="single" w:sz="4" w:space="0" w:color="76933C"/>
              <w:left w:val="single" w:sz="4" w:space="0" w:color="76933C"/>
              <w:bottom w:val="nil"/>
              <w:right w:val="nil"/>
            </w:tcBorders>
            <w:shd w:val="clear" w:color="000000" w:fill="76933C"/>
            <w:noWrap/>
            <w:tcMar>
              <w:top w:w="15" w:type="dxa"/>
              <w:left w:w="15" w:type="dxa"/>
              <w:bottom w:w="0" w:type="dxa"/>
              <w:right w:w="15" w:type="dxa"/>
            </w:tcMar>
            <w:vAlign w:val="center"/>
            <w:hideMark/>
          </w:tcPr>
          <w:p w:rsidR="00547292" w:rsidRPr="00547292" w:rsidRDefault="00547292" w:rsidP="001B59F5">
            <w:pPr>
              <w:rPr>
                <w:rFonts w:asciiTheme="minorHAnsi" w:hAnsiTheme="minorHAnsi"/>
                <w:b/>
                <w:bCs/>
                <w:color w:val="FFFFFF"/>
                <w:sz w:val="20"/>
                <w:szCs w:val="20"/>
              </w:rPr>
            </w:pPr>
            <w:r w:rsidRPr="00547292">
              <w:rPr>
                <w:rFonts w:asciiTheme="minorHAnsi" w:hAnsiTheme="minorHAnsi"/>
                <w:b/>
                <w:bCs/>
                <w:color w:val="FFFFFF"/>
                <w:sz w:val="20"/>
                <w:szCs w:val="20"/>
              </w:rPr>
              <w:t>Industry by funding band</w:t>
            </w:r>
          </w:p>
        </w:tc>
        <w:tc>
          <w:tcPr>
            <w:tcW w:w="899" w:type="pct"/>
            <w:tcBorders>
              <w:top w:val="single" w:sz="4" w:space="0" w:color="76933C"/>
              <w:left w:val="nil"/>
              <w:bottom w:val="nil"/>
              <w:right w:val="nil"/>
            </w:tcBorders>
            <w:shd w:val="clear" w:color="000000" w:fill="76933C"/>
            <w:tcMar>
              <w:top w:w="15" w:type="dxa"/>
              <w:left w:w="15" w:type="dxa"/>
              <w:bottom w:w="0" w:type="dxa"/>
              <w:right w:w="15" w:type="dxa"/>
            </w:tcMar>
            <w:vAlign w:val="center"/>
            <w:hideMark/>
          </w:tcPr>
          <w:p w:rsidR="00547292" w:rsidRPr="00547292" w:rsidRDefault="00547292" w:rsidP="001B59F5">
            <w:pPr>
              <w:jc w:val="center"/>
              <w:rPr>
                <w:rFonts w:asciiTheme="minorHAnsi" w:hAnsiTheme="minorHAnsi"/>
                <w:b/>
                <w:bCs/>
                <w:color w:val="FFFFFF"/>
                <w:sz w:val="18"/>
                <w:szCs w:val="18"/>
              </w:rPr>
            </w:pPr>
            <w:r w:rsidRPr="00547292">
              <w:rPr>
                <w:rFonts w:asciiTheme="minorHAnsi" w:hAnsiTheme="minorHAnsi"/>
                <w:b/>
                <w:bCs/>
                <w:color w:val="FFFFFF"/>
                <w:sz w:val="18"/>
                <w:szCs w:val="18"/>
              </w:rPr>
              <w:t>Q3 2013 enrolments</w:t>
            </w:r>
          </w:p>
        </w:tc>
        <w:tc>
          <w:tcPr>
            <w:tcW w:w="1082" w:type="pct"/>
            <w:tcBorders>
              <w:top w:val="single" w:sz="4" w:space="0" w:color="76933C"/>
              <w:left w:val="nil"/>
              <w:bottom w:val="nil"/>
              <w:right w:val="single" w:sz="4" w:space="0" w:color="76933C"/>
            </w:tcBorders>
            <w:shd w:val="clear" w:color="000000" w:fill="76933C"/>
            <w:tcMar>
              <w:top w:w="15" w:type="dxa"/>
              <w:left w:w="15" w:type="dxa"/>
              <w:bottom w:w="0" w:type="dxa"/>
              <w:right w:w="15" w:type="dxa"/>
            </w:tcMar>
            <w:vAlign w:val="center"/>
            <w:hideMark/>
          </w:tcPr>
          <w:p w:rsidR="00547292" w:rsidRPr="00547292" w:rsidRDefault="00547292" w:rsidP="001B59F5">
            <w:pPr>
              <w:jc w:val="center"/>
              <w:rPr>
                <w:rFonts w:asciiTheme="minorHAnsi" w:hAnsiTheme="minorHAnsi"/>
                <w:b/>
                <w:bCs/>
                <w:color w:val="FFFFFF"/>
                <w:sz w:val="18"/>
                <w:szCs w:val="18"/>
              </w:rPr>
            </w:pPr>
            <w:r w:rsidRPr="00547292">
              <w:rPr>
                <w:rFonts w:asciiTheme="minorHAnsi" w:hAnsiTheme="minorHAnsi"/>
                <w:b/>
                <w:bCs/>
                <w:color w:val="FFFFFF"/>
                <w:sz w:val="18"/>
                <w:szCs w:val="18"/>
              </w:rPr>
              <w:t>% enrolments Q3 2013</w:t>
            </w:r>
          </w:p>
        </w:tc>
      </w:tr>
      <w:tr w:rsidR="00547292" w:rsidTr="00547292">
        <w:trPr>
          <w:trHeight w:hRule="exact" w:val="284"/>
        </w:trPr>
        <w:tc>
          <w:tcPr>
            <w:tcW w:w="5000" w:type="pct"/>
            <w:gridSpan w:val="3"/>
            <w:tcBorders>
              <w:top w:val="nil"/>
              <w:left w:val="single" w:sz="4" w:space="0" w:color="76933C"/>
              <w:bottom w:val="nil"/>
              <w:right w:val="single" w:sz="4" w:space="0" w:color="76933C"/>
            </w:tcBorders>
            <w:shd w:val="clear" w:color="000000" w:fill="EBF1DE"/>
            <w:noWrap/>
            <w:tcMar>
              <w:top w:w="15" w:type="dxa"/>
              <w:left w:w="15" w:type="dxa"/>
              <w:bottom w:w="0" w:type="dxa"/>
              <w:right w:w="15" w:type="dxa"/>
            </w:tcMar>
            <w:vAlign w:val="center"/>
            <w:hideMark/>
          </w:tcPr>
          <w:p w:rsidR="00547292" w:rsidRPr="002F27AB" w:rsidRDefault="00547292" w:rsidP="001B59F5">
            <w:pPr>
              <w:jc w:val="center"/>
              <w:rPr>
                <w:rFonts w:asciiTheme="minorHAnsi" w:hAnsiTheme="minorHAnsi"/>
                <w:b/>
                <w:bCs/>
                <w:color w:val="000000"/>
                <w:sz w:val="18"/>
                <w:szCs w:val="18"/>
              </w:rPr>
            </w:pPr>
            <w:r w:rsidRPr="002F27AB">
              <w:rPr>
                <w:rFonts w:asciiTheme="minorHAnsi" w:hAnsiTheme="minorHAnsi"/>
                <w:b/>
                <w:bCs/>
                <w:color w:val="000000"/>
                <w:sz w:val="18"/>
                <w:szCs w:val="18"/>
              </w:rPr>
              <w:t>Band A</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Construction</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36,800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61%</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Manufacturing</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11,300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19%</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Other Services</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7,800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13%</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Accommodation and Food Services</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3,200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5%</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Agriculture, Forestry and Fishing</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500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i/>
                <w:iCs/>
                <w:color w:val="000000"/>
                <w:sz w:val="18"/>
                <w:szCs w:val="18"/>
              </w:rPr>
            </w:pPr>
            <w:r w:rsidRPr="002F27AB">
              <w:rPr>
                <w:rFonts w:asciiTheme="minorHAnsi" w:hAnsiTheme="minorHAnsi"/>
                <w:i/>
                <w:iCs/>
                <w:color w:val="000000"/>
                <w:sz w:val="18"/>
                <w:szCs w:val="18"/>
              </w:rPr>
              <w:t>Other industries</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1,130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2%</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b/>
                <w:bCs/>
                <w:color w:val="000000"/>
                <w:sz w:val="18"/>
                <w:szCs w:val="18"/>
              </w:rPr>
            </w:pPr>
            <w:r w:rsidRPr="002F27AB">
              <w:rPr>
                <w:rFonts w:asciiTheme="minorHAnsi" w:hAnsiTheme="minorHAnsi"/>
                <w:b/>
                <w:bCs/>
                <w:color w:val="000000"/>
                <w:sz w:val="18"/>
                <w:szCs w:val="18"/>
              </w:rPr>
              <w:t>Total (Band A)</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60,730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100%</w:t>
            </w:r>
          </w:p>
        </w:tc>
      </w:tr>
      <w:tr w:rsidR="00547292" w:rsidTr="00547292">
        <w:trPr>
          <w:trHeight w:hRule="exact" w:val="284"/>
        </w:trPr>
        <w:tc>
          <w:tcPr>
            <w:tcW w:w="5000" w:type="pct"/>
            <w:gridSpan w:val="3"/>
            <w:tcBorders>
              <w:top w:val="nil"/>
              <w:left w:val="single" w:sz="4" w:space="0" w:color="76933C"/>
              <w:bottom w:val="nil"/>
              <w:right w:val="single" w:sz="4" w:space="0" w:color="76933C"/>
            </w:tcBorders>
            <w:shd w:val="clear" w:color="000000" w:fill="EBF1DE"/>
            <w:noWrap/>
            <w:tcMar>
              <w:top w:w="15" w:type="dxa"/>
              <w:left w:w="15" w:type="dxa"/>
              <w:bottom w:w="0" w:type="dxa"/>
              <w:right w:w="15" w:type="dxa"/>
            </w:tcMar>
            <w:vAlign w:val="center"/>
            <w:hideMark/>
          </w:tcPr>
          <w:p w:rsidR="00547292" w:rsidRPr="002F27AB" w:rsidRDefault="00547292" w:rsidP="001B59F5">
            <w:pPr>
              <w:jc w:val="center"/>
              <w:rPr>
                <w:rFonts w:asciiTheme="minorHAnsi" w:hAnsiTheme="minorHAnsi"/>
                <w:b/>
                <w:bCs/>
                <w:color w:val="000000"/>
                <w:sz w:val="18"/>
                <w:szCs w:val="18"/>
              </w:rPr>
            </w:pPr>
            <w:r w:rsidRPr="002F27AB">
              <w:rPr>
                <w:rFonts w:asciiTheme="minorHAnsi" w:hAnsiTheme="minorHAnsi"/>
                <w:b/>
                <w:bCs/>
                <w:color w:val="000000"/>
                <w:sz w:val="18"/>
                <w:szCs w:val="18"/>
              </w:rPr>
              <w:t>Band B</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Health Care and Social Assistance</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32,900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27%</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Transport, Postal and Warehousing</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26,100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22%</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Manufacturing</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17,300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14%</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Construction</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9,600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8%</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Accommodation and Food Services</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9,300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8%</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i/>
                <w:iCs/>
                <w:color w:val="000000"/>
                <w:sz w:val="18"/>
                <w:szCs w:val="18"/>
              </w:rPr>
            </w:pPr>
            <w:r w:rsidRPr="002F27AB">
              <w:rPr>
                <w:rFonts w:asciiTheme="minorHAnsi" w:hAnsiTheme="minorHAnsi"/>
                <w:i/>
                <w:iCs/>
                <w:color w:val="000000"/>
                <w:sz w:val="18"/>
                <w:szCs w:val="18"/>
              </w:rPr>
              <w:t>Other industries</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25,300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21%</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b/>
                <w:bCs/>
                <w:color w:val="000000"/>
                <w:sz w:val="18"/>
                <w:szCs w:val="18"/>
              </w:rPr>
            </w:pPr>
            <w:r w:rsidRPr="002F27AB">
              <w:rPr>
                <w:rFonts w:asciiTheme="minorHAnsi" w:hAnsiTheme="minorHAnsi"/>
                <w:b/>
                <w:bCs/>
                <w:color w:val="000000"/>
                <w:sz w:val="18"/>
                <w:szCs w:val="18"/>
              </w:rPr>
              <w:t>Total (Band B)</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120,500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100%</w:t>
            </w:r>
          </w:p>
        </w:tc>
      </w:tr>
      <w:tr w:rsidR="00547292" w:rsidTr="00547292">
        <w:trPr>
          <w:trHeight w:hRule="exact" w:val="284"/>
        </w:trPr>
        <w:tc>
          <w:tcPr>
            <w:tcW w:w="5000" w:type="pct"/>
            <w:gridSpan w:val="3"/>
            <w:tcBorders>
              <w:top w:val="nil"/>
              <w:left w:val="single" w:sz="4" w:space="0" w:color="76933C"/>
              <w:bottom w:val="nil"/>
              <w:right w:val="single" w:sz="4" w:space="0" w:color="76933C"/>
            </w:tcBorders>
            <w:shd w:val="clear" w:color="000000" w:fill="EBF1DE"/>
            <w:noWrap/>
            <w:tcMar>
              <w:top w:w="15" w:type="dxa"/>
              <w:left w:w="15" w:type="dxa"/>
              <w:bottom w:w="0" w:type="dxa"/>
              <w:right w:w="15" w:type="dxa"/>
            </w:tcMar>
            <w:vAlign w:val="center"/>
            <w:hideMark/>
          </w:tcPr>
          <w:p w:rsidR="00547292" w:rsidRPr="002F27AB" w:rsidRDefault="00547292" w:rsidP="001B59F5">
            <w:pPr>
              <w:jc w:val="center"/>
              <w:rPr>
                <w:rFonts w:asciiTheme="minorHAnsi" w:hAnsiTheme="minorHAnsi"/>
                <w:b/>
                <w:bCs/>
                <w:color w:val="000000"/>
                <w:sz w:val="18"/>
                <w:szCs w:val="18"/>
              </w:rPr>
            </w:pPr>
            <w:r w:rsidRPr="002F27AB">
              <w:rPr>
                <w:rFonts w:asciiTheme="minorHAnsi" w:hAnsiTheme="minorHAnsi"/>
                <w:b/>
                <w:bCs/>
                <w:color w:val="000000"/>
                <w:sz w:val="18"/>
                <w:szCs w:val="18"/>
              </w:rPr>
              <w:t>Band C</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Health Care and Social Assistance</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37,700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34%</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Cross-industry</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27,900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25%</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Education and Training</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6,900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6%</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Administrative and Support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4,800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4%</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Accommodation and Food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4,200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4%</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i/>
                <w:iCs/>
                <w:color w:val="000000"/>
                <w:sz w:val="18"/>
                <w:szCs w:val="18"/>
              </w:rPr>
            </w:pPr>
            <w:r w:rsidRPr="002F27AB">
              <w:rPr>
                <w:rFonts w:asciiTheme="minorHAnsi" w:hAnsiTheme="minorHAnsi"/>
                <w:i/>
                <w:iCs/>
                <w:color w:val="000000"/>
                <w:sz w:val="18"/>
                <w:szCs w:val="18"/>
              </w:rPr>
              <w:t>Other industries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28,300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26%</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b/>
                <w:bCs/>
                <w:color w:val="000000"/>
                <w:sz w:val="18"/>
                <w:szCs w:val="18"/>
              </w:rPr>
            </w:pPr>
            <w:r w:rsidRPr="002F27AB">
              <w:rPr>
                <w:rFonts w:asciiTheme="minorHAnsi" w:hAnsiTheme="minorHAnsi"/>
                <w:b/>
                <w:bCs/>
                <w:color w:val="000000"/>
                <w:sz w:val="18"/>
                <w:szCs w:val="18"/>
              </w:rPr>
              <w:t>Total (Band C)</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109,800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100%</w:t>
            </w:r>
          </w:p>
        </w:tc>
      </w:tr>
      <w:tr w:rsidR="00547292" w:rsidTr="00547292">
        <w:trPr>
          <w:trHeight w:hRule="exact" w:val="284"/>
        </w:trPr>
        <w:tc>
          <w:tcPr>
            <w:tcW w:w="5000" w:type="pct"/>
            <w:gridSpan w:val="3"/>
            <w:tcBorders>
              <w:top w:val="nil"/>
              <w:left w:val="single" w:sz="4" w:space="0" w:color="76933C"/>
              <w:bottom w:val="nil"/>
              <w:right w:val="single" w:sz="4" w:space="0" w:color="76933C"/>
            </w:tcBorders>
            <w:shd w:val="clear" w:color="000000" w:fill="EBF1DE"/>
            <w:noWrap/>
            <w:tcMar>
              <w:top w:w="15" w:type="dxa"/>
              <w:left w:w="15" w:type="dxa"/>
              <w:bottom w:w="0" w:type="dxa"/>
              <w:right w:w="15" w:type="dxa"/>
            </w:tcMar>
            <w:vAlign w:val="center"/>
            <w:hideMark/>
          </w:tcPr>
          <w:p w:rsidR="00547292" w:rsidRPr="002F27AB" w:rsidRDefault="00547292" w:rsidP="001B59F5">
            <w:pPr>
              <w:jc w:val="center"/>
              <w:rPr>
                <w:rFonts w:asciiTheme="minorHAnsi" w:hAnsiTheme="minorHAnsi"/>
                <w:b/>
                <w:bCs/>
                <w:color w:val="000000"/>
                <w:sz w:val="18"/>
                <w:szCs w:val="18"/>
              </w:rPr>
            </w:pPr>
            <w:r w:rsidRPr="002F27AB">
              <w:rPr>
                <w:rFonts w:asciiTheme="minorHAnsi" w:hAnsiTheme="minorHAnsi"/>
                <w:b/>
                <w:bCs/>
                <w:color w:val="000000"/>
                <w:sz w:val="18"/>
                <w:szCs w:val="18"/>
              </w:rPr>
              <w:t>Band D</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Cross-industry</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11,700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35%</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Administrative and Support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4,400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13%</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Retail Trade</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3,600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11%</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Public Administration and Safety</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2,600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8%</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Professional, Scientific and Technical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2,400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7%</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i/>
                <w:iCs/>
                <w:color w:val="000000"/>
                <w:sz w:val="18"/>
                <w:szCs w:val="18"/>
              </w:rPr>
            </w:pPr>
            <w:r w:rsidRPr="002F27AB">
              <w:rPr>
                <w:rFonts w:asciiTheme="minorHAnsi" w:hAnsiTheme="minorHAnsi"/>
                <w:i/>
                <w:iCs/>
                <w:color w:val="000000"/>
                <w:sz w:val="18"/>
                <w:szCs w:val="18"/>
              </w:rPr>
              <w:t>Other industries</w:t>
            </w:r>
          </w:p>
        </w:tc>
        <w:tc>
          <w:tcPr>
            <w:tcW w:w="899" w:type="pct"/>
            <w:tcBorders>
              <w:top w:val="nil"/>
              <w:left w:val="nil"/>
              <w:bottom w:val="nil"/>
              <w:right w:val="nil"/>
            </w:tcBorders>
            <w:shd w:val="clear" w:color="auto" w:fill="auto"/>
            <w:noWrap/>
            <w:tcMar>
              <w:top w:w="15" w:type="dxa"/>
              <w:left w:w="15" w:type="dxa"/>
              <w:bottom w:w="0" w:type="dxa"/>
              <w:right w:w="15" w:type="dxa"/>
            </w:tcMar>
            <w:vAlign w:val="bottom"/>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9,100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27%</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b/>
                <w:bCs/>
                <w:color w:val="000000"/>
                <w:sz w:val="18"/>
                <w:szCs w:val="18"/>
              </w:rPr>
            </w:pPr>
            <w:r w:rsidRPr="002F27AB">
              <w:rPr>
                <w:rFonts w:asciiTheme="minorHAnsi" w:hAnsiTheme="minorHAnsi"/>
                <w:b/>
                <w:bCs/>
                <w:color w:val="000000"/>
                <w:sz w:val="18"/>
                <w:szCs w:val="18"/>
              </w:rPr>
              <w:t>Total (Band D)</w:t>
            </w:r>
          </w:p>
        </w:tc>
        <w:tc>
          <w:tcPr>
            <w:tcW w:w="899" w:type="pct"/>
            <w:tcBorders>
              <w:top w:val="nil"/>
              <w:left w:val="nil"/>
              <w:bottom w:val="nil"/>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33,800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100%</w:t>
            </w:r>
          </w:p>
        </w:tc>
      </w:tr>
      <w:tr w:rsidR="00547292" w:rsidTr="00547292">
        <w:trPr>
          <w:trHeight w:hRule="exact" w:val="284"/>
        </w:trPr>
        <w:tc>
          <w:tcPr>
            <w:tcW w:w="5000" w:type="pct"/>
            <w:gridSpan w:val="3"/>
            <w:tcBorders>
              <w:top w:val="nil"/>
              <w:left w:val="single" w:sz="4" w:space="0" w:color="76933C"/>
              <w:bottom w:val="nil"/>
              <w:right w:val="single" w:sz="4" w:space="0" w:color="76933C"/>
            </w:tcBorders>
            <w:shd w:val="clear" w:color="000000" w:fill="EBF1DE"/>
            <w:noWrap/>
            <w:tcMar>
              <w:top w:w="15" w:type="dxa"/>
              <w:left w:w="15" w:type="dxa"/>
              <w:bottom w:w="0" w:type="dxa"/>
              <w:right w:w="15" w:type="dxa"/>
            </w:tcMar>
            <w:vAlign w:val="center"/>
            <w:hideMark/>
          </w:tcPr>
          <w:p w:rsidR="00547292" w:rsidRPr="002F27AB" w:rsidRDefault="00547292" w:rsidP="001B59F5">
            <w:pPr>
              <w:jc w:val="center"/>
              <w:rPr>
                <w:rFonts w:asciiTheme="minorHAnsi" w:hAnsiTheme="minorHAnsi"/>
                <w:b/>
                <w:bCs/>
                <w:color w:val="000000"/>
                <w:sz w:val="18"/>
                <w:szCs w:val="18"/>
              </w:rPr>
            </w:pPr>
            <w:r w:rsidRPr="002F27AB">
              <w:rPr>
                <w:rFonts w:asciiTheme="minorHAnsi" w:hAnsiTheme="minorHAnsi"/>
                <w:b/>
                <w:bCs/>
                <w:color w:val="000000"/>
                <w:sz w:val="18"/>
                <w:szCs w:val="18"/>
              </w:rPr>
              <w:t>Band E</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Cross-industry</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11,700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34%</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Retail Trade</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6,000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17%</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Arts and Recreation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5,700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16%</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Accommodation and Food Services</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5,700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16%</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rPr>
                <w:rFonts w:asciiTheme="minorHAnsi" w:hAnsiTheme="minorHAnsi"/>
                <w:color w:val="000000"/>
                <w:sz w:val="18"/>
                <w:szCs w:val="18"/>
              </w:rPr>
            </w:pPr>
            <w:r w:rsidRPr="002F27AB">
              <w:rPr>
                <w:rFonts w:asciiTheme="minorHAnsi" w:hAnsiTheme="minorHAnsi"/>
                <w:color w:val="000000"/>
                <w:sz w:val="18"/>
                <w:szCs w:val="18"/>
              </w:rPr>
              <w:t>Manufacturing</w:t>
            </w:r>
          </w:p>
        </w:tc>
        <w:tc>
          <w:tcPr>
            <w:tcW w:w="899" w:type="pct"/>
            <w:tcBorders>
              <w:top w:val="nil"/>
              <w:left w:val="nil"/>
              <w:bottom w:val="nil"/>
              <w:right w:val="nil"/>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3,900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color w:val="000000"/>
                <w:sz w:val="18"/>
                <w:szCs w:val="18"/>
              </w:rPr>
            </w:pPr>
            <w:r w:rsidRPr="002F27AB">
              <w:rPr>
                <w:rFonts w:asciiTheme="minorHAnsi" w:hAnsiTheme="minorHAnsi"/>
                <w:color w:val="000000"/>
                <w:sz w:val="18"/>
                <w:szCs w:val="18"/>
              </w:rPr>
              <w:t>11%</w:t>
            </w:r>
          </w:p>
        </w:tc>
      </w:tr>
      <w:tr w:rsidR="00547292" w:rsidTr="00547292">
        <w:trPr>
          <w:trHeight w:hRule="exact" w:val="284"/>
        </w:trPr>
        <w:tc>
          <w:tcPr>
            <w:tcW w:w="3018" w:type="pct"/>
            <w:tcBorders>
              <w:top w:val="nil"/>
              <w:left w:val="single" w:sz="4" w:space="0" w:color="76933C"/>
              <w:bottom w:val="nil"/>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i/>
                <w:iCs/>
                <w:color w:val="000000"/>
                <w:sz w:val="18"/>
                <w:szCs w:val="18"/>
              </w:rPr>
            </w:pPr>
            <w:r w:rsidRPr="002F27AB">
              <w:rPr>
                <w:rFonts w:asciiTheme="minorHAnsi" w:hAnsiTheme="minorHAnsi"/>
                <w:i/>
                <w:iCs/>
                <w:color w:val="000000"/>
                <w:sz w:val="18"/>
                <w:szCs w:val="18"/>
              </w:rPr>
              <w:t>Other industries</w:t>
            </w:r>
          </w:p>
        </w:tc>
        <w:tc>
          <w:tcPr>
            <w:tcW w:w="899" w:type="pct"/>
            <w:tcBorders>
              <w:top w:val="nil"/>
              <w:left w:val="nil"/>
              <w:bottom w:val="nil"/>
              <w:right w:val="nil"/>
            </w:tcBorders>
            <w:shd w:val="clear" w:color="auto" w:fill="auto"/>
            <w:noWrap/>
            <w:tcMar>
              <w:top w:w="15" w:type="dxa"/>
              <w:left w:w="15" w:type="dxa"/>
              <w:bottom w:w="0" w:type="dxa"/>
              <w:right w:w="15" w:type="dxa"/>
            </w:tcMar>
            <w:vAlign w:val="bottom"/>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1,900</w:t>
            </w:r>
          </w:p>
        </w:tc>
        <w:tc>
          <w:tcPr>
            <w:tcW w:w="1082" w:type="pct"/>
            <w:tcBorders>
              <w:top w:val="nil"/>
              <w:left w:val="nil"/>
              <w:bottom w:val="nil"/>
              <w:right w:val="single" w:sz="4" w:space="0" w:color="76933C"/>
            </w:tcBorders>
            <w:shd w:val="clear" w:color="auto" w:fill="auto"/>
            <w:noWrap/>
            <w:tcMar>
              <w:top w:w="15" w:type="dxa"/>
              <w:left w:w="15" w:type="dxa"/>
              <w:bottom w:w="0" w:type="dxa"/>
              <w:right w:w="15" w:type="dxa"/>
            </w:tcMar>
            <w:vAlign w:val="center"/>
            <w:hideMark/>
          </w:tcPr>
          <w:p w:rsidR="00547292" w:rsidRPr="002F27AB" w:rsidRDefault="00547292" w:rsidP="001B59F5">
            <w:pPr>
              <w:jc w:val="right"/>
              <w:rPr>
                <w:rFonts w:asciiTheme="minorHAnsi" w:hAnsiTheme="minorHAnsi"/>
                <w:i/>
                <w:iCs/>
                <w:color w:val="000000"/>
                <w:sz w:val="18"/>
                <w:szCs w:val="18"/>
              </w:rPr>
            </w:pPr>
            <w:r w:rsidRPr="002F27AB">
              <w:rPr>
                <w:rFonts w:asciiTheme="minorHAnsi" w:hAnsiTheme="minorHAnsi"/>
                <w:i/>
                <w:iCs/>
                <w:color w:val="000000"/>
                <w:sz w:val="18"/>
                <w:szCs w:val="18"/>
              </w:rPr>
              <w:t>5%</w:t>
            </w:r>
          </w:p>
        </w:tc>
      </w:tr>
      <w:tr w:rsidR="00547292" w:rsidTr="00547292">
        <w:trPr>
          <w:trHeight w:hRule="exact" w:val="284"/>
        </w:trPr>
        <w:tc>
          <w:tcPr>
            <w:tcW w:w="3018" w:type="pct"/>
            <w:tcBorders>
              <w:top w:val="nil"/>
              <w:left w:val="single" w:sz="4" w:space="0" w:color="76933C"/>
              <w:bottom w:val="single" w:sz="4" w:space="0" w:color="76933C"/>
              <w:right w:val="nil"/>
            </w:tcBorders>
            <w:shd w:val="clear" w:color="auto" w:fill="auto"/>
            <w:noWrap/>
            <w:tcMar>
              <w:top w:w="15" w:type="dxa"/>
              <w:left w:w="15" w:type="dxa"/>
              <w:bottom w:w="0" w:type="dxa"/>
              <w:right w:w="15" w:type="dxa"/>
            </w:tcMar>
            <w:hideMark/>
          </w:tcPr>
          <w:p w:rsidR="00547292" w:rsidRPr="002F27AB" w:rsidRDefault="00547292" w:rsidP="001B59F5">
            <w:pPr>
              <w:rPr>
                <w:rFonts w:asciiTheme="minorHAnsi" w:hAnsiTheme="minorHAnsi"/>
                <w:b/>
                <w:bCs/>
                <w:color w:val="000000"/>
                <w:sz w:val="18"/>
                <w:szCs w:val="18"/>
              </w:rPr>
            </w:pPr>
            <w:r w:rsidRPr="002F27AB">
              <w:rPr>
                <w:rFonts w:asciiTheme="minorHAnsi" w:hAnsiTheme="minorHAnsi"/>
                <w:b/>
                <w:bCs/>
                <w:color w:val="000000"/>
                <w:sz w:val="18"/>
                <w:szCs w:val="18"/>
              </w:rPr>
              <w:t>Total (Band E)</w:t>
            </w:r>
          </w:p>
        </w:tc>
        <w:tc>
          <w:tcPr>
            <w:tcW w:w="899" w:type="pct"/>
            <w:tcBorders>
              <w:top w:val="nil"/>
              <w:left w:val="nil"/>
              <w:bottom w:val="single" w:sz="4" w:space="0" w:color="76933C"/>
              <w:right w:val="nil"/>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34,900</w:t>
            </w:r>
          </w:p>
        </w:tc>
        <w:tc>
          <w:tcPr>
            <w:tcW w:w="1082" w:type="pct"/>
            <w:tcBorders>
              <w:top w:val="nil"/>
              <w:left w:val="nil"/>
              <w:bottom w:val="single" w:sz="4" w:space="0" w:color="76933C"/>
              <w:right w:val="single" w:sz="4" w:space="0" w:color="76933C"/>
            </w:tcBorders>
            <w:shd w:val="clear" w:color="auto" w:fill="auto"/>
            <w:noWrap/>
            <w:tcMar>
              <w:top w:w="15" w:type="dxa"/>
              <w:left w:w="15" w:type="dxa"/>
              <w:bottom w:w="0" w:type="dxa"/>
              <w:right w:w="15" w:type="dxa"/>
            </w:tcMar>
            <w:hideMark/>
          </w:tcPr>
          <w:p w:rsidR="00547292" w:rsidRPr="002F27AB" w:rsidRDefault="00547292" w:rsidP="001B59F5">
            <w:pPr>
              <w:jc w:val="right"/>
              <w:rPr>
                <w:rFonts w:asciiTheme="minorHAnsi" w:hAnsiTheme="minorHAnsi"/>
                <w:b/>
                <w:bCs/>
                <w:color w:val="000000"/>
                <w:sz w:val="18"/>
                <w:szCs w:val="18"/>
              </w:rPr>
            </w:pPr>
            <w:r w:rsidRPr="002F27AB">
              <w:rPr>
                <w:rFonts w:asciiTheme="minorHAnsi" w:hAnsiTheme="minorHAnsi"/>
                <w:b/>
                <w:bCs/>
                <w:color w:val="000000"/>
                <w:sz w:val="18"/>
                <w:szCs w:val="18"/>
              </w:rPr>
              <w:t>100%</w:t>
            </w:r>
          </w:p>
        </w:tc>
      </w:tr>
    </w:tbl>
    <w:p w:rsidR="00547292" w:rsidRDefault="00547292" w:rsidP="00547292"/>
    <w:tbl>
      <w:tblPr>
        <w:tblW w:w="5000" w:type="pct"/>
        <w:tblBorders>
          <w:top w:val="single" w:sz="6" w:space="0" w:color="76923C"/>
          <w:left w:val="single" w:sz="6" w:space="0" w:color="76923C"/>
          <w:bottom w:val="single" w:sz="6" w:space="0" w:color="76923C"/>
          <w:right w:val="single" w:sz="6" w:space="0" w:color="76923C"/>
        </w:tblBorders>
        <w:tblLayout w:type="fixed"/>
        <w:tblCellMar>
          <w:left w:w="0" w:type="dxa"/>
          <w:right w:w="0" w:type="dxa"/>
        </w:tblCellMar>
        <w:tblLook w:val="01E0" w:firstRow="1" w:lastRow="1" w:firstColumn="1" w:lastColumn="1" w:noHBand="0" w:noVBand="0"/>
      </w:tblPr>
      <w:tblGrid>
        <w:gridCol w:w="9088"/>
      </w:tblGrid>
      <w:tr w:rsidR="00492838" w:rsidRPr="001F29E3" w:rsidTr="00492838">
        <w:tc>
          <w:tcPr>
            <w:tcW w:w="9088" w:type="dxa"/>
            <w:tc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tcBorders>
          </w:tcPr>
          <w:p w:rsidR="00492838" w:rsidRDefault="00492838" w:rsidP="00492838">
            <w:pPr>
              <w:pStyle w:val="Heading3"/>
            </w:pPr>
            <w:r w:rsidRPr="00D940E1">
              <w:lastRenderedPageBreak/>
              <w:t>Key Points</w:t>
            </w:r>
          </w:p>
          <w:p w:rsidR="00492838" w:rsidRPr="00B12BF2" w:rsidRDefault="00492838" w:rsidP="00492838">
            <w:pPr>
              <w:pStyle w:val="ListBullet"/>
              <w:numPr>
                <w:ilvl w:val="0"/>
                <w:numId w:val="13"/>
              </w:numPr>
              <w:ind w:left="397" w:right="113" w:hanging="284"/>
              <w:rPr>
                <w:rFonts w:cs="Arial"/>
              </w:rPr>
            </w:pPr>
            <w:r w:rsidRPr="00B12BF2">
              <w:rPr>
                <w:rFonts w:cs="Arial"/>
              </w:rPr>
              <w:t xml:space="preserve">Over half of delivery in Band </w:t>
            </w:r>
            <w:proofErr w:type="gramStart"/>
            <w:r w:rsidRPr="00B12BF2">
              <w:rPr>
                <w:rFonts w:cs="Arial"/>
              </w:rPr>
              <w:t>A</w:t>
            </w:r>
            <w:proofErr w:type="gramEnd"/>
            <w:r w:rsidRPr="00B12BF2">
              <w:rPr>
                <w:rFonts w:cs="Arial"/>
              </w:rPr>
              <w:t xml:space="preserve"> (apprenticeships and non-apprenticeships) is in the Construction industry.</w:t>
            </w:r>
          </w:p>
          <w:p w:rsidR="00492838" w:rsidRPr="00EC7CF3" w:rsidRDefault="00492838" w:rsidP="00492838">
            <w:pPr>
              <w:pStyle w:val="ListBullet"/>
              <w:numPr>
                <w:ilvl w:val="0"/>
                <w:numId w:val="13"/>
              </w:numPr>
              <w:ind w:left="397" w:right="113" w:hanging="284"/>
              <w:rPr>
                <w:rFonts w:cs="Arial"/>
              </w:rPr>
            </w:pPr>
            <w:r w:rsidRPr="00B12BF2">
              <w:rPr>
                <w:rFonts w:cs="Arial"/>
              </w:rPr>
              <w:t>The largest block of deliver</w:t>
            </w:r>
            <w:r>
              <w:rPr>
                <w:rFonts w:cs="Arial"/>
              </w:rPr>
              <w:t>y</w:t>
            </w:r>
            <w:r w:rsidRPr="00B12BF2">
              <w:rPr>
                <w:rFonts w:cs="Arial"/>
              </w:rPr>
              <w:t xml:space="preserve"> in Band B is for Health Care and Social Assistance (</w:t>
            </w:r>
            <w:r>
              <w:rPr>
                <w:rFonts w:cs="Arial"/>
              </w:rPr>
              <w:t>29</w:t>
            </w:r>
            <w:r w:rsidRPr="00B12BF2">
              <w:rPr>
                <w:rFonts w:cs="Arial"/>
              </w:rPr>
              <w:t xml:space="preserve"> per cent) and Transport, Postal and Warehousing (2</w:t>
            </w:r>
            <w:r>
              <w:rPr>
                <w:rFonts w:cs="Arial"/>
              </w:rPr>
              <w:t>3</w:t>
            </w:r>
            <w:r w:rsidRPr="00B12BF2">
              <w:rPr>
                <w:rFonts w:cs="Arial"/>
              </w:rPr>
              <w:t xml:space="preserve"> per cent)</w:t>
            </w:r>
            <w:r>
              <w:rPr>
                <w:rFonts w:cs="Arial"/>
              </w:rPr>
              <w:t>.</w:t>
            </w:r>
          </w:p>
        </w:tc>
      </w:tr>
    </w:tbl>
    <w:p w:rsidR="00513C7F" w:rsidRPr="00023B7E" w:rsidRDefault="00513C7F" w:rsidP="00513C7F">
      <w:pPr>
        <w:rPr>
          <w:rFonts w:cs="Arial"/>
          <w:highlight w:val="lightGray"/>
        </w:rPr>
      </w:pPr>
    </w:p>
    <w:p w:rsidR="00513C7F" w:rsidRPr="00023B7E" w:rsidRDefault="00513C7F" w:rsidP="00513C7F">
      <w:pPr>
        <w:spacing w:after="200" w:line="276" w:lineRule="auto"/>
        <w:jc w:val="left"/>
        <w:rPr>
          <w:highlight w:val="lightGray"/>
        </w:rPr>
      </w:pPr>
    </w:p>
    <w:p w:rsidR="00513C7F" w:rsidRPr="002D5249" w:rsidRDefault="004B1B0C" w:rsidP="004B1B0C">
      <w:pPr>
        <w:pStyle w:val="Heading2"/>
      </w:pPr>
      <w:bookmarkStart w:id="89" w:name="_Toc372613441"/>
      <w:r>
        <w:t>Training Activity</w:t>
      </w:r>
      <w:r w:rsidR="00513C7F" w:rsidRPr="002D5249">
        <w:t xml:space="preserve"> by Occupation</w:t>
      </w:r>
      <w:bookmarkEnd w:id="89"/>
    </w:p>
    <w:p w:rsidR="00547292" w:rsidRPr="002F77E4" w:rsidRDefault="00547292" w:rsidP="00547292">
      <w:pPr>
        <w:spacing w:after="200" w:line="276" w:lineRule="auto"/>
        <w:jc w:val="left"/>
      </w:pPr>
      <w:r w:rsidRPr="002F77E4">
        <w:t xml:space="preserve">In the </w:t>
      </w:r>
      <w:r>
        <w:t>third</w:t>
      </w:r>
      <w:r w:rsidRPr="002F77E4">
        <w:t xml:space="preserve"> quarter of 2013, the 5 highest numbers of enrolments within Bands A and B were in courses related to the following occupations: </w:t>
      </w:r>
    </w:p>
    <w:p w:rsidR="00547292" w:rsidRPr="00D9468D" w:rsidRDefault="00547292" w:rsidP="00547292">
      <w:pPr>
        <w:pStyle w:val="ListParagraph"/>
        <w:numPr>
          <w:ilvl w:val="0"/>
          <w:numId w:val="35"/>
        </w:numPr>
        <w:spacing w:after="90" w:line="220" w:lineRule="atLeast"/>
        <w:contextualSpacing/>
        <w:jc w:val="both"/>
        <w:rPr>
          <w:rFonts w:ascii="Arial" w:hAnsi="Arial"/>
          <w:sz w:val="19"/>
          <w:szCs w:val="24"/>
        </w:rPr>
      </w:pPr>
      <w:r w:rsidRPr="00D9468D">
        <w:rPr>
          <w:rFonts w:ascii="Arial" w:hAnsi="Arial"/>
          <w:sz w:val="19"/>
          <w:szCs w:val="24"/>
        </w:rPr>
        <w:t>Aged or Disabled Carer (14,700 enrolments in Q</w:t>
      </w:r>
      <w:r>
        <w:rPr>
          <w:rFonts w:ascii="Arial" w:hAnsi="Arial"/>
          <w:sz w:val="19"/>
          <w:szCs w:val="24"/>
        </w:rPr>
        <w:t>3</w:t>
      </w:r>
      <w:r w:rsidRPr="00D9468D">
        <w:rPr>
          <w:rFonts w:ascii="Arial" w:hAnsi="Arial"/>
          <w:sz w:val="19"/>
          <w:szCs w:val="24"/>
        </w:rPr>
        <w:t xml:space="preserve"> 2013)</w:t>
      </w:r>
    </w:p>
    <w:p w:rsidR="00547292" w:rsidRDefault="00547292" w:rsidP="00547292">
      <w:pPr>
        <w:pStyle w:val="ListParagraph"/>
        <w:numPr>
          <w:ilvl w:val="0"/>
          <w:numId w:val="35"/>
        </w:numPr>
        <w:spacing w:after="90" w:line="220" w:lineRule="atLeast"/>
        <w:contextualSpacing/>
        <w:jc w:val="both"/>
        <w:rPr>
          <w:rFonts w:ascii="Arial" w:hAnsi="Arial"/>
          <w:sz w:val="19"/>
          <w:szCs w:val="24"/>
        </w:rPr>
      </w:pPr>
      <w:r w:rsidRPr="00D9468D">
        <w:rPr>
          <w:rFonts w:ascii="Arial" w:hAnsi="Arial"/>
          <w:sz w:val="19"/>
          <w:szCs w:val="24"/>
        </w:rPr>
        <w:t>Purchasing and Supply Logistics Clerks (12,200 enrolments in Q</w:t>
      </w:r>
      <w:r>
        <w:rPr>
          <w:rFonts w:ascii="Arial" w:hAnsi="Arial"/>
          <w:sz w:val="19"/>
          <w:szCs w:val="24"/>
        </w:rPr>
        <w:t>3</w:t>
      </w:r>
      <w:r w:rsidRPr="00D9468D">
        <w:rPr>
          <w:rFonts w:ascii="Arial" w:hAnsi="Arial"/>
          <w:sz w:val="19"/>
          <w:szCs w:val="24"/>
        </w:rPr>
        <w:t xml:space="preserve"> 2013)</w:t>
      </w:r>
    </w:p>
    <w:p w:rsidR="00547292" w:rsidRPr="00EB1C37" w:rsidRDefault="00547292" w:rsidP="00547292">
      <w:pPr>
        <w:pStyle w:val="ListParagraph"/>
        <w:numPr>
          <w:ilvl w:val="0"/>
          <w:numId w:val="35"/>
        </w:numPr>
        <w:spacing w:after="90" w:line="220" w:lineRule="atLeast"/>
        <w:contextualSpacing/>
        <w:jc w:val="both"/>
        <w:rPr>
          <w:rFonts w:ascii="Arial" w:hAnsi="Arial"/>
          <w:sz w:val="19"/>
          <w:szCs w:val="24"/>
        </w:rPr>
      </w:pPr>
      <w:r w:rsidRPr="00D9468D">
        <w:rPr>
          <w:rFonts w:ascii="Arial" w:hAnsi="Arial"/>
          <w:sz w:val="19"/>
          <w:szCs w:val="24"/>
        </w:rPr>
        <w:t>Truck Driver (General) (</w:t>
      </w:r>
      <w:r>
        <w:rPr>
          <w:rFonts w:ascii="Arial" w:hAnsi="Arial"/>
          <w:sz w:val="19"/>
          <w:szCs w:val="24"/>
        </w:rPr>
        <w:t>7</w:t>
      </w:r>
      <w:r w:rsidRPr="00D9468D">
        <w:rPr>
          <w:rFonts w:ascii="Arial" w:hAnsi="Arial"/>
          <w:sz w:val="19"/>
          <w:szCs w:val="24"/>
        </w:rPr>
        <w:t>,</w:t>
      </w:r>
      <w:r>
        <w:rPr>
          <w:rFonts w:ascii="Arial" w:hAnsi="Arial"/>
          <w:sz w:val="19"/>
          <w:szCs w:val="24"/>
        </w:rPr>
        <w:t>8</w:t>
      </w:r>
      <w:r w:rsidRPr="00D9468D">
        <w:rPr>
          <w:rFonts w:ascii="Arial" w:hAnsi="Arial"/>
          <w:sz w:val="19"/>
          <w:szCs w:val="24"/>
        </w:rPr>
        <w:t>00 enrolments in Q</w:t>
      </w:r>
      <w:r>
        <w:rPr>
          <w:rFonts w:ascii="Arial" w:hAnsi="Arial"/>
          <w:sz w:val="19"/>
          <w:szCs w:val="24"/>
        </w:rPr>
        <w:t>3</w:t>
      </w:r>
      <w:r w:rsidRPr="00D9468D">
        <w:rPr>
          <w:rFonts w:ascii="Arial" w:hAnsi="Arial"/>
          <w:sz w:val="19"/>
          <w:szCs w:val="24"/>
        </w:rPr>
        <w:t xml:space="preserve"> 2013)</w:t>
      </w:r>
    </w:p>
    <w:p w:rsidR="00547292" w:rsidRPr="00D9468D" w:rsidRDefault="00547292" w:rsidP="00547292">
      <w:pPr>
        <w:pStyle w:val="ListParagraph"/>
        <w:numPr>
          <w:ilvl w:val="0"/>
          <w:numId w:val="35"/>
        </w:numPr>
        <w:spacing w:after="90" w:line="220" w:lineRule="atLeast"/>
        <w:contextualSpacing/>
        <w:jc w:val="both"/>
        <w:rPr>
          <w:rFonts w:ascii="Arial" w:hAnsi="Arial"/>
          <w:sz w:val="19"/>
          <w:szCs w:val="24"/>
        </w:rPr>
      </w:pPr>
      <w:r w:rsidRPr="00D9468D">
        <w:rPr>
          <w:rFonts w:ascii="Arial" w:hAnsi="Arial"/>
          <w:sz w:val="19"/>
          <w:szCs w:val="24"/>
        </w:rPr>
        <w:t>Engineering Production Worker (6,400 enrolments in Q</w:t>
      </w:r>
      <w:r>
        <w:rPr>
          <w:rFonts w:ascii="Arial" w:hAnsi="Arial"/>
          <w:sz w:val="19"/>
          <w:szCs w:val="24"/>
        </w:rPr>
        <w:t>3</w:t>
      </w:r>
      <w:r w:rsidRPr="00D9468D">
        <w:rPr>
          <w:rFonts w:ascii="Arial" w:hAnsi="Arial"/>
          <w:sz w:val="19"/>
          <w:szCs w:val="24"/>
        </w:rPr>
        <w:t xml:space="preserve"> 2013)</w:t>
      </w:r>
    </w:p>
    <w:p w:rsidR="00547292" w:rsidRPr="00D9468D" w:rsidRDefault="00547292" w:rsidP="00547292">
      <w:pPr>
        <w:pStyle w:val="ListParagraph"/>
        <w:numPr>
          <w:ilvl w:val="0"/>
          <w:numId w:val="35"/>
        </w:numPr>
        <w:spacing w:after="90" w:line="220" w:lineRule="atLeast"/>
        <w:contextualSpacing/>
        <w:jc w:val="both"/>
        <w:rPr>
          <w:rFonts w:ascii="Arial" w:hAnsi="Arial"/>
          <w:sz w:val="19"/>
          <w:szCs w:val="24"/>
        </w:rPr>
      </w:pPr>
      <w:r w:rsidRPr="00EB1C37">
        <w:rPr>
          <w:rFonts w:ascii="Arial" w:hAnsi="Arial"/>
          <w:sz w:val="19"/>
          <w:szCs w:val="24"/>
        </w:rPr>
        <w:t xml:space="preserve">Enrolled and Mothercraft Nurses </w:t>
      </w:r>
      <w:r w:rsidRPr="00D9468D">
        <w:rPr>
          <w:rFonts w:ascii="Arial" w:hAnsi="Arial"/>
          <w:sz w:val="19"/>
          <w:szCs w:val="24"/>
        </w:rPr>
        <w:t>(6,</w:t>
      </w:r>
      <w:r>
        <w:rPr>
          <w:rFonts w:ascii="Arial" w:hAnsi="Arial"/>
          <w:sz w:val="19"/>
          <w:szCs w:val="24"/>
        </w:rPr>
        <w:t>9</w:t>
      </w:r>
      <w:r w:rsidRPr="00D9468D">
        <w:rPr>
          <w:rFonts w:ascii="Arial" w:hAnsi="Arial"/>
          <w:sz w:val="19"/>
          <w:szCs w:val="24"/>
        </w:rPr>
        <w:t>00 enrolments in Q</w:t>
      </w:r>
      <w:r>
        <w:rPr>
          <w:rFonts w:ascii="Arial" w:hAnsi="Arial"/>
          <w:sz w:val="19"/>
          <w:szCs w:val="24"/>
        </w:rPr>
        <w:t>3</w:t>
      </w:r>
      <w:r w:rsidRPr="00D9468D">
        <w:rPr>
          <w:rFonts w:ascii="Arial" w:hAnsi="Arial"/>
          <w:sz w:val="19"/>
          <w:szCs w:val="24"/>
        </w:rPr>
        <w:t xml:space="preserve"> 2013)</w:t>
      </w:r>
    </w:p>
    <w:p w:rsidR="00547292" w:rsidRPr="001675DF" w:rsidRDefault="00547292" w:rsidP="00547292">
      <w:pPr>
        <w:pStyle w:val="ListParagraph"/>
        <w:ind w:left="360"/>
        <w:rPr>
          <w:highlight w:val="yellow"/>
        </w:rPr>
      </w:pPr>
    </w:p>
    <w:p w:rsidR="00BC23CB" w:rsidRDefault="00547292" w:rsidP="00BC23CB">
      <w:r w:rsidRPr="00AC3567">
        <w:t>Employment trends within these occupations are outlined in the table below and show employment numbers in 2011-12, average annual employment needs</w:t>
      </w:r>
      <w:r w:rsidRPr="00AC3567">
        <w:rPr>
          <w:rStyle w:val="FootnoteReference"/>
        </w:rPr>
        <w:footnoteReference w:id="10"/>
      </w:r>
      <w:r w:rsidRPr="00AC3567">
        <w:t xml:space="preserve"> over the next 5 years as well as patterns of forecast employment growth to 2016-17. Employment trends indicate growth in </w:t>
      </w:r>
      <w:r>
        <w:t>three</w:t>
      </w:r>
      <w:r w:rsidRPr="00AC3567">
        <w:t xml:space="preserve"> of the five occupational groups related to highest number of courses in Bands A and B. Engineering Production Workers are forecast to see dampened demand over the next five years. These workers predominantly work in the Manufacturing industry, a critical industry for the Victorian economy undergoing significant industrial transition, and therefore remain a critical area for public investment in vocational training.</w:t>
      </w:r>
    </w:p>
    <w:p w:rsidR="00547292" w:rsidRDefault="00BC23CB" w:rsidP="00BC23CB">
      <w:r>
        <w:t xml:space="preserve"> </w:t>
      </w:r>
    </w:p>
    <w:p w:rsidR="00547292" w:rsidRDefault="00547292" w:rsidP="00547292">
      <w:pPr>
        <w:pStyle w:val="Caption"/>
      </w:pPr>
      <w:r>
        <w:t xml:space="preserve">Table 3.3: Employment trends in selected occupations (Band </w:t>
      </w:r>
      <w:proofErr w:type="gramStart"/>
      <w:r>
        <w:t>A</w:t>
      </w:r>
      <w:proofErr w:type="gramEnd"/>
      <w:r>
        <w:t xml:space="preserve"> &amp; B), 2011-12 to 2016-17</w:t>
      </w:r>
    </w:p>
    <w:p w:rsidR="00547292" w:rsidRDefault="00547292" w:rsidP="00547292">
      <w:r w:rsidRPr="006109AD">
        <w:rPr>
          <w:noProof/>
          <w:lang w:eastAsia="en-AU"/>
        </w:rPr>
        <w:drawing>
          <wp:inline distT="0" distB="0" distL="0" distR="0" wp14:anchorId="24361D00" wp14:editId="4B035E91">
            <wp:extent cx="5295900" cy="1009650"/>
            <wp:effectExtent l="0" t="0" r="0" b="0"/>
            <wp:docPr id="27" name="Picture 27" descr="This table shows the forecast employment trends in occupations of Aged and Disabled Carees, Purchasing and Supply Logistic Clerk, Truck Driver, Engineering Production Worker and Enrolled and Mothercraft Nurse from 2011-12 to 2016-17. Government subsidised course enrolments in these occupations were in subsidy band A or B in Q3 2013.  " title="Table 3.3: Employment trends in selected occupations (Band A &amp; B),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5900" cy="1009650"/>
                    </a:xfrm>
                    <a:prstGeom prst="rect">
                      <a:avLst/>
                    </a:prstGeom>
                    <a:noFill/>
                    <a:ln>
                      <a:noFill/>
                    </a:ln>
                  </pic:spPr>
                </pic:pic>
              </a:graphicData>
            </a:graphic>
          </wp:inline>
        </w:drawing>
      </w:r>
    </w:p>
    <w:p w:rsidR="00547292" w:rsidRDefault="00547292" w:rsidP="00547292">
      <w:pPr>
        <w:spacing w:after="200" w:line="276" w:lineRule="auto"/>
        <w:jc w:val="left"/>
      </w:pPr>
      <w:r>
        <w:rPr>
          <w:rFonts w:cs="Arial"/>
          <w:sz w:val="16"/>
          <w:szCs w:val="16"/>
        </w:rPr>
        <w:t xml:space="preserve">Source: </w:t>
      </w:r>
      <w:r w:rsidRPr="0038002F">
        <w:rPr>
          <w:rFonts w:cs="Arial"/>
          <w:sz w:val="16"/>
          <w:szCs w:val="16"/>
        </w:rPr>
        <w:t>Monash Centre for Policy Studies (2012) Employment Forecasting Model.</w:t>
      </w:r>
    </w:p>
    <w:p w:rsidR="00547292" w:rsidRPr="00065440" w:rsidRDefault="00547292" w:rsidP="00547292">
      <w:pPr>
        <w:spacing w:after="200" w:line="276" w:lineRule="auto"/>
        <w:jc w:val="left"/>
      </w:pPr>
      <w:r w:rsidRPr="00065440">
        <w:t xml:space="preserve">The 5 highest </w:t>
      </w:r>
      <w:proofErr w:type="gramStart"/>
      <w:r w:rsidRPr="00065440">
        <w:t>number</w:t>
      </w:r>
      <w:proofErr w:type="gramEnd"/>
      <w:r w:rsidRPr="00065440">
        <w:t xml:space="preserve"> of enrolments within Band D and E in Q</w:t>
      </w:r>
      <w:r>
        <w:t>3</w:t>
      </w:r>
      <w:r w:rsidRPr="00065440">
        <w:t xml:space="preserve"> 2013 were in courses related to the following occupations: </w:t>
      </w:r>
    </w:p>
    <w:p w:rsidR="00547292" w:rsidRPr="00025387" w:rsidRDefault="00547292" w:rsidP="00547292">
      <w:pPr>
        <w:pStyle w:val="ListParagraph"/>
        <w:numPr>
          <w:ilvl w:val="0"/>
          <w:numId w:val="35"/>
        </w:numPr>
        <w:spacing w:after="90" w:line="220" w:lineRule="atLeast"/>
        <w:contextualSpacing/>
        <w:jc w:val="both"/>
        <w:rPr>
          <w:rFonts w:ascii="Arial" w:hAnsi="Arial"/>
          <w:sz w:val="19"/>
          <w:szCs w:val="24"/>
        </w:rPr>
      </w:pPr>
      <w:r w:rsidRPr="00025387">
        <w:rPr>
          <w:rFonts w:ascii="Arial" w:hAnsi="Arial"/>
          <w:sz w:val="19"/>
          <w:szCs w:val="24"/>
        </w:rPr>
        <w:t>General Clerk (5,</w:t>
      </w:r>
      <w:r>
        <w:rPr>
          <w:rFonts w:ascii="Arial" w:hAnsi="Arial"/>
          <w:sz w:val="19"/>
          <w:szCs w:val="24"/>
        </w:rPr>
        <w:t>90</w:t>
      </w:r>
      <w:r w:rsidRPr="00025387">
        <w:rPr>
          <w:rFonts w:ascii="Arial" w:hAnsi="Arial"/>
          <w:sz w:val="19"/>
          <w:szCs w:val="24"/>
        </w:rPr>
        <w:t xml:space="preserve">0 enrolments in </w:t>
      </w:r>
      <w:r>
        <w:rPr>
          <w:rFonts w:ascii="Arial" w:hAnsi="Arial"/>
          <w:sz w:val="19"/>
          <w:szCs w:val="24"/>
        </w:rPr>
        <w:t>Q3</w:t>
      </w:r>
      <w:r w:rsidRPr="00025387">
        <w:rPr>
          <w:rFonts w:ascii="Arial" w:hAnsi="Arial"/>
          <w:sz w:val="19"/>
          <w:szCs w:val="24"/>
        </w:rPr>
        <w:t xml:space="preserve"> 2013)</w:t>
      </w:r>
    </w:p>
    <w:p w:rsidR="00547292" w:rsidRPr="00025387" w:rsidRDefault="00547292" w:rsidP="00547292">
      <w:pPr>
        <w:pStyle w:val="ListParagraph"/>
        <w:numPr>
          <w:ilvl w:val="0"/>
          <w:numId w:val="35"/>
        </w:numPr>
        <w:spacing w:after="90" w:line="220" w:lineRule="atLeast"/>
        <w:contextualSpacing/>
        <w:jc w:val="both"/>
        <w:rPr>
          <w:rFonts w:ascii="Arial" w:hAnsi="Arial"/>
          <w:sz w:val="19"/>
          <w:szCs w:val="24"/>
        </w:rPr>
      </w:pPr>
      <w:r w:rsidRPr="00025387">
        <w:rPr>
          <w:rFonts w:ascii="Arial" w:hAnsi="Arial"/>
          <w:sz w:val="19"/>
          <w:szCs w:val="24"/>
        </w:rPr>
        <w:t>Office Manager (</w:t>
      </w:r>
      <w:r>
        <w:rPr>
          <w:rFonts w:ascii="Arial" w:hAnsi="Arial"/>
          <w:sz w:val="19"/>
          <w:szCs w:val="24"/>
        </w:rPr>
        <w:t>5</w:t>
      </w:r>
      <w:r w:rsidRPr="00025387">
        <w:rPr>
          <w:rFonts w:ascii="Arial" w:hAnsi="Arial"/>
          <w:sz w:val="19"/>
          <w:szCs w:val="24"/>
        </w:rPr>
        <w:t>,</w:t>
      </w:r>
      <w:r>
        <w:rPr>
          <w:rFonts w:ascii="Arial" w:hAnsi="Arial"/>
          <w:sz w:val="19"/>
          <w:szCs w:val="24"/>
        </w:rPr>
        <w:t>7</w:t>
      </w:r>
      <w:r w:rsidRPr="00025387">
        <w:rPr>
          <w:rFonts w:ascii="Arial" w:hAnsi="Arial"/>
          <w:sz w:val="19"/>
          <w:szCs w:val="24"/>
        </w:rPr>
        <w:t xml:space="preserve">00 enrolments in </w:t>
      </w:r>
      <w:r>
        <w:rPr>
          <w:rFonts w:ascii="Arial" w:hAnsi="Arial"/>
          <w:sz w:val="19"/>
          <w:szCs w:val="24"/>
        </w:rPr>
        <w:t>Q3</w:t>
      </w:r>
      <w:r w:rsidRPr="00025387">
        <w:rPr>
          <w:rFonts w:ascii="Arial" w:hAnsi="Arial"/>
          <w:sz w:val="19"/>
          <w:szCs w:val="24"/>
        </w:rPr>
        <w:t xml:space="preserve"> 2013)</w:t>
      </w:r>
    </w:p>
    <w:p w:rsidR="00547292" w:rsidRPr="00025387" w:rsidRDefault="00547292" w:rsidP="00547292">
      <w:pPr>
        <w:pStyle w:val="ListParagraph"/>
        <w:numPr>
          <w:ilvl w:val="0"/>
          <w:numId w:val="35"/>
        </w:numPr>
        <w:spacing w:after="90" w:line="220" w:lineRule="atLeast"/>
        <w:contextualSpacing/>
        <w:jc w:val="both"/>
        <w:rPr>
          <w:rFonts w:ascii="Arial" w:hAnsi="Arial"/>
          <w:sz w:val="19"/>
          <w:szCs w:val="24"/>
        </w:rPr>
      </w:pPr>
      <w:r w:rsidRPr="00025387">
        <w:rPr>
          <w:rFonts w:ascii="Arial" w:hAnsi="Arial"/>
          <w:sz w:val="19"/>
          <w:szCs w:val="24"/>
        </w:rPr>
        <w:t>Sales Assistant (General)  (</w:t>
      </w:r>
      <w:r>
        <w:rPr>
          <w:rFonts w:ascii="Arial" w:hAnsi="Arial"/>
          <w:sz w:val="19"/>
          <w:szCs w:val="24"/>
        </w:rPr>
        <w:t>4</w:t>
      </w:r>
      <w:r w:rsidRPr="00025387">
        <w:rPr>
          <w:rFonts w:ascii="Arial" w:hAnsi="Arial"/>
          <w:sz w:val="19"/>
          <w:szCs w:val="24"/>
        </w:rPr>
        <w:t>,</w:t>
      </w:r>
      <w:r>
        <w:rPr>
          <w:rFonts w:ascii="Arial" w:hAnsi="Arial"/>
          <w:sz w:val="19"/>
          <w:szCs w:val="24"/>
        </w:rPr>
        <w:t>80</w:t>
      </w:r>
      <w:r w:rsidRPr="00025387">
        <w:rPr>
          <w:rFonts w:ascii="Arial" w:hAnsi="Arial"/>
          <w:sz w:val="19"/>
          <w:szCs w:val="24"/>
        </w:rPr>
        <w:t xml:space="preserve">0 enrolments in </w:t>
      </w:r>
      <w:r>
        <w:rPr>
          <w:rFonts w:ascii="Arial" w:hAnsi="Arial"/>
          <w:sz w:val="19"/>
          <w:szCs w:val="24"/>
        </w:rPr>
        <w:t>Q3</w:t>
      </w:r>
      <w:r w:rsidRPr="00025387">
        <w:rPr>
          <w:rFonts w:ascii="Arial" w:hAnsi="Arial"/>
          <w:sz w:val="19"/>
          <w:szCs w:val="24"/>
        </w:rPr>
        <w:t xml:space="preserve"> 2013)</w:t>
      </w:r>
    </w:p>
    <w:p w:rsidR="00547292" w:rsidRPr="00025387" w:rsidRDefault="00547292" w:rsidP="00547292">
      <w:pPr>
        <w:pStyle w:val="ListParagraph"/>
        <w:numPr>
          <w:ilvl w:val="0"/>
          <w:numId w:val="35"/>
        </w:numPr>
        <w:spacing w:after="90" w:line="220" w:lineRule="atLeast"/>
        <w:contextualSpacing/>
        <w:jc w:val="both"/>
        <w:rPr>
          <w:rFonts w:ascii="Arial" w:hAnsi="Arial"/>
          <w:sz w:val="19"/>
          <w:szCs w:val="24"/>
        </w:rPr>
      </w:pPr>
      <w:r w:rsidRPr="00025387">
        <w:rPr>
          <w:rFonts w:ascii="Arial" w:hAnsi="Arial"/>
          <w:sz w:val="19"/>
          <w:szCs w:val="24"/>
        </w:rPr>
        <w:t xml:space="preserve">Waiter (4,200 enrolments in </w:t>
      </w:r>
      <w:r>
        <w:rPr>
          <w:rFonts w:ascii="Arial" w:hAnsi="Arial"/>
          <w:sz w:val="19"/>
          <w:szCs w:val="24"/>
        </w:rPr>
        <w:t>Q3</w:t>
      </w:r>
      <w:r w:rsidRPr="00025387">
        <w:rPr>
          <w:rFonts w:ascii="Arial" w:hAnsi="Arial"/>
          <w:sz w:val="19"/>
          <w:szCs w:val="24"/>
        </w:rPr>
        <w:t xml:space="preserve"> 2013)</w:t>
      </w:r>
    </w:p>
    <w:p w:rsidR="00547292" w:rsidRPr="00025387" w:rsidRDefault="00547292" w:rsidP="00547292">
      <w:pPr>
        <w:pStyle w:val="ListParagraph"/>
        <w:numPr>
          <w:ilvl w:val="0"/>
          <w:numId w:val="35"/>
        </w:numPr>
        <w:spacing w:after="90" w:line="220" w:lineRule="atLeast"/>
        <w:contextualSpacing/>
        <w:jc w:val="both"/>
        <w:rPr>
          <w:rFonts w:ascii="Arial" w:hAnsi="Arial"/>
          <w:sz w:val="19"/>
          <w:szCs w:val="24"/>
        </w:rPr>
      </w:pPr>
      <w:r w:rsidRPr="00025387">
        <w:rPr>
          <w:rFonts w:ascii="Arial" w:hAnsi="Arial"/>
          <w:sz w:val="19"/>
          <w:szCs w:val="24"/>
        </w:rPr>
        <w:t>Factory Process Workers (other) (</w:t>
      </w:r>
      <w:r>
        <w:rPr>
          <w:rFonts w:ascii="Arial" w:hAnsi="Arial"/>
          <w:sz w:val="19"/>
          <w:szCs w:val="24"/>
        </w:rPr>
        <w:t>3</w:t>
      </w:r>
      <w:r w:rsidRPr="00025387">
        <w:rPr>
          <w:rFonts w:ascii="Arial" w:hAnsi="Arial"/>
          <w:sz w:val="19"/>
          <w:szCs w:val="24"/>
        </w:rPr>
        <w:t>,</w:t>
      </w:r>
      <w:r>
        <w:rPr>
          <w:rFonts w:ascii="Arial" w:hAnsi="Arial"/>
          <w:sz w:val="19"/>
          <w:szCs w:val="24"/>
        </w:rPr>
        <w:t>2</w:t>
      </w:r>
      <w:r w:rsidRPr="00025387">
        <w:rPr>
          <w:rFonts w:ascii="Arial" w:hAnsi="Arial"/>
          <w:sz w:val="19"/>
          <w:szCs w:val="24"/>
        </w:rPr>
        <w:t xml:space="preserve">00 enrolments in </w:t>
      </w:r>
      <w:r>
        <w:rPr>
          <w:rFonts w:ascii="Arial" w:hAnsi="Arial"/>
          <w:sz w:val="19"/>
          <w:szCs w:val="24"/>
        </w:rPr>
        <w:t>Q3</w:t>
      </w:r>
      <w:r w:rsidRPr="00025387">
        <w:rPr>
          <w:rFonts w:ascii="Arial" w:hAnsi="Arial"/>
          <w:sz w:val="19"/>
          <w:szCs w:val="24"/>
        </w:rPr>
        <w:t xml:space="preserve"> 2013)</w:t>
      </w:r>
    </w:p>
    <w:p w:rsidR="00547292" w:rsidRPr="001675DF" w:rsidRDefault="00547292" w:rsidP="00547292">
      <w:pPr>
        <w:pStyle w:val="ListParagraph"/>
        <w:ind w:left="360"/>
        <w:rPr>
          <w:highlight w:val="yellow"/>
        </w:rPr>
      </w:pPr>
    </w:p>
    <w:p w:rsidR="00B02EF0" w:rsidRDefault="00B02EF0">
      <w:pPr>
        <w:spacing w:after="0" w:line="240" w:lineRule="auto"/>
        <w:jc w:val="left"/>
      </w:pPr>
      <w:r>
        <w:br w:type="page"/>
      </w:r>
    </w:p>
    <w:p w:rsidR="00547292" w:rsidRDefault="00547292" w:rsidP="00547292">
      <w:r w:rsidRPr="00025387">
        <w:lastRenderedPageBreak/>
        <w:t>As above, Table 3.</w:t>
      </w:r>
      <w:r>
        <w:t>4</w:t>
      </w:r>
      <w:r w:rsidRPr="00025387">
        <w:t xml:space="preserve"> shows employment trends for occupations related to top 5 highest numbers of enrolments within Band D and E. Characteristic of these occupations in the Victorian labour market are jobs that have high levels of turnover and mixed employment prospects. Office Managers, for example are likely to remain fairly stable through to 2016-17, while Sales Assistants and Factory Process Workers are forecast to decline. General Clerks and Waiters are forecast to see employment growth, however present less of a requirement for vocational training investment made by government to support meeting this labour market need.</w:t>
      </w:r>
    </w:p>
    <w:p w:rsidR="00547292" w:rsidRDefault="00547292" w:rsidP="00547292">
      <w:pPr>
        <w:spacing w:after="0" w:line="240" w:lineRule="auto"/>
        <w:jc w:val="left"/>
        <w:rPr>
          <w:b/>
          <w:bCs/>
          <w:color w:val="76923C" w:themeColor="accent3" w:themeShade="BF"/>
          <w:sz w:val="18"/>
          <w:szCs w:val="16"/>
        </w:rPr>
      </w:pPr>
    </w:p>
    <w:p w:rsidR="00547292" w:rsidRPr="0096468B" w:rsidRDefault="00547292" w:rsidP="00547292">
      <w:pPr>
        <w:pStyle w:val="Caption"/>
      </w:pPr>
      <w:r>
        <w:t>Table 3.4: Employment trends in selected occupations (Band D &amp; E), 2011-12 to 2016-17</w:t>
      </w:r>
    </w:p>
    <w:p w:rsidR="00547292" w:rsidRPr="003C309B" w:rsidRDefault="00547292" w:rsidP="00547292">
      <w:pPr>
        <w:spacing w:after="200" w:line="276" w:lineRule="auto"/>
        <w:jc w:val="left"/>
        <w:rPr>
          <w:rFonts w:cs="Arial"/>
          <w:bCs/>
          <w:iCs/>
          <w:color w:val="76923C" w:themeColor="accent3" w:themeShade="BF"/>
          <w:sz w:val="28"/>
          <w:szCs w:val="28"/>
        </w:rPr>
      </w:pPr>
      <w:r w:rsidRPr="008B5A8D">
        <w:rPr>
          <w:noProof/>
          <w:lang w:eastAsia="en-AU"/>
        </w:rPr>
        <w:drawing>
          <wp:inline distT="0" distB="0" distL="0" distR="0" wp14:anchorId="371B73ED" wp14:editId="333B29E2">
            <wp:extent cx="5731510" cy="1272637"/>
            <wp:effectExtent l="0" t="0" r="2540" b="3810"/>
            <wp:docPr id="28" name="Picture 28" descr="This table shows the forecast employment trends in occupations of Occupation Manager, Sales Assistant (General), General Clerk, Waiter and Factory Process Worker (other) from 2011-12 to 2016-17. Government subsidised course enrolments in these occupations were in subsidy band D or E in Q3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272637"/>
                    </a:xfrm>
                    <a:prstGeom prst="rect">
                      <a:avLst/>
                    </a:prstGeom>
                    <a:noFill/>
                    <a:ln>
                      <a:noFill/>
                    </a:ln>
                  </pic:spPr>
                </pic:pic>
              </a:graphicData>
            </a:graphic>
          </wp:inline>
        </w:drawing>
      </w:r>
      <w:r>
        <w:rPr>
          <w:rFonts w:cs="Arial"/>
          <w:sz w:val="16"/>
          <w:szCs w:val="16"/>
        </w:rPr>
        <w:t xml:space="preserve">Source: </w:t>
      </w:r>
      <w:r w:rsidRPr="0038002F">
        <w:rPr>
          <w:rFonts w:cs="Arial"/>
          <w:sz w:val="16"/>
          <w:szCs w:val="16"/>
        </w:rPr>
        <w:t xml:space="preserve"> Monash Centre for Policy Studies (2012) Employment Forecasting Model.</w:t>
      </w:r>
    </w:p>
    <w:p w:rsidR="00E82D09" w:rsidRPr="008145D4" w:rsidRDefault="008145D4" w:rsidP="004B1B0C">
      <w:pPr>
        <w:pStyle w:val="Heading2"/>
        <w:rPr>
          <w:sz w:val="16"/>
          <w:szCs w:val="16"/>
        </w:rPr>
      </w:pPr>
      <w:bookmarkStart w:id="90" w:name="_Toc372613442"/>
      <w:r w:rsidRPr="008145D4">
        <w:t>Apprentices</w:t>
      </w:r>
      <w:r w:rsidR="004B1B0C">
        <w:t>hips</w:t>
      </w:r>
      <w:bookmarkEnd w:id="90"/>
    </w:p>
    <w:p w:rsidR="008A7538" w:rsidRDefault="003323B6" w:rsidP="008A7538">
      <w:pPr>
        <w:pStyle w:val="ListBullet"/>
        <w:numPr>
          <w:ilvl w:val="0"/>
          <w:numId w:val="0"/>
        </w:numPr>
        <w:ind w:right="113"/>
        <w:rPr>
          <w:rFonts w:cs="Arial"/>
        </w:rPr>
      </w:pPr>
      <w:r w:rsidRPr="00301762">
        <w:rPr>
          <w:rFonts w:cs="Arial"/>
        </w:rPr>
        <w:t xml:space="preserve">Since July </w:t>
      </w:r>
      <w:r w:rsidR="004679ED" w:rsidRPr="00301762">
        <w:rPr>
          <w:rFonts w:cs="Arial"/>
        </w:rPr>
        <w:t>2012 courses</w:t>
      </w:r>
      <w:r w:rsidR="00513C7F" w:rsidRPr="00301762">
        <w:rPr>
          <w:rFonts w:cs="Arial"/>
        </w:rPr>
        <w:t xml:space="preserve"> </w:t>
      </w:r>
      <w:r w:rsidR="00E82D09" w:rsidRPr="00301762">
        <w:rPr>
          <w:rFonts w:cs="Arial"/>
        </w:rPr>
        <w:t>such as Apprenticeships, attract government subsidy at the high</w:t>
      </w:r>
      <w:r w:rsidR="008A7538" w:rsidRPr="00301762">
        <w:rPr>
          <w:rFonts w:cs="Arial"/>
        </w:rPr>
        <w:t>est level in recognition of current and projected future industry skill needs. However, even though Apprenticeships receive the highest level of subsidy, due to external factors there has been a dampening of enrolments in Q</w:t>
      </w:r>
      <w:r w:rsidR="00E81C95" w:rsidRPr="00301762">
        <w:rPr>
          <w:rFonts w:cs="Arial"/>
        </w:rPr>
        <w:t>3</w:t>
      </w:r>
      <w:r w:rsidR="008A7538" w:rsidRPr="00301762">
        <w:rPr>
          <w:rFonts w:cs="Arial"/>
        </w:rPr>
        <w:t xml:space="preserve"> 2013 compared to </w:t>
      </w:r>
      <w:r w:rsidR="00E81C95" w:rsidRPr="00301762">
        <w:rPr>
          <w:rFonts w:cs="Arial"/>
        </w:rPr>
        <w:t xml:space="preserve">same periods in </w:t>
      </w:r>
      <w:r w:rsidR="008A7538" w:rsidRPr="00301762">
        <w:rPr>
          <w:rFonts w:cs="Arial"/>
        </w:rPr>
        <w:t>201</w:t>
      </w:r>
      <w:r w:rsidR="00E81C95" w:rsidRPr="00301762">
        <w:rPr>
          <w:rFonts w:cs="Arial"/>
        </w:rPr>
        <w:t>1</w:t>
      </w:r>
      <w:r w:rsidR="008A7538" w:rsidRPr="00301762">
        <w:rPr>
          <w:rFonts w:cs="Arial"/>
        </w:rPr>
        <w:t xml:space="preserve"> and 201</w:t>
      </w:r>
      <w:r w:rsidR="00E81C95" w:rsidRPr="00301762">
        <w:rPr>
          <w:rFonts w:cs="Arial"/>
        </w:rPr>
        <w:t>2</w:t>
      </w:r>
      <w:r w:rsidR="008A7538" w:rsidRPr="00301762">
        <w:rPr>
          <w:rFonts w:cs="Arial"/>
        </w:rPr>
        <w:t xml:space="preserve">. In Victoria just over half </w:t>
      </w:r>
      <w:r w:rsidR="00D45101" w:rsidRPr="00301762">
        <w:rPr>
          <w:rFonts w:cs="Arial"/>
        </w:rPr>
        <w:t>(</w:t>
      </w:r>
      <w:r w:rsidR="00BE6285" w:rsidRPr="00301762">
        <w:rPr>
          <w:rFonts w:cs="Arial"/>
        </w:rPr>
        <w:t>5</w:t>
      </w:r>
      <w:r w:rsidR="00301762" w:rsidRPr="00301762">
        <w:rPr>
          <w:rFonts w:cs="Arial"/>
        </w:rPr>
        <w:t>4</w:t>
      </w:r>
      <w:r w:rsidR="00BE6285" w:rsidRPr="00301762">
        <w:rPr>
          <w:rFonts w:cs="Arial"/>
        </w:rPr>
        <w:t xml:space="preserve"> per cent) </w:t>
      </w:r>
      <w:r w:rsidR="008A7538" w:rsidRPr="00301762">
        <w:rPr>
          <w:rFonts w:cs="Arial"/>
        </w:rPr>
        <w:t>of all Apprentice enrolments in Q</w:t>
      </w:r>
      <w:r w:rsidR="00301762" w:rsidRPr="00301762">
        <w:rPr>
          <w:rFonts w:cs="Arial"/>
        </w:rPr>
        <w:t>3</w:t>
      </w:r>
      <w:r w:rsidR="008A7538" w:rsidRPr="00301762">
        <w:rPr>
          <w:rFonts w:cs="Arial"/>
        </w:rPr>
        <w:t xml:space="preserve"> 2013 were in the Construction </w:t>
      </w:r>
      <w:r w:rsidR="003552D9" w:rsidRPr="00301762">
        <w:rPr>
          <w:rFonts w:cs="Arial"/>
        </w:rPr>
        <w:t>industry</w:t>
      </w:r>
      <w:r w:rsidR="008A7538" w:rsidRPr="00301762">
        <w:rPr>
          <w:rFonts w:cs="Arial"/>
        </w:rPr>
        <w:t>, this sector has been facing some challenging business conditions over recent years. Apprentice numbers are highly correlated with business conditions</w:t>
      </w:r>
      <w:r w:rsidR="003552D9" w:rsidRPr="00301762">
        <w:rPr>
          <w:rFonts w:cs="Arial"/>
        </w:rPr>
        <w:t xml:space="preserve"> and t</w:t>
      </w:r>
      <w:r w:rsidR="008A7538" w:rsidRPr="00301762">
        <w:rPr>
          <w:rFonts w:cs="Arial"/>
        </w:rPr>
        <w:t>his close relationship is demonstrated in the chart on the following page which shows similar trends between apprenticeship commencements</w:t>
      </w:r>
      <w:r w:rsidR="008A7538" w:rsidRPr="00301762">
        <w:rPr>
          <w:rStyle w:val="FootnoteReference"/>
        </w:rPr>
        <w:footnoteReference w:id="11"/>
      </w:r>
      <w:r w:rsidR="008A7538" w:rsidRPr="00301762">
        <w:rPr>
          <w:rFonts w:cs="Arial"/>
        </w:rPr>
        <w:t xml:space="preserve"> and new dwelling commencements</w:t>
      </w:r>
      <w:r w:rsidR="008A7538" w:rsidRPr="00301762">
        <w:rPr>
          <w:rStyle w:val="FootnoteReference"/>
        </w:rPr>
        <w:footnoteReference w:id="12"/>
      </w:r>
      <w:r w:rsidR="008A7538" w:rsidRPr="00301762">
        <w:rPr>
          <w:rFonts w:cs="Arial"/>
        </w:rPr>
        <w:t>, especially in the last few years.</w:t>
      </w:r>
      <w:r w:rsidR="00482F83">
        <w:rPr>
          <w:rFonts w:cs="Arial"/>
        </w:rPr>
        <w:t xml:space="preserve"> </w:t>
      </w:r>
    </w:p>
    <w:p w:rsidR="008A7538" w:rsidRDefault="008A7538" w:rsidP="008A7538">
      <w:pPr>
        <w:pStyle w:val="ListBullet"/>
        <w:numPr>
          <w:ilvl w:val="0"/>
          <w:numId w:val="0"/>
        </w:numPr>
        <w:ind w:right="113"/>
        <w:rPr>
          <w:rFonts w:cs="Arial"/>
        </w:rPr>
      </w:pPr>
      <w:r>
        <w:rPr>
          <w:rFonts w:cs="Arial"/>
        </w:rPr>
        <w:t xml:space="preserve">Recent data released by the National Centre for Vocational Education Research (NCVER) show that Victoria is not the only jurisdiction that has experienced reductions in apprentices and trainees in-training in traditional trades. States such as NSW and Queensland are also having similar trends. This is </w:t>
      </w:r>
      <w:r w:rsidR="0048472F">
        <w:rPr>
          <w:rFonts w:cs="Arial"/>
        </w:rPr>
        <w:t>likely</w:t>
      </w:r>
      <w:r>
        <w:rPr>
          <w:rFonts w:cs="Arial"/>
        </w:rPr>
        <w:t xml:space="preserve"> reflective of difficult business conditions for this industry being faced across Australia.</w:t>
      </w:r>
    </w:p>
    <w:p w:rsidR="00482F83" w:rsidRDefault="00482F83" w:rsidP="00C36320"/>
    <w:p w:rsidR="00B02EF0" w:rsidRDefault="00B02EF0">
      <w:pPr>
        <w:spacing w:after="0" w:line="240" w:lineRule="auto"/>
        <w:jc w:val="left"/>
        <w:rPr>
          <w:b/>
          <w:bCs/>
          <w:color w:val="76923C" w:themeColor="accent3" w:themeShade="BF"/>
          <w:sz w:val="18"/>
          <w:szCs w:val="16"/>
        </w:rPr>
      </w:pPr>
      <w:r>
        <w:br w:type="page"/>
      </w:r>
    </w:p>
    <w:p w:rsidR="008A7538" w:rsidRPr="003552D9" w:rsidRDefault="008A7538" w:rsidP="003552D9">
      <w:pPr>
        <w:pStyle w:val="Caption"/>
      </w:pPr>
      <w:r w:rsidRPr="00662BE3">
        <w:lastRenderedPageBreak/>
        <w:t>Figure 3.</w:t>
      </w:r>
      <w:r w:rsidR="008610B1" w:rsidRPr="00662BE3">
        <w:t>3</w:t>
      </w:r>
      <w:r w:rsidRPr="00662BE3">
        <w:t>: Number of apprenticeship commencements and new dwelling units commenced all sectors</w:t>
      </w:r>
      <w:r w:rsidRPr="00662BE3">
        <w:br/>
        <w:t xml:space="preserve">Quarter 1 2000 to Quarter </w:t>
      </w:r>
      <w:r w:rsidR="0047004A" w:rsidRPr="00662BE3">
        <w:t>3</w:t>
      </w:r>
      <w:r w:rsidRPr="00662BE3">
        <w:t xml:space="preserve"> 2013</w:t>
      </w:r>
      <w:r w:rsidRPr="003552D9">
        <w:t xml:space="preserve"> </w:t>
      </w:r>
    </w:p>
    <w:p w:rsidR="008A7538" w:rsidRPr="00601D9A" w:rsidRDefault="0047004A" w:rsidP="008A7538">
      <w:r>
        <w:rPr>
          <w:noProof/>
          <w:lang w:eastAsia="en-AU"/>
        </w:rPr>
        <w:drawing>
          <wp:inline distT="0" distB="0" distL="0" distR="0" wp14:anchorId="72B74149" wp14:editId="7B507092">
            <wp:extent cx="5770800" cy="3546000"/>
            <wp:effectExtent l="0" t="0" r="0" b="0"/>
            <wp:docPr id="225" name="Picture 225" descr="This chart shows the number of government subsidised apprenticeship commencements and the ABS new dwelling unit commencements from Q1 2000 to Q3 2013." title="Figure 3.3: Number of apprenticeship commencements and new dwelling units commenced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0800" cy="3546000"/>
                    </a:xfrm>
                    <a:prstGeom prst="rect">
                      <a:avLst/>
                    </a:prstGeom>
                    <a:noFill/>
                  </pic:spPr>
                </pic:pic>
              </a:graphicData>
            </a:graphic>
          </wp:inline>
        </w:drawing>
      </w:r>
    </w:p>
    <w:p w:rsidR="008A7538" w:rsidRDefault="008A7538" w:rsidP="008A7538">
      <w:pPr>
        <w:spacing w:after="0" w:line="240" w:lineRule="auto"/>
        <w:jc w:val="left"/>
        <w:rPr>
          <w:rFonts w:cs="Arial"/>
        </w:rPr>
      </w:pPr>
    </w:p>
    <w:p w:rsidR="00197840" w:rsidRPr="006B0F2D" w:rsidRDefault="00197840" w:rsidP="00197840">
      <w:pPr>
        <w:pStyle w:val="Caption"/>
      </w:pPr>
      <w:r w:rsidRPr="00662BE3">
        <w:t>Figure 3.</w:t>
      </w:r>
      <w:r w:rsidR="008610B1" w:rsidRPr="00662BE3">
        <w:t>4</w:t>
      </w:r>
      <w:r w:rsidRPr="00662BE3">
        <w:t xml:space="preserve">: Number of </w:t>
      </w:r>
      <w:r w:rsidRPr="00662BE3">
        <w:rPr>
          <w:lang w:val="en-US"/>
        </w:rPr>
        <w:t>Apprentices and trainees in-training in traditional trades, Vic, New South Wales and Queensland, Quarter 1 2008 – Quarter 4 2012 (NCVER)</w:t>
      </w:r>
    </w:p>
    <w:p w:rsidR="00197840" w:rsidRDefault="00197840" w:rsidP="00197840">
      <w:r w:rsidRPr="00426187">
        <w:rPr>
          <w:noProof/>
          <w:lang w:eastAsia="en-AU"/>
        </w:rPr>
        <w:drawing>
          <wp:inline distT="0" distB="0" distL="0" distR="0" wp14:anchorId="57FB962F" wp14:editId="69BD80BC">
            <wp:extent cx="5346000" cy="3333600"/>
            <wp:effectExtent l="0" t="0" r="7620" b="635"/>
            <wp:docPr id="25" name="Picture 25" descr="This chart shows the number of apprentices and trainees in-training in traditional trades in Victoria, New South Wales and Queensland from Quarter 1 2008 to Quarter 4 2012.  These figures were sourced from the NCVER report." title="Figure 3.4: Number of Apprentices and trainees in-training in traditional trades, Vic, New South Wales and Queensland, Quarter 1 2008 – Quarter 4 2012 (NC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46000" cy="3333600"/>
                    </a:xfrm>
                    <a:prstGeom prst="rect">
                      <a:avLst/>
                    </a:prstGeom>
                    <a:noFill/>
                    <a:ln>
                      <a:noFill/>
                    </a:ln>
                  </pic:spPr>
                </pic:pic>
              </a:graphicData>
            </a:graphic>
          </wp:inline>
        </w:drawing>
      </w:r>
    </w:p>
    <w:p w:rsidR="00197840" w:rsidRDefault="00197840" w:rsidP="00197840">
      <w:pPr>
        <w:rPr>
          <w:sz w:val="16"/>
          <w:szCs w:val="16"/>
        </w:rPr>
      </w:pPr>
      <w:r w:rsidRPr="00227312">
        <w:rPr>
          <w:sz w:val="16"/>
          <w:szCs w:val="16"/>
        </w:rPr>
        <w:t>Source: Apprentices and Trainees December 2012, VO</w:t>
      </w:r>
      <w:r>
        <w:rPr>
          <w:sz w:val="16"/>
          <w:szCs w:val="16"/>
        </w:rPr>
        <w:t>C</w:t>
      </w:r>
      <w:r w:rsidRPr="00227312">
        <w:rPr>
          <w:sz w:val="16"/>
          <w:szCs w:val="16"/>
        </w:rPr>
        <w:t>STATS NCVER</w:t>
      </w:r>
    </w:p>
    <w:p w:rsidR="008A7538" w:rsidRDefault="008A7538" w:rsidP="00E82D09">
      <w:pPr>
        <w:pStyle w:val="ListBullet"/>
        <w:numPr>
          <w:ilvl w:val="0"/>
          <w:numId w:val="0"/>
        </w:numPr>
        <w:ind w:right="113"/>
        <w:rPr>
          <w:rFonts w:cs="Arial"/>
        </w:rPr>
      </w:pPr>
    </w:p>
    <w:p w:rsidR="00B02EF0" w:rsidRDefault="00B02EF0">
      <w:pPr>
        <w:spacing w:after="0" w:line="240" w:lineRule="auto"/>
        <w:jc w:val="left"/>
        <w:rPr>
          <w:rFonts w:cs="Arial"/>
          <w:b/>
          <w:bCs/>
          <w:color w:val="76923C" w:themeColor="accent3" w:themeShade="BF"/>
          <w:sz w:val="18"/>
          <w:szCs w:val="16"/>
        </w:rPr>
      </w:pPr>
      <w:r>
        <w:rPr>
          <w:rFonts w:cs="Arial"/>
        </w:rPr>
        <w:br w:type="page"/>
      </w:r>
    </w:p>
    <w:p w:rsidR="00DD3AC7" w:rsidRDefault="00DD3AC7" w:rsidP="00DD3AC7">
      <w:pPr>
        <w:pStyle w:val="Caption"/>
        <w:spacing w:after="0"/>
        <w:jc w:val="left"/>
        <w:rPr>
          <w:rFonts w:cs="Arial"/>
        </w:rPr>
      </w:pPr>
      <w:r>
        <w:rPr>
          <w:rFonts w:cs="Arial"/>
        </w:rPr>
        <w:lastRenderedPageBreak/>
        <w:t>Table 3</w:t>
      </w:r>
      <w:r w:rsidRPr="001F29E3">
        <w:rPr>
          <w:rFonts w:cs="Arial"/>
        </w:rPr>
        <w:t>.</w:t>
      </w:r>
      <w:r w:rsidR="00734456">
        <w:rPr>
          <w:rFonts w:cs="Arial"/>
        </w:rPr>
        <w:t>5</w:t>
      </w:r>
      <w:r>
        <w:rPr>
          <w:rFonts w:cs="Arial"/>
        </w:rPr>
        <w:t>.1</w:t>
      </w:r>
      <w:r w:rsidRPr="001F29E3">
        <w:rPr>
          <w:rFonts w:cs="Arial"/>
        </w:rPr>
        <w:t xml:space="preserve">: Government subsidised enrolments by apprentices by </w:t>
      </w:r>
      <w:r>
        <w:rPr>
          <w:rFonts w:cs="Arial"/>
        </w:rPr>
        <w:t>age</w:t>
      </w:r>
      <w:r w:rsidRPr="001F29E3">
        <w:rPr>
          <w:rFonts w:cs="Arial"/>
        </w:rPr>
        <w:t>, 2008–2012</w:t>
      </w:r>
    </w:p>
    <w:tbl>
      <w:tblPr>
        <w:tblW w:w="9300" w:type="dxa"/>
        <w:tblInd w:w="108" w:type="dxa"/>
        <w:tblLook w:val="04A0" w:firstRow="1" w:lastRow="0" w:firstColumn="1" w:lastColumn="0" w:noHBand="0" w:noVBand="1"/>
      </w:tblPr>
      <w:tblGrid>
        <w:gridCol w:w="2580"/>
        <w:gridCol w:w="1120"/>
        <w:gridCol w:w="1120"/>
        <w:gridCol w:w="1120"/>
        <w:gridCol w:w="1120"/>
        <w:gridCol w:w="1120"/>
        <w:gridCol w:w="1120"/>
      </w:tblGrid>
      <w:tr w:rsidR="00DD3AC7" w:rsidRPr="00867C79" w:rsidTr="00DD3AC7">
        <w:trPr>
          <w:trHeight w:hRule="exact" w:val="760"/>
        </w:trPr>
        <w:tc>
          <w:tcPr>
            <w:tcW w:w="2580" w:type="dxa"/>
            <w:tcBorders>
              <w:top w:val="single" w:sz="4" w:space="0" w:color="5E8A00"/>
              <w:left w:val="single" w:sz="4" w:space="0" w:color="5E8A00"/>
              <w:bottom w:val="single" w:sz="4" w:space="0" w:color="5E8A00"/>
            </w:tcBorders>
            <w:shd w:val="clear" w:color="000000" w:fill="5E8A00"/>
            <w:noWrap/>
            <w:vAlign w:val="center"/>
            <w:hideMark/>
          </w:tcPr>
          <w:p w:rsidR="00DD3AC7" w:rsidRPr="00867C79" w:rsidRDefault="00DD3AC7" w:rsidP="00DD3AC7">
            <w:pPr>
              <w:spacing w:after="0" w:line="240" w:lineRule="auto"/>
              <w:ind w:firstLineChars="100" w:firstLine="181"/>
              <w:jc w:val="left"/>
              <w:rPr>
                <w:rFonts w:cs="Arial"/>
                <w:b/>
                <w:bCs/>
                <w:color w:val="FFFFFF"/>
                <w:sz w:val="18"/>
                <w:szCs w:val="18"/>
                <w:lang w:eastAsia="en-AU"/>
              </w:rPr>
            </w:pPr>
            <w:r w:rsidRPr="00867C79">
              <w:rPr>
                <w:rFonts w:cs="Arial"/>
                <w:b/>
                <w:bCs/>
                <w:color w:val="FFFFFF"/>
                <w:sz w:val="18"/>
                <w:szCs w:val="18"/>
                <w:lang w:eastAsia="en-AU"/>
              </w:rPr>
              <w:t> </w:t>
            </w:r>
          </w:p>
        </w:tc>
        <w:tc>
          <w:tcPr>
            <w:tcW w:w="1120" w:type="dxa"/>
            <w:tcBorders>
              <w:top w:val="single" w:sz="4" w:space="0" w:color="5E8A00"/>
              <w:bottom w:val="single" w:sz="4" w:space="0" w:color="5E8A00"/>
            </w:tcBorders>
            <w:shd w:val="clear" w:color="000000" w:fill="5E8A00"/>
            <w:vAlign w:val="center"/>
            <w:hideMark/>
          </w:tcPr>
          <w:p w:rsidR="00DD3AC7" w:rsidRPr="00867C79" w:rsidRDefault="00DD3AC7" w:rsidP="00DD3AC7">
            <w:pPr>
              <w:spacing w:after="0" w:line="240" w:lineRule="auto"/>
              <w:ind w:firstLineChars="100" w:firstLine="181"/>
              <w:jc w:val="right"/>
              <w:rPr>
                <w:rFonts w:cs="Arial"/>
                <w:b/>
                <w:bCs/>
                <w:color w:val="FFFFFF"/>
                <w:sz w:val="18"/>
                <w:szCs w:val="18"/>
                <w:lang w:eastAsia="en-AU"/>
              </w:rPr>
            </w:pPr>
            <w:r w:rsidRPr="00867C79">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DD3AC7" w:rsidRPr="00867C79" w:rsidRDefault="00DD3AC7" w:rsidP="00DD3AC7">
            <w:pPr>
              <w:spacing w:after="0" w:line="240" w:lineRule="auto"/>
              <w:ind w:firstLineChars="100" w:firstLine="181"/>
              <w:jc w:val="right"/>
              <w:rPr>
                <w:rFonts w:cs="Arial"/>
                <w:b/>
                <w:bCs/>
                <w:color w:val="FFFFFF"/>
                <w:sz w:val="18"/>
                <w:szCs w:val="18"/>
                <w:lang w:eastAsia="en-AU"/>
              </w:rPr>
            </w:pPr>
            <w:r w:rsidRPr="00867C79">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DD3AC7" w:rsidRPr="00867C79" w:rsidRDefault="00DD3AC7" w:rsidP="00DD3AC7">
            <w:pPr>
              <w:spacing w:after="0" w:line="240" w:lineRule="auto"/>
              <w:ind w:firstLineChars="100" w:firstLine="181"/>
              <w:jc w:val="right"/>
              <w:rPr>
                <w:rFonts w:cs="Arial"/>
                <w:b/>
                <w:bCs/>
                <w:color w:val="FFFFFF"/>
                <w:sz w:val="18"/>
                <w:szCs w:val="18"/>
                <w:lang w:eastAsia="en-AU"/>
              </w:rPr>
            </w:pPr>
            <w:r w:rsidRPr="00867C79">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DD3AC7" w:rsidRPr="00867C79" w:rsidRDefault="00DD3AC7" w:rsidP="00DD3AC7">
            <w:pPr>
              <w:spacing w:after="0" w:line="240" w:lineRule="auto"/>
              <w:ind w:firstLineChars="100" w:firstLine="181"/>
              <w:jc w:val="right"/>
              <w:rPr>
                <w:rFonts w:cs="Arial"/>
                <w:b/>
                <w:bCs/>
                <w:color w:val="FFFFFF"/>
                <w:sz w:val="18"/>
                <w:szCs w:val="18"/>
                <w:lang w:eastAsia="en-AU"/>
              </w:rPr>
            </w:pPr>
            <w:r w:rsidRPr="00867C79">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DD3AC7" w:rsidRPr="00867C79" w:rsidRDefault="00DD3AC7" w:rsidP="00DD3AC7">
            <w:pPr>
              <w:spacing w:after="0" w:line="240" w:lineRule="auto"/>
              <w:ind w:firstLineChars="100" w:firstLine="181"/>
              <w:jc w:val="right"/>
              <w:rPr>
                <w:rFonts w:cs="Arial"/>
                <w:b/>
                <w:bCs/>
                <w:color w:val="FFFFFF"/>
                <w:sz w:val="18"/>
                <w:szCs w:val="18"/>
                <w:lang w:eastAsia="en-AU"/>
              </w:rPr>
            </w:pPr>
            <w:r w:rsidRPr="00867C79">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change</w:t>
            </w:r>
            <w:r w:rsidRPr="00867C79">
              <w:rPr>
                <w:rFonts w:cs="Arial"/>
                <w:b/>
                <w:bCs/>
                <w:color w:val="FFFFFF"/>
                <w:sz w:val="18"/>
                <w:szCs w:val="18"/>
                <w:lang w:eastAsia="en-AU"/>
              </w:rPr>
              <w:br/>
              <w:t>2008-2012</w:t>
            </w:r>
          </w:p>
        </w:tc>
      </w:tr>
      <w:tr w:rsidR="00DD3AC7" w:rsidRPr="00867C79" w:rsidTr="00DD3AC7">
        <w:trPr>
          <w:trHeight w:hRule="exact" w:val="284"/>
        </w:trPr>
        <w:tc>
          <w:tcPr>
            <w:tcW w:w="2580" w:type="dxa"/>
            <w:tcBorders>
              <w:top w:val="nil"/>
              <w:left w:val="single" w:sz="4" w:space="0" w:color="5E8A00"/>
              <w:bottom w:val="single" w:sz="4" w:space="0" w:color="5E8A00"/>
              <w:right w:val="single" w:sz="4" w:space="0" w:color="5E8A00"/>
            </w:tcBorders>
            <w:shd w:val="clear" w:color="000000" w:fill="FFFFFF"/>
            <w:noWrap/>
            <w:vAlign w:val="center"/>
            <w:hideMark/>
          </w:tcPr>
          <w:p w:rsidR="00DD3AC7" w:rsidRPr="00867C79" w:rsidRDefault="00DD3AC7" w:rsidP="00DD3AC7">
            <w:pPr>
              <w:spacing w:after="0" w:line="240" w:lineRule="auto"/>
              <w:jc w:val="left"/>
              <w:rPr>
                <w:rFonts w:cs="Arial"/>
                <w:color w:val="3E5B00"/>
                <w:sz w:val="18"/>
                <w:szCs w:val="18"/>
                <w:lang w:eastAsia="en-AU"/>
              </w:rPr>
            </w:pPr>
            <w:r w:rsidRPr="00867C79">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19,100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18,400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19,400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19,300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17,300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-9%</w:t>
            </w:r>
          </w:p>
        </w:tc>
      </w:tr>
      <w:tr w:rsidR="00DD3AC7" w:rsidRPr="00867C79" w:rsidTr="00DD3AC7">
        <w:trPr>
          <w:trHeight w:hRule="exact" w:val="284"/>
        </w:trPr>
        <w:tc>
          <w:tcPr>
            <w:tcW w:w="2580" w:type="dxa"/>
            <w:tcBorders>
              <w:top w:val="nil"/>
              <w:left w:val="single" w:sz="4" w:space="0" w:color="5E8A00"/>
              <w:bottom w:val="single" w:sz="4" w:space="0" w:color="5E8A00"/>
              <w:right w:val="single" w:sz="4" w:space="0" w:color="5E8A00"/>
            </w:tcBorders>
            <w:shd w:val="clear" w:color="000000" w:fill="FFFFFF"/>
            <w:noWrap/>
            <w:vAlign w:val="center"/>
            <w:hideMark/>
          </w:tcPr>
          <w:p w:rsidR="00DD3AC7" w:rsidRPr="00867C79" w:rsidRDefault="00DD3AC7" w:rsidP="00DD3AC7">
            <w:pPr>
              <w:spacing w:after="0" w:line="240" w:lineRule="auto"/>
              <w:jc w:val="left"/>
              <w:rPr>
                <w:rFonts w:cs="Arial"/>
                <w:color w:val="3E5B00"/>
                <w:sz w:val="18"/>
                <w:szCs w:val="18"/>
                <w:lang w:eastAsia="en-AU"/>
              </w:rPr>
            </w:pPr>
            <w:r w:rsidRPr="00867C79">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16,300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16,500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18,100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18,500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18,800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15%</w:t>
            </w:r>
          </w:p>
        </w:tc>
      </w:tr>
      <w:tr w:rsidR="00DD3AC7" w:rsidRPr="00867C79" w:rsidTr="00DD3AC7">
        <w:trPr>
          <w:trHeight w:hRule="exact" w:val="284"/>
        </w:trPr>
        <w:tc>
          <w:tcPr>
            <w:tcW w:w="2580" w:type="dxa"/>
            <w:tcBorders>
              <w:top w:val="nil"/>
              <w:left w:val="single" w:sz="4" w:space="0" w:color="5E8A00"/>
              <w:bottom w:val="single" w:sz="4" w:space="0" w:color="5E8A00"/>
              <w:right w:val="single" w:sz="4" w:space="0" w:color="5E8A00"/>
            </w:tcBorders>
            <w:shd w:val="clear" w:color="000000" w:fill="FFFFFF"/>
            <w:noWrap/>
            <w:vAlign w:val="center"/>
            <w:hideMark/>
          </w:tcPr>
          <w:p w:rsidR="00DD3AC7" w:rsidRPr="00867C79" w:rsidRDefault="00DD3AC7" w:rsidP="00DD3AC7">
            <w:pPr>
              <w:spacing w:after="0" w:line="240" w:lineRule="auto"/>
              <w:jc w:val="left"/>
              <w:rPr>
                <w:rFonts w:cs="Arial"/>
                <w:color w:val="3E5B00"/>
                <w:sz w:val="18"/>
                <w:szCs w:val="18"/>
                <w:lang w:eastAsia="en-AU"/>
              </w:rPr>
            </w:pPr>
            <w:r w:rsidRPr="00867C79">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5,900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6,300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7,100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7,800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8,100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36%</w:t>
            </w:r>
          </w:p>
        </w:tc>
      </w:tr>
      <w:tr w:rsidR="00DD3AC7" w:rsidRPr="00867C79" w:rsidTr="00DD3AC7">
        <w:trPr>
          <w:trHeight w:hRule="exact" w:val="284"/>
        </w:trPr>
        <w:tc>
          <w:tcPr>
            <w:tcW w:w="2580" w:type="dxa"/>
            <w:tcBorders>
              <w:top w:val="nil"/>
              <w:left w:val="single" w:sz="4" w:space="0" w:color="5E8A00"/>
              <w:bottom w:val="single" w:sz="4" w:space="0" w:color="5E8A00"/>
              <w:right w:val="single" w:sz="4" w:space="0" w:color="5E8A00"/>
            </w:tcBorders>
            <w:shd w:val="clear" w:color="000000" w:fill="FFFFFF"/>
            <w:noWrap/>
            <w:vAlign w:val="center"/>
            <w:hideMark/>
          </w:tcPr>
          <w:p w:rsidR="00DD3AC7" w:rsidRPr="00867C79" w:rsidRDefault="00DD3AC7" w:rsidP="00DD3AC7">
            <w:pPr>
              <w:spacing w:after="0" w:line="240" w:lineRule="auto"/>
              <w:jc w:val="left"/>
              <w:rPr>
                <w:rFonts w:cs="Arial"/>
                <w:color w:val="3E5B00"/>
                <w:sz w:val="18"/>
                <w:szCs w:val="18"/>
                <w:lang w:eastAsia="en-AU"/>
              </w:rPr>
            </w:pPr>
            <w:r w:rsidRPr="00867C79">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650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850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70%</w:t>
            </w:r>
          </w:p>
        </w:tc>
      </w:tr>
      <w:tr w:rsidR="00DD3AC7" w:rsidRPr="00867C79" w:rsidTr="00DD3AC7">
        <w:trPr>
          <w:trHeight w:hRule="exact" w:val="284"/>
        </w:trPr>
        <w:tc>
          <w:tcPr>
            <w:tcW w:w="2580" w:type="dxa"/>
            <w:tcBorders>
              <w:top w:val="nil"/>
              <w:left w:val="single" w:sz="4" w:space="0" w:color="5E8A00"/>
              <w:bottom w:val="single" w:sz="4" w:space="0" w:color="5E8A00"/>
              <w:right w:val="single" w:sz="4" w:space="0" w:color="5E8A00"/>
            </w:tcBorders>
            <w:shd w:val="clear" w:color="000000" w:fill="FFFFFF"/>
            <w:noWrap/>
            <w:vAlign w:val="center"/>
            <w:hideMark/>
          </w:tcPr>
          <w:p w:rsidR="00DD3AC7" w:rsidRPr="00867C79" w:rsidRDefault="00DD3AC7" w:rsidP="00DD3AC7">
            <w:pPr>
              <w:spacing w:after="0" w:line="240" w:lineRule="auto"/>
              <w:jc w:val="left"/>
              <w:rPr>
                <w:rFonts w:cs="Arial"/>
                <w:color w:val="3E5B00"/>
                <w:sz w:val="18"/>
                <w:szCs w:val="18"/>
                <w:lang w:eastAsia="en-AU"/>
              </w:rPr>
            </w:pPr>
            <w:r w:rsidRPr="00867C79">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50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30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20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20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 xml:space="preserve">10 </w:t>
            </w:r>
          </w:p>
        </w:tc>
        <w:tc>
          <w:tcPr>
            <w:tcW w:w="1120" w:type="dxa"/>
            <w:tcBorders>
              <w:top w:val="nil"/>
              <w:left w:val="nil"/>
              <w:bottom w:val="single" w:sz="4" w:space="0" w:color="5E8A00"/>
              <w:right w:val="single" w:sz="4" w:space="0" w:color="5E8A00"/>
            </w:tcBorders>
            <w:shd w:val="clear" w:color="auto" w:fill="auto"/>
            <w:noWrap/>
            <w:vAlign w:val="center"/>
            <w:hideMark/>
          </w:tcPr>
          <w:p w:rsidR="00DD3AC7" w:rsidRPr="00867C79" w:rsidRDefault="00DD3AC7" w:rsidP="00DD3AC7">
            <w:pPr>
              <w:spacing w:after="0" w:line="240" w:lineRule="auto"/>
              <w:jc w:val="right"/>
              <w:rPr>
                <w:rFonts w:cs="Arial"/>
                <w:sz w:val="18"/>
                <w:szCs w:val="18"/>
                <w:lang w:eastAsia="en-AU"/>
              </w:rPr>
            </w:pPr>
            <w:r w:rsidRPr="00867C79">
              <w:rPr>
                <w:rFonts w:cs="Arial"/>
                <w:sz w:val="18"/>
                <w:szCs w:val="18"/>
                <w:lang w:eastAsia="en-AU"/>
              </w:rPr>
              <w:t>-80%</w:t>
            </w:r>
          </w:p>
        </w:tc>
      </w:tr>
      <w:tr w:rsidR="00DD3AC7" w:rsidRPr="00867C79" w:rsidTr="00DD3AC7">
        <w:trPr>
          <w:trHeight w:hRule="exact" w:val="284"/>
        </w:trPr>
        <w:tc>
          <w:tcPr>
            <w:tcW w:w="2580" w:type="dxa"/>
            <w:tcBorders>
              <w:top w:val="single" w:sz="4" w:space="0" w:color="5E8A00"/>
              <w:left w:val="single" w:sz="4" w:space="0" w:color="5E8A00"/>
              <w:bottom w:val="nil"/>
            </w:tcBorders>
            <w:shd w:val="clear" w:color="000000" w:fill="5E8A00"/>
            <w:noWrap/>
            <w:vAlign w:val="center"/>
            <w:hideMark/>
          </w:tcPr>
          <w:p w:rsidR="00DD3AC7" w:rsidRPr="00867C79" w:rsidRDefault="00547292" w:rsidP="00DD3AC7">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120" w:type="dxa"/>
            <w:tcBorders>
              <w:top w:val="single" w:sz="4" w:space="0" w:color="5E8A00"/>
              <w:bottom w:val="nil"/>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xml:space="preserve">41,900 </w:t>
            </w:r>
          </w:p>
        </w:tc>
        <w:tc>
          <w:tcPr>
            <w:tcW w:w="1120" w:type="dxa"/>
            <w:tcBorders>
              <w:top w:val="single" w:sz="4" w:space="0" w:color="5E8A00"/>
              <w:bottom w:val="nil"/>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xml:space="preserve">41,600 </w:t>
            </w:r>
          </w:p>
        </w:tc>
        <w:tc>
          <w:tcPr>
            <w:tcW w:w="1120" w:type="dxa"/>
            <w:tcBorders>
              <w:top w:val="single" w:sz="4" w:space="0" w:color="5E8A00"/>
              <w:bottom w:val="nil"/>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xml:space="preserve">45,300 </w:t>
            </w:r>
          </w:p>
        </w:tc>
        <w:tc>
          <w:tcPr>
            <w:tcW w:w="1120" w:type="dxa"/>
            <w:tcBorders>
              <w:top w:val="single" w:sz="4" w:space="0" w:color="5E8A00"/>
              <w:bottom w:val="nil"/>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xml:space="preserve">46,300 </w:t>
            </w:r>
          </w:p>
        </w:tc>
        <w:tc>
          <w:tcPr>
            <w:tcW w:w="1120" w:type="dxa"/>
            <w:tcBorders>
              <w:top w:val="single" w:sz="4" w:space="0" w:color="5E8A00"/>
              <w:bottom w:val="nil"/>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 xml:space="preserve">45,000 </w:t>
            </w:r>
          </w:p>
        </w:tc>
        <w:tc>
          <w:tcPr>
            <w:tcW w:w="1120" w:type="dxa"/>
            <w:tcBorders>
              <w:top w:val="single" w:sz="4" w:space="0" w:color="5E8A00"/>
              <w:bottom w:val="nil"/>
              <w:right w:val="single" w:sz="4" w:space="0" w:color="5E8A00"/>
            </w:tcBorders>
            <w:shd w:val="clear" w:color="000000" w:fill="5E8A00"/>
            <w:noWrap/>
            <w:vAlign w:val="center"/>
            <w:hideMark/>
          </w:tcPr>
          <w:p w:rsidR="00DD3AC7" w:rsidRPr="00867C79" w:rsidRDefault="00DD3AC7" w:rsidP="00DD3AC7">
            <w:pPr>
              <w:spacing w:after="0" w:line="240" w:lineRule="auto"/>
              <w:jc w:val="right"/>
              <w:rPr>
                <w:rFonts w:cs="Arial"/>
                <w:b/>
                <w:bCs/>
                <w:color w:val="FFFFFF"/>
                <w:sz w:val="18"/>
                <w:szCs w:val="18"/>
                <w:lang w:eastAsia="en-AU"/>
              </w:rPr>
            </w:pPr>
            <w:r w:rsidRPr="00867C79">
              <w:rPr>
                <w:rFonts w:cs="Arial"/>
                <w:b/>
                <w:bCs/>
                <w:color w:val="FFFFFF"/>
                <w:sz w:val="18"/>
                <w:szCs w:val="18"/>
                <w:lang w:eastAsia="en-AU"/>
              </w:rPr>
              <w:t>8%</w:t>
            </w:r>
          </w:p>
        </w:tc>
      </w:tr>
    </w:tbl>
    <w:p w:rsidR="00DD3AC7" w:rsidRDefault="00DD3AC7" w:rsidP="00DD3AC7"/>
    <w:p w:rsidR="00DD3AC7" w:rsidRDefault="00DD3AC7" w:rsidP="00DD3AC7">
      <w:pPr>
        <w:pStyle w:val="Caption"/>
        <w:spacing w:after="0"/>
      </w:pPr>
      <w:r>
        <w:t>Table 3</w:t>
      </w:r>
      <w:r w:rsidRPr="001F29E3">
        <w:t>.</w:t>
      </w:r>
      <w:r w:rsidR="00734456">
        <w:t>5</w:t>
      </w:r>
      <w:r>
        <w:t>.2</w:t>
      </w:r>
      <w:r w:rsidRPr="001F29E3">
        <w:t xml:space="preserve">: Government subsidised enrolments by apprentices by </w:t>
      </w:r>
      <w:r>
        <w:t>age</w:t>
      </w:r>
      <w:r w:rsidRPr="001F29E3">
        <w:t>, Q</w:t>
      </w:r>
      <w:r w:rsidR="00910E61">
        <w:t>3</w:t>
      </w:r>
      <w:r w:rsidRPr="001F29E3">
        <w:t xml:space="preserve"> 201</w:t>
      </w:r>
      <w:r>
        <w:t>1, Q</w:t>
      </w:r>
      <w:r w:rsidR="00910E61">
        <w:t>3</w:t>
      </w:r>
      <w:r>
        <w:t xml:space="preserve"> 2012 and Q</w:t>
      </w:r>
      <w:r w:rsidR="00910E61">
        <w:t>3</w:t>
      </w:r>
      <w:r>
        <w:t xml:space="preserve"> </w:t>
      </w:r>
      <w:r w:rsidRPr="001F29E3">
        <w:t>2013</w:t>
      </w:r>
    </w:p>
    <w:tbl>
      <w:tblPr>
        <w:tblW w:w="9356" w:type="dxa"/>
        <w:tblInd w:w="108" w:type="dxa"/>
        <w:tblLayout w:type="fixed"/>
        <w:tblLook w:val="04A0" w:firstRow="1" w:lastRow="0" w:firstColumn="1" w:lastColumn="0" w:noHBand="0" w:noVBand="1"/>
      </w:tblPr>
      <w:tblGrid>
        <w:gridCol w:w="2552"/>
        <w:gridCol w:w="1360"/>
        <w:gridCol w:w="1361"/>
        <w:gridCol w:w="1361"/>
        <w:gridCol w:w="1361"/>
        <w:gridCol w:w="1361"/>
      </w:tblGrid>
      <w:tr w:rsidR="00910E61" w:rsidRPr="00910E61" w:rsidTr="00910E61">
        <w:trPr>
          <w:trHeight w:hRule="exact" w:val="760"/>
        </w:trPr>
        <w:tc>
          <w:tcPr>
            <w:tcW w:w="2552"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ind w:firstLineChars="100" w:firstLine="181"/>
              <w:jc w:val="left"/>
              <w:rPr>
                <w:rFonts w:cs="Arial"/>
                <w:b/>
                <w:bCs/>
                <w:color w:val="FFFFFF"/>
                <w:sz w:val="18"/>
                <w:szCs w:val="18"/>
                <w:lang w:eastAsia="en-AU"/>
              </w:rPr>
            </w:pPr>
            <w:r w:rsidRPr="00910E61">
              <w:rPr>
                <w:rFonts w:cs="Arial"/>
                <w:b/>
                <w:bCs/>
                <w:color w:val="FFFFFF"/>
                <w:sz w:val="18"/>
                <w:szCs w:val="18"/>
                <w:lang w:eastAsia="en-AU"/>
              </w:rPr>
              <w:t> </w:t>
            </w:r>
          </w:p>
        </w:tc>
        <w:tc>
          <w:tcPr>
            <w:tcW w:w="1360"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2011</w:t>
            </w:r>
          </w:p>
        </w:tc>
        <w:tc>
          <w:tcPr>
            <w:tcW w:w="1361"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2012</w:t>
            </w:r>
          </w:p>
        </w:tc>
        <w:tc>
          <w:tcPr>
            <w:tcW w:w="1361"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2013</w:t>
            </w:r>
          </w:p>
        </w:tc>
        <w:tc>
          <w:tcPr>
            <w:tcW w:w="1361"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2011-Q3 2013 </w:t>
            </w:r>
          </w:p>
        </w:tc>
        <w:tc>
          <w:tcPr>
            <w:tcW w:w="1361" w:type="dxa"/>
            <w:tcBorders>
              <w:top w:val="single" w:sz="4" w:space="0" w:color="5E8A00"/>
              <w:left w:val="nil"/>
              <w:bottom w:val="single" w:sz="4" w:space="0" w:color="5E8A00"/>
              <w:right w:val="nil"/>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2012-Q3 2013</w:t>
            </w:r>
          </w:p>
        </w:tc>
      </w:tr>
      <w:tr w:rsidR="00910E61" w:rsidRPr="00910E61" w:rsidTr="00910E61">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15 to 19</w:t>
            </w:r>
          </w:p>
        </w:tc>
        <w:tc>
          <w:tcPr>
            <w:tcW w:w="136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17,500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15,900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13,700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-22%</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-13%</w:t>
            </w:r>
          </w:p>
        </w:tc>
      </w:tr>
      <w:tr w:rsidR="00910E61" w:rsidRPr="00910E61" w:rsidTr="00910E61">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20 to 24</w:t>
            </w:r>
          </w:p>
        </w:tc>
        <w:tc>
          <w:tcPr>
            <w:tcW w:w="136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17,500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17,900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17,300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w:t>
            </w:r>
          </w:p>
        </w:tc>
      </w:tr>
      <w:tr w:rsidR="00910E61" w:rsidRPr="00910E61" w:rsidTr="00910E61">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25 to 44</w:t>
            </w:r>
          </w:p>
        </w:tc>
        <w:tc>
          <w:tcPr>
            <w:tcW w:w="136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7,200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7,300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7,800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w:t>
            </w:r>
          </w:p>
        </w:tc>
      </w:tr>
      <w:tr w:rsidR="00910E61" w:rsidRPr="00910E61" w:rsidTr="00910E61">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45 to 64</w:t>
            </w:r>
          </w:p>
        </w:tc>
        <w:tc>
          <w:tcPr>
            <w:tcW w:w="136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650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650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1,000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61%</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52%</w:t>
            </w:r>
          </w:p>
        </w:tc>
      </w:tr>
      <w:tr w:rsidR="00910E61" w:rsidRPr="00910E61" w:rsidTr="00910E61">
        <w:trPr>
          <w:trHeight w:hRule="exact" w:val="284"/>
        </w:trPr>
        <w:tc>
          <w:tcPr>
            <w:tcW w:w="2552" w:type="dxa"/>
            <w:tcBorders>
              <w:top w:val="nil"/>
              <w:left w:val="single" w:sz="4" w:space="0" w:color="5E8A00"/>
              <w:bottom w:val="single" w:sz="4" w:space="0" w:color="5E8A00"/>
              <w:right w:val="single" w:sz="4" w:space="0" w:color="5E8A00"/>
            </w:tcBorders>
            <w:shd w:val="clear" w:color="000000" w:fill="FFFFFF"/>
            <w:noWrap/>
            <w:vAlign w:val="center"/>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Under 15, over 64, not stated</w:t>
            </w:r>
          </w:p>
        </w:tc>
        <w:tc>
          <w:tcPr>
            <w:tcW w:w="136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30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20 </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-43%</w:t>
            </w:r>
          </w:p>
        </w:tc>
        <w:tc>
          <w:tcPr>
            <w:tcW w:w="1361"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113%</w:t>
            </w:r>
          </w:p>
        </w:tc>
      </w:tr>
      <w:tr w:rsidR="00910E61" w:rsidRPr="00910E61" w:rsidTr="00910E61">
        <w:trPr>
          <w:trHeight w:hRule="exact" w:val="284"/>
        </w:trPr>
        <w:tc>
          <w:tcPr>
            <w:tcW w:w="2552" w:type="dxa"/>
            <w:tcBorders>
              <w:top w:val="nil"/>
              <w:left w:val="single" w:sz="4" w:space="0" w:color="5E8A00"/>
              <w:bottom w:val="nil"/>
              <w:right w:val="single" w:sz="4" w:space="0" w:color="5E8A00"/>
            </w:tcBorders>
            <w:shd w:val="clear" w:color="000000" w:fill="5E8A00"/>
            <w:noWrap/>
            <w:vAlign w:val="center"/>
            <w:hideMark/>
          </w:tcPr>
          <w:p w:rsidR="00910E61" w:rsidRPr="00910E61" w:rsidRDefault="00547292" w:rsidP="00910E61">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360"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42,900 </w:t>
            </w:r>
          </w:p>
        </w:tc>
        <w:tc>
          <w:tcPr>
            <w:tcW w:w="1361"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41,800 </w:t>
            </w:r>
          </w:p>
        </w:tc>
        <w:tc>
          <w:tcPr>
            <w:tcW w:w="1361"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39,800 </w:t>
            </w:r>
          </w:p>
        </w:tc>
        <w:tc>
          <w:tcPr>
            <w:tcW w:w="1361" w:type="dxa"/>
            <w:tcBorders>
              <w:top w:val="nil"/>
              <w:left w:val="nil"/>
              <w:bottom w:val="nil"/>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-7%</w:t>
            </w:r>
          </w:p>
        </w:tc>
        <w:tc>
          <w:tcPr>
            <w:tcW w:w="1361" w:type="dxa"/>
            <w:tcBorders>
              <w:top w:val="nil"/>
              <w:left w:val="nil"/>
              <w:bottom w:val="nil"/>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-5%</w:t>
            </w:r>
          </w:p>
        </w:tc>
      </w:tr>
    </w:tbl>
    <w:p w:rsidR="00910E61" w:rsidRDefault="00910E61" w:rsidP="00910E61"/>
    <w:tbl>
      <w:tblPr>
        <w:tblW w:w="8505" w:type="dxa"/>
        <w:tblInd w:w="108" w:type="dxa"/>
        <w:tblLook w:val="04A0" w:firstRow="1" w:lastRow="0" w:firstColumn="1" w:lastColumn="0" w:noHBand="0" w:noVBand="1"/>
      </w:tblPr>
      <w:tblGrid>
        <w:gridCol w:w="2580"/>
        <w:gridCol w:w="1120"/>
        <w:gridCol w:w="1120"/>
        <w:gridCol w:w="1120"/>
        <w:gridCol w:w="1290"/>
        <w:gridCol w:w="1275"/>
      </w:tblGrid>
      <w:tr w:rsidR="00DD3AC7" w:rsidRPr="00867C79" w:rsidTr="00DD3AC7">
        <w:trPr>
          <w:trHeight w:val="255"/>
        </w:trPr>
        <w:tc>
          <w:tcPr>
            <w:tcW w:w="2580"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c>
          <w:tcPr>
            <w:tcW w:w="1120"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c>
          <w:tcPr>
            <w:tcW w:w="1120"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c>
          <w:tcPr>
            <w:tcW w:w="1120"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c>
          <w:tcPr>
            <w:tcW w:w="1290"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c>
          <w:tcPr>
            <w:tcW w:w="1275" w:type="dxa"/>
            <w:tcBorders>
              <w:top w:val="nil"/>
              <w:left w:val="nil"/>
              <w:bottom w:val="nil"/>
              <w:right w:val="nil"/>
            </w:tcBorders>
            <w:shd w:val="clear" w:color="auto" w:fill="auto"/>
            <w:noWrap/>
            <w:vAlign w:val="bottom"/>
            <w:hideMark/>
          </w:tcPr>
          <w:p w:rsidR="00DD3AC7" w:rsidRPr="00867C79" w:rsidRDefault="00DD3AC7" w:rsidP="00DD3AC7">
            <w:pPr>
              <w:spacing w:after="0" w:line="240" w:lineRule="auto"/>
              <w:jc w:val="left"/>
              <w:rPr>
                <w:rFonts w:cs="Arial"/>
                <w:color w:val="000000"/>
                <w:sz w:val="18"/>
                <w:szCs w:val="18"/>
                <w:lang w:eastAsia="en-AU"/>
              </w:rPr>
            </w:pPr>
          </w:p>
        </w:tc>
      </w:tr>
    </w:tbl>
    <w:p w:rsidR="00DD3AC7" w:rsidRDefault="00DD3AC7">
      <w:pPr>
        <w:spacing w:after="0" w:line="240" w:lineRule="auto"/>
        <w:jc w:val="left"/>
        <w:rPr>
          <w:rFonts w:cs="Arial"/>
          <w:b/>
          <w:bCs/>
          <w:color w:val="76923C" w:themeColor="accent3" w:themeShade="BF"/>
          <w:sz w:val="18"/>
          <w:szCs w:val="16"/>
        </w:rPr>
      </w:pPr>
    </w:p>
    <w:p w:rsidR="00DD3AC7" w:rsidRDefault="00DD3AC7" w:rsidP="00DD3AC7">
      <w:pPr>
        <w:pStyle w:val="Caption"/>
        <w:spacing w:after="0"/>
        <w:jc w:val="left"/>
        <w:rPr>
          <w:rFonts w:cs="Arial"/>
        </w:rPr>
      </w:pPr>
      <w:r>
        <w:rPr>
          <w:rFonts w:cs="Arial"/>
        </w:rPr>
        <w:t>Table 3</w:t>
      </w:r>
      <w:r w:rsidRPr="001F29E3">
        <w:rPr>
          <w:rFonts w:cs="Arial"/>
        </w:rPr>
        <w:t>.</w:t>
      </w:r>
      <w:r w:rsidR="00734456">
        <w:rPr>
          <w:rFonts w:cs="Arial"/>
        </w:rPr>
        <w:t>6</w:t>
      </w:r>
      <w:r w:rsidRPr="001F29E3">
        <w:rPr>
          <w:rFonts w:cs="Arial"/>
        </w:rPr>
        <w:t xml:space="preserve">: Government subsidised enrolments by apprentices by </w:t>
      </w:r>
      <w:r>
        <w:rPr>
          <w:rFonts w:cs="Arial"/>
        </w:rPr>
        <w:t>industry</w:t>
      </w:r>
      <w:r w:rsidRPr="001F29E3">
        <w:rPr>
          <w:rFonts w:cs="Arial"/>
        </w:rPr>
        <w:t>, Q</w:t>
      </w:r>
      <w:r w:rsidR="00910E61">
        <w:rPr>
          <w:rFonts w:cs="Arial"/>
        </w:rPr>
        <w:t>3</w:t>
      </w:r>
      <w:r w:rsidRPr="001F29E3">
        <w:rPr>
          <w:rFonts w:cs="Arial"/>
        </w:rPr>
        <w:t xml:space="preserve"> 201</w:t>
      </w:r>
      <w:r>
        <w:rPr>
          <w:rFonts w:cs="Arial"/>
        </w:rPr>
        <w:t>1, Q</w:t>
      </w:r>
      <w:r w:rsidR="00910E61">
        <w:rPr>
          <w:rFonts w:cs="Arial"/>
        </w:rPr>
        <w:t>3</w:t>
      </w:r>
      <w:r>
        <w:rPr>
          <w:rFonts w:cs="Arial"/>
        </w:rPr>
        <w:t xml:space="preserve"> 2012 and Q</w:t>
      </w:r>
      <w:r w:rsidR="00910E61">
        <w:rPr>
          <w:rFonts w:cs="Arial"/>
        </w:rPr>
        <w:t>3</w:t>
      </w:r>
      <w:r>
        <w:rPr>
          <w:rFonts w:cs="Arial"/>
        </w:rPr>
        <w:t xml:space="preserve"> </w:t>
      </w:r>
      <w:r w:rsidRPr="001F29E3">
        <w:rPr>
          <w:rFonts w:cs="Arial"/>
        </w:rPr>
        <w:t>2013</w:t>
      </w:r>
    </w:p>
    <w:tbl>
      <w:tblPr>
        <w:tblW w:w="9781" w:type="dxa"/>
        <w:tblInd w:w="108" w:type="dxa"/>
        <w:tblLayout w:type="fixed"/>
        <w:tblLook w:val="04A0" w:firstRow="1" w:lastRow="0" w:firstColumn="1" w:lastColumn="0" w:noHBand="0" w:noVBand="1"/>
      </w:tblPr>
      <w:tblGrid>
        <w:gridCol w:w="4253"/>
        <w:gridCol w:w="1105"/>
        <w:gridCol w:w="1106"/>
        <w:gridCol w:w="1105"/>
        <w:gridCol w:w="1106"/>
        <w:gridCol w:w="1106"/>
      </w:tblGrid>
      <w:tr w:rsidR="00910E61" w:rsidRPr="00910E61" w:rsidTr="00910E61">
        <w:trPr>
          <w:trHeight w:hRule="exact" w:val="760"/>
        </w:trPr>
        <w:tc>
          <w:tcPr>
            <w:tcW w:w="4253"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ind w:firstLineChars="100" w:firstLine="181"/>
              <w:jc w:val="left"/>
              <w:rPr>
                <w:rFonts w:cs="Arial"/>
                <w:b/>
                <w:bCs/>
                <w:color w:val="FFFFFF"/>
                <w:sz w:val="18"/>
                <w:szCs w:val="18"/>
                <w:lang w:eastAsia="en-AU"/>
              </w:rPr>
            </w:pPr>
            <w:r w:rsidRPr="00910E61">
              <w:rPr>
                <w:rFonts w:cs="Arial"/>
                <w:b/>
                <w:bCs/>
                <w:color w:val="FFFFFF"/>
                <w:sz w:val="18"/>
                <w:szCs w:val="18"/>
                <w:lang w:eastAsia="en-AU"/>
              </w:rPr>
              <w:t> </w:t>
            </w:r>
          </w:p>
        </w:tc>
        <w:tc>
          <w:tcPr>
            <w:tcW w:w="1105"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2011</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2012</w:t>
            </w:r>
          </w:p>
        </w:tc>
        <w:tc>
          <w:tcPr>
            <w:tcW w:w="1105"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2013</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2011-Q3 2013 </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2012-Q3 2013</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A: Agriculture, Forestry and Fishing</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126%</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84%</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C: Manufacturing</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6,300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6,200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6,200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D: Electricity, Gas, Water and Waste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250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250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-17%</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E: Construction</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24,300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23,200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21,700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-11%</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-7%</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F: Wholesale Trade</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90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-62%</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-51%</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G: Retail Trade</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1,800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1,900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1,800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H: Accommodation and Food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2,400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2,400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2,500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M: Professional, Scientific and Technical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150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150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47%</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55%</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N: Administrative and Support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450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250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-51%</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-46%</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O: Public Administration and Safety</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90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Q: Health Care and Social Assistance</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70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-34%</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-17%</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R: Arts and Recreation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550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-7%</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S: Other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6,200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6,300</w:t>
            </w:r>
          </w:p>
        </w:tc>
        <w:tc>
          <w:tcPr>
            <w:tcW w:w="1105"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6,000</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w:t>
            </w:r>
          </w:p>
        </w:tc>
        <w:tc>
          <w:tcPr>
            <w:tcW w:w="1106"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w:t>
            </w:r>
          </w:p>
        </w:tc>
      </w:tr>
      <w:tr w:rsidR="00910E61" w:rsidRPr="00910E61" w:rsidTr="00910E61">
        <w:trPr>
          <w:trHeight w:hRule="exact" w:val="284"/>
        </w:trPr>
        <w:tc>
          <w:tcPr>
            <w:tcW w:w="4253" w:type="dxa"/>
            <w:tcBorders>
              <w:top w:val="nil"/>
              <w:left w:val="single" w:sz="4" w:space="0" w:color="5E8A00"/>
              <w:bottom w:val="single" w:sz="4" w:space="0" w:color="5E8A00"/>
              <w:right w:val="single" w:sz="4" w:space="0" w:color="5E8A00"/>
            </w:tcBorders>
            <w:shd w:val="clear" w:color="000000" w:fill="5E8A00"/>
            <w:noWrap/>
            <w:vAlign w:val="bottom"/>
            <w:hideMark/>
          </w:tcPr>
          <w:p w:rsidR="00910E61" w:rsidRPr="00910E61" w:rsidRDefault="00547292" w:rsidP="00910E61">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105"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42,900</w:t>
            </w:r>
          </w:p>
        </w:tc>
        <w:tc>
          <w:tcPr>
            <w:tcW w:w="1106"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41,800</w:t>
            </w:r>
          </w:p>
        </w:tc>
        <w:tc>
          <w:tcPr>
            <w:tcW w:w="1105"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39,800</w:t>
            </w:r>
          </w:p>
        </w:tc>
        <w:tc>
          <w:tcPr>
            <w:tcW w:w="1106"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-7%</w:t>
            </w:r>
          </w:p>
        </w:tc>
        <w:tc>
          <w:tcPr>
            <w:tcW w:w="1106"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-5%</w:t>
            </w:r>
          </w:p>
        </w:tc>
      </w:tr>
    </w:tbl>
    <w:p w:rsidR="00910E61" w:rsidRDefault="00910E61" w:rsidP="00910E61"/>
    <w:p w:rsidR="00910E61" w:rsidRPr="00910E61" w:rsidRDefault="00910E61" w:rsidP="00910E61"/>
    <w:p w:rsidR="00B02EF0" w:rsidRDefault="00B02EF0">
      <w:pPr>
        <w:spacing w:after="0" w:line="240" w:lineRule="auto"/>
        <w:jc w:val="left"/>
        <w:rPr>
          <w:rFonts w:cs="Arial"/>
          <w:bCs/>
          <w:iCs/>
          <w:color w:val="76923C" w:themeColor="accent3" w:themeShade="BF"/>
          <w:sz w:val="28"/>
          <w:szCs w:val="28"/>
        </w:rPr>
      </w:pPr>
      <w:r>
        <w:br w:type="page"/>
      </w:r>
    </w:p>
    <w:p w:rsidR="00197840" w:rsidRPr="00DD3AC7" w:rsidRDefault="004B1B0C" w:rsidP="004B1B0C">
      <w:pPr>
        <w:pStyle w:val="Heading2"/>
      </w:pPr>
      <w:bookmarkStart w:id="91" w:name="_Toc372613443"/>
      <w:r>
        <w:lastRenderedPageBreak/>
        <w:t>Traineeships</w:t>
      </w:r>
      <w:bookmarkEnd w:id="91"/>
    </w:p>
    <w:p w:rsidR="00DD3AC7" w:rsidRDefault="001D1656" w:rsidP="00BC23CB">
      <w:r w:rsidRPr="00513B3C">
        <w:t>While there has been a decline in enrolments in Traineeships i</w:t>
      </w:r>
      <w:r w:rsidR="00F7592F" w:rsidRPr="00513B3C">
        <w:t>n Q3</w:t>
      </w:r>
      <w:r w:rsidRPr="00513B3C">
        <w:t xml:space="preserve"> 2013, th</w:t>
      </w:r>
      <w:r w:rsidR="001F0A4B">
        <w:t xml:space="preserve">e decline has come from </w:t>
      </w:r>
      <w:r w:rsidR="006162FE">
        <w:t>those courses</w:t>
      </w:r>
      <w:r w:rsidR="001F0A4B">
        <w:t xml:space="preserve"> that now attract </w:t>
      </w:r>
      <w:r w:rsidR="006162FE">
        <w:t xml:space="preserve">the </w:t>
      </w:r>
      <w:r w:rsidR="001F0A4B">
        <w:t>low</w:t>
      </w:r>
      <w:r w:rsidR="006162FE">
        <w:t>est</w:t>
      </w:r>
      <w:r w:rsidR="001F0A4B">
        <w:t xml:space="preserve"> levels of government </w:t>
      </w:r>
      <w:r w:rsidR="00437ACC">
        <w:t>subsid</w:t>
      </w:r>
      <w:r w:rsidR="001F0A4B">
        <w:t xml:space="preserve">y, </w:t>
      </w:r>
      <w:r w:rsidR="00740564">
        <w:t>i.e.</w:t>
      </w:r>
      <w:r w:rsidR="001F0A4B">
        <w:t xml:space="preserve"> Band D and </w:t>
      </w:r>
      <w:r w:rsidR="00740564">
        <w:t>E.</w:t>
      </w:r>
      <w:r w:rsidR="00740564" w:rsidRPr="00513B3C">
        <w:t xml:space="preserve"> </w:t>
      </w:r>
      <w:r w:rsidR="006162FE">
        <w:t>This is demonstrated on the figure on the next</w:t>
      </w:r>
      <w:r w:rsidR="00437ACC" w:rsidRPr="00023B7E">
        <w:t xml:space="preserve"> page</w:t>
      </w:r>
      <w:r w:rsidR="006162FE">
        <w:t xml:space="preserve"> which</w:t>
      </w:r>
      <w:r w:rsidR="00437ACC" w:rsidRPr="00023B7E">
        <w:t xml:space="preserve"> shows that the </w:t>
      </w:r>
      <w:r w:rsidR="006162FE">
        <w:t>vast majority of the decline has come</w:t>
      </w:r>
      <w:r w:rsidR="00437ACC" w:rsidRPr="00023B7E">
        <w:t xml:space="preserve"> from courses th</w:t>
      </w:r>
      <w:r w:rsidR="00437ACC">
        <w:t xml:space="preserve">at </w:t>
      </w:r>
      <w:r w:rsidR="00437ACC" w:rsidRPr="00023B7E">
        <w:t xml:space="preserve">are deemed to have </w:t>
      </w:r>
      <w:r w:rsidR="00437ACC" w:rsidRPr="00023B7E">
        <w:rPr>
          <w:rFonts w:cs="Arial"/>
        </w:rPr>
        <w:t>less vocational outcome or labour market requirement</w:t>
      </w:r>
      <w:r w:rsidR="006162FE">
        <w:rPr>
          <w:rFonts w:cs="Arial"/>
        </w:rPr>
        <w:t xml:space="preserve"> and hence </w:t>
      </w:r>
      <w:r w:rsidR="006162FE">
        <w:t>attract the lowest subsidy levels (i.e. B</w:t>
      </w:r>
      <w:r w:rsidR="006162FE" w:rsidRPr="00023B7E">
        <w:t xml:space="preserve">and </w:t>
      </w:r>
      <w:r w:rsidR="006162FE">
        <w:t xml:space="preserve">D and </w:t>
      </w:r>
      <w:r w:rsidR="006162FE" w:rsidRPr="006162FE">
        <w:t>E)</w:t>
      </w:r>
      <w:r w:rsidR="00437ACC" w:rsidRPr="006162FE">
        <w:rPr>
          <w:rFonts w:cs="Arial"/>
        </w:rPr>
        <w:t xml:space="preserve">. Courses in </w:t>
      </w:r>
      <w:r w:rsidR="006162FE" w:rsidRPr="006162FE">
        <w:rPr>
          <w:rFonts w:cs="Arial"/>
        </w:rPr>
        <w:t>this group include Certificate</w:t>
      </w:r>
      <w:r w:rsidR="00437ACC" w:rsidRPr="006162FE">
        <w:rPr>
          <w:rFonts w:cs="Arial"/>
        </w:rPr>
        <w:t xml:space="preserve"> II in Retail, Certificate III in Retail, Certificate III in H</w:t>
      </w:r>
      <w:r w:rsidR="00437ACC" w:rsidRPr="006162FE">
        <w:t>ospitality, Certificate III in Process Manufacturing, and Certificate III in Customer Contact. W</w:t>
      </w:r>
      <w:r w:rsidR="00437ACC">
        <w:t xml:space="preserve">hile the overall traineeship enrolments in Q3 2013 was lower compared to Q3 2011, </w:t>
      </w:r>
      <w:r w:rsidR="00122B28">
        <w:t>when examined by subsidy band not only can it be seen where the decline has come from but it shows that there actually has been some growth in traineeships attracting subsidy at Band B,</w:t>
      </w:r>
      <w:r w:rsidR="00437ACC">
        <w:t xml:space="preserve"> </w:t>
      </w:r>
      <w:r w:rsidR="00437ACC" w:rsidRPr="00023B7E">
        <w:t>reflecting industry need for graduates from these courses.</w:t>
      </w:r>
      <w:r w:rsidR="00437ACC">
        <w:t xml:space="preserve"> </w:t>
      </w:r>
      <w:r w:rsidR="00122B28">
        <w:t xml:space="preserve">Other factors which </w:t>
      </w:r>
      <w:r w:rsidR="002F07A2">
        <w:t xml:space="preserve">may </w:t>
      </w:r>
      <w:r w:rsidR="00122B28">
        <w:t xml:space="preserve">have impacted on the </w:t>
      </w:r>
      <w:r w:rsidR="002F07A2">
        <w:t xml:space="preserve">overall </w:t>
      </w:r>
      <w:r w:rsidR="00122B28">
        <w:t>dampening of demand for traineeship courses has been changes</w:t>
      </w:r>
      <w:r w:rsidRPr="00513B3C">
        <w:t xml:space="preserve"> to Commonwealth government incentives</w:t>
      </w:r>
      <w:r w:rsidRPr="00513B3C">
        <w:rPr>
          <w:rStyle w:val="FootnoteReference"/>
        </w:rPr>
        <w:footnoteReference w:id="13"/>
      </w:r>
      <w:r w:rsidRPr="00513B3C">
        <w:t>.</w:t>
      </w:r>
    </w:p>
    <w:p w:rsidR="00BC23CB" w:rsidRDefault="00BC23CB" w:rsidP="00BC23CB">
      <w:pPr>
        <w:rPr>
          <w:rFonts w:cs="Arial"/>
          <w:b/>
          <w:bCs/>
          <w:color w:val="76923C" w:themeColor="accent3" w:themeShade="BF"/>
          <w:sz w:val="18"/>
          <w:szCs w:val="16"/>
        </w:rPr>
      </w:pPr>
    </w:p>
    <w:p w:rsidR="00C36320" w:rsidRDefault="00C36320" w:rsidP="00C36320">
      <w:pPr>
        <w:pStyle w:val="Caption"/>
        <w:jc w:val="left"/>
        <w:rPr>
          <w:rFonts w:cs="Arial"/>
        </w:rPr>
      </w:pPr>
      <w:r w:rsidRPr="007A3FAB">
        <w:rPr>
          <w:rFonts w:cs="Arial"/>
        </w:rPr>
        <w:t>Figure 3.</w:t>
      </w:r>
      <w:r w:rsidR="00525112" w:rsidRPr="007A3FAB">
        <w:rPr>
          <w:rFonts w:cs="Arial"/>
        </w:rPr>
        <w:t>4</w:t>
      </w:r>
      <w:r w:rsidRPr="007A3FAB">
        <w:rPr>
          <w:rFonts w:cs="Arial"/>
        </w:rPr>
        <w:t>: Government subsidised traineeship enrolments by funding band, Q</w:t>
      </w:r>
      <w:r w:rsidR="007A3FAB" w:rsidRPr="007A3FAB">
        <w:rPr>
          <w:rFonts w:cs="Arial"/>
        </w:rPr>
        <w:t>3</w:t>
      </w:r>
      <w:r w:rsidRPr="007A3FAB">
        <w:rPr>
          <w:rFonts w:cs="Arial"/>
        </w:rPr>
        <w:t xml:space="preserve"> 2011, Q</w:t>
      </w:r>
      <w:r w:rsidR="007A3FAB" w:rsidRPr="007A3FAB">
        <w:rPr>
          <w:rFonts w:cs="Arial"/>
        </w:rPr>
        <w:t>3</w:t>
      </w:r>
      <w:r w:rsidRPr="007A3FAB">
        <w:rPr>
          <w:rFonts w:cs="Arial"/>
        </w:rPr>
        <w:t xml:space="preserve"> 2012 and Q</w:t>
      </w:r>
      <w:r w:rsidR="007A3FAB" w:rsidRPr="007A3FAB">
        <w:rPr>
          <w:rFonts w:cs="Arial"/>
        </w:rPr>
        <w:t>3</w:t>
      </w:r>
      <w:r w:rsidRPr="007A3FAB">
        <w:rPr>
          <w:rFonts w:cs="Arial"/>
        </w:rPr>
        <w:t xml:space="preserve"> 2013</w:t>
      </w:r>
      <w:r w:rsidR="00023B7E">
        <w:rPr>
          <w:rFonts w:cs="Arial"/>
        </w:rPr>
        <w:t xml:space="preserve"> </w:t>
      </w:r>
    </w:p>
    <w:p w:rsidR="00C36320" w:rsidRPr="001F29E3" w:rsidRDefault="007A3FAB" w:rsidP="00C36320">
      <w:pPr>
        <w:pStyle w:val="Caption"/>
        <w:jc w:val="left"/>
        <w:rPr>
          <w:rFonts w:cs="Arial"/>
        </w:rPr>
      </w:pPr>
      <w:r>
        <w:rPr>
          <w:rFonts w:cs="Arial"/>
          <w:noProof/>
          <w:lang w:eastAsia="en-AU"/>
        </w:rPr>
        <w:drawing>
          <wp:inline distT="0" distB="0" distL="0" distR="0" wp14:anchorId="32246531" wp14:editId="394AC844">
            <wp:extent cx="5533200" cy="2703600"/>
            <wp:effectExtent l="0" t="0" r="0" b="0"/>
            <wp:docPr id="19" name="Picture 19" descr="This chart shows the number of government subsidised traineeship enrolments in each subsidy band in Q3 2011, Q3 2012 and Q3 2013." title="Figure 3.4: Government subsidised traineeship enrolments by funding band, Q3 2011, Q3 2012 and Q3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3200" cy="2703600"/>
                    </a:xfrm>
                    <a:prstGeom prst="rect">
                      <a:avLst/>
                    </a:prstGeom>
                    <a:noFill/>
                  </pic:spPr>
                </pic:pic>
              </a:graphicData>
            </a:graphic>
          </wp:inline>
        </w:drawing>
      </w:r>
    </w:p>
    <w:p w:rsidR="008D2D17" w:rsidRDefault="008D2D17" w:rsidP="008D2D17">
      <w:pPr>
        <w:pStyle w:val="Heading3"/>
      </w:pPr>
    </w:p>
    <w:p w:rsidR="008D2D17" w:rsidRDefault="008D2D17" w:rsidP="008D2D17">
      <w:pPr>
        <w:pStyle w:val="Caption"/>
        <w:spacing w:after="0"/>
        <w:jc w:val="left"/>
        <w:rPr>
          <w:rFonts w:cs="Arial"/>
        </w:rPr>
      </w:pPr>
      <w:r>
        <w:rPr>
          <w:rFonts w:cs="Arial"/>
        </w:rPr>
        <w:t>Table 3</w:t>
      </w:r>
      <w:r w:rsidRPr="001F29E3">
        <w:rPr>
          <w:rFonts w:cs="Arial"/>
        </w:rPr>
        <w:t>.</w:t>
      </w:r>
      <w:r w:rsidR="00734456">
        <w:rPr>
          <w:rFonts w:cs="Arial"/>
        </w:rPr>
        <w:t>7</w:t>
      </w:r>
      <w:r>
        <w:rPr>
          <w:rFonts w:cs="Arial"/>
        </w:rPr>
        <w:t>.1</w:t>
      </w:r>
      <w:r w:rsidRPr="001F29E3">
        <w:rPr>
          <w:rFonts w:cs="Arial"/>
        </w:rPr>
        <w:t xml:space="preserve">: Government subsidised enrolments by trainees by </w:t>
      </w:r>
      <w:r>
        <w:rPr>
          <w:rFonts w:cs="Arial"/>
        </w:rPr>
        <w:t>age</w:t>
      </w:r>
      <w:r w:rsidRPr="001F29E3">
        <w:rPr>
          <w:rFonts w:cs="Arial"/>
        </w:rPr>
        <w:t>, 2008–2012</w:t>
      </w:r>
    </w:p>
    <w:tbl>
      <w:tblPr>
        <w:tblW w:w="9280" w:type="dxa"/>
        <w:tblInd w:w="108" w:type="dxa"/>
        <w:tblLook w:val="04A0" w:firstRow="1" w:lastRow="0" w:firstColumn="1" w:lastColumn="0" w:noHBand="0" w:noVBand="1"/>
      </w:tblPr>
      <w:tblGrid>
        <w:gridCol w:w="2560"/>
        <w:gridCol w:w="1120"/>
        <w:gridCol w:w="1120"/>
        <w:gridCol w:w="1120"/>
        <w:gridCol w:w="1120"/>
        <w:gridCol w:w="1120"/>
        <w:gridCol w:w="1120"/>
      </w:tblGrid>
      <w:tr w:rsidR="008D2D17" w:rsidRPr="0061781E" w:rsidTr="00752A8D">
        <w:trPr>
          <w:trHeight w:val="762"/>
        </w:trPr>
        <w:tc>
          <w:tcPr>
            <w:tcW w:w="2560" w:type="dxa"/>
            <w:tcBorders>
              <w:top w:val="single" w:sz="4" w:space="0" w:color="5E8A00"/>
              <w:left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ind w:firstLineChars="100" w:firstLine="181"/>
              <w:jc w:val="left"/>
              <w:rPr>
                <w:rFonts w:cs="Arial"/>
                <w:b/>
                <w:bCs/>
                <w:color w:val="FFFFFF"/>
                <w:sz w:val="18"/>
                <w:szCs w:val="18"/>
                <w:lang w:eastAsia="en-AU"/>
              </w:rPr>
            </w:pPr>
            <w:r w:rsidRPr="0061781E">
              <w:rPr>
                <w:rFonts w:cs="Arial"/>
                <w:b/>
                <w:bCs/>
                <w:color w:val="FFFFFF"/>
                <w:sz w:val="18"/>
                <w:szCs w:val="18"/>
                <w:lang w:eastAsia="en-AU"/>
              </w:rPr>
              <w:t> </w:t>
            </w:r>
          </w:p>
        </w:tc>
        <w:tc>
          <w:tcPr>
            <w:tcW w:w="1120" w:type="dxa"/>
            <w:tcBorders>
              <w:top w:val="single" w:sz="4" w:space="0" w:color="5E8A00"/>
              <w:bottom w:val="single" w:sz="4" w:space="0" w:color="5E8A00"/>
            </w:tcBorders>
            <w:shd w:val="clear" w:color="000000" w:fill="5E8A00"/>
            <w:vAlign w:val="center"/>
            <w:hideMark/>
          </w:tcPr>
          <w:p w:rsidR="008D2D17" w:rsidRPr="0061781E" w:rsidRDefault="008D2D17" w:rsidP="00752A8D">
            <w:pPr>
              <w:spacing w:after="0" w:line="240" w:lineRule="auto"/>
              <w:ind w:firstLineChars="100" w:firstLine="181"/>
              <w:jc w:val="right"/>
              <w:rPr>
                <w:rFonts w:cs="Arial"/>
                <w:b/>
                <w:bCs/>
                <w:color w:val="FFFFFF"/>
                <w:sz w:val="18"/>
                <w:szCs w:val="18"/>
                <w:lang w:eastAsia="en-AU"/>
              </w:rPr>
            </w:pPr>
            <w:r w:rsidRPr="0061781E">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8D2D17" w:rsidRPr="0061781E" w:rsidRDefault="008D2D17" w:rsidP="00752A8D">
            <w:pPr>
              <w:spacing w:after="0" w:line="240" w:lineRule="auto"/>
              <w:ind w:firstLineChars="100" w:firstLine="181"/>
              <w:jc w:val="right"/>
              <w:rPr>
                <w:rFonts w:cs="Arial"/>
                <w:b/>
                <w:bCs/>
                <w:color w:val="FFFFFF"/>
                <w:sz w:val="18"/>
                <w:szCs w:val="18"/>
                <w:lang w:eastAsia="en-AU"/>
              </w:rPr>
            </w:pPr>
            <w:r w:rsidRPr="0061781E">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8D2D17" w:rsidRPr="0061781E" w:rsidRDefault="008D2D17" w:rsidP="00752A8D">
            <w:pPr>
              <w:spacing w:after="0" w:line="240" w:lineRule="auto"/>
              <w:ind w:firstLineChars="100" w:firstLine="181"/>
              <w:jc w:val="right"/>
              <w:rPr>
                <w:rFonts w:cs="Arial"/>
                <w:b/>
                <w:bCs/>
                <w:color w:val="FFFFFF"/>
                <w:sz w:val="18"/>
                <w:szCs w:val="18"/>
                <w:lang w:eastAsia="en-AU"/>
              </w:rPr>
            </w:pPr>
            <w:r w:rsidRPr="0061781E">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8D2D17" w:rsidRPr="0061781E" w:rsidRDefault="008D2D17" w:rsidP="00752A8D">
            <w:pPr>
              <w:spacing w:after="0" w:line="240" w:lineRule="auto"/>
              <w:ind w:firstLineChars="100" w:firstLine="181"/>
              <w:jc w:val="right"/>
              <w:rPr>
                <w:rFonts w:cs="Arial"/>
                <w:b/>
                <w:bCs/>
                <w:color w:val="FFFFFF"/>
                <w:sz w:val="18"/>
                <w:szCs w:val="18"/>
                <w:lang w:eastAsia="en-AU"/>
              </w:rPr>
            </w:pPr>
            <w:r w:rsidRPr="0061781E">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8D2D17" w:rsidRPr="0061781E" w:rsidRDefault="008D2D17" w:rsidP="00752A8D">
            <w:pPr>
              <w:spacing w:after="0" w:line="240" w:lineRule="auto"/>
              <w:ind w:firstLineChars="100" w:firstLine="181"/>
              <w:jc w:val="right"/>
              <w:rPr>
                <w:rFonts w:cs="Arial"/>
                <w:b/>
                <w:bCs/>
                <w:color w:val="FFFFFF"/>
                <w:sz w:val="18"/>
                <w:szCs w:val="18"/>
                <w:lang w:eastAsia="en-AU"/>
              </w:rPr>
            </w:pPr>
            <w:r w:rsidRPr="0061781E">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change</w:t>
            </w:r>
            <w:r w:rsidRPr="0061781E">
              <w:rPr>
                <w:rFonts w:cs="Arial"/>
                <w:b/>
                <w:bCs/>
                <w:color w:val="FFFFFF"/>
                <w:sz w:val="18"/>
                <w:szCs w:val="18"/>
                <w:lang w:eastAsia="en-AU"/>
              </w:rPr>
              <w:br/>
              <w:t>2008-2012</w:t>
            </w:r>
          </w:p>
        </w:tc>
      </w:tr>
      <w:tr w:rsidR="008D2D17" w:rsidRPr="0061781E" w:rsidTr="00752A8D">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61781E" w:rsidRDefault="008D2D17" w:rsidP="00752A8D">
            <w:pPr>
              <w:spacing w:after="0" w:line="240" w:lineRule="auto"/>
              <w:jc w:val="left"/>
              <w:rPr>
                <w:rFonts w:cs="Arial"/>
                <w:color w:val="3E5B00"/>
                <w:sz w:val="18"/>
                <w:szCs w:val="18"/>
                <w:lang w:eastAsia="en-AU"/>
              </w:rPr>
            </w:pPr>
            <w:r w:rsidRPr="0061781E">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21,300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20,800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22,700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26,100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25,500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20%</w:t>
            </w:r>
          </w:p>
        </w:tc>
      </w:tr>
      <w:tr w:rsidR="008D2D17" w:rsidRPr="0061781E" w:rsidTr="00752A8D">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61781E" w:rsidRDefault="008D2D17" w:rsidP="00752A8D">
            <w:pPr>
              <w:spacing w:after="0" w:line="240" w:lineRule="auto"/>
              <w:jc w:val="left"/>
              <w:rPr>
                <w:rFonts w:cs="Arial"/>
                <w:color w:val="3E5B00"/>
                <w:sz w:val="18"/>
                <w:szCs w:val="18"/>
                <w:lang w:eastAsia="en-AU"/>
              </w:rPr>
            </w:pPr>
            <w:r w:rsidRPr="0061781E">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12,900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11,000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12,500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15,300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15,500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20%</w:t>
            </w:r>
          </w:p>
        </w:tc>
      </w:tr>
      <w:tr w:rsidR="008D2D17" w:rsidRPr="0061781E" w:rsidTr="00752A8D">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61781E" w:rsidRDefault="008D2D17" w:rsidP="00752A8D">
            <w:pPr>
              <w:spacing w:after="0" w:line="240" w:lineRule="auto"/>
              <w:jc w:val="left"/>
              <w:rPr>
                <w:rFonts w:cs="Arial"/>
                <w:color w:val="3E5B00"/>
                <w:sz w:val="18"/>
                <w:szCs w:val="18"/>
                <w:lang w:eastAsia="en-AU"/>
              </w:rPr>
            </w:pPr>
            <w:r w:rsidRPr="0061781E">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14,500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12,400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14,800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24,600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29,600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104%</w:t>
            </w:r>
          </w:p>
        </w:tc>
      </w:tr>
      <w:tr w:rsidR="008D2D17" w:rsidRPr="0061781E" w:rsidTr="00752A8D">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61781E" w:rsidRDefault="008D2D17" w:rsidP="00752A8D">
            <w:pPr>
              <w:spacing w:after="0" w:line="240" w:lineRule="auto"/>
              <w:jc w:val="left"/>
              <w:rPr>
                <w:rFonts w:cs="Arial"/>
                <w:color w:val="3E5B00"/>
                <w:sz w:val="18"/>
                <w:szCs w:val="18"/>
                <w:lang w:eastAsia="en-AU"/>
              </w:rPr>
            </w:pPr>
            <w:r w:rsidRPr="0061781E">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4,800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4,600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6,500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13,600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18,000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276%</w:t>
            </w:r>
          </w:p>
        </w:tc>
      </w:tr>
      <w:tr w:rsidR="008D2D17" w:rsidRPr="0061781E" w:rsidTr="00752A8D">
        <w:trPr>
          <w:trHeight w:hRule="exact" w:val="284"/>
        </w:trPr>
        <w:tc>
          <w:tcPr>
            <w:tcW w:w="25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61781E" w:rsidRDefault="008D2D17" w:rsidP="00752A8D">
            <w:pPr>
              <w:spacing w:after="0" w:line="240" w:lineRule="auto"/>
              <w:jc w:val="left"/>
              <w:rPr>
                <w:rFonts w:cs="Arial"/>
                <w:color w:val="3E5B00"/>
                <w:sz w:val="18"/>
                <w:szCs w:val="18"/>
                <w:lang w:eastAsia="en-AU"/>
              </w:rPr>
            </w:pPr>
            <w:r w:rsidRPr="0061781E">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450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300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 xml:space="preserve">700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61781E" w:rsidRDefault="008D2D17" w:rsidP="00752A8D">
            <w:pPr>
              <w:spacing w:after="0" w:line="240" w:lineRule="auto"/>
              <w:jc w:val="right"/>
              <w:rPr>
                <w:rFonts w:cs="Arial"/>
                <w:sz w:val="18"/>
                <w:szCs w:val="18"/>
                <w:lang w:eastAsia="en-AU"/>
              </w:rPr>
            </w:pPr>
            <w:r w:rsidRPr="0061781E">
              <w:rPr>
                <w:rFonts w:cs="Arial"/>
                <w:sz w:val="18"/>
                <w:szCs w:val="18"/>
                <w:lang w:eastAsia="en-AU"/>
              </w:rPr>
              <w:t>10%</w:t>
            </w:r>
          </w:p>
        </w:tc>
      </w:tr>
      <w:tr w:rsidR="008D2D17" w:rsidRPr="0061781E" w:rsidTr="00752A8D">
        <w:trPr>
          <w:trHeight w:hRule="exact" w:val="284"/>
        </w:trPr>
        <w:tc>
          <w:tcPr>
            <w:tcW w:w="2560" w:type="dxa"/>
            <w:tcBorders>
              <w:top w:val="single" w:sz="4" w:space="0" w:color="5E8A00"/>
              <w:left w:val="single" w:sz="4" w:space="0" w:color="5E8A00"/>
              <w:bottom w:val="single" w:sz="4" w:space="0" w:color="5E8A00"/>
            </w:tcBorders>
            <w:shd w:val="clear" w:color="000000" w:fill="5E8A00"/>
            <w:noWrap/>
            <w:vAlign w:val="bottom"/>
            <w:hideMark/>
          </w:tcPr>
          <w:p w:rsidR="008D2D17" w:rsidRPr="0061781E" w:rsidRDefault="00547292" w:rsidP="00752A8D">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120" w:type="dxa"/>
            <w:tcBorders>
              <w:top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xml:space="preserve">54,000 </w:t>
            </w:r>
          </w:p>
        </w:tc>
        <w:tc>
          <w:tcPr>
            <w:tcW w:w="1120" w:type="dxa"/>
            <w:tcBorders>
              <w:top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xml:space="preserve">49,200 </w:t>
            </w:r>
          </w:p>
        </w:tc>
        <w:tc>
          <w:tcPr>
            <w:tcW w:w="1120" w:type="dxa"/>
            <w:tcBorders>
              <w:top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xml:space="preserve">56,900 </w:t>
            </w:r>
          </w:p>
        </w:tc>
        <w:tc>
          <w:tcPr>
            <w:tcW w:w="1120" w:type="dxa"/>
            <w:tcBorders>
              <w:top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xml:space="preserve">80,200 </w:t>
            </w:r>
          </w:p>
        </w:tc>
        <w:tc>
          <w:tcPr>
            <w:tcW w:w="1120" w:type="dxa"/>
            <w:tcBorders>
              <w:top w:val="single" w:sz="4" w:space="0" w:color="5E8A00"/>
              <w:bottom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 xml:space="preserve">89,300 </w:t>
            </w:r>
          </w:p>
        </w:tc>
        <w:tc>
          <w:tcPr>
            <w:tcW w:w="1120" w:type="dxa"/>
            <w:tcBorders>
              <w:top w:val="single" w:sz="4" w:space="0" w:color="5E8A00"/>
              <w:bottom w:val="single" w:sz="4" w:space="0" w:color="5E8A00"/>
              <w:right w:val="single" w:sz="4" w:space="0" w:color="5E8A00"/>
            </w:tcBorders>
            <w:shd w:val="clear" w:color="000000" w:fill="5E8A00"/>
            <w:noWrap/>
            <w:vAlign w:val="center"/>
            <w:hideMark/>
          </w:tcPr>
          <w:p w:rsidR="008D2D17" w:rsidRPr="0061781E" w:rsidRDefault="008D2D17" w:rsidP="00752A8D">
            <w:pPr>
              <w:spacing w:after="0" w:line="240" w:lineRule="auto"/>
              <w:jc w:val="right"/>
              <w:rPr>
                <w:rFonts w:cs="Arial"/>
                <w:b/>
                <w:bCs/>
                <w:color w:val="FFFFFF"/>
                <w:sz w:val="18"/>
                <w:szCs w:val="18"/>
                <w:lang w:eastAsia="en-AU"/>
              </w:rPr>
            </w:pPr>
            <w:r w:rsidRPr="0061781E">
              <w:rPr>
                <w:rFonts w:cs="Arial"/>
                <w:b/>
                <w:bCs/>
                <w:color w:val="FFFFFF"/>
                <w:sz w:val="18"/>
                <w:szCs w:val="18"/>
                <w:lang w:eastAsia="en-AU"/>
              </w:rPr>
              <w:t>65%</w:t>
            </w:r>
          </w:p>
        </w:tc>
      </w:tr>
    </w:tbl>
    <w:p w:rsidR="008D2D17" w:rsidRPr="004B52D7" w:rsidRDefault="008D2D17" w:rsidP="008D2D17"/>
    <w:p w:rsidR="008D2D17" w:rsidRDefault="008D2D17" w:rsidP="008D2D17">
      <w:pPr>
        <w:pStyle w:val="Caption"/>
        <w:spacing w:after="0"/>
        <w:jc w:val="left"/>
        <w:rPr>
          <w:rFonts w:cs="Arial"/>
        </w:rPr>
      </w:pPr>
    </w:p>
    <w:p w:rsidR="00B02EF0" w:rsidRDefault="00B02EF0">
      <w:pPr>
        <w:spacing w:after="0" w:line="240" w:lineRule="auto"/>
        <w:jc w:val="left"/>
        <w:rPr>
          <w:rFonts w:cs="Arial"/>
          <w:b/>
          <w:bCs/>
          <w:color w:val="76923C" w:themeColor="accent3" w:themeShade="BF"/>
          <w:sz w:val="18"/>
          <w:szCs w:val="16"/>
        </w:rPr>
      </w:pPr>
      <w:r>
        <w:rPr>
          <w:rFonts w:cs="Arial"/>
        </w:rPr>
        <w:br w:type="page"/>
      </w:r>
    </w:p>
    <w:p w:rsidR="008D2D17" w:rsidRDefault="008D2D17" w:rsidP="008D2D17">
      <w:pPr>
        <w:pStyle w:val="Caption"/>
        <w:spacing w:after="0"/>
        <w:jc w:val="left"/>
        <w:rPr>
          <w:rFonts w:cs="Arial"/>
        </w:rPr>
      </w:pPr>
      <w:r>
        <w:rPr>
          <w:rFonts w:cs="Arial"/>
        </w:rPr>
        <w:lastRenderedPageBreak/>
        <w:t>Table 3</w:t>
      </w:r>
      <w:r w:rsidRPr="001F29E3">
        <w:rPr>
          <w:rFonts w:cs="Arial"/>
        </w:rPr>
        <w:t>.</w:t>
      </w:r>
      <w:r w:rsidR="00734456">
        <w:rPr>
          <w:rFonts w:cs="Arial"/>
        </w:rPr>
        <w:t>7</w:t>
      </w:r>
      <w:r>
        <w:rPr>
          <w:rFonts w:cs="Arial"/>
        </w:rPr>
        <w:t>.2</w:t>
      </w:r>
      <w:r w:rsidRPr="001F29E3">
        <w:rPr>
          <w:rFonts w:cs="Arial"/>
        </w:rPr>
        <w:t xml:space="preserve">: Government subsidised enrolments by trainees by </w:t>
      </w:r>
      <w:r>
        <w:rPr>
          <w:rFonts w:cs="Arial"/>
        </w:rPr>
        <w:t>age</w:t>
      </w:r>
      <w:r w:rsidRPr="001F29E3">
        <w:rPr>
          <w:rFonts w:cs="Arial"/>
        </w:rPr>
        <w:t>, Q</w:t>
      </w:r>
      <w:r w:rsidR="00910E61">
        <w:rPr>
          <w:rFonts w:cs="Arial"/>
        </w:rPr>
        <w:t>3</w:t>
      </w:r>
      <w:r w:rsidRPr="001F29E3">
        <w:rPr>
          <w:rFonts w:cs="Arial"/>
        </w:rPr>
        <w:t xml:space="preserve"> 201</w:t>
      </w:r>
      <w:r>
        <w:rPr>
          <w:rFonts w:cs="Arial"/>
        </w:rPr>
        <w:t>1, Q</w:t>
      </w:r>
      <w:r w:rsidR="00910E61">
        <w:rPr>
          <w:rFonts w:cs="Arial"/>
        </w:rPr>
        <w:t>3</w:t>
      </w:r>
      <w:r>
        <w:rPr>
          <w:rFonts w:cs="Arial"/>
        </w:rPr>
        <w:t xml:space="preserve"> 2012 and Q</w:t>
      </w:r>
      <w:r w:rsidR="00910E61">
        <w:rPr>
          <w:rFonts w:cs="Arial"/>
        </w:rPr>
        <w:t>3</w:t>
      </w:r>
      <w:r>
        <w:rPr>
          <w:rFonts w:cs="Arial"/>
        </w:rPr>
        <w:t xml:space="preserve"> </w:t>
      </w:r>
      <w:r w:rsidRPr="001F29E3">
        <w:rPr>
          <w:rFonts w:cs="Arial"/>
        </w:rPr>
        <w:t>2013</w:t>
      </w:r>
    </w:p>
    <w:tbl>
      <w:tblPr>
        <w:tblW w:w="8940" w:type="dxa"/>
        <w:tblInd w:w="108" w:type="dxa"/>
        <w:tblLook w:val="04A0" w:firstRow="1" w:lastRow="0" w:firstColumn="1" w:lastColumn="0" w:noHBand="0" w:noVBand="1"/>
      </w:tblPr>
      <w:tblGrid>
        <w:gridCol w:w="3340"/>
        <w:gridCol w:w="1120"/>
        <w:gridCol w:w="1120"/>
        <w:gridCol w:w="1120"/>
        <w:gridCol w:w="1120"/>
        <w:gridCol w:w="1120"/>
      </w:tblGrid>
      <w:tr w:rsidR="00910E61" w:rsidRPr="00910E61" w:rsidTr="00910E61">
        <w:trPr>
          <w:trHeight w:hRule="exact" w:val="760"/>
        </w:trPr>
        <w:tc>
          <w:tcPr>
            <w:tcW w:w="3340"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ind w:firstLineChars="100" w:firstLine="181"/>
              <w:jc w:val="left"/>
              <w:rPr>
                <w:rFonts w:cs="Arial"/>
                <w:b/>
                <w:bCs/>
                <w:color w:val="FFFFFF"/>
                <w:sz w:val="18"/>
                <w:szCs w:val="18"/>
                <w:lang w:eastAsia="en-AU"/>
              </w:rPr>
            </w:pPr>
            <w:r w:rsidRPr="00910E61">
              <w:rPr>
                <w:rFonts w:cs="Arial"/>
                <w:b/>
                <w:bCs/>
                <w:color w:val="FFFFFF"/>
                <w:sz w:val="18"/>
                <w:szCs w:val="18"/>
                <w:lang w:eastAsia="en-AU"/>
              </w:rPr>
              <w:t> </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2011</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2012</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ind w:firstLineChars="100" w:firstLine="181"/>
              <w:jc w:val="right"/>
              <w:rPr>
                <w:rFonts w:cs="Arial"/>
                <w:b/>
                <w:bCs/>
                <w:color w:val="FFFFFF"/>
                <w:sz w:val="18"/>
                <w:szCs w:val="18"/>
                <w:lang w:eastAsia="en-AU"/>
              </w:rPr>
            </w:pPr>
            <w:r w:rsidRPr="00910E61">
              <w:rPr>
                <w:rFonts w:cs="Arial"/>
                <w:b/>
                <w:bCs/>
                <w:color w:val="FFFFFF"/>
                <w:sz w:val="18"/>
                <w:szCs w:val="18"/>
                <w:lang w:eastAsia="en-AU"/>
              </w:rPr>
              <w:t>Q3 2013</w:t>
            </w:r>
          </w:p>
        </w:tc>
        <w:tc>
          <w:tcPr>
            <w:tcW w:w="1120" w:type="dxa"/>
            <w:tcBorders>
              <w:top w:val="single" w:sz="4" w:space="0" w:color="5E8A00"/>
              <w:left w:val="nil"/>
              <w:bottom w:val="single" w:sz="4" w:space="0" w:color="5E8A00"/>
              <w:right w:val="single" w:sz="4" w:space="0" w:color="5E8A00"/>
            </w:tcBorders>
            <w:shd w:val="clear" w:color="000000" w:fill="5E8A00"/>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2011-Q3 2013 </w:t>
            </w:r>
          </w:p>
        </w:tc>
        <w:tc>
          <w:tcPr>
            <w:tcW w:w="1120" w:type="dxa"/>
            <w:tcBorders>
              <w:top w:val="single" w:sz="4" w:space="0" w:color="5E8A00"/>
              <w:left w:val="nil"/>
              <w:bottom w:val="single" w:sz="4" w:space="0" w:color="5E8A00"/>
              <w:right w:val="nil"/>
            </w:tcBorders>
            <w:shd w:val="clear" w:color="000000" w:fill="5E8A00"/>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change</w:t>
            </w:r>
            <w:r w:rsidRPr="00910E61">
              <w:rPr>
                <w:rFonts w:cs="Arial"/>
                <w:b/>
                <w:bCs/>
                <w:color w:val="FFFFFF"/>
                <w:sz w:val="18"/>
                <w:szCs w:val="18"/>
                <w:lang w:eastAsia="en-AU"/>
              </w:rPr>
              <w:br/>
              <w:t>Q3 2012-Q3 2013</w:t>
            </w:r>
          </w:p>
        </w:tc>
      </w:tr>
      <w:tr w:rsidR="00910E61" w:rsidRPr="00910E61" w:rsidTr="00910E61">
        <w:trPr>
          <w:trHeight w:hRule="exact" w:val="284"/>
        </w:trPr>
        <w:tc>
          <w:tcPr>
            <w:tcW w:w="3340"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15 to 19</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20,800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22,400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12,100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-42%</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-46%</w:t>
            </w:r>
          </w:p>
        </w:tc>
      </w:tr>
      <w:tr w:rsidR="00910E61" w:rsidRPr="00910E61" w:rsidTr="00910E61">
        <w:trPr>
          <w:trHeight w:hRule="exact" w:val="284"/>
        </w:trPr>
        <w:tc>
          <w:tcPr>
            <w:tcW w:w="3340"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20 to 24</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12,900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14,200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8,500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-34%</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-40%</w:t>
            </w:r>
          </w:p>
        </w:tc>
      </w:tr>
      <w:tr w:rsidR="00910E61" w:rsidRPr="00910E61" w:rsidTr="00910E61">
        <w:trPr>
          <w:trHeight w:hRule="exact" w:val="284"/>
        </w:trPr>
        <w:tc>
          <w:tcPr>
            <w:tcW w:w="3340"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25 to 44</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18,700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26,600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16,700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-10%</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-37%</w:t>
            </w:r>
          </w:p>
        </w:tc>
      </w:tr>
      <w:tr w:rsidR="00910E61" w:rsidRPr="00910E61" w:rsidTr="00910E61">
        <w:trPr>
          <w:trHeight w:hRule="exact" w:val="284"/>
        </w:trPr>
        <w:tc>
          <w:tcPr>
            <w:tcW w:w="3340"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45 to 64</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10,000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16,200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10,800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8%</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-33%</w:t>
            </w:r>
          </w:p>
        </w:tc>
      </w:tr>
      <w:tr w:rsidR="00910E61" w:rsidRPr="00910E61" w:rsidTr="00910E61">
        <w:trPr>
          <w:trHeight w:hRule="exact" w:val="284"/>
        </w:trPr>
        <w:tc>
          <w:tcPr>
            <w:tcW w:w="3340" w:type="dxa"/>
            <w:tcBorders>
              <w:top w:val="nil"/>
              <w:left w:val="single" w:sz="4" w:space="0" w:color="5E8A00"/>
              <w:bottom w:val="single" w:sz="4" w:space="0" w:color="5E8A00"/>
              <w:right w:val="single" w:sz="4" w:space="0" w:color="5E8A00"/>
            </w:tcBorders>
            <w:shd w:val="clear" w:color="000000" w:fill="FFFFFF"/>
            <w:noWrap/>
            <w:vAlign w:val="bottom"/>
            <w:hideMark/>
          </w:tcPr>
          <w:p w:rsidR="00910E61" w:rsidRPr="00910E61" w:rsidRDefault="00910E61" w:rsidP="00910E61">
            <w:pPr>
              <w:spacing w:after="0" w:line="240" w:lineRule="auto"/>
              <w:jc w:val="left"/>
              <w:rPr>
                <w:rFonts w:cs="Arial"/>
                <w:color w:val="3E5B00"/>
                <w:sz w:val="18"/>
                <w:szCs w:val="18"/>
                <w:lang w:eastAsia="en-AU"/>
              </w:rPr>
            </w:pPr>
            <w:r w:rsidRPr="00910E61">
              <w:rPr>
                <w:rFonts w:cs="Arial"/>
                <w:color w:val="3E5B00"/>
                <w:sz w:val="18"/>
                <w:szCs w:val="18"/>
                <w:lang w:eastAsia="en-AU"/>
              </w:rPr>
              <w:t>Under 15, over 64, not stated</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250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500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 xml:space="preserve">350 </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35%</w:t>
            </w:r>
          </w:p>
        </w:tc>
        <w:tc>
          <w:tcPr>
            <w:tcW w:w="1120" w:type="dxa"/>
            <w:tcBorders>
              <w:top w:val="nil"/>
              <w:left w:val="nil"/>
              <w:bottom w:val="single" w:sz="4" w:space="0" w:color="5E8A00"/>
              <w:right w:val="single" w:sz="4" w:space="0" w:color="5E8A00"/>
            </w:tcBorders>
            <w:shd w:val="clear" w:color="auto" w:fill="auto"/>
            <w:noWrap/>
            <w:vAlign w:val="center"/>
            <w:hideMark/>
          </w:tcPr>
          <w:p w:rsidR="00910E61" w:rsidRPr="00910E61" w:rsidRDefault="00910E61" w:rsidP="00910E61">
            <w:pPr>
              <w:spacing w:after="0" w:line="240" w:lineRule="auto"/>
              <w:jc w:val="right"/>
              <w:rPr>
                <w:rFonts w:cs="Arial"/>
                <w:sz w:val="18"/>
                <w:szCs w:val="18"/>
                <w:lang w:eastAsia="en-AU"/>
              </w:rPr>
            </w:pPr>
            <w:r w:rsidRPr="00910E61">
              <w:rPr>
                <w:rFonts w:cs="Arial"/>
                <w:sz w:val="18"/>
                <w:szCs w:val="18"/>
                <w:lang w:eastAsia="en-AU"/>
              </w:rPr>
              <w:t>-23%</w:t>
            </w:r>
          </w:p>
        </w:tc>
      </w:tr>
      <w:tr w:rsidR="00910E61" w:rsidRPr="00910E61" w:rsidTr="00910E61">
        <w:trPr>
          <w:trHeight w:hRule="exact" w:val="284"/>
        </w:trPr>
        <w:tc>
          <w:tcPr>
            <w:tcW w:w="3340" w:type="dxa"/>
            <w:tcBorders>
              <w:top w:val="nil"/>
              <w:left w:val="single" w:sz="4" w:space="0" w:color="5E8A00"/>
              <w:bottom w:val="nil"/>
              <w:right w:val="single" w:sz="4" w:space="0" w:color="5E8A00"/>
            </w:tcBorders>
            <w:shd w:val="clear" w:color="000000" w:fill="5E8A00"/>
            <w:noWrap/>
            <w:vAlign w:val="bottom"/>
            <w:hideMark/>
          </w:tcPr>
          <w:p w:rsidR="00910E61" w:rsidRPr="00910E61" w:rsidRDefault="00547292" w:rsidP="00910E61">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120"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62,600 </w:t>
            </w:r>
          </w:p>
        </w:tc>
        <w:tc>
          <w:tcPr>
            <w:tcW w:w="1120"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79,900 </w:t>
            </w:r>
          </w:p>
        </w:tc>
        <w:tc>
          <w:tcPr>
            <w:tcW w:w="1120" w:type="dxa"/>
            <w:tcBorders>
              <w:top w:val="nil"/>
              <w:left w:val="nil"/>
              <w:bottom w:val="single" w:sz="4" w:space="0" w:color="5E8A00"/>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 xml:space="preserve">48,500 </w:t>
            </w:r>
          </w:p>
        </w:tc>
        <w:tc>
          <w:tcPr>
            <w:tcW w:w="1120" w:type="dxa"/>
            <w:tcBorders>
              <w:top w:val="nil"/>
              <w:left w:val="nil"/>
              <w:bottom w:val="nil"/>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-23%</w:t>
            </w:r>
          </w:p>
        </w:tc>
        <w:tc>
          <w:tcPr>
            <w:tcW w:w="1120" w:type="dxa"/>
            <w:tcBorders>
              <w:top w:val="nil"/>
              <w:left w:val="nil"/>
              <w:bottom w:val="nil"/>
              <w:right w:val="single" w:sz="4" w:space="0" w:color="5E8A00"/>
            </w:tcBorders>
            <w:shd w:val="clear" w:color="000000" w:fill="5E8A00"/>
            <w:noWrap/>
            <w:vAlign w:val="center"/>
            <w:hideMark/>
          </w:tcPr>
          <w:p w:rsidR="00910E61" w:rsidRPr="00910E61" w:rsidRDefault="00910E61" w:rsidP="00910E61">
            <w:pPr>
              <w:spacing w:after="0" w:line="240" w:lineRule="auto"/>
              <w:jc w:val="right"/>
              <w:rPr>
                <w:rFonts w:cs="Arial"/>
                <w:b/>
                <w:bCs/>
                <w:color w:val="FFFFFF"/>
                <w:sz w:val="18"/>
                <w:szCs w:val="18"/>
                <w:lang w:eastAsia="en-AU"/>
              </w:rPr>
            </w:pPr>
            <w:r w:rsidRPr="00910E61">
              <w:rPr>
                <w:rFonts w:cs="Arial"/>
                <w:b/>
                <w:bCs/>
                <w:color w:val="FFFFFF"/>
                <w:sz w:val="18"/>
                <w:szCs w:val="18"/>
                <w:lang w:eastAsia="en-AU"/>
              </w:rPr>
              <w:t>-39%</w:t>
            </w:r>
          </w:p>
        </w:tc>
      </w:tr>
    </w:tbl>
    <w:p w:rsidR="00910E61" w:rsidRDefault="00910E61" w:rsidP="00910E61"/>
    <w:p w:rsidR="00233452" w:rsidRDefault="00233452">
      <w:pPr>
        <w:spacing w:after="0" w:line="240" w:lineRule="auto"/>
        <w:jc w:val="left"/>
        <w:rPr>
          <w:rFonts w:cs="Arial"/>
          <w:b/>
          <w:bCs/>
          <w:color w:val="76923C" w:themeColor="accent3" w:themeShade="BF"/>
          <w:sz w:val="18"/>
          <w:szCs w:val="16"/>
        </w:rPr>
      </w:pPr>
    </w:p>
    <w:p w:rsidR="008D2D17" w:rsidRPr="003078FB" w:rsidRDefault="008D2D17" w:rsidP="008D2D17">
      <w:pPr>
        <w:pStyle w:val="Caption"/>
        <w:spacing w:after="0"/>
        <w:jc w:val="left"/>
        <w:rPr>
          <w:rFonts w:cs="Arial"/>
        </w:rPr>
      </w:pPr>
      <w:r>
        <w:rPr>
          <w:rFonts w:cs="Arial"/>
        </w:rPr>
        <w:t>Table 3</w:t>
      </w:r>
      <w:r w:rsidRPr="001F29E3">
        <w:rPr>
          <w:rFonts w:cs="Arial"/>
        </w:rPr>
        <w:t>.</w:t>
      </w:r>
      <w:r w:rsidR="00734456">
        <w:rPr>
          <w:rFonts w:cs="Arial"/>
        </w:rPr>
        <w:t>8</w:t>
      </w:r>
      <w:r>
        <w:rPr>
          <w:rFonts w:cs="Arial"/>
        </w:rPr>
        <w:t>.1</w:t>
      </w:r>
      <w:r w:rsidRPr="001F29E3">
        <w:rPr>
          <w:rFonts w:cs="Arial"/>
        </w:rPr>
        <w:t xml:space="preserve">: Government subsidised enrolments by trainees by </w:t>
      </w:r>
      <w:r>
        <w:rPr>
          <w:rFonts w:cs="Arial"/>
        </w:rPr>
        <w:t>qualification level</w:t>
      </w:r>
      <w:r w:rsidRPr="001F29E3">
        <w:rPr>
          <w:rFonts w:cs="Arial"/>
        </w:rPr>
        <w:t>, 2008–2012</w:t>
      </w:r>
    </w:p>
    <w:tbl>
      <w:tblPr>
        <w:tblW w:w="9480" w:type="dxa"/>
        <w:tblInd w:w="108" w:type="dxa"/>
        <w:tblLook w:val="04A0" w:firstRow="1" w:lastRow="0" w:firstColumn="1" w:lastColumn="0" w:noHBand="0" w:noVBand="1"/>
      </w:tblPr>
      <w:tblGrid>
        <w:gridCol w:w="2760"/>
        <w:gridCol w:w="1120"/>
        <w:gridCol w:w="1120"/>
        <w:gridCol w:w="1120"/>
        <w:gridCol w:w="1120"/>
        <w:gridCol w:w="1120"/>
        <w:gridCol w:w="1120"/>
      </w:tblGrid>
      <w:tr w:rsidR="008D2D17" w:rsidRPr="003078FB" w:rsidTr="00752A8D">
        <w:trPr>
          <w:trHeight w:hRule="exact" w:val="760"/>
        </w:trPr>
        <w:tc>
          <w:tcPr>
            <w:tcW w:w="2760" w:type="dxa"/>
            <w:tcBorders>
              <w:top w:val="single" w:sz="4" w:space="0" w:color="5E8A00"/>
              <w:left w:val="single" w:sz="4" w:space="0" w:color="5E8A00"/>
              <w:bottom w:val="single" w:sz="4" w:space="0" w:color="5E8A00"/>
            </w:tcBorders>
            <w:shd w:val="clear" w:color="000000" w:fill="5E8A00"/>
            <w:noWrap/>
            <w:vAlign w:val="center"/>
            <w:hideMark/>
          </w:tcPr>
          <w:p w:rsidR="008D2D17" w:rsidRPr="003078FB" w:rsidRDefault="008D2D17" w:rsidP="00752A8D">
            <w:pPr>
              <w:spacing w:after="0" w:line="240" w:lineRule="auto"/>
              <w:ind w:firstLineChars="100" w:firstLine="181"/>
              <w:jc w:val="left"/>
              <w:rPr>
                <w:rFonts w:cs="Arial"/>
                <w:b/>
                <w:bCs/>
                <w:color w:val="FFFFFF"/>
                <w:sz w:val="18"/>
                <w:szCs w:val="18"/>
                <w:lang w:eastAsia="en-AU"/>
              </w:rPr>
            </w:pPr>
            <w:r w:rsidRPr="003078FB">
              <w:rPr>
                <w:rFonts w:cs="Arial"/>
                <w:b/>
                <w:bCs/>
                <w:color w:val="FFFFFF"/>
                <w:sz w:val="18"/>
                <w:szCs w:val="18"/>
                <w:lang w:eastAsia="en-AU"/>
              </w:rPr>
              <w:t> </w:t>
            </w:r>
          </w:p>
        </w:tc>
        <w:tc>
          <w:tcPr>
            <w:tcW w:w="1120" w:type="dxa"/>
            <w:tcBorders>
              <w:top w:val="single" w:sz="4" w:space="0" w:color="5E8A00"/>
              <w:bottom w:val="single" w:sz="4" w:space="0" w:color="5E8A00"/>
            </w:tcBorders>
            <w:shd w:val="clear" w:color="000000" w:fill="5E8A00"/>
            <w:vAlign w:val="center"/>
            <w:hideMark/>
          </w:tcPr>
          <w:p w:rsidR="008D2D17" w:rsidRPr="003078FB" w:rsidRDefault="008D2D17" w:rsidP="00752A8D">
            <w:pPr>
              <w:spacing w:after="0" w:line="240" w:lineRule="auto"/>
              <w:ind w:firstLineChars="100" w:firstLine="181"/>
              <w:jc w:val="right"/>
              <w:rPr>
                <w:rFonts w:cs="Arial"/>
                <w:b/>
                <w:bCs/>
                <w:color w:val="FFFFFF"/>
                <w:sz w:val="18"/>
                <w:szCs w:val="18"/>
                <w:lang w:eastAsia="en-AU"/>
              </w:rPr>
            </w:pPr>
            <w:r w:rsidRPr="003078FB">
              <w:rPr>
                <w:rFonts w:cs="Arial"/>
                <w:b/>
                <w:bCs/>
                <w:color w:val="FFFFFF"/>
                <w:sz w:val="18"/>
                <w:szCs w:val="18"/>
                <w:lang w:eastAsia="en-AU"/>
              </w:rPr>
              <w:t>2008</w:t>
            </w:r>
          </w:p>
        </w:tc>
        <w:tc>
          <w:tcPr>
            <w:tcW w:w="1120" w:type="dxa"/>
            <w:tcBorders>
              <w:top w:val="single" w:sz="4" w:space="0" w:color="5E8A00"/>
              <w:bottom w:val="single" w:sz="4" w:space="0" w:color="5E8A00"/>
            </w:tcBorders>
            <w:shd w:val="clear" w:color="000000" w:fill="5E8A00"/>
            <w:vAlign w:val="center"/>
            <w:hideMark/>
          </w:tcPr>
          <w:p w:rsidR="008D2D17" w:rsidRPr="003078FB" w:rsidRDefault="008D2D17" w:rsidP="00752A8D">
            <w:pPr>
              <w:spacing w:after="0" w:line="240" w:lineRule="auto"/>
              <w:ind w:firstLineChars="100" w:firstLine="181"/>
              <w:jc w:val="right"/>
              <w:rPr>
                <w:rFonts w:cs="Arial"/>
                <w:b/>
                <w:bCs/>
                <w:color w:val="FFFFFF"/>
                <w:sz w:val="18"/>
                <w:szCs w:val="18"/>
                <w:lang w:eastAsia="en-AU"/>
              </w:rPr>
            </w:pPr>
            <w:r w:rsidRPr="003078FB">
              <w:rPr>
                <w:rFonts w:cs="Arial"/>
                <w:b/>
                <w:bCs/>
                <w:color w:val="FFFFFF"/>
                <w:sz w:val="18"/>
                <w:szCs w:val="18"/>
                <w:lang w:eastAsia="en-AU"/>
              </w:rPr>
              <w:t>2009</w:t>
            </w:r>
          </w:p>
        </w:tc>
        <w:tc>
          <w:tcPr>
            <w:tcW w:w="1120" w:type="dxa"/>
            <w:tcBorders>
              <w:top w:val="single" w:sz="4" w:space="0" w:color="5E8A00"/>
              <w:bottom w:val="single" w:sz="4" w:space="0" w:color="5E8A00"/>
            </w:tcBorders>
            <w:shd w:val="clear" w:color="000000" w:fill="5E8A00"/>
            <w:vAlign w:val="center"/>
            <w:hideMark/>
          </w:tcPr>
          <w:p w:rsidR="008D2D17" w:rsidRPr="003078FB" w:rsidRDefault="008D2D17" w:rsidP="00752A8D">
            <w:pPr>
              <w:spacing w:after="0" w:line="240" w:lineRule="auto"/>
              <w:ind w:firstLineChars="100" w:firstLine="181"/>
              <w:jc w:val="right"/>
              <w:rPr>
                <w:rFonts w:cs="Arial"/>
                <w:b/>
                <w:bCs/>
                <w:color w:val="FFFFFF"/>
                <w:sz w:val="18"/>
                <w:szCs w:val="18"/>
                <w:lang w:eastAsia="en-AU"/>
              </w:rPr>
            </w:pPr>
            <w:r w:rsidRPr="003078FB">
              <w:rPr>
                <w:rFonts w:cs="Arial"/>
                <w:b/>
                <w:bCs/>
                <w:color w:val="FFFFFF"/>
                <w:sz w:val="18"/>
                <w:szCs w:val="18"/>
                <w:lang w:eastAsia="en-AU"/>
              </w:rPr>
              <w:t>2010</w:t>
            </w:r>
          </w:p>
        </w:tc>
        <w:tc>
          <w:tcPr>
            <w:tcW w:w="1120" w:type="dxa"/>
            <w:tcBorders>
              <w:top w:val="single" w:sz="4" w:space="0" w:color="5E8A00"/>
              <w:bottom w:val="single" w:sz="4" w:space="0" w:color="5E8A00"/>
            </w:tcBorders>
            <w:shd w:val="clear" w:color="000000" w:fill="5E8A00"/>
            <w:vAlign w:val="center"/>
            <w:hideMark/>
          </w:tcPr>
          <w:p w:rsidR="008D2D17" w:rsidRPr="003078FB" w:rsidRDefault="008D2D17" w:rsidP="00752A8D">
            <w:pPr>
              <w:spacing w:after="0" w:line="240" w:lineRule="auto"/>
              <w:ind w:firstLineChars="100" w:firstLine="181"/>
              <w:jc w:val="right"/>
              <w:rPr>
                <w:rFonts w:cs="Arial"/>
                <w:b/>
                <w:bCs/>
                <w:color w:val="FFFFFF"/>
                <w:sz w:val="18"/>
                <w:szCs w:val="18"/>
                <w:lang w:eastAsia="en-AU"/>
              </w:rPr>
            </w:pPr>
            <w:r w:rsidRPr="003078FB">
              <w:rPr>
                <w:rFonts w:cs="Arial"/>
                <w:b/>
                <w:bCs/>
                <w:color w:val="FFFFFF"/>
                <w:sz w:val="18"/>
                <w:szCs w:val="18"/>
                <w:lang w:eastAsia="en-AU"/>
              </w:rPr>
              <w:t>2011</w:t>
            </w:r>
          </w:p>
        </w:tc>
        <w:tc>
          <w:tcPr>
            <w:tcW w:w="1120" w:type="dxa"/>
            <w:tcBorders>
              <w:top w:val="single" w:sz="4" w:space="0" w:color="5E8A00"/>
              <w:bottom w:val="single" w:sz="4" w:space="0" w:color="5E8A00"/>
            </w:tcBorders>
            <w:shd w:val="clear" w:color="000000" w:fill="5E8A00"/>
            <w:vAlign w:val="center"/>
            <w:hideMark/>
          </w:tcPr>
          <w:p w:rsidR="008D2D17" w:rsidRPr="003078FB" w:rsidRDefault="008D2D17" w:rsidP="00752A8D">
            <w:pPr>
              <w:spacing w:after="0" w:line="240" w:lineRule="auto"/>
              <w:ind w:firstLineChars="100" w:firstLine="181"/>
              <w:jc w:val="right"/>
              <w:rPr>
                <w:rFonts w:cs="Arial"/>
                <w:b/>
                <w:bCs/>
                <w:color w:val="FFFFFF"/>
                <w:sz w:val="18"/>
                <w:szCs w:val="18"/>
                <w:lang w:eastAsia="en-AU"/>
              </w:rPr>
            </w:pPr>
            <w:r w:rsidRPr="003078FB">
              <w:rPr>
                <w:rFonts w:cs="Arial"/>
                <w:b/>
                <w:bCs/>
                <w:color w:val="FFFFFF"/>
                <w:sz w:val="18"/>
                <w:szCs w:val="18"/>
                <w:lang w:eastAsia="en-AU"/>
              </w:rPr>
              <w:t>2012</w:t>
            </w:r>
          </w:p>
        </w:tc>
        <w:tc>
          <w:tcPr>
            <w:tcW w:w="1120" w:type="dxa"/>
            <w:tcBorders>
              <w:top w:val="single" w:sz="4" w:space="0" w:color="5E8A00"/>
              <w:bottom w:val="single" w:sz="4" w:space="0" w:color="5E8A00"/>
              <w:right w:val="single" w:sz="4" w:space="0" w:color="5E8A00"/>
            </w:tcBorders>
            <w:shd w:val="clear" w:color="000000" w:fill="5E8A00"/>
            <w:vAlign w:val="center"/>
            <w:hideMark/>
          </w:tcPr>
          <w:p w:rsidR="008D2D17" w:rsidRPr="003078FB" w:rsidRDefault="008D2D17" w:rsidP="00752A8D">
            <w:pPr>
              <w:spacing w:after="0" w:line="240" w:lineRule="auto"/>
              <w:jc w:val="right"/>
              <w:rPr>
                <w:rFonts w:cs="Arial"/>
                <w:b/>
                <w:bCs/>
                <w:color w:val="FFFFFF"/>
                <w:sz w:val="18"/>
                <w:szCs w:val="18"/>
                <w:lang w:eastAsia="en-AU"/>
              </w:rPr>
            </w:pPr>
            <w:r w:rsidRPr="003078FB">
              <w:rPr>
                <w:rFonts w:cs="Arial"/>
                <w:b/>
                <w:bCs/>
                <w:color w:val="FFFFFF"/>
                <w:sz w:val="18"/>
                <w:szCs w:val="18"/>
                <w:lang w:eastAsia="en-AU"/>
              </w:rPr>
              <w:t>% change</w:t>
            </w:r>
            <w:r w:rsidRPr="003078FB">
              <w:rPr>
                <w:rFonts w:cs="Arial"/>
                <w:b/>
                <w:bCs/>
                <w:color w:val="FFFFFF"/>
                <w:sz w:val="18"/>
                <w:szCs w:val="18"/>
                <w:lang w:eastAsia="en-AU"/>
              </w:rPr>
              <w:br/>
              <w:t>2008-2012</w:t>
            </w:r>
          </w:p>
        </w:tc>
      </w:tr>
      <w:tr w:rsidR="008D2D17" w:rsidRPr="003078FB" w:rsidTr="00752A8D">
        <w:trPr>
          <w:trHeight w:hRule="exact" w:val="284"/>
        </w:trPr>
        <w:tc>
          <w:tcPr>
            <w:tcW w:w="27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3078FB" w:rsidRDefault="008D2D17" w:rsidP="00752A8D">
            <w:pPr>
              <w:spacing w:after="0" w:line="240" w:lineRule="auto"/>
              <w:jc w:val="left"/>
              <w:rPr>
                <w:rFonts w:cs="Arial"/>
                <w:color w:val="3E5B00"/>
                <w:sz w:val="18"/>
                <w:szCs w:val="18"/>
                <w:lang w:eastAsia="en-AU"/>
              </w:rPr>
            </w:pPr>
            <w:r w:rsidRPr="003078FB">
              <w:rPr>
                <w:rFonts w:cs="Arial"/>
                <w:color w:val="3E5B00"/>
                <w:sz w:val="18"/>
                <w:szCs w:val="18"/>
                <w:lang w:eastAsia="en-AU"/>
              </w:rPr>
              <w:t>Cert I-II</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10,200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11,100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11,700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8,900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4,200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-59%</w:t>
            </w:r>
          </w:p>
        </w:tc>
      </w:tr>
      <w:tr w:rsidR="008D2D17" w:rsidRPr="003078FB" w:rsidTr="00752A8D">
        <w:trPr>
          <w:trHeight w:hRule="exact" w:val="284"/>
        </w:trPr>
        <w:tc>
          <w:tcPr>
            <w:tcW w:w="27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3078FB" w:rsidRDefault="008D2D17" w:rsidP="00752A8D">
            <w:pPr>
              <w:spacing w:after="0" w:line="240" w:lineRule="auto"/>
              <w:jc w:val="left"/>
              <w:rPr>
                <w:rFonts w:cs="Arial"/>
                <w:color w:val="3E5B00"/>
                <w:sz w:val="18"/>
                <w:szCs w:val="18"/>
                <w:lang w:eastAsia="en-AU"/>
              </w:rPr>
            </w:pPr>
            <w:r w:rsidRPr="003078FB">
              <w:rPr>
                <w:rFonts w:cs="Arial"/>
                <w:color w:val="3E5B00"/>
                <w:sz w:val="18"/>
                <w:szCs w:val="18"/>
                <w:lang w:eastAsia="en-AU"/>
              </w:rPr>
              <w:t>Cert III-IV</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42,600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36,800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42,500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62,900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72,100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69%</w:t>
            </w:r>
          </w:p>
        </w:tc>
      </w:tr>
      <w:tr w:rsidR="008D2D17" w:rsidRPr="003078FB" w:rsidTr="00752A8D">
        <w:trPr>
          <w:trHeight w:hRule="exact" w:val="284"/>
        </w:trPr>
        <w:tc>
          <w:tcPr>
            <w:tcW w:w="2760" w:type="dxa"/>
            <w:tcBorders>
              <w:top w:val="nil"/>
              <w:left w:val="single" w:sz="4" w:space="0" w:color="5E8A00"/>
              <w:bottom w:val="single" w:sz="4" w:space="0" w:color="5E8A00"/>
              <w:right w:val="single" w:sz="4" w:space="0" w:color="5E8A00"/>
            </w:tcBorders>
            <w:shd w:val="clear" w:color="000000" w:fill="FFFFFF"/>
            <w:noWrap/>
            <w:vAlign w:val="bottom"/>
            <w:hideMark/>
          </w:tcPr>
          <w:p w:rsidR="008D2D17" w:rsidRPr="003078FB" w:rsidRDefault="008D2D17" w:rsidP="00752A8D">
            <w:pPr>
              <w:spacing w:after="0" w:line="240" w:lineRule="auto"/>
              <w:jc w:val="left"/>
              <w:rPr>
                <w:rFonts w:cs="Arial"/>
                <w:color w:val="3E5B00"/>
                <w:sz w:val="18"/>
                <w:szCs w:val="18"/>
                <w:lang w:eastAsia="en-AU"/>
              </w:rPr>
            </w:pPr>
            <w:r w:rsidRPr="003078FB">
              <w:rPr>
                <w:rFonts w:cs="Arial"/>
                <w:color w:val="3E5B00"/>
                <w:sz w:val="18"/>
                <w:szCs w:val="18"/>
                <w:lang w:eastAsia="en-AU"/>
              </w:rPr>
              <w:t>Diploma &amp; Above</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1,100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1,300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2,700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8,400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 xml:space="preserve">13,000 </w:t>
            </w:r>
          </w:p>
        </w:tc>
        <w:tc>
          <w:tcPr>
            <w:tcW w:w="1120" w:type="dxa"/>
            <w:tcBorders>
              <w:top w:val="nil"/>
              <w:left w:val="nil"/>
              <w:bottom w:val="single" w:sz="4" w:space="0" w:color="5E8A00"/>
              <w:right w:val="single" w:sz="4" w:space="0" w:color="5E8A00"/>
            </w:tcBorders>
            <w:shd w:val="clear" w:color="auto" w:fill="auto"/>
            <w:noWrap/>
            <w:vAlign w:val="center"/>
            <w:hideMark/>
          </w:tcPr>
          <w:p w:rsidR="008D2D17" w:rsidRPr="003078FB" w:rsidRDefault="008D2D17" w:rsidP="00752A8D">
            <w:pPr>
              <w:spacing w:after="0" w:line="240" w:lineRule="auto"/>
              <w:jc w:val="right"/>
              <w:rPr>
                <w:rFonts w:cs="Arial"/>
                <w:sz w:val="18"/>
                <w:szCs w:val="18"/>
                <w:lang w:eastAsia="en-AU"/>
              </w:rPr>
            </w:pPr>
            <w:r w:rsidRPr="003078FB">
              <w:rPr>
                <w:rFonts w:cs="Arial"/>
                <w:sz w:val="18"/>
                <w:szCs w:val="18"/>
                <w:lang w:eastAsia="en-AU"/>
              </w:rPr>
              <w:t>1128%</w:t>
            </w:r>
          </w:p>
        </w:tc>
      </w:tr>
    </w:tbl>
    <w:p w:rsidR="008D2D17" w:rsidRPr="00561677" w:rsidRDefault="008D2D17" w:rsidP="008D2D17"/>
    <w:p w:rsidR="008D2D17" w:rsidRDefault="008D2D17" w:rsidP="008D2D17">
      <w:pPr>
        <w:pStyle w:val="Caption"/>
        <w:spacing w:after="0"/>
        <w:jc w:val="left"/>
        <w:rPr>
          <w:rFonts w:cs="Arial"/>
        </w:rPr>
      </w:pPr>
      <w:r>
        <w:rPr>
          <w:rFonts w:cs="Arial"/>
        </w:rPr>
        <w:t>Table 3</w:t>
      </w:r>
      <w:r w:rsidRPr="001F29E3">
        <w:rPr>
          <w:rFonts w:cs="Arial"/>
        </w:rPr>
        <w:t>.</w:t>
      </w:r>
      <w:r w:rsidR="00734456">
        <w:rPr>
          <w:rFonts w:cs="Arial"/>
        </w:rPr>
        <w:t>8</w:t>
      </w:r>
      <w:r>
        <w:rPr>
          <w:rFonts w:cs="Arial"/>
        </w:rPr>
        <w:t>.2</w:t>
      </w:r>
      <w:r w:rsidRPr="001F29E3">
        <w:rPr>
          <w:rFonts w:cs="Arial"/>
        </w:rPr>
        <w:t xml:space="preserve">: Government subsidised enrolments by trainees by </w:t>
      </w:r>
      <w:r>
        <w:rPr>
          <w:rFonts w:cs="Arial"/>
        </w:rPr>
        <w:t>qualification level</w:t>
      </w:r>
      <w:r w:rsidRPr="001F29E3">
        <w:rPr>
          <w:rFonts w:cs="Arial"/>
        </w:rPr>
        <w:t>, Q</w:t>
      </w:r>
      <w:r w:rsidR="00910E61">
        <w:rPr>
          <w:rFonts w:cs="Arial"/>
        </w:rPr>
        <w:t>3</w:t>
      </w:r>
      <w:r w:rsidRPr="001F29E3">
        <w:rPr>
          <w:rFonts w:cs="Arial"/>
        </w:rPr>
        <w:t xml:space="preserve"> 201</w:t>
      </w:r>
      <w:r>
        <w:rPr>
          <w:rFonts w:cs="Arial"/>
        </w:rPr>
        <w:t>1, Q</w:t>
      </w:r>
      <w:r w:rsidR="00910E61">
        <w:rPr>
          <w:rFonts w:cs="Arial"/>
        </w:rPr>
        <w:t>3</w:t>
      </w:r>
      <w:r>
        <w:rPr>
          <w:rFonts w:cs="Arial"/>
        </w:rPr>
        <w:t xml:space="preserve"> 2012 and Q</w:t>
      </w:r>
      <w:r w:rsidR="00910E61">
        <w:rPr>
          <w:rFonts w:cs="Arial"/>
        </w:rPr>
        <w:t>3</w:t>
      </w:r>
      <w:r>
        <w:rPr>
          <w:rFonts w:cs="Arial"/>
        </w:rPr>
        <w:t xml:space="preserve"> </w:t>
      </w:r>
      <w:r w:rsidRPr="001F29E3">
        <w:rPr>
          <w:rFonts w:cs="Arial"/>
        </w:rPr>
        <w:t>2013</w:t>
      </w:r>
    </w:p>
    <w:tbl>
      <w:tblPr>
        <w:tblW w:w="8931" w:type="dxa"/>
        <w:tblInd w:w="108" w:type="dxa"/>
        <w:tblLayout w:type="fixed"/>
        <w:tblLook w:val="04A0" w:firstRow="1" w:lastRow="0" w:firstColumn="1" w:lastColumn="0" w:noHBand="0" w:noVBand="1"/>
      </w:tblPr>
      <w:tblGrid>
        <w:gridCol w:w="2694"/>
        <w:gridCol w:w="1247"/>
        <w:gridCol w:w="1247"/>
        <w:gridCol w:w="1248"/>
        <w:gridCol w:w="1247"/>
        <w:gridCol w:w="1248"/>
      </w:tblGrid>
      <w:tr w:rsidR="00C5499C" w:rsidRPr="00C5499C" w:rsidTr="00C5499C">
        <w:trPr>
          <w:trHeight w:val="762"/>
        </w:trPr>
        <w:tc>
          <w:tcPr>
            <w:tcW w:w="2694"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C5499C" w:rsidRPr="00C5499C" w:rsidRDefault="00C5499C" w:rsidP="00C5499C">
            <w:pPr>
              <w:spacing w:after="0" w:line="240" w:lineRule="auto"/>
              <w:ind w:firstLineChars="100" w:firstLine="181"/>
              <w:jc w:val="left"/>
              <w:rPr>
                <w:rFonts w:cs="Arial"/>
                <w:b/>
                <w:bCs/>
                <w:color w:val="FFFFFF"/>
                <w:sz w:val="18"/>
                <w:szCs w:val="18"/>
                <w:lang w:eastAsia="en-AU"/>
              </w:rPr>
            </w:pPr>
            <w:r w:rsidRPr="00C5499C">
              <w:rPr>
                <w:rFonts w:cs="Arial"/>
                <w:b/>
                <w:bCs/>
                <w:color w:val="FFFFFF"/>
                <w:sz w:val="18"/>
                <w:szCs w:val="18"/>
                <w:lang w:eastAsia="en-AU"/>
              </w:rPr>
              <w:t> </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C5499C" w:rsidRPr="00C5499C" w:rsidRDefault="00C5499C" w:rsidP="00C5499C">
            <w:pPr>
              <w:spacing w:after="0" w:line="240" w:lineRule="auto"/>
              <w:ind w:firstLineChars="100" w:firstLine="181"/>
              <w:jc w:val="right"/>
              <w:rPr>
                <w:rFonts w:cs="Arial"/>
                <w:b/>
                <w:bCs/>
                <w:color w:val="FFFFFF"/>
                <w:sz w:val="18"/>
                <w:szCs w:val="18"/>
                <w:lang w:eastAsia="en-AU"/>
              </w:rPr>
            </w:pPr>
            <w:r w:rsidRPr="00C5499C">
              <w:rPr>
                <w:rFonts w:cs="Arial"/>
                <w:b/>
                <w:bCs/>
                <w:color w:val="FFFFFF"/>
                <w:sz w:val="18"/>
                <w:szCs w:val="18"/>
                <w:lang w:eastAsia="en-AU"/>
              </w:rPr>
              <w:t>Q3 2011</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C5499C" w:rsidRPr="00C5499C" w:rsidRDefault="00C5499C" w:rsidP="00C5499C">
            <w:pPr>
              <w:spacing w:after="0" w:line="240" w:lineRule="auto"/>
              <w:ind w:firstLineChars="100" w:firstLine="181"/>
              <w:jc w:val="right"/>
              <w:rPr>
                <w:rFonts w:cs="Arial"/>
                <w:b/>
                <w:bCs/>
                <w:color w:val="FFFFFF"/>
                <w:sz w:val="18"/>
                <w:szCs w:val="18"/>
                <w:lang w:eastAsia="en-AU"/>
              </w:rPr>
            </w:pPr>
            <w:r w:rsidRPr="00C5499C">
              <w:rPr>
                <w:rFonts w:cs="Arial"/>
                <w:b/>
                <w:bCs/>
                <w:color w:val="FFFFFF"/>
                <w:sz w:val="18"/>
                <w:szCs w:val="18"/>
                <w:lang w:eastAsia="en-AU"/>
              </w:rPr>
              <w:t>Q3 2012</w:t>
            </w:r>
          </w:p>
        </w:tc>
        <w:tc>
          <w:tcPr>
            <w:tcW w:w="1248" w:type="dxa"/>
            <w:tcBorders>
              <w:top w:val="single" w:sz="4" w:space="0" w:color="5E8A00"/>
              <w:left w:val="nil"/>
              <w:bottom w:val="single" w:sz="4" w:space="0" w:color="5E8A00"/>
              <w:right w:val="single" w:sz="4" w:space="0" w:color="5E8A00"/>
            </w:tcBorders>
            <w:shd w:val="clear" w:color="000000" w:fill="5E8A00"/>
            <w:vAlign w:val="center"/>
            <w:hideMark/>
          </w:tcPr>
          <w:p w:rsidR="00C5499C" w:rsidRPr="00C5499C" w:rsidRDefault="00C5499C" w:rsidP="00C5499C">
            <w:pPr>
              <w:spacing w:after="0" w:line="240" w:lineRule="auto"/>
              <w:ind w:firstLineChars="100" w:firstLine="181"/>
              <w:jc w:val="right"/>
              <w:rPr>
                <w:rFonts w:cs="Arial"/>
                <w:b/>
                <w:bCs/>
                <w:color w:val="FFFFFF"/>
                <w:sz w:val="18"/>
                <w:szCs w:val="18"/>
                <w:lang w:eastAsia="en-AU"/>
              </w:rPr>
            </w:pPr>
            <w:r w:rsidRPr="00C5499C">
              <w:rPr>
                <w:rFonts w:cs="Arial"/>
                <w:b/>
                <w:bCs/>
                <w:color w:val="FFFFFF"/>
                <w:sz w:val="18"/>
                <w:szCs w:val="18"/>
                <w:lang w:eastAsia="en-AU"/>
              </w:rPr>
              <w:t>Q3 2013</w:t>
            </w:r>
          </w:p>
        </w:tc>
        <w:tc>
          <w:tcPr>
            <w:tcW w:w="1247" w:type="dxa"/>
            <w:tcBorders>
              <w:top w:val="single" w:sz="4" w:space="0" w:color="5E8A00"/>
              <w:left w:val="nil"/>
              <w:bottom w:val="single" w:sz="4" w:space="0" w:color="5E8A00"/>
              <w:right w:val="single" w:sz="4" w:space="0" w:color="5E8A00"/>
            </w:tcBorders>
            <w:shd w:val="clear" w:color="000000" w:fill="5E8A00"/>
            <w:vAlign w:val="center"/>
            <w:hideMark/>
          </w:tcPr>
          <w:p w:rsidR="00C5499C" w:rsidRPr="00C5499C" w:rsidRDefault="00C5499C" w:rsidP="00C5499C">
            <w:pPr>
              <w:spacing w:after="0" w:line="240" w:lineRule="auto"/>
              <w:ind w:firstLineChars="100" w:firstLine="181"/>
              <w:jc w:val="right"/>
              <w:rPr>
                <w:rFonts w:cs="Arial"/>
                <w:b/>
                <w:bCs/>
                <w:color w:val="FFFFFF"/>
                <w:sz w:val="18"/>
                <w:szCs w:val="18"/>
                <w:lang w:eastAsia="en-AU"/>
              </w:rPr>
            </w:pPr>
            <w:r w:rsidRPr="00C5499C">
              <w:rPr>
                <w:rFonts w:cs="Arial"/>
                <w:b/>
                <w:bCs/>
                <w:color w:val="FFFFFF"/>
                <w:sz w:val="18"/>
                <w:szCs w:val="18"/>
                <w:lang w:eastAsia="en-AU"/>
              </w:rPr>
              <w:t>% change</w:t>
            </w:r>
            <w:r w:rsidRPr="00C5499C">
              <w:rPr>
                <w:rFonts w:cs="Arial"/>
                <w:b/>
                <w:bCs/>
                <w:color w:val="FFFFFF"/>
                <w:sz w:val="18"/>
                <w:szCs w:val="18"/>
                <w:lang w:eastAsia="en-AU"/>
              </w:rPr>
              <w:br/>
              <w:t>Q2 2010-Q3 2013 </w:t>
            </w:r>
          </w:p>
        </w:tc>
        <w:tc>
          <w:tcPr>
            <w:tcW w:w="1248" w:type="dxa"/>
            <w:tcBorders>
              <w:top w:val="single" w:sz="4" w:space="0" w:color="5E8A00"/>
              <w:left w:val="nil"/>
              <w:bottom w:val="single" w:sz="4" w:space="0" w:color="5E8A00"/>
              <w:right w:val="single" w:sz="4" w:space="0" w:color="5E8A00"/>
            </w:tcBorders>
            <w:shd w:val="clear" w:color="000000" w:fill="5E8A00"/>
            <w:vAlign w:val="center"/>
            <w:hideMark/>
          </w:tcPr>
          <w:p w:rsidR="00C5499C" w:rsidRPr="00C5499C" w:rsidRDefault="00C5499C" w:rsidP="00C5499C">
            <w:pPr>
              <w:spacing w:after="0" w:line="240" w:lineRule="auto"/>
              <w:ind w:firstLineChars="100" w:firstLine="181"/>
              <w:jc w:val="right"/>
              <w:rPr>
                <w:rFonts w:cs="Arial"/>
                <w:b/>
                <w:bCs/>
                <w:color w:val="FFFFFF"/>
                <w:sz w:val="18"/>
                <w:szCs w:val="18"/>
                <w:lang w:eastAsia="en-AU"/>
              </w:rPr>
            </w:pPr>
            <w:r w:rsidRPr="00C5499C">
              <w:rPr>
                <w:rFonts w:cs="Arial"/>
                <w:b/>
                <w:bCs/>
                <w:color w:val="FFFFFF"/>
                <w:sz w:val="18"/>
                <w:szCs w:val="18"/>
                <w:lang w:eastAsia="en-AU"/>
              </w:rPr>
              <w:t>% change</w:t>
            </w:r>
            <w:r w:rsidRPr="00C5499C">
              <w:rPr>
                <w:rFonts w:cs="Arial"/>
                <w:b/>
                <w:bCs/>
                <w:color w:val="FFFFFF"/>
                <w:sz w:val="18"/>
                <w:szCs w:val="18"/>
                <w:lang w:eastAsia="en-AU"/>
              </w:rPr>
              <w:br/>
              <w:t>Q3 2011-Q3 2013 </w:t>
            </w:r>
          </w:p>
        </w:tc>
      </w:tr>
      <w:tr w:rsidR="00C5499C" w:rsidRPr="00C5499C" w:rsidTr="00C5499C">
        <w:trPr>
          <w:trHeight w:val="342"/>
        </w:trPr>
        <w:tc>
          <w:tcPr>
            <w:tcW w:w="2694" w:type="dxa"/>
            <w:tcBorders>
              <w:top w:val="nil"/>
              <w:left w:val="single" w:sz="4" w:space="0" w:color="5E8A00"/>
              <w:bottom w:val="single" w:sz="4" w:space="0" w:color="5E8A00"/>
              <w:right w:val="single" w:sz="4" w:space="0" w:color="5E8A00"/>
            </w:tcBorders>
            <w:shd w:val="clear" w:color="000000" w:fill="FFFFFF"/>
            <w:noWrap/>
            <w:vAlign w:val="center"/>
            <w:hideMark/>
          </w:tcPr>
          <w:p w:rsidR="00C5499C" w:rsidRPr="00C5499C" w:rsidRDefault="00C5499C" w:rsidP="00C5499C">
            <w:pPr>
              <w:spacing w:after="0" w:line="240" w:lineRule="auto"/>
              <w:jc w:val="left"/>
              <w:rPr>
                <w:rFonts w:cs="Arial"/>
                <w:color w:val="3E5B00"/>
                <w:sz w:val="18"/>
                <w:szCs w:val="18"/>
                <w:lang w:eastAsia="en-AU"/>
              </w:rPr>
            </w:pPr>
            <w:r w:rsidRPr="00C5499C">
              <w:rPr>
                <w:rFonts w:cs="Arial"/>
                <w:color w:val="3E5B00"/>
                <w:sz w:val="18"/>
                <w:szCs w:val="18"/>
                <w:lang w:eastAsia="en-AU"/>
              </w:rPr>
              <w:t>Cert I-II</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7,900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3,900 </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2,100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-73%</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-45%</w:t>
            </w:r>
          </w:p>
        </w:tc>
      </w:tr>
      <w:tr w:rsidR="00C5499C" w:rsidRPr="00C5499C" w:rsidTr="00C5499C">
        <w:trPr>
          <w:trHeight w:val="342"/>
        </w:trPr>
        <w:tc>
          <w:tcPr>
            <w:tcW w:w="2694" w:type="dxa"/>
            <w:tcBorders>
              <w:top w:val="nil"/>
              <w:left w:val="single" w:sz="4" w:space="0" w:color="5E8A00"/>
              <w:bottom w:val="single" w:sz="4" w:space="0" w:color="5E8A00"/>
              <w:right w:val="single" w:sz="4" w:space="0" w:color="5E8A00"/>
            </w:tcBorders>
            <w:shd w:val="clear" w:color="000000" w:fill="FFFFFF"/>
            <w:noWrap/>
            <w:vAlign w:val="center"/>
            <w:hideMark/>
          </w:tcPr>
          <w:p w:rsidR="00C5499C" w:rsidRPr="00C5499C" w:rsidRDefault="00C5499C" w:rsidP="00C5499C">
            <w:pPr>
              <w:spacing w:after="0" w:line="240" w:lineRule="auto"/>
              <w:jc w:val="left"/>
              <w:rPr>
                <w:rFonts w:cs="Arial"/>
                <w:color w:val="3E5B00"/>
                <w:sz w:val="18"/>
                <w:szCs w:val="18"/>
                <w:lang w:eastAsia="en-AU"/>
              </w:rPr>
            </w:pPr>
            <w:r w:rsidRPr="00C5499C">
              <w:rPr>
                <w:rFonts w:cs="Arial"/>
                <w:color w:val="3E5B00"/>
                <w:sz w:val="18"/>
                <w:szCs w:val="18"/>
                <w:lang w:eastAsia="en-AU"/>
              </w:rPr>
              <w:t>Cert III-IV</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48,400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64,000 </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40,100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-17%</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-37%</w:t>
            </w:r>
          </w:p>
        </w:tc>
      </w:tr>
      <w:tr w:rsidR="00C5499C" w:rsidRPr="00C5499C" w:rsidTr="00C5499C">
        <w:trPr>
          <w:trHeight w:val="342"/>
        </w:trPr>
        <w:tc>
          <w:tcPr>
            <w:tcW w:w="2694" w:type="dxa"/>
            <w:tcBorders>
              <w:top w:val="nil"/>
              <w:left w:val="single" w:sz="4" w:space="0" w:color="5E8A00"/>
              <w:bottom w:val="single" w:sz="4" w:space="0" w:color="5E8A00"/>
              <w:right w:val="single" w:sz="4" w:space="0" w:color="5E8A00"/>
            </w:tcBorders>
            <w:shd w:val="clear" w:color="000000" w:fill="FFFFFF"/>
            <w:noWrap/>
            <w:vAlign w:val="center"/>
            <w:hideMark/>
          </w:tcPr>
          <w:p w:rsidR="00C5499C" w:rsidRPr="00C5499C" w:rsidRDefault="00C5499C" w:rsidP="00C5499C">
            <w:pPr>
              <w:spacing w:after="0" w:line="240" w:lineRule="auto"/>
              <w:jc w:val="left"/>
              <w:rPr>
                <w:rFonts w:cs="Arial"/>
                <w:color w:val="3E5B00"/>
                <w:sz w:val="18"/>
                <w:szCs w:val="18"/>
                <w:lang w:eastAsia="en-AU"/>
              </w:rPr>
            </w:pPr>
            <w:r w:rsidRPr="00C5499C">
              <w:rPr>
                <w:rFonts w:cs="Arial"/>
                <w:color w:val="3E5B00"/>
                <w:sz w:val="18"/>
                <w:szCs w:val="18"/>
                <w:lang w:eastAsia="en-AU"/>
              </w:rPr>
              <w:t>Diploma &amp; Above</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6,300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12,100 </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 xml:space="preserve">6,300 </w:t>
            </w:r>
          </w:p>
        </w:tc>
        <w:tc>
          <w:tcPr>
            <w:tcW w:w="1247"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0%</w:t>
            </w:r>
          </w:p>
        </w:tc>
        <w:tc>
          <w:tcPr>
            <w:tcW w:w="1248" w:type="dxa"/>
            <w:tcBorders>
              <w:top w:val="nil"/>
              <w:left w:val="nil"/>
              <w:bottom w:val="single" w:sz="4" w:space="0" w:color="5E8A00"/>
              <w:right w:val="single" w:sz="4" w:space="0" w:color="5E8A00"/>
            </w:tcBorders>
            <w:shd w:val="clear" w:color="auto" w:fill="auto"/>
            <w:noWrap/>
            <w:vAlign w:val="center"/>
            <w:hideMark/>
          </w:tcPr>
          <w:p w:rsidR="00C5499C" w:rsidRPr="00C5499C" w:rsidRDefault="00C5499C" w:rsidP="00C5499C">
            <w:pPr>
              <w:spacing w:after="0" w:line="240" w:lineRule="auto"/>
              <w:jc w:val="right"/>
              <w:rPr>
                <w:rFonts w:cs="Arial"/>
                <w:sz w:val="18"/>
                <w:szCs w:val="18"/>
                <w:lang w:eastAsia="en-AU"/>
              </w:rPr>
            </w:pPr>
            <w:r w:rsidRPr="00C5499C">
              <w:rPr>
                <w:rFonts w:cs="Arial"/>
                <w:sz w:val="18"/>
                <w:szCs w:val="18"/>
                <w:lang w:eastAsia="en-AU"/>
              </w:rPr>
              <w:t>-48%</w:t>
            </w:r>
          </w:p>
        </w:tc>
      </w:tr>
    </w:tbl>
    <w:p w:rsidR="00C5499C" w:rsidRDefault="00C5499C" w:rsidP="00C5499C"/>
    <w:p w:rsidR="008D2D17" w:rsidRDefault="008D2D17" w:rsidP="008D2D17">
      <w:pPr>
        <w:spacing w:after="0" w:line="240" w:lineRule="auto"/>
        <w:jc w:val="left"/>
        <w:rPr>
          <w:rFonts w:cs="Arial"/>
          <w:b/>
          <w:bCs/>
          <w:color w:val="76923C" w:themeColor="accent3" w:themeShade="BF"/>
          <w:sz w:val="18"/>
          <w:szCs w:val="16"/>
        </w:rPr>
      </w:pPr>
    </w:p>
    <w:p w:rsidR="00B02EF0" w:rsidRDefault="00B02EF0">
      <w:pPr>
        <w:spacing w:after="0" w:line="240" w:lineRule="auto"/>
        <w:jc w:val="left"/>
        <w:rPr>
          <w:rFonts w:cs="Arial"/>
          <w:b/>
          <w:bCs/>
          <w:color w:val="76923C" w:themeColor="accent3" w:themeShade="BF"/>
          <w:sz w:val="18"/>
          <w:szCs w:val="16"/>
        </w:rPr>
      </w:pPr>
      <w:r>
        <w:rPr>
          <w:rFonts w:cs="Arial"/>
        </w:rPr>
        <w:br w:type="page"/>
      </w:r>
    </w:p>
    <w:p w:rsidR="008D2D17" w:rsidRDefault="008D2D17" w:rsidP="008D2D17">
      <w:pPr>
        <w:pStyle w:val="Caption"/>
        <w:spacing w:after="0"/>
        <w:jc w:val="left"/>
        <w:rPr>
          <w:rFonts w:cs="Arial"/>
        </w:rPr>
      </w:pPr>
      <w:r w:rsidRPr="001F29E3">
        <w:rPr>
          <w:rFonts w:cs="Arial"/>
        </w:rPr>
        <w:lastRenderedPageBreak/>
        <w:t xml:space="preserve">Table </w:t>
      </w:r>
      <w:r>
        <w:rPr>
          <w:rFonts w:cs="Arial"/>
        </w:rPr>
        <w:t>3</w:t>
      </w:r>
      <w:r w:rsidRPr="001F29E3">
        <w:rPr>
          <w:rFonts w:cs="Arial"/>
        </w:rPr>
        <w:t>.</w:t>
      </w:r>
      <w:r w:rsidR="00734456">
        <w:rPr>
          <w:rFonts w:cs="Arial"/>
        </w:rPr>
        <w:t>9</w:t>
      </w:r>
      <w:r w:rsidRPr="001F29E3">
        <w:rPr>
          <w:rFonts w:cs="Arial"/>
        </w:rPr>
        <w:t xml:space="preserve">: Government subsidised enrolments by </w:t>
      </w:r>
      <w:r>
        <w:rPr>
          <w:rFonts w:cs="Arial"/>
        </w:rPr>
        <w:t>trainee</w:t>
      </w:r>
      <w:r w:rsidRPr="001F29E3">
        <w:rPr>
          <w:rFonts w:cs="Arial"/>
        </w:rPr>
        <w:t xml:space="preserve">s by </w:t>
      </w:r>
      <w:r>
        <w:rPr>
          <w:rFonts w:cs="Arial"/>
        </w:rPr>
        <w:t>industry</w:t>
      </w:r>
      <w:r w:rsidRPr="001F29E3">
        <w:rPr>
          <w:rFonts w:cs="Arial"/>
        </w:rPr>
        <w:t>, Q</w:t>
      </w:r>
      <w:r w:rsidR="00BE2BC1">
        <w:rPr>
          <w:rFonts w:cs="Arial"/>
        </w:rPr>
        <w:t>3</w:t>
      </w:r>
      <w:r w:rsidRPr="001F29E3">
        <w:rPr>
          <w:rFonts w:cs="Arial"/>
        </w:rPr>
        <w:t xml:space="preserve"> 201</w:t>
      </w:r>
      <w:r>
        <w:rPr>
          <w:rFonts w:cs="Arial"/>
        </w:rPr>
        <w:t>1, Q</w:t>
      </w:r>
      <w:r w:rsidR="00BE2BC1">
        <w:rPr>
          <w:rFonts w:cs="Arial"/>
        </w:rPr>
        <w:t>3</w:t>
      </w:r>
      <w:r>
        <w:rPr>
          <w:rFonts w:cs="Arial"/>
        </w:rPr>
        <w:t xml:space="preserve"> 2012 and Q</w:t>
      </w:r>
      <w:r w:rsidR="00BE2BC1">
        <w:rPr>
          <w:rFonts w:cs="Arial"/>
        </w:rPr>
        <w:t>3</w:t>
      </w:r>
      <w:r>
        <w:rPr>
          <w:rFonts w:cs="Arial"/>
        </w:rPr>
        <w:t xml:space="preserve"> </w:t>
      </w:r>
      <w:r w:rsidRPr="001F29E3">
        <w:rPr>
          <w:rFonts w:cs="Arial"/>
        </w:rPr>
        <w:t>2013</w:t>
      </w:r>
    </w:p>
    <w:tbl>
      <w:tblPr>
        <w:tblW w:w="9498" w:type="dxa"/>
        <w:tblInd w:w="108" w:type="dxa"/>
        <w:tblLayout w:type="fixed"/>
        <w:tblLook w:val="04A0" w:firstRow="1" w:lastRow="0" w:firstColumn="1" w:lastColumn="0" w:noHBand="0" w:noVBand="1"/>
      </w:tblPr>
      <w:tblGrid>
        <w:gridCol w:w="3969"/>
        <w:gridCol w:w="1105"/>
        <w:gridCol w:w="1106"/>
        <w:gridCol w:w="1106"/>
        <w:gridCol w:w="1106"/>
        <w:gridCol w:w="1106"/>
      </w:tblGrid>
      <w:tr w:rsidR="00BE2BC1" w:rsidRPr="00BE2BC1" w:rsidTr="00325EA9">
        <w:trPr>
          <w:trHeight w:hRule="exact" w:val="760"/>
        </w:trPr>
        <w:tc>
          <w:tcPr>
            <w:tcW w:w="3969" w:type="dxa"/>
            <w:tcBorders>
              <w:top w:val="single" w:sz="4" w:space="0" w:color="5E8A00"/>
              <w:left w:val="single" w:sz="4" w:space="0" w:color="5E8A00"/>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ind w:firstLineChars="100" w:firstLine="181"/>
              <w:jc w:val="left"/>
              <w:rPr>
                <w:rFonts w:cs="Arial"/>
                <w:b/>
                <w:bCs/>
                <w:color w:val="FFFFFF"/>
                <w:sz w:val="18"/>
                <w:szCs w:val="18"/>
                <w:lang w:eastAsia="en-AU"/>
              </w:rPr>
            </w:pPr>
            <w:r w:rsidRPr="00BE2BC1">
              <w:rPr>
                <w:rFonts w:cs="Arial"/>
                <w:b/>
                <w:bCs/>
                <w:color w:val="FFFFFF"/>
                <w:sz w:val="18"/>
                <w:szCs w:val="18"/>
                <w:lang w:eastAsia="en-AU"/>
              </w:rPr>
              <w:t> </w:t>
            </w:r>
          </w:p>
        </w:tc>
        <w:tc>
          <w:tcPr>
            <w:tcW w:w="1105" w:type="dxa"/>
            <w:tcBorders>
              <w:top w:val="single" w:sz="4" w:space="0" w:color="5E8A00"/>
              <w:left w:val="nil"/>
              <w:bottom w:val="single" w:sz="4" w:space="0" w:color="5E8A00"/>
              <w:right w:val="single" w:sz="4" w:space="0" w:color="5E8A00"/>
            </w:tcBorders>
            <w:shd w:val="clear" w:color="000000" w:fill="5E8A00"/>
            <w:vAlign w:val="center"/>
            <w:hideMark/>
          </w:tcPr>
          <w:p w:rsidR="00BE2BC1" w:rsidRPr="00BE2BC1" w:rsidRDefault="00BE2BC1" w:rsidP="00BE2BC1">
            <w:pPr>
              <w:spacing w:after="0" w:line="240" w:lineRule="auto"/>
              <w:ind w:firstLineChars="100" w:firstLine="181"/>
              <w:jc w:val="right"/>
              <w:rPr>
                <w:rFonts w:cs="Arial"/>
                <w:b/>
                <w:bCs/>
                <w:color w:val="FFFFFF"/>
                <w:sz w:val="18"/>
                <w:szCs w:val="18"/>
                <w:lang w:eastAsia="en-AU"/>
              </w:rPr>
            </w:pPr>
            <w:r w:rsidRPr="00BE2BC1">
              <w:rPr>
                <w:rFonts w:cs="Arial"/>
                <w:b/>
                <w:bCs/>
                <w:color w:val="FFFFFF"/>
                <w:sz w:val="18"/>
                <w:szCs w:val="18"/>
                <w:lang w:eastAsia="en-AU"/>
              </w:rPr>
              <w:t>Q3 2011</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BE2BC1" w:rsidRPr="00BE2BC1" w:rsidRDefault="00BE2BC1" w:rsidP="00BE2BC1">
            <w:pPr>
              <w:spacing w:after="0" w:line="240" w:lineRule="auto"/>
              <w:ind w:firstLineChars="100" w:firstLine="181"/>
              <w:jc w:val="right"/>
              <w:rPr>
                <w:rFonts w:cs="Arial"/>
                <w:b/>
                <w:bCs/>
                <w:color w:val="FFFFFF"/>
                <w:sz w:val="18"/>
                <w:szCs w:val="18"/>
                <w:lang w:eastAsia="en-AU"/>
              </w:rPr>
            </w:pPr>
            <w:r w:rsidRPr="00BE2BC1">
              <w:rPr>
                <w:rFonts w:cs="Arial"/>
                <w:b/>
                <w:bCs/>
                <w:color w:val="FFFFFF"/>
                <w:sz w:val="18"/>
                <w:szCs w:val="18"/>
                <w:lang w:eastAsia="en-AU"/>
              </w:rPr>
              <w:t>Q3 2012</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BE2BC1" w:rsidRPr="00BE2BC1" w:rsidRDefault="00BE2BC1" w:rsidP="00BE2BC1">
            <w:pPr>
              <w:spacing w:after="0" w:line="240" w:lineRule="auto"/>
              <w:ind w:firstLineChars="100" w:firstLine="181"/>
              <w:jc w:val="right"/>
              <w:rPr>
                <w:rFonts w:cs="Arial"/>
                <w:b/>
                <w:bCs/>
                <w:color w:val="FFFFFF"/>
                <w:sz w:val="18"/>
                <w:szCs w:val="18"/>
                <w:lang w:eastAsia="en-AU"/>
              </w:rPr>
            </w:pPr>
            <w:r w:rsidRPr="00BE2BC1">
              <w:rPr>
                <w:rFonts w:cs="Arial"/>
                <w:b/>
                <w:bCs/>
                <w:color w:val="FFFFFF"/>
                <w:sz w:val="18"/>
                <w:szCs w:val="18"/>
                <w:lang w:eastAsia="en-AU"/>
              </w:rPr>
              <w:t>Q3 2013</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 change</w:t>
            </w:r>
            <w:r w:rsidRPr="00BE2BC1">
              <w:rPr>
                <w:rFonts w:cs="Arial"/>
                <w:b/>
                <w:bCs/>
                <w:color w:val="FFFFFF"/>
                <w:sz w:val="18"/>
                <w:szCs w:val="18"/>
                <w:lang w:eastAsia="en-AU"/>
              </w:rPr>
              <w:br/>
              <w:t>Q3 2011-Q3 2013 </w:t>
            </w:r>
          </w:p>
        </w:tc>
        <w:tc>
          <w:tcPr>
            <w:tcW w:w="1106" w:type="dxa"/>
            <w:tcBorders>
              <w:top w:val="single" w:sz="4" w:space="0" w:color="5E8A00"/>
              <w:left w:val="nil"/>
              <w:bottom w:val="single" w:sz="4" w:space="0" w:color="5E8A00"/>
              <w:right w:val="single" w:sz="4" w:space="0" w:color="5E8A00"/>
            </w:tcBorders>
            <w:shd w:val="clear" w:color="000000" w:fill="5E8A00"/>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 change</w:t>
            </w:r>
            <w:r w:rsidRPr="00BE2BC1">
              <w:rPr>
                <w:rFonts w:cs="Arial"/>
                <w:b/>
                <w:bCs/>
                <w:color w:val="FFFFFF"/>
                <w:sz w:val="18"/>
                <w:szCs w:val="18"/>
                <w:lang w:eastAsia="en-AU"/>
              </w:rPr>
              <w:br/>
              <w:t>Q3 2012-Q3 2013</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A: Agriculture, Forestry and Fishing</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1,800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1,900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37%</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B: Mining</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70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825%</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174%</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C: Manufacturing</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7,400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12,800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9,300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27%</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-27%</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D: Electricity, Gas, Water and Waste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10%</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-39%</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E: Construction</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750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850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70%</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10%</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F: Wholesale Trade</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-8%</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-41%</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G: Retail Trade</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14,200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16,300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6,400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-55%</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-61%</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H: Accommodation and Food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8,300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9,600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-45%</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-53%</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I: Transport, Postal and Warehousing</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3,900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4,900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24%</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-9%</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J: Information Media and Telecommunications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51%</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60%</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K: Financial and Insurance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15%</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-8%</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L: Rental, Hiring and Real Estate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-8%</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-37%</w:t>
            </w:r>
          </w:p>
        </w:tc>
      </w:tr>
      <w:tr w:rsidR="00BE2BC1" w:rsidRPr="00BE2BC1" w:rsidTr="00325EA9">
        <w:trPr>
          <w:trHeight w:hRule="exact" w:val="45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M: Professional, Scientific and Technical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-14%</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-27%</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N: Administrative and Support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5,700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6,000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3,300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-43%</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-46%</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O: Public Administration and Safety</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80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376%</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121%</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P: Education and Training</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1,000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146%</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156%</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Q: Health Care and Social Assistance</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6,500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6,900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5,800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-10%</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-15%</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R: Arts and Recreation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2,300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950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-59%</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-60%</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S: Other Services</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500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250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-49%</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-39%</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FFFFFF"/>
            <w:noWrap/>
            <w:vAlign w:val="center"/>
            <w:hideMark/>
          </w:tcPr>
          <w:p w:rsidR="00BE2BC1" w:rsidRPr="00BE2BC1" w:rsidRDefault="00BE2BC1" w:rsidP="00BE2BC1">
            <w:pPr>
              <w:spacing w:after="0" w:line="240" w:lineRule="auto"/>
              <w:jc w:val="left"/>
              <w:rPr>
                <w:rFonts w:cs="Arial"/>
                <w:color w:val="3E5B00"/>
                <w:sz w:val="18"/>
                <w:szCs w:val="18"/>
                <w:lang w:eastAsia="en-AU"/>
              </w:rPr>
            </w:pPr>
            <w:r w:rsidRPr="00BE2BC1">
              <w:rPr>
                <w:rFonts w:cs="Arial"/>
                <w:color w:val="3E5B00"/>
                <w:sz w:val="18"/>
                <w:szCs w:val="18"/>
                <w:lang w:eastAsia="en-AU"/>
              </w:rPr>
              <w:t>T: Cross-industry</w:t>
            </w:r>
          </w:p>
        </w:tc>
        <w:tc>
          <w:tcPr>
            <w:tcW w:w="1105"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10,100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15,000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 xml:space="preserve">7,400 </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-26%</w:t>
            </w:r>
          </w:p>
        </w:tc>
        <w:tc>
          <w:tcPr>
            <w:tcW w:w="1106" w:type="dxa"/>
            <w:tcBorders>
              <w:top w:val="nil"/>
              <w:left w:val="nil"/>
              <w:bottom w:val="single" w:sz="4" w:space="0" w:color="5E8A00"/>
              <w:right w:val="single" w:sz="4" w:space="0" w:color="5E8A00"/>
            </w:tcBorders>
            <w:shd w:val="clear" w:color="auto" w:fill="auto"/>
            <w:noWrap/>
            <w:vAlign w:val="center"/>
            <w:hideMark/>
          </w:tcPr>
          <w:p w:rsidR="00BE2BC1" w:rsidRPr="00BE2BC1" w:rsidRDefault="00BE2BC1" w:rsidP="00BE2BC1">
            <w:pPr>
              <w:spacing w:after="0" w:line="240" w:lineRule="auto"/>
              <w:jc w:val="right"/>
              <w:rPr>
                <w:rFonts w:cs="Arial"/>
                <w:sz w:val="18"/>
                <w:szCs w:val="18"/>
                <w:lang w:eastAsia="en-AU"/>
              </w:rPr>
            </w:pPr>
            <w:r w:rsidRPr="00BE2BC1">
              <w:rPr>
                <w:rFonts w:cs="Arial"/>
                <w:sz w:val="18"/>
                <w:szCs w:val="18"/>
                <w:lang w:eastAsia="en-AU"/>
              </w:rPr>
              <w:t>-51%</w:t>
            </w:r>
          </w:p>
        </w:tc>
      </w:tr>
      <w:tr w:rsidR="00BE2BC1" w:rsidRPr="00BE2BC1" w:rsidTr="00325EA9">
        <w:trPr>
          <w:trHeight w:hRule="exact" w:val="284"/>
        </w:trPr>
        <w:tc>
          <w:tcPr>
            <w:tcW w:w="3969" w:type="dxa"/>
            <w:tcBorders>
              <w:top w:val="nil"/>
              <w:left w:val="single" w:sz="4" w:space="0" w:color="5E8A00"/>
              <w:bottom w:val="single" w:sz="4" w:space="0" w:color="5E8A00"/>
              <w:right w:val="single" w:sz="4" w:space="0" w:color="5E8A00"/>
            </w:tcBorders>
            <w:shd w:val="clear" w:color="000000" w:fill="5E8A00"/>
            <w:noWrap/>
            <w:vAlign w:val="center"/>
            <w:hideMark/>
          </w:tcPr>
          <w:p w:rsidR="00BE2BC1" w:rsidRPr="00BE2BC1" w:rsidRDefault="00547292" w:rsidP="00BE2BC1">
            <w:pPr>
              <w:spacing w:after="0" w:line="240" w:lineRule="auto"/>
              <w:jc w:val="left"/>
              <w:rPr>
                <w:rFonts w:cs="Arial"/>
                <w:b/>
                <w:bCs/>
                <w:color w:val="FFFFFF"/>
                <w:sz w:val="18"/>
                <w:szCs w:val="18"/>
                <w:lang w:eastAsia="en-AU"/>
              </w:rPr>
            </w:pPr>
            <w:r>
              <w:rPr>
                <w:rFonts w:cs="Arial"/>
                <w:b/>
                <w:bCs/>
                <w:color w:val="FFFFFF"/>
                <w:sz w:val="18"/>
                <w:szCs w:val="18"/>
                <w:lang w:eastAsia="en-AU"/>
              </w:rPr>
              <w:t>Total</w:t>
            </w:r>
          </w:p>
        </w:tc>
        <w:tc>
          <w:tcPr>
            <w:tcW w:w="1105" w:type="dxa"/>
            <w:tcBorders>
              <w:top w:val="nil"/>
              <w:left w:val="nil"/>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 xml:space="preserve">62,600 </w:t>
            </w:r>
          </w:p>
        </w:tc>
        <w:tc>
          <w:tcPr>
            <w:tcW w:w="1106" w:type="dxa"/>
            <w:tcBorders>
              <w:top w:val="nil"/>
              <w:left w:val="nil"/>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 xml:space="preserve">79,900 </w:t>
            </w:r>
          </w:p>
        </w:tc>
        <w:tc>
          <w:tcPr>
            <w:tcW w:w="1106" w:type="dxa"/>
            <w:tcBorders>
              <w:top w:val="nil"/>
              <w:left w:val="nil"/>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 xml:space="preserve">48,500 </w:t>
            </w:r>
          </w:p>
        </w:tc>
        <w:tc>
          <w:tcPr>
            <w:tcW w:w="1106" w:type="dxa"/>
            <w:tcBorders>
              <w:top w:val="nil"/>
              <w:left w:val="nil"/>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-23%</w:t>
            </w:r>
          </w:p>
        </w:tc>
        <w:tc>
          <w:tcPr>
            <w:tcW w:w="1106" w:type="dxa"/>
            <w:tcBorders>
              <w:top w:val="nil"/>
              <w:left w:val="nil"/>
              <w:bottom w:val="single" w:sz="4" w:space="0" w:color="5E8A00"/>
              <w:right w:val="single" w:sz="4" w:space="0" w:color="5E8A00"/>
            </w:tcBorders>
            <w:shd w:val="clear" w:color="000000" w:fill="5E8A00"/>
            <w:noWrap/>
            <w:vAlign w:val="center"/>
            <w:hideMark/>
          </w:tcPr>
          <w:p w:rsidR="00BE2BC1" w:rsidRPr="00BE2BC1" w:rsidRDefault="00BE2BC1" w:rsidP="00BE2BC1">
            <w:pPr>
              <w:spacing w:after="0" w:line="240" w:lineRule="auto"/>
              <w:jc w:val="right"/>
              <w:rPr>
                <w:rFonts w:cs="Arial"/>
                <w:b/>
                <w:bCs/>
                <w:color w:val="FFFFFF"/>
                <w:sz w:val="18"/>
                <w:szCs w:val="18"/>
                <w:lang w:eastAsia="en-AU"/>
              </w:rPr>
            </w:pPr>
            <w:r w:rsidRPr="00BE2BC1">
              <w:rPr>
                <w:rFonts w:cs="Arial"/>
                <w:b/>
                <w:bCs/>
                <w:color w:val="FFFFFF"/>
                <w:sz w:val="18"/>
                <w:szCs w:val="18"/>
                <w:lang w:eastAsia="en-AU"/>
              </w:rPr>
              <w:t>-39%</w:t>
            </w:r>
          </w:p>
        </w:tc>
      </w:tr>
    </w:tbl>
    <w:p w:rsidR="00EB4EE5" w:rsidRDefault="00EB4EE5">
      <w:pPr>
        <w:spacing w:after="0" w:line="240" w:lineRule="auto"/>
        <w:jc w:val="left"/>
        <w:rPr>
          <w:rFonts w:cs="Arial"/>
          <w:b/>
          <w:bCs/>
          <w:color w:val="76923C" w:themeColor="accent3" w:themeShade="BF"/>
          <w:szCs w:val="19"/>
        </w:rPr>
      </w:pPr>
      <w:bookmarkStart w:id="92" w:name="_Toc349899152"/>
      <w:r>
        <w:br w:type="page"/>
      </w:r>
    </w:p>
    <w:p w:rsidR="00122B28" w:rsidRDefault="00122B28" w:rsidP="004B1B0C">
      <w:pPr>
        <w:pStyle w:val="Heading2"/>
      </w:pPr>
      <w:bookmarkStart w:id="93" w:name="_Toc372613444"/>
      <w:bookmarkEnd w:id="92"/>
      <w:r>
        <w:lastRenderedPageBreak/>
        <w:t>Training in Specialised and In-Shortage Related Occupations</w:t>
      </w:r>
      <w:bookmarkEnd w:id="93"/>
    </w:p>
    <w:p w:rsidR="00122B28" w:rsidRPr="00EE69D7" w:rsidRDefault="00122B28" w:rsidP="00122B28">
      <w:pPr>
        <w:spacing w:after="200" w:line="276" w:lineRule="auto"/>
        <w:jc w:val="left"/>
        <w:rPr>
          <w:rFonts w:cs="Arial"/>
          <w:szCs w:val="19"/>
        </w:rPr>
      </w:pPr>
      <w:r w:rsidRPr="00EE69D7">
        <w:rPr>
          <w:rFonts w:cs="Arial"/>
          <w:szCs w:val="19"/>
        </w:rPr>
        <w:t>Vocational training delivery that is meeting the skill requirements of industry is a core focus of the Refocusing VET reforms. In particular, training related to occupations identified as specialised or experiencing skill shortages that</w:t>
      </w:r>
      <w:r w:rsidRPr="00EE69D7">
        <w:rPr>
          <w:rStyle w:val="FootnoteReference"/>
          <w:rFonts w:cs="Arial"/>
          <w:szCs w:val="19"/>
        </w:rPr>
        <w:footnoteReference w:id="14"/>
      </w:r>
      <w:r w:rsidRPr="00EE69D7">
        <w:rPr>
          <w:rFonts w:cs="Arial"/>
          <w:szCs w:val="19"/>
        </w:rPr>
        <w:t xml:space="preserve"> enhance the productive capacity of the Victorian economy are a high priority for government investment.</w:t>
      </w:r>
    </w:p>
    <w:p w:rsidR="00122B28" w:rsidRPr="00EE69D7" w:rsidRDefault="00122B28" w:rsidP="00122B28">
      <w:pPr>
        <w:spacing w:after="200" w:line="276" w:lineRule="auto"/>
        <w:jc w:val="left"/>
        <w:rPr>
          <w:rFonts w:cs="Arial"/>
          <w:color w:val="000000"/>
          <w:szCs w:val="19"/>
          <w:lang w:eastAsia="en-AU"/>
        </w:rPr>
      </w:pPr>
      <w:r w:rsidRPr="00EE69D7">
        <w:rPr>
          <w:rFonts w:cs="Arial"/>
          <w:color w:val="000000"/>
          <w:szCs w:val="19"/>
          <w:lang w:eastAsia="en-AU"/>
        </w:rPr>
        <w:t>'Specialised occupations’</w:t>
      </w:r>
      <w:r w:rsidRPr="00EE69D7">
        <w:rPr>
          <w:rStyle w:val="FootnoteReference"/>
          <w:color w:val="000000"/>
          <w:szCs w:val="19"/>
          <w:lang w:eastAsia="en-AU"/>
        </w:rPr>
        <w:footnoteReference w:id="15"/>
      </w:r>
      <w:r w:rsidRPr="00EE69D7">
        <w:rPr>
          <w:rFonts w:cs="Arial"/>
          <w:color w:val="000000"/>
          <w:szCs w:val="19"/>
          <w:lang w:eastAsia="en-AU"/>
        </w:rPr>
        <w:t xml:space="preserve"> are defined as occupations that have a long lead-time for training, high economic value and a significant match between training and employment.</w:t>
      </w:r>
    </w:p>
    <w:p w:rsidR="00122B28" w:rsidRDefault="00122B28" w:rsidP="00122B28">
      <w:pPr>
        <w:rPr>
          <w:rFonts w:cs="Arial"/>
          <w:szCs w:val="19"/>
        </w:rPr>
      </w:pPr>
      <w:r w:rsidRPr="00EE69D7">
        <w:rPr>
          <w:rFonts w:cs="Arial"/>
          <w:color w:val="000000"/>
          <w:szCs w:val="19"/>
          <w:lang w:eastAsia="en-AU"/>
        </w:rPr>
        <w:t>‘Skill shortages’</w:t>
      </w:r>
      <w:r w:rsidRPr="00EE69D7">
        <w:rPr>
          <w:rStyle w:val="FootnoteReference"/>
          <w:rFonts w:cs="Arial"/>
          <w:szCs w:val="19"/>
        </w:rPr>
        <w:footnoteReference w:id="16"/>
      </w:r>
      <w:r w:rsidRPr="00EE69D7">
        <w:rPr>
          <w:rStyle w:val="FootnoteReference"/>
          <w:rFonts w:cs="Arial"/>
        </w:rPr>
        <w:t xml:space="preserve"> </w:t>
      </w:r>
      <w:r w:rsidRPr="00EE69D7">
        <w:rPr>
          <w:rFonts w:cs="Arial"/>
          <w:color w:val="000000"/>
          <w:szCs w:val="19"/>
          <w:lang w:eastAsia="en-AU"/>
        </w:rPr>
        <w:t>exist when employers are unable to fill or have considerable difficulty filling vacancies for an occupation, or significant specialised skill needs within that occupation, at current levels of remuneration and conditions of employment, and</w:t>
      </w:r>
      <w:r w:rsidRPr="00EE69D7">
        <w:rPr>
          <w:rFonts w:cs="Arial"/>
          <w:szCs w:val="19"/>
        </w:rPr>
        <w:t xml:space="preserve"> in reasonably accessible locations.</w:t>
      </w:r>
    </w:p>
    <w:p w:rsidR="00122B28" w:rsidRPr="008E5BEB" w:rsidRDefault="00122B28" w:rsidP="00122B28">
      <w:pPr>
        <w:pBdr>
          <w:top w:val="single" w:sz="4" w:space="1" w:color="auto"/>
          <w:left w:val="single" w:sz="4" w:space="4" w:color="auto"/>
          <w:bottom w:val="single" w:sz="4" w:space="1" w:color="auto"/>
          <w:right w:val="single" w:sz="4" w:space="4" w:color="auto"/>
        </w:pBdr>
        <w:shd w:val="clear" w:color="auto" w:fill="EAF1DD" w:themeFill="accent3" w:themeFillTint="33"/>
        <w:rPr>
          <w:rFonts w:cs="Arial"/>
          <w:color w:val="000000"/>
          <w:szCs w:val="19"/>
          <w:lang w:eastAsia="en-AU"/>
        </w:rPr>
      </w:pPr>
      <w:r w:rsidRPr="008E5BEB">
        <w:rPr>
          <w:rFonts w:cs="Arial"/>
          <w:color w:val="000000"/>
          <w:szCs w:val="19"/>
          <w:lang w:eastAsia="en-AU"/>
        </w:rPr>
        <w:t>Note: all data in this section is for government subsidised training by onshore domestic students in accredited AQF qualifications excluding foundation skills, education pathways and low-level LOTE courses.</w:t>
      </w:r>
    </w:p>
    <w:tbl>
      <w:tblPr>
        <w:tblStyle w:val="TableGrid"/>
        <w:tblpPr w:leftFromText="180" w:rightFromText="180" w:bottomFromText="90" w:vertAnchor="text" w:horzAnchor="margin" w:tblpY="219"/>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none" w:sz="0" w:space="0" w:color="auto"/>
          <w:insideV w:val="none" w:sz="0" w:space="0" w:color="auto"/>
        </w:tblBorders>
        <w:tblLook w:val="04A0" w:firstRow="1" w:lastRow="0" w:firstColumn="1" w:lastColumn="0" w:noHBand="0" w:noVBand="1"/>
        <w:tblCaption w:val="Key Points"/>
        <w:tblDescription w:val="Key Points&#10;&#10;Trends in the third quarter of 2013 indicate a refocusing of the training market towards a higher proportion of training delivery against most critical occupations:&#10;148,100 enrolments in qualifications related to specialised or in shortage occupations in Q3 2013.&#10;At Q3 2013 41 per cent of training was for occupations which are either specialised or in shortage. At the same point a year ago (Q3 2012) this figure was 32 per cent.&#10;There is a marked difference between critical 'Specialised or Skill Shortage' occupations (5 per cent growth year on year) compared to 'Non Specialised or Skill Shortage' training (31 per cent decrease).&#10;TAFE providers continue to deliver half of training in qualifications related to specialised or in shortage occupations, followed by private RTOs (45 per cent). &#10;The largest rise in specialised and skill shortage enrolments compared to Q3 2012 have been in qualifications under Band A."/>
      </w:tblPr>
      <w:tblGrid>
        <w:gridCol w:w="9242"/>
      </w:tblGrid>
      <w:tr w:rsidR="00122B28" w:rsidTr="008825B1">
        <w:trPr>
          <w:trHeight w:val="3227"/>
          <w:tblHeader/>
        </w:trPr>
        <w:tc>
          <w:tcPr>
            <w:tcW w:w="9242"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Mar>
              <w:top w:w="170" w:type="dxa"/>
              <w:left w:w="108" w:type="dxa"/>
              <w:bottom w:w="170" w:type="dxa"/>
              <w:right w:w="108" w:type="dxa"/>
            </w:tcMar>
          </w:tcPr>
          <w:p w:rsidR="00122B28" w:rsidRDefault="00122B28" w:rsidP="00CA2528">
            <w:pPr>
              <w:pStyle w:val="Heading3"/>
              <w:outlineLvl w:val="2"/>
            </w:pPr>
            <w:r>
              <w:t>Key Points</w:t>
            </w:r>
          </w:p>
          <w:p w:rsidR="00122B28" w:rsidRDefault="00122B28" w:rsidP="00CA2528"/>
          <w:p w:rsidR="00122B28" w:rsidRPr="0047346F" w:rsidRDefault="00122B28" w:rsidP="00CA2528">
            <w:pPr>
              <w:pStyle w:val="ListBullet"/>
              <w:numPr>
                <w:ilvl w:val="0"/>
                <w:numId w:val="0"/>
              </w:numPr>
              <w:tabs>
                <w:tab w:val="left" w:pos="720"/>
              </w:tabs>
              <w:ind w:right="113"/>
            </w:pPr>
            <w:r w:rsidRPr="0047346F">
              <w:t xml:space="preserve">Trends in the </w:t>
            </w:r>
            <w:r>
              <w:t>third</w:t>
            </w:r>
            <w:r w:rsidRPr="0047346F">
              <w:t xml:space="preserve"> qu</w:t>
            </w:r>
            <w:r>
              <w:t>arter of 2013 indicate a refocu</w:t>
            </w:r>
            <w:r w:rsidRPr="0047346F">
              <w:t>sing of the training market towards a higher proportion of training delivery against most critical occupations:</w:t>
            </w:r>
          </w:p>
          <w:p w:rsidR="00122B28" w:rsidRPr="0047346F" w:rsidRDefault="00122B28" w:rsidP="00122B28">
            <w:pPr>
              <w:pStyle w:val="ListBullet"/>
              <w:numPr>
                <w:ilvl w:val="0"/>
                <w:numId w:val="11"/>
              </w:numPr>
              <w:tabs>
                <w:tab w:val="left" w:pos="720"/>
              </w:tabs>
              <w:ind w:right="113"/>
              <w:rPr>
                <w:rFonts w:cs="Arial"/>
              </w:rPr>
            </w:pPr>
            <w:r w:rsidRPr="0047346F">
              <w:rPr>
                <w:rFonts w:cs="Arial"/>
              </w:rPr>
              <w:t>1</w:t>
            </w:r>
            <w:r>
              <w:rPr>
                <w:rFonts w:cs="Arial"/>
              </w:rPr>
              <w:t>48,1</w:t>
            </w:r>
            <w:r w:rsidRPr="0047346F">
              <w:rPr>
                <w:rFonts w:cs="Arial"/>
              </w:rPr>
              <w:t xml:space="preserve">00 enrolments in qualifications related to </w:t>
            </w:r>
            <w:proofErr w:type="gramStart"/>
            <w:r w:rsidRPr="0047346F">
              <w:rPr>
                <w:rFonts w:cs="Arial"/>
              </w:rPr>
              <w:t>specialised</w:t>
            </w:r>
            <w:proofErr w:type="gramEnd"/>
            <w:r w:rsidRPr="0047346F">
              <w:rPr>
                <w:rFonts w:cs="Arial"/>
              </w:rPr>
              <w:t xml:space="preserve"> or in shortage occupations in Q</w:t>
            </w:r>
            <w:r>
              <w:rPr>
                <w:rFonts w:cs="Arial"/>
              </w:rPr>
              <w:t>3</w:t>
            </w:r>
            <w:r w:rsidRPr="0047346F">
              <w:rPr>
                <w:rFonts w:cs="Arial"/>
              </w:rPr>
              <w:t xml:space="preserve"> 2013.</w:t>
            </w:r>
          </w:p>
          <w:p w:rsidR="00122B28" w:rsidRPr="0047346F" w:rsidRDefault="00122B28" w:rsidP="00122B28">
            <w:pPr>
              <w:pStyle w:val="ListBullet"/>
              <w:numPr>
                <w:ilvl w:val="0"/>
                <w:numId w:val="11"/>
              </w:numPr>
              <w:tabs>
                <w:tab w:val="left" w:pos="720"/>
              </w:tabs>
              <w:ind w:right="113"/>
              <w:rPr>
                <w:rFonts w:cs="Arial"/>
              </w:rPr>
            </w:pPr>
            <w:r w:rsidRPr="0047346F">
              <w:rPr>
                <w:rFonts w:cs="Arial"/>
              </w:rPr>
              <w:t>At Q</w:t>
            </w:r>
            <w:r>
              <w:rPr>
                <w:rFonts w:cs="Arial"/>
              </w:rPr>
              <w:t>3</w:t>
            </w:r>
            <w:r w:rsidRPr="0047346F">
              <w:rPr>
                <w:rFonts w:cs="Arial"/>
              </w:rPr>
              <w:t xml:space="preserve"> 2013 4</w:t>
            </w:r>
            <w:r>
              <w:rPr>
                <w:rFonts w:cs="Arial"/>
              </w:rPr>
              <w:t>1</w:t>
            </w:r>
            <w:r w:rsidRPr="0047346F">
              <w:rPr>
                <w:rFonts w:cs="Arial"/>
              </w:rPr>
              <w:t xml:space="preserve"> per cent of training was for occupations which are either specialised or in shortage. At the same point a year ago (Q</w:t>
            </w:r>
            <w:r>
              <w:rPr>
                <w:rFonts w:cs="Arial"/>
              </w:rPr>
              <w:t>3</w:t>
            </w:r>
            <w:r w:rsidRPr="0047346F">
              <w:rPr>
                <w:rFonts w:cs="Arial"/>
              </w:rPr>
              <w:t xml:space="preserve"> 2012) this figure was 3</w:t>
            </w:r>
            <w:r>
              <w:rPr>
                <w:rFonts w:cs="Arial"/>
              </w:rPr>
              <w:t>2</w:t>
            </w:r>
            <w:r w:rsidRPr="0047346F">
              <w:rPr>
                <w:rFonts w:cs="Arial"/>
              </w:rPr>
              <w:t xml:space="preserve"> per cent.</w:t>
            </w:r>
          </w:p>
          <w:p w:rsidR="00122B28" w:rsidRPr="0047346F" w:rsidRDefault="0048472F" w:rsidP="00122B28">
            <w:pPr>
              <w:pStyle w:val="ListBullet"/>
              <w:numPr>
                <w:ilvl w:val="0"/>
                <w:numId w:val="11"/>
              </w:numPr>
              <w:tabs>
                <w:tab w:val="left" w:pos="720"/>
              </w:tabs>
              <w:ind w:right="113"/>
              <w:rPr>
                <w:rFonts w:cs="Arial"/>
              </w:rPr>
            </w:pPr>
            <w:r>
              <w:rPr>
                <w:rFonts w:cs="Arial"/>
              </w:rPr>
              <w:t>There is a m</w:t>
            </w:r>
            <w:r w:rsidR="00122B28" w:rsidRPr="0047346F">
              <w:rPr>
                <w:rFonts w:cs="Arial"/>
              </w:rPr>
              <w:t>arked difference between critical 'Specialised or Skill Shortage' occupations (</w:t>
            </w:r>
            <w:r w:rsidR="00122B28">
              <w:rPr>
                <w:rFonts w:cs="Arial"/>
              </w:rPr>
              <w:t>5</w:t>
            </w:r>
            <w:r w:rsidR="00122B28" w:rsidRPr="0047346F">
              <w:rPr>
                <w:rFonts w:cs="Arial"/>
              </w:rPr>
              <w:t xml:space="preserve"> per cent growth year on year) compared to 'Non Specialised or Skill Shortage' training (3</w:t>
            </w:r>
            <w:r w:rsidR="00122B28">
              <w:rPr>
                <w:rFonts w:cs="Arial"/>
              </w:rPr>
              <w:t>1</w:t>
            </w:r>
            <w:r w:rsidR="00122B28" w:rsidRPr="0047346F">
              <w:rPr>
                <w:rFonts w:cs="Arial"/>
              </w:rPr>
              <w:t xml:space="preserve"> per cent decrease).</w:t>
            </w:r>
          </w:p>
          <w:p w:rsidR="00122B28" w:rsidRPr="0047346F" w:rsidRDefault="00122B28" w:rsidP="00122B28">
            <w:pPr>
              <w:pStyle w:val="ListBullet"/>
              <w:numPr>
                <w:ilvl w:val="0"/>
                <w:numId w:val="11"/>
              </w:numPr>
              <w:tabs>
                <w:tab w:val="left" w:pos="720"/>
              </w:tabs>
              <w:ind w:right="113"/>
            </w:pPr>
            <w:r w:rsidRPr="0047346F">
              <w:rPr>
                <w:rFonts w:cs="Arial"/>
              </w:rPr>
              <w:t xml:space="preserve">TAFE providers continue to deliver </w:t>
            </w:r>
            <w:r>
              <w:rPr>
                <w:rFonts w:cs="Arial"/>
              </w:rPr>
              <w:t xml:space="preserve">half </w:t>
            </w:r>
            <w:r w:rsidRPr="0047346F">
              <w:rPr>
                <w:rFonts w:cs="Arial"/>
              </w:rPr>
              <w:t xml:space="preserve">of training in qualifications related to </w:t>
            </w:r>
            <w:proofErr w:type="gramStart"/>
            <w:r w:rsidRPr="0047346F">
              <w:rPr>
                <w:rFonts w:cs="Arial"/>
              </w:rPr>
              <w:t>specialised</w:t>
            </w:r>
            <w:proofErr w:type="gramEnd"/>
            <w:r w:rsidRPr="0047346F">
              <w:rPr>
                <w:rFonts w:cs="Arial"/>
              </w:rPr>
              <w:t xml:space="preserve"> or in shortage occupations</w:t>
            </w:r>
            <w:r>
              <w:rPr>
                <w:rFonts w:cs="Arial"/>
              </w:rPr>
              <w:t>,</w:t>
            </w:r>
            <w:r w:rsidR="0048472F">
              <w:rPr>
                <w:rFonts w:cs="Arial"/>
              </w:rPr>
              <w:t xml:space="preserve"> </w:t>
            </w:r>
            <w:r w:rsidRPr="0047346F">
              <w:rPr>
                <w:rFonts w:cs="Arial"/>
              </w:rPr>
              <w:t>followed by private RTOs (4</w:t>
            </w:r>
            <w:r>
              <w:rPr>
                <w:rFonts w:cs="Arial"/>
              </w:rPr>
              <w:t>5</w:t>
            </w:r>
            <w:r w:rsidRPr="0047346F">
              <w:rPr>
                <w:rFonts w:cs="Arial"/>
              </w:rPr>
              <w:t xml:space="preserve"> per cent). </w:t>
            </w:r>
          </w:p>
          <w:p w:rsidR="00122B28" w:rsidRPr="005E24F8" w:rsidRDefault="00122B28" w:rsidP="00122B28">
            <w:pPr>
              <w:pStyle w:val="ListBullet"/>
              <w:numPr>
                <w:ilvl w:val="0"/>
                <w:numId w:val="11"/>
              </w:numPr>
              <w:tabs>
                <w:tab w:val="left" w:pos="720"/>
              </w:tabs>
              <w:ind w:right="113"/>
            </w:pPr>
            <w:r w:rsidRPr="005E24F8">
              <w:t>The largest rise in specialised and skill shortage enrolments compared to Q3 2012 have been in qualifications under Band A.</w:t>
            </w:r>
          </w:p>
        </w:tc>
      </w:tr>
    </w:tbl>
    <w:p w:rsidR="00122B28" w:rsidRDefault="00122B28" w:rsidP="00122B28">
      <w:pPr>
        <w:pStyle w:val="Caption"/>
        <w:spacing w:after="0"/>
        <w:jc w:val="left"/>
        <w:rPr>
          <w:rFonts w:cs="Arial"/>
          <w:b w:val="0"/>
          <w:color w:val="auto"/>
        </w:rPr>
      </w:pPr>
    </w:p>
    <w:p w:rsidR="0048472F" w:rsidRDefault="0048472F">
      <w:pPr>
        <w:spacing w:after="0" w:line="240" w:lineRule="auto"/>
        <w:jc w:val="left"/>
        <w:rPr>
          <w:rFonts w:cs="Arial"/>
          <w:b/>
          <w:bCs/>
          <w:color w:val="76923C" w:themeColor="accent3" w:themeShade="BF"/>
          <w:sz w:val="18"/>
          <w:szCs w:val="16"/>
        </w:rPr>
      </w:pPr>
      <w:r>
        <w:rPr>
          <w:rFonts w:cs="Arial"/>
        </w:rPr>
        <w:br w:type="page"/>
      </w:r>
    </w:p>
    <w:p w:rsidR="00122B28" w:rsidRDefault="00122B28" w:rsidP="00122B28">
      <w:pPr>
        <w:pStyle w:val="Caption"/>
        <w:spacing w:after="0"/>
        <w:jc w:val="left"/>
        <w:rPr>
          <w:rFonts w:cs="Arial"/>
        </w:rPr>
      </w:pPr>
      <w:r>
        <w:rPr>
          <w:rFonts w:cs="Arial"/>
        </w:rPr>
        <w:lastRenderedPageBreak/>
        <w:t>Figure 3.5: Government subsidised training delivery by responsiveness category</w:t>
      </w:r>
    </w:p>
    <w:p w:rsidR="00122B28" w:rsidRPr="00871E83" w:rsidRDefault="00122B28" w:rsidP="00122B28">
      <w:pPr>
        <w:rPr>
          <w:lang w:eastAsia="en-AU"/>
        </w:rPr>
      </w:pPr>
      <w:r>
        <w:rPr>
          <w:noProof/>
          <w:lang w:eastAsia="en-AU"/>
        </w:rPr>
        <w:drawing>
          <wp:inline distT="0" distB="0" distL="0" distR="0" wp14:anchorId="4A5F27C9" wp14:editId="3F8632EB">
            <wp:extent cx="4457700" cy="2370380"/>
            <wp:effectExtent l="0" t="0" r="0" b="0"/>
            <wp:docPr id="26" name="Picture 26" descr="This chart shows the percentage of government subsidised enrolments in specialised or skill shortage occupations from 2008 to 2012, and in Q3 2011, Q3 2012 and Q3 2013." title="Figure 3.5: Government subsidised training delivery by responsiveness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7700" cy="2370380"/>
                    </a:xfrm>
                    <a:prstGeom prst="rect">
                      <a:avLst/>
                    </a:prstGeom>
                    <a:noFill/>
                  </pic:spPr>
                </pic:pic>
              </a:graphicData>
            </a:graphic>
          </wp:inline>
        </w:drawing>
      </w:r>
    </w:p>
    <w:p w:rsidR="00122B28" w:rsidRDefault="00122B28" w:rsidP="00122B28">
      <w:pPr>
        <w:spacing w:after="0" w:line="240" w:lineRule="auto"/>
        <w:jc w:val="left"/>
        <w:rPr>
          <w:b/>
          <w:bCs/>
          <w:noProof/>
          <w:color w:val="76923C" w:themeColor="accent3" w:themeShade="BF"/>
          <w:sz w:val="18"/>
          <w:szCs w:val="16"/>
          <w:lang w:eastAsia="en-AU"/>
        </w:rPr>
      </w:pPr>
    </w:p>
    <w:p w:rsidR="00122B28" w:rsidRDefault="00122B28" w:rsidP="00122B28">
      <w:pPr>
        <w:pStyle w:val="Caption"/>
        <w:spacing w:after="0"/>
        <w:jc w:val="left"/>
      </w:pPr>
      <w:r>
        <w:rPr>
          <w:noProof/>
          <w:lang w:eastAsia="en-AU"/>
        </w:rPr>
        <w:t xml:space="preserve">Figure 3.6: Government subsidised enrolments in specialised or skill shortage occupations per training provider type, </w:t>
      </w:r>
      <w:r>
        <w:t>Q3 2011, Q3 2012 and Q3 2013</w:t>
      </w:r>
    </w:p>
    <w:p w:rsidR="00122B28" w:rsidRPr="001675DF" w:rsidRDefault="00122B28" w:rsidP="00122B28"/>
    <w:p w:rsidR="00122B28" w:rsidRDefault="00122B28" w:rsidP="00122B28">
      <w:pPr>
        <w:pStyle w:val="Caption"/>
        <w:keepNext/>
      </w:pPr>
      <w:r>
        <w:rPr>
          <w:noProof/>
          <w:lang w:eastAsia="en-AU"/>
        </w:rPr>
        <w:drawing>
          <wp:inline distT="0" distB="0" distL="0" distR="0" wp14:anchorId="1A5C469A" wp14:editId="610D44A1">
            <wp:extent cx="5848350" cy="2193370"/>
            <wp:effectExtent l="0" t="0" r="0" b="0"/>
            <wp:docPr id="4" name="Picture 4" descr="These charts show the percentage of government subsidised enrolments in specialised or skill shortage occupations in TAFE, Private RTOs and ACE sectors in Q3 2011, Q3 2012 and Q3 2013.  " title="Figure 3.6: Government subsidised enrolments in specialised or skill shortage occupations per training provider type, Q3 2011, Q3 2012 and Q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2474" cy="2202417"/>
                    </a:xfrm>
                    <a:prstGeom prst="rect">
                      <a:avLst/>
                    </a:prstGeom>
                    <a:noFill/>
                  </pic:spPr>
                </pic:pic>
              </a:graphicData>
            </a:graphic>
          </wp:inline>
        </w:drawing>
      </w:r>
    </w:p>
    <w:p w:rsidR="00122B28" w:rsidRDefault="00122B28" w:rsidP="00122B28">
      <w:pPr>
        <w:spacing w:after="200" w:line="276" w:lineRule="auto"/>
        <w:jc w:val="left"/>
        <w:rPr>
          <w:b/>
          <w:bCs/>
          <w:color w:val="76923C" w:themeColor="accent3" w:themeShade="BF"/>
          <w:sz w:val="18"/>
          <w:szCs w:val="16"/>
        </w:rPr>
      </w:pPr>
    </w:p>
    <w:p w:rsidR="00122B28" w:rsidRPr="00DF7F85" w:rsidRDefault="00122B28" w:rsidP="00122B28">
      <w:pPr>
        <w:pStyle w:val="Caption"/>
        <w:keepNext/>
        <w:rPr>
          <w:rFonts w:cs="Arial"/>
          <w:sz w:val="16"/>
        </w:rPr>
      </w:pPr>
      <w:r w:rsidRPr="00DF7F85">
        <w:rPr>
          <w:rFonts w:cs="Arial"/>
          <w:sz w:val="16"/>
        </w:rPr>
        <w:t>Table 3.10.1: Government subsidised training delivery for qualifications related to either specialised or skill shortage occupations, 2008 - 2012</w:t>
      </w:r>
    </w:p>
    <w:tbl>
      <w:tblPr>
        <w:tblW w:w="5000" w:type="pct"/>
        <w:tblLook w:val="04A0" w:firstRow="1" w:lastRow="0" w:firstColumn="1" w:lastColumn="0" w:noHBand="0" w:noVBand="1"/>
      </w:tblPr>
      <w:tblGrid>
        <w:gridCol w:w="2275"/>
        <w:gridCol w:w="1005"/>
        <w:gridCol w:w="1176"/>
        <w:gridCol w:w="1176"/>
        <w:gridCol w:w="1176"/>
        <w:gridCol w:w="1176"/>
        <w:gridCol w:w="1304"/>
      </w:tblGrid>
      <w:tr w:rsidR="00122B28" w:rsidRPr="00DF7F85" w:rsidTr="00CA2528">
        <w:trPr>
          <w:trHeight w:val="300"/>
        </w:trPr>
        <w:tc>
          <w:tcPr>
            <w:tcW w:w="5000" w:type="pct"/>
            <w:gridSpan w:val="7"/>
            <w:tcBorders>
              <w:top w:val="single" w:sz="4" w:space="0" w:color="76933C"/>
              <w:left w:val="single" w:sz="4" w:space="0" w:color="76933C"/>
              <w:bottom w:val="single" w:sz="4" w:space="0" w:color="9BBB59"/>
              <w:right w:val="single" w:sz="4" w:space="0" w:color="76933C"/>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Either Specialised or Skill Shortage Qualifications</w:t>
            </w:r>
          </w:p>
        </w:tc>
      </w:tr>
      <w:tr w:rsidR="00122B28" w:rsidRPr="00DF7F85" w:rsidTr="00CA2528">
        <w:trPr>
          <w:trHeight w:val="450"/>
        </w:trPr>
        <w:tc>
          <w:tcPr>
            <w:tcW w:w="1225" w:type="pct"/>
            <w:tcBorders>
              <w:top w:val="nil"/>
              <w:left w:val="single" w:sz="4" w:space="0" w:color="76933C"/>
              <w:bottom w:val="single" w:sz="4" w:space="0" w:color="76933C"/>
              <w:right w:val="nil"/>
            </w:tcBorders>
            <w:shd w:val="clear" w:color="auto" w:fill="9BBB59"/>
            <w:noWrap/>
            <w:vAlign w:val="center"/>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541"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2008</w:t>
            </w:r>
          </w:p>
        </w:tc>
        <w:tc>
          <w:tcPr>
            <w:tcW w:w="633"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2009</w:t>
            </w:r>
          </w:p>
        </w:tc>
        <w:tc>
          <w:tcPr>
            <w:tcW w:w="633"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2010</w:t>
            </w:r>
          </w:p>
        </w:tc>
        <w:tc>
          <w:tcPr>
            <w:tcW w:w="633"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2011</w:t>
            </w:r>
          </w:p>
        </w:tc>
        <w:tc>
          <w:tcPr>
            <w:tcW w:w="633"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2012</w:t>
            </w:r>
          </w:p>
        </w:tc>
        <w:tc>
          <w:tcPr>
            <w:tcW w:w="702" w:type="pct"/>
            <w:tcBorders>
              <w:top w:val="nil"/>
              <w:left w:val="nil"/>
              <w:bottom w:val="single" w:sz="4" w:space="0" w:color="76933C"/>
              <w:right w:val="single" w:sz="4" w:space="0" w:color="76933C"/>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2008 - 2012</w:t>
            </w:r>
          </w:p>
        </w:tc>
      </w:tr>
      <w:tr w:rsidR="00122B28" w:rsidRPr="00DF7F85" w:rsidTr="00CA2528">
        <w:trPr>
          <w:trHeight w:val="300"/>
        </w:trPr>
        <w:tc>
          <w:tcPr>
            <w:tcW w:w="1225" w:type="pct"/>
            <w:tcBorders>
              <w:top w:val="nil"/>
              <w:left w:val="single" w:sz="4" w:space="0" w:color="76933C"/>
              <w:bottom w:val="nil"/>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541" w:type="pct"/>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91,400</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102,600</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116,500</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137,300</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163,100</w:t>
            </w:r>
          </w:p>
        </w:tc>
        <w:tc>
          <w:tcPr>
            <w:tcW w:w="702" w:type="pct"/>
            <w:tcBorders>
              <w:top w:val="nil"/>
              <w:left w:val="nil"/>
              <w:bottom w:val="nil"/>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78%</w:t>
            </w:r>
          </w:p>
        </w:tc>
      </w:tr>
      <w:tr w:rsidR="00122B28" w:rsidRPr="00DF7F85" w:rsidTr="00CA2528">
        <w:trPr>
          <w:trHeight w:val="300"/>
        </w:trPr>
        <w:tc>
          <w:tcPr>
            <w:tcW w:w="1225"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541" w:type="pct"/>
            <w:tcBorders>
              <w:top w:val="single" w:sz="4" w:space="0" w:color="76933C"/>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28.4</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33.6</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38.9</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44.3</w:t>
            </w:r>
          </w:p>
        </w:tc>
        <w:tc>
          <w:tcPr>
            <w:tcW w:w="633"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54.9</w:t>
            </w:r>
          </w:p>
        </w:tc>
        <w:tc>
          <w:tcPr>
            <w:tcW w:w="702"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93%</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Pr="00DF7F85" w:rsidRDefault="00122B28" w:rsidP="00122B28">
      <w:pPr>
        <w:pStyle w:val="Caption"/>
        <w:keepNext/>
        <w:rPr>
          <w:rFonts w:cs="Arial"/>
          <w:sz w:val="16"/>
        </w:rPr>
      </w:pPr>
      <w:r w:rsidRPr="00DF7F85">
        <w:rPr>
          <w:rFonts w:cs="Arial"/>
          <w:sz w:val="16"/>
        </w:rPr>
        <w:t>Table 3.10.2: Government subsidised training delivery for qualifications related to either specialised or in shortage occupations, Q32011, Q32012 and Q32013</w:t>
      </w:r>
    </w:p>
    <w:tbl>
      <w:tblPr>
        <w:tblW w:w="5000" w:type="pct"/>
        <w:tblLook w:val="04A0" w:firstRow="1" w:lastRow="0" w:firstColumn="1" w:lastColumn="0" w:noHBand="0" w:noVBand="1"/>
      </w:tblPr>
      <w:tblGrid>
        <w:gridCol w:w="2459"/>
        <w:gridCol w:w="1341"/>
        <w:gridCol w:w="1341"/>
        <w:gridCol w:w="1341"/>
        <w:gridCol w:w="1402"/>
        <w:gridCol w:w="1404"/>
      </w:tblGrid>
      <w:tr w:rsidR="00122B28" w:rsidRPr="00DF7F85" w:rsidTr="00CA2528">
        <w:trPr>
          <w:trHeight w:val="300"/>
        </w:trPr>
        <w:tc>
          <w:tcPr>
            <w:tcW w:w="5000" w:type="pct"/>
            <w:gridSpan w:val="6"/>
            <w:tcBorders>
              <w:top w:val="single" w:sz="4" w:space="0" w:color="76933C"/>
              <w:left w:val="single" w:sz="4" w:space="0" w:color="76933C"/>
              <w:bottom w:val="single" w:sz="4" w:space="0" w:color="9BBB59"/>
              <w:right w:val="nil"/>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Either Specialised or Skill Shortage Qualifications</w:t>
            </w:r>
          </w:p>
        </w:tc>
      </w:tr>
      <w:tr w:rsidR="00122B28" w:rsidRPr="00DF7F85" w:rsidTr="00CA2528">
        <w:trPr>
          <w:trHeight w:val="450"/>
        </w:trPr>
        <w:tc>
          <w:tcPr>
            <w:tcW w:w="1323" w:type="pct"/>
            <w:tcBorders>
              <w:top w:val="nil"/>
              <w:left w:val="single" w:sz="4" w:space="0" w:color="76933C"/>
              <w:bottom w:val="nil"/>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722"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2011</w:t>
            </w:r>
          </w:p>
        </w:tc>
        <w:tc>
          <w:tcPr>
            <w:tcW w:w="722"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2012</w:t>
            </w:r>
          </w:p>
        </w:tc>
        <w:tc>
          <w:tcPr>
            <w:tcW w:w="722" w:type="pct"/>
            <w:tcBorders>
              <w:top w:val="nil"/>
              <w:left w:val="nil"/>
              <w:bottom w:val="nil"/>
              <w:right w:val="single" w:sz="4" w:space="0" w:color="9BBB59"/>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2013</w:t>
            </w:r>
          </w:p>
        </w:tc>
        <w:tc>
          <w:tcPr>
            <w:tcW w:w="755"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2011 - Q3</w:t>
            </w:r>
            <w:r>
              <w:rPr>
                <w:rFonts w:cs="Arial"/>
                <w:color w:val="FFFFFF"/>
                <w:sz w:val="16"/>
                <w:szCs w:val="16"/>
                <w:lang w:eastAsia="en-AU"/>
              </w:rPr>
              <w:t xml:space="preserve"> </w:t>
            </w:r>
            <w:r w:rsidRPr="00DF7F85">
              <w:rPr>
                <w:rFonts w:cs="Arial"/>
                <w:color w:val="FFFFFF"/>
                <w:sz w:val="16"/>
                <w:szCs w:val="16"/>
                <w:lang w:eastAsia="en-AU"/>
              </w:rPr>
              <w:t>2013</w:t>
            </w:r>
          </w:p>
        </w:tc>
        <w:tc>
          <w:tcPr>
            <w:tcW w:w="757"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2012 - Q3</w:t>
            </w:r>
            <w:r>
              <w:rPr>
                <w:rFonts w:cs="Arial"/>
                <w:color w:val="FFFFFF"/>
                <w:sz w:val="16"/>
                <w:szCs w:val="16"/>
                <w:lang w:eastAsia="en-AU"/>
              </w:rPr>
              <w:t xml:space="preserve"> </w:t>
            </w:r>
            <w:r w:rsidRPr="00DF7F85">
              <w:rPr>
                <w:rFonts w:cs="Arial"/>
                <w:color w:val="FFFFFF"/>
                <w:sz w:val="16"/>
                <w:szCs w:val="16"/>
                <w:lang w:eastAsia="en-AU"/>
              </w:rPr>
              <w:t>2013</w:t>
            </w:r>
          </w:p>
        </w:tc>
      </w:tr>
      <w:tr w:rsidR="00122B28" w:rsidRPr="00DF7F85" w:rsidTr="00CA2528">
        <w:trPr>
          <w:trHeight w:val="300"/>
        </w:trPr>
        <w:tc>
          <w:tcPr>
            <w:tcW w:w="1323"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722"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118,600</w:t>
            </w:r>
          </w:p>
        </w:tc>
        <w:tc>
          <w:tcPr>
            <w:tcW w:w="722"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140,900</w:t>
            </w:r>
          </w:p>
        </w:tc>
        <w:tc>
          <w:tcPr>
            <w:tcW w:w="722"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148,100</w:t>
            </w:r>
          </w:p>
        </w:tc>
        <w:tc>
          <w:tcPr>
            <w:tcW w:w="755"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25%</w:t>
            </w:r>
          </w:p>
        </w:tc>
        <w:tc>
          <w:tcPr>
            <w:tcW w:w="757"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5%</w:t>
            </w:r>
          </w:p>
        </w:tc>
      </w:tr>
      <w:tr w:rsidR="00122B28" w:rsidRPr="00DF7F85" w:rsidTr="00CA2528">
        <w:trPr>
          <w:trHeight w:val="300"/>
        </w:trPr>
        <w:tc>
          <w:tcPr>
            <w:tcW w:w="1323"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722"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42.7</w:t>
            </w:r>
          </w:p>
        </w:tc>
        <w:tc>
          <w:tcPr>
            <w:tcW w:w="722"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51.8</w:t>
            </w:r>
          </w:p>
        </w:tc>
        <w:tc>
          <w:tcPr>
            <w:tcW w:w="722"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57.2</w:t>
            </w:r>
          </w:p>
        </w:tc>
        <w:tc>
          <w:tcPr>
            <w:tcW w:w="755"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34%</w:t>
            </w:r>
          </w:p>
        </w:tc>
        <w:tc>
          <w:tcPr>
            <w:tcW w:w="757" w:type="pct"/>
            <w:tcBorders>
              <w:top w:val="nil"/>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10%</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Default="00122B28">
      <w:pPr>
        <w:spacing w:after="0" w:line="240" w:lineRule="auto"/>
        <w:jc w:val="left"/>
        <w:rPr>
          <w:rFonts w:cs="Arial"/>
          <w:b/>
          <w:bCs/>
          <w:color w:val="76923C" w:themeColor="accent3" w:themeShade="BF"/>
          <w:sz w:val="16"/>
          <w:szCs w:val="16"/>
        </w:rPr>
      </w:pPr>
      <w:r>
        <w:rPr>
          <w:rFonts w:cs="Arial"/>
          <w:sz w:val="16"/>
        </w:rPr>
        <w:br w:type="page"/>
      </w:r>
    </w:p>
    <w:p w:rsidR="00122B28" w:rsidRPr="00DF7F85" w:rsidRDefault="00122B28" w:rsidP="00122B28">
      <w:pPr>
        <w:pStyle w:val="Caption"/>
        <w:keepNext/>
        <w:rPr>
          <w:rFonts w:cs="Arial"/>
          <w:sz w:val="16"/>
        </w:rPr>
      </w:pPr>
      <w:r w:rsidRPr="00DF7F85">
        <w:rPr>
          <w:rFonts w:cs="Arial"/>
          <w:sz w:val="16"/>
        </w:rPr>
        <w:lastRenderedPageBreak/>
        <w:t>Table 3.11.1: Government subsidised training delivery for qualifications not related to specialised or skill shortage occupations, 2008 - 2012</w:t>
      </w:r>
    </w:p>
    <w:tbl>
      <w:tblPr>
        <w:tblW w:w="5000" w:type="pct"/>
        <w:tblLook w:val="04A0" w:firstRow="1" w:lastRow="0" w:firstColumn="1" w:lastColumn="0" w:noHBand="0" w:noVBand="1"/>
      </w:tblPr>
      <w:tblGrid>
        <w:gridCol w:w="2221"/>
        <w:gridCol w:w="1150"/>
        <w:gridCol w:w="1150"/>
        <w:gridCol w:w="1150"/>
        <w:gridCol w:w="1150"/>
        <w:gridCol w:w="1150"/>
        <w:gridCol w:w="1317"/>
      </w:tblGrid>
      <w:tr w:rsidR="00122B28" w:rsidRPr="00DF7F85" w:rsidTr="00CA2528">
        <w:trPr>
          <w:trHeight w:val="300"/>
        </w:trPr>
        <w:tc>
          <w:tcPr>
            <w:tcW w:w="5000" w:type="pct"/>
            <w:gridSpan w:val="7"/>
            <w:tcBorders>
              <w:top w:val="single" w:sz="4" w:space="0" w:color="76933C"/>
              <w:left w:val="single" w:sz="4" w:space="0" w:color="76933C"/>
              <w:bottom w:val="single" w:sz="4" w:space="0" w:color="9BBB59"/>
              <w:right w:val="single" w:sz="4" w:space="0" w:color="76933C"/>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Not Specialised/Skill shortage Qualifications</w:t>
            </w:r>
          </w:p>
        </w:tc>
      </w:tr>
      <w:tr w:rsidR="00122B28" w:rsidRPr="00DF7F85" w:rsidTr="00CA2528">
        <w:trPr>
          <w:trHeight w:val="450"/>
        </w:trPr>
        <w:tc>
          <w:tcPr>
            <w:tcW w:w="1196" w:type="pct"/>
            <w:tcBorders>
              <w:top w:val="nil"/>
              <w:left w:val="single" w:sz="4" w:space="0" w:color="76933C"/>
              <w:bottom w:val="single" w:sz="4" w:space="0" w:color="76933C"/>
              <w:right w:val="nil"/>
            </w:tcBorders>
            <w:shd w:val="clear" w:color="auto" w:fill="9BBB59"/>
            <w:noWrap/>
            <w:vAlign w:val="center"/>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619"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2008</w:t>
            </w:r>
          </w:p>
        </w:tc>
        <w:tc>
          <w:tcPr>
            <w:tcW w:w="619"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2009</w:t>
            </w:r>
          </w:p>
        </w:tc>
        <w:tc>
          <w:tcPr>
            <w:tcW w:w="619"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2010</w:t>
            </w:r>
          </w:p>
        </w:tc>
        <w:tc>
          <w:tcPr>
            <w:tcW w:w="619"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2011</w:t>
            </w:r>
          </w:p>
        </w:tc>
        <w:tc>
          <w:tcPr>
            <w:tcW w:w="619"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2012</w:t>
            </w:r>
          </w:p>
        </w:tc>
        <w:tc>
          <w:tcPr>
            <w:tcW w:w="709" w:type="pct"/>
            <w:tcBorders>
              <w:top w:val="nil"/>
              <w:left w:val="nil"/>
              <w:bottom w:val="single" w:sz="4" w:space="0" w:color="76933C"/>
              <w:right w:val="single" w:sz="4" w:space="0" w:color="76933C"/>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2008 - 2012</w:t>
            </w:r>
          </w:p>
        </w:tc>
      </w:tr>
      <w:tr w:rsidR="00122B28" w:rsidRPr="00DF7F85" w:rsidTr="00CA2528">
        <w:trPr>
          <w:trHeight w:val="300"/>
        </w:trPr>
        <w:tc>
          <w:tcPr>
            <w:tcW w:w="1196"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184,700</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182,500</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220,300</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305,500</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342,300</w:t>
            </w:r>
          </w:p>
        </w:tc>
        <w:tc>
          <w:tcPr>
            <w:tcW w:w="709" w:type="pct"/>
            <w:tcBorders>
              <w:top w:val="nil"/>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85%</w:t>
            </w:r>
          </w:p>
        </w:tc>
      </w:tr>
      <w:tr w:rsidR="00122B28" w:rsidRPr="00DF7F85" w:rsidTr="00CA2528">
        <w:trPr>
          <w:trHeight w:val="300"/>
        </w:trPr>
        <w:tc>
          <w:tcPr>
            <w:tcW w:w="1196"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46.8</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49.1</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61.4</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85.9</w:t>
            </w:r>
          </w:p>
        </w:tc>
        <w:tc>
          <w:tcPr>
            <w:tcW w:w="619"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109.3</w:t>
            </w:r>
          </w:p>
        </w:tc>
        <w:tc>
          <w:tcPr>
            <w:tcW w:w="709" w:type="pct"/>
            <w:tcBorders>
              <w:top w:val="nil"/>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134%</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Pr="00DF7F85" w:rsidRDefault="00122B28" w:rsidP="00122B28">
      <w:pPr>
        <w:pStyle w:val="Caption"/>
        <w:keepNext/>
        <w:rPr>
          <w:rFonts w:cs="Arial"/>
          <w:sz w:val="16"/>
        </w:rPr>
      </w:pPr>
      <w:r w:rsidRPr="00DF7F85">
        <w:rPr>
          <w:rFonts w:cs="Arial"/>
          <w:sz w:val="16"/>
        </w:rPr>
        <w:t>Table 3.11.2: Government subsidised training delivery for qualifications related to either specialised or skill shortage occupations, Q32011, Q32012 and Q32013</w:t>
      </w:r>
    </w:p>
    <w:tbl>
      <w:tblPr>
        <w:tblW w:w="5000" w:type="pct"/>
        <w:tblLook w:val="04A0" w:firstRow="1" w:lastRow="0" w:firstColumn="1" w:lastColumn="0" w:noHBand="0" w:noVBand="1"/>
      </w:tblPr>
      <w:tblGrid>
        <w:gridCol w:w="2451"/>
        <w:gridCol w:w="1339"/>
        <w:gridCol w:w="1339"/>
        <w:gridCol w:w="1339"/>
        <w:gridCol w:w="1401"/>
        <w:gridCol w:w="1419"/>
      </w:tblGrid>
      <w:tr w:rsidR="00122B28" w:rsidRPr="00DF7F85" w:rsidTr="00CA2528">
        <w:trPr>
          <w:trHeight w:val="300"/>
        </w:trPr>
        <w:tc>
          <w:tcPr>
            <w:tcW w:w="5000" w:type="pct"/>
            <w:gridSpan w:val="6"/>
            <w:tcBorders>
              <w:top w:val="single" w:sz="4" w:space="0" w:color="76933C"/>
              <w:left w:val="single" w:sz="4" w:space="0" w:color="76933C"/>
              <w:bottom w:val="single" w:sz="4" w:space="0" w:color="9BBB59"/>
              <w:right w:val="nil"/>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Not Specialised/ Skill Shortage Qualifications</w:t>
            </w:r>
          </w:p>
        </w:tc>
      </w:tr>
      <w:tr w:rsidR="00122B28" w:rsidRPr="00DF7F85" w:rsidTr="00CA2528">
        <w:trPr>
          <w:trHeight w:val="450"/>
        </w:trPr>
        <w:tc>
          <w:tcPr>
            <w:tcW w:w="1319" w:type="pct"/>
            <w:tcBorders>
              <w:top w:val="nil"/>
              <w:left w:val="single" w:sz="4" w:space="0" w:color="76933C"/>
              <w:bottom w:val="nil"/>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721"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2011</w:t>
            </w:r>
          </w:p>
        </w:tc>
        <w:tc>
          <w:tcPr>
            <w:tcW w:w="721"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2012</w:t>
            </w:r>
          </w:p>
        </w:tc>
        <w:tc>
          <w:tcPr>
            <w:tcW w:w="721" w:type="pct"/>
            <w:tcBorders>
              <w:top w:val="nil"/>
              <w:left w:val="nil"/>
              <w:bottom w:val="nil"/>
              <w:right w:val="single" w:sz="4" w:space="0" w:color="9BBB59"/>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2013</w:t>
            </w:r>
          </w:p>
        </w:tc>
        <w:tc>
          <w:tcPr>
            <w:tcW w:w="754"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2011 - Q3</w:t>
            </w:r>
            <w:r>
              <w:rPr>
                <w:rFonts w:cs="Arial"/>
                <w:color w:val="FFFFFF"/>
                <w:sz w:val="16"/>
                <w:szCs w:val="16"/>
                <w:lang w:eastAsia="en-AU"/>
              </w:rPr>
              <w:t xml:space="preserve"> </w:t>
            </w:r>
            <w:r w:rsidRPr="00DF7F85">
              <w:rPr>
                <w:rFonts w:cs="Arial"/>
                <w:color w:val="FFFFFF"/>
                <w:sz w:val="16"/>
                <w:szCs w:val="16"/>
                <w:lang w:eastAsia="en-AU"/>
              </w:rPr>
              <w:t>2013</w:t>
            </w:r>
          </w:p>
        </w:tc>
        <w:tc>
          <w:tcPr>
            <w:tcW w:w="764"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2012 - Q3</w:t>
            </w:r>
            <w:r>
              <w:rPr>
                <w:rFonts w:cs="Arial"/>
                <w:color w:val="FFFFFF"/>
                <w:sz w:val="16"/>
                <w:szCs w:val="16"/>
                <w:lang w:eastAsia="en-AU"/>
              </w:rPr>
              <w:t xml:space="preserve"> </w:t>
            </w:r>
            <w:r w:rsidRPr="00DF7F85">
              <w:rPr>
                <w:rFonts w:cs="Arial"/>
                <w:color w:val="FFFFFF"/>
                <w:sz w:val="16"/>
                <w:szCs w:val="16"/>
                <w:lang w:eastAsia="en-AU"/>
              </w:rPr>
              <w:t>2013</w:t>
            </w:r>
          </w:p>
        </w:tc>
      </w:tr>
      <w:tr w:rsidR="00122B28" w:rsidRPr="00DF7F85" w:rsidTr="00CA2528">
        <w:trPr>
          <w:trHeight w:val="300"/>
        </w:trPr>
        <w:tc>
          <w:tcPr>
            <w:tcW w:w="1319"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721"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236,300</w:t>
            </w:r>
          </w:p>
        </w:tc>
        <w:tc>
          <w:tcPr>
            <w:tcW w:w="721"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305,200</w:t>
            </w:r>
          </w:p>
        </w:tc>
        <w:tc>
          <w:tcPr>
            <w:tcW w:w="721"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211,700</w:t>
            </w:r>
          </w:p>
        </w:tc>
        <w:tc>
          <w:tcPr>
            <w:tcW w:w="754"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-10%</w:t>
            </w:r>
          </w:p>
        </w:tc>
        <w:tc>
          <w:tcPr>
            <w:tcW w:w="764"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-31%</w:t>
            </w:r>
          </w:p>
        </w:tc>
      </w:tr>
      <w:tr w:rsidR="00122B28" w:rsidRPr="00DF7F85" w:rsidTr="00CA2528">
        <w:trPr>
          <w:trHeight w:val="300"/>
        </w:trPr>
        <w:tc>
          <w:tcPr>
            <w:tcW w:w="1319"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721"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76.2</w:t>
            </w:r>
          </w:p>
        </w:tc>
        <w:tc>
          <w:tcPr>
            <w:tcW w:w="721"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102.3</w:t>
            </w:r>
          </w:p>
        </w:tc>
        <w:tc>
          <w:tcPr>
            <w:tcW w:w="721"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73.4</w:t>
            </w:r>
          </w:p>
        </w:tc>
        <w:tc>
          <w:tcPr>
            <w:tcW w:w="754"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-4%</w:t>
            </w:r>
          </w:p>
        </w:tc>
        <w:tc>
          <w:tcPr>
            <w:tcW w:w="764" w:type="pct"/>
            <w:tcBorders>
              <w:top w:val="nil"/>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-28%</w:t>
            </w:r>
          </w:p>
        </w:tc>
      </w:tr>
    </w:tbl>
    <w:p w:rsidR="00BC23CB" w:rsidRDefault="00BC23CB" w:rsidP="00122B28">
      <w:pPr>
        <w:pStyle w:val="Caption"/>
        <w:keepNext/>
        <w:rPr>
          <w:rFonts w:cs="Arial"/>
          <w:sz w:val="16"/>
        </w:rPr>
      </w:pPr>
    </w:p>
    <w:p w:rsidR="00122B28" w:rsidRPr="00DF7F85" w:rsidRDefault="00122B28" w:rsidP="00122B28">
      <w:pPr>
        <w:pStyle w:val="Caption"/>
        <w:keepNext/>
        <w:rPr>
          <w:rFonts w:cs="Arial"/>
          <w:sz w:val="16"/>
        </w:rPr>
      </w:pPr>
      <w:r w:rsidRPr="00DF7F85">
        <w:rPr>
          <w:rFonts w:cs="Arial"/>
          <w:sz w:val="16"/>
        </w:rPr>
        <w:t>Table 3.12.1: Government subsidised training delivery for qualifications related to specialised occupations, 2008 - 2012</w:t>
      </w:r>
    </w:p>
    <w:tbl>
      <w:tblPr>
        <w:tblW w:w="5000" w:type="pct"/>
        <w:tblLook w:val="04A0" w:firstRow="1" w:lastRow="0" w:firstColumn="1" w:lastColumn="0" w:noHBand="0" w:noVBand="1"/>
      </w:tblPr>
      <w:tblGrid>
        <w:gridCol w:w="2457"/>
        <w:gridCol w:w="1085"/>
        <w:gridCol w:w="1085"/>
        <w:gridCol w:w="1085"/>
        <w:gridCol w:w="1085"/>
        <w:gridCol w:w="1085"/>
        <w:gridCol w:w="1406"/>
      </w:tblGrid>
      <w:tr w:rsidR="00122B28" w:rsidRPr="00DF7F85" w:rsidTr="00CA2528">
        <w:trPr>
          <w:trHeight w:val="300"/>
        </w:trPr>
        <w:tc>
          <w:tcPr>
            <w:tcW w:w="5000" w:type="pct"/>
            <w:gridSpan w:val="7"/>
            <w:tcBorders>
              <w:top w:val="single" w:sz="4" w:space="0" w:color="76933C"/>
              <w:left w:val="single" w:sz="4" w:space="0" w:color="76933C"/>
              <w:bottom w:val="single" w:sz="4" w:space="0" w:color="9BBB59"/>
              <w:right w:val="single" w:sz="4" w:space="0" w:color="76933C"/>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Qualifications Related to Specialised Occupations</w:t>
            </w:r>
          </w:p>
        </w:tc>
      </w:tr>
      <w:tr w:rsidR="00122B28" w:rsidRPr="00DF7F85" w:rsidTr="00CA2528">
        <w:trPr>
          <w:trHeight w:val="450"/>
        </w:trPr>
        <w:tc>
          <w:tcPr>
            <w:tcW w:w="1323" w:type="pct"/>
            <w:tcBorders>
              <w:top w:val="nil"/>
              <w:left w:val="single" w:sz="4" w:space="0" w:color="76933C"/>
              <w:bottom w:val="single" w:sz="4" w:space="0" w:color="76933C"/>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584"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2008</w:t>
            </w:r>
          </w:p>
        </w:tc>
        <w:tc>
          <w:tcPr>
            <w:tcW w:w="584"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2009</w:t>
            </w:r>
          </w:p>
        </w:tc>
        <w:tc>
          <w:tcPr>
            <w:tcW w:w="584"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2010</w:t>
            </w:r>
          </w:p>
        </w:tc>
        <w:tc>
          <w:tcPr>
            <w:tcW w:w="584"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2011</w:t>
            </w:r>
          </w:p>
        </w:tc>
        <w:tc>
          <w:tcPr>
            <w:tcW w:w="584"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2012</w:t>
            </w:r>
          </w:p>
        </w:tc>
        <w:tc>
          <w:tcPr>
            <w:tcW w:w="757" w:type="pct"/>
            <w:tcBorders>
              <w:top w:val="nil"/>
              <w:left w:val="nil"/>
              <w:bottom w:val="single" w:sz="4" w:space="0" w:color="76933C"/>
              <w:right w:val="single" w:sz="4" w:space="0" w:color="76933C"/>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2008 – 2012</w:t>
            </w:r>
          </w:p>
        </w:tc>
      </w:tr>
      <w:tr w:rsidR="00122B28" w:rsidRPr="00DF7F85" w:rsidTr="00CA2528">
        <w:trPr>
          <w:trHeight w:val="300"/>
        </w:trPr>
        <w:tc>
          <w:tcPr>
            <w:tcW w:w="1323" w:type="pct"/>
            <w:tcBorders>
              <w:top w:val="nil"/>
              <w:left w:val="single" w:sz="4" w:space="0" w:color="76933C"/>
              <w:bottom w:val="nil"/>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57,000</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59,300</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64,900</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72,300</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80,300</w:t>
            </w:r>
          </w:p>
        </w:tc>
        <w:tc>
          <w:tcPr>
            <w:tcW w:w="757" w:type="pct"/>
            <w:tcBorders>
              <w:top w:val="nil"/>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41%</w:t>
            </w:r>
          </w:p>
        </w:tc>
      </w:tr>
      <w:tr w:rsidR="00122B28" w:rsidRPr="00DF7F85" w:rsidTr="00CA2528">
        <w:trPr>
          <w:trHeight w:val="300"/>
        </w:trPr>
        <w:tc>
          <w:tcPr>
            <w:tcW w:w="1323"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16.6</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19.6</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21.1</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21.8</w:t>
            </w:r>
          </w:p>
        </w:tc>
        <w:tc>
          <w:tcPr>
            <w:tcW w:w="584"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25.9</w:t>
            </w:r>
          </w:p>
        </w:tc>
        <w:tc>
          <w:tcPr>
            <w:tcW w:w="757" w:type="pct"/>
            <w:tcBorders>
              <w:top w:val="nil"/>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56%</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Pr="00DF7F85" w:rsidRDefault="00122B28" w:rsidP="00122B28">
      <w:pPr>
        <w:pStyle w:val="Caption"/>
        <w:keepNext/>
        <w:rPr>
          <w:rFonts w:cs="Arial"/>
          <w:sz w:val="16"/>
        </w:rPr>
      </w:pPr>
      <w:r w:rsidRPr="00DF7F85">
        <w:rPr>
          <w:rFonts w:cs="Arial"/>
          <w:sz w:val="16"/>
        </w:rPr>
        <w:t>Table 3.12.2: Government subsidised training delivery for qualifications related to specialised occupations, Q32011, Q32012 and Q32013</w:t>
      </w:r>
    </w:p>
    <w:tbl>
      <w:tblPr>
        <w:tblW w:w="5000" w:type="pct"/>
        <w:tblLook w:val="04A0" w:firstRow="1" w:lastRow="0" w:firstColumn="1" w:lastColumn="0" w:noHBand="0" w:noVBand="1"/>
      </w:tblPr>
      <w:tblGrid>
        <w:gridCol w:w="2456"/>
        <w:gridCol w:w="1343"/>
        <w:gridCol w:w="1343"/>
        <w:gridCol w:w="1343"/>
        <w:gridCol w:w="1402"/>
        <w:gridCol w:w="1401"/>
      </w:tblGrid>
      <w:tr w:rsidR="00122B28" w:rsidRPr="00DF7F85" w:rsidTr="00CA2528">
        <w:trPr>
          <w:trHeight w:val="300"/>
        </w:trPr>
        <w:tc>
          <w:tcPr>
            <w:tcW w:w="5000" w:type="pct"/>
            <w:gridSpan w:val="6"/>
            <w:tcBorders>
              <w:top w:val="single" w:sz="4" w:space="0" w:color="76933C"/>
              <w:left w:val="single" w:sz="4" w:space="0" w:color="76933C"/>
              <w:bottom w:val="single" w:sz="4" w:space="0" w:color="9BBB59"/>
              <w:right w:val="nil"/>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Qualifications Related to Specialised Occupations</w:t>
            </w:r>
          </w:p>
        </w:tc>
      </w:tr>
      <w:tr w:rsidR="00122B28" w:rsidRPr="00DF7F85" w:rsidTr="00CA2528">
        <w:trPr>
          <w:trHeight w:val="450"/>
        </w:trPr>
        <w:tc>
          <w:tcPr>
            <w:tcW w:w="1322" w:type="pct"/>
            <w:tcBorders>
              <w:top w:val="nil"/>
              <w:left w:val="single" w:sz="4" w:space="0" w:color="76933C"/>
              <w:bottom w:val="nil"/>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723"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2011</w:t>
            </w:r>
          </w:p>
        </w:tc>
        <w:tc>
          <w:tcPr>
            <w:tcW w:w="723"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2012</w:t>
            </w:r>
          </w:p>
        </w:tc>
        <w:tc>
          <w:tcPr>
            <w:tcW w:w="723" w:type="pct"/>
            <w:tcBorders>
              <w:top w:val="nil"/>
              <w:left w:val="nil"/>
              <w:bottom w:val="nil"/>
              <w:right w:val="single" w:sz="4" w:space="0" w:color="9BBB59"/>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2013</w:t>
            </w:r>
          </w:p>
        </w:tc>
        <w:tc>
          <w:tcPr>
            <w:tcW w:w="755"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2011 - Q3</w:t>
            </w:r>
            <w:r>
              <w:rPr>
                <w:rFonts w:cs="Arial"/>
                <w:color w:val="FFFFFF"/>
                <w:sz w:val="16"/>
                <w:szCs w:val="16"/>
                <w:lang w:eastAsia="en-AU"/>
              </w:rPr>
              <w:t xml:space="preserve"> </w:t>
            </w:r>
            <w:r w:rsidRPr="00DF7F85">
              <w:rPr>
                <w:rFonts w:cs="Arial"/>
                <w:color w:val="FFFFFF"/>
                <w:sz w:val="16"/>
                <w:szCs w:val="16"/>
                <w:lang w:eastAsia="en-AU"/>
              </w:rPr>
              <w:t>2013</w:t>
            </w:r>
          </w:p>
        </w:tc>
        <w:tc>
          <w:tcPr>
            <w:tcW w:w="754"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2012 - Q3</w:t>
            </w:r>
            <w:r>
              <w:rPr>
                <w:rFonts w:cs="Arial"/>
                <w:color w:val="FFFFFF"/>
                <w:sz w:val="16"/>
                <w:szCs w:val="16"/>
                <w:lang w:eastAsia="en-AU"/>
              </w:rPr>
              <w:t xml:space="preserve"> </w:t>
            </w:r>
            <w:r w:rsidRPr="00DF7F85">
              <w:rPr>
                <w:rFonts w:cs="Arial"/>
                <w:color w:val="FFFFFF"/>
                <w:sz w:val="16"/>
                <w:szCs w:val="16"/>
                <w:lang w:eastAsia="en-AU"/>
              </w:rPr>
              <w:t>2013</w:t>
            </w:r>
          </w:p>
        </w:tc>
      </w:tr>
      <w:tr w:rsidR="00122B28" w:rsidRPr="00DF7F85" w:rsidTr="00CA2528">
        <w:trPr>
          <w:trHeight w:val="300"/>
        </w:trPr>
        <w:tc>
          <w:tcPr>
            <w:tcW w:w="1322"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63,300</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69,900</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75,400</w:t>
            </w:r>
          </w:p>
        </w:tc>
        <w:tc>
          <w:tcPr>
            <w:tcW w:w="755"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19%</w:t>
            </w:r>
          </w:p>
        </w:tc>
        <w:tc>
          <w:tcPr>
            <w:tcW w:w="754"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8%</w:t>
            </w:r>
          </w:p>
        </w:tc>
      </w:tr>
      <w:tr w:rsidR="00122B28" w:rsidRPr="00DF7F85" w:rsidTr="00CA2528">
        <w:trPr>
          <w:trHeight w:val="300"/>
        </w:trPr>
        <w:tc>
          <w:tcPr>
            <w:tcW w:w="1322"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21.1</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23.5</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28.1</w:t>
            </w:r>
          </w:p>
        </w:tc>
        <w:tc>
          <w:tcPr>
            <w:tcW w:w="755"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33%</w:t>
            </w:r>
          </w:p>
        </w:tc>
        <w:tc>
          <w:tcPr>
            <w:tcW w:w="754" w:type="pct"/>
            <w:tcBorders>
              <w:top w:val="nil"/>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20%</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Pr="00DF7F85" w:rsidRDefault="00122B28" w:rsidP="00122B28">
      <w:pPr>
        <w:pStyle w:val="Caption"/>
        <w:keepNext/>
        <w:rPr>
          <w:rFonts w:cs="Arial"/>
          <w:sz w:val="16"/>
        </w:rPr>
      </w:pPr>
      <w:r w:rsidRPr="00DF7F85">
        <w:rPr>
          <w:rFonts w:cs="Arial"/>
          <w:sz w:val="16"/>
        </w:rPr>
        <w:t>Table 3.13.1: Government subsidised training delivery for qualifications related to skill shortage occupations, 2008 - 2012</w:t>
      </w:r>
    </w:p>
    <w:tbl>
      <w:tblPr>
        <w:tblW w:w="5000" w:type="pct"/>
        <w:tblLook w:val="04A0" w:firstRow="1" w:lastRow="0" w:firstColumn="1" w:lastColumn="0" w:noHBand="0" w:noVBand="1"/>
      </w:tblPr>
      <w:tblGrid>
        <w:gridCol w:w="2319"/>
        <w:gridCol w:w="1025"/>
        <w:gridCol w:w="1024"/>
        <w:gridCol w:w="1198"/>
        <w:gridCol w:w="1198"/>
        <w:gridCol w:w="1198"/>
        <w:gridCol w:w="1326"/>
      </w:tblGrid>
      <w:tr w:rsidR="00122B28" w:rsidRPr="00DF7F85" w:rsidTr="00CA2528">
        <w:trPr>
          <w:trHeight w:val="300"/>
        </w:trPr>
        <w:tc>
          <w:tcPr>
            <w:tcW w:w="5000" w:type="pct"/>
            <w:gridSpan w:val="7"/>
            <w:tcBorders>
              <w:top w:val="single" w:sz="4" w:space="0" w:color="76933C"/>
              <w:left w:val="single" w:sz="4" w:space="0" w:color="76933C"/>
              <w:bottom w:val="single" w:sz="4" w:space="0" w:color="9BBB59"/>
              <w:right w:val="single" w:sz="4" w:space="0" w:color="76933C"/>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Qualifications Related to Skill Shortage Occupations</w:t>
            </w:r>
          </w:p>
        </w:tc>
      </w:tr>
      <w:tr w:rsidR="00122B28" w:rsidRPr="00DF7F85" w:rsidTr="00CA2528">
        <w:trPr>
          <w:trHeight w:val="450"/>
        </w:trPr>
        <w:tc>
          <w:tcPr>
            <w:tcW w:w="1248" w:type="pct"/>
            <w:tcBorders>
              <w:top w:val="nil"/>
              <w:left w:val="single" w:sz="4" w:space="0" w:color="76933C"/>
              <w:bottom w:val="single" w:sz="4" w:space="0" w:color="76933C"/>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552"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2008</w:t>
            </w:r>
          </w:p>
        </w:tc>
        <w:tc>
          <w:tcPr>
            <w:tcW w:w="551"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2009</w:t>
            </w:r>
          </w:p>
        </w:tc>
        <w:tc>
          <w:tcPr>
            <w:tcW w:w="645"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2010</w:t>
            </w:r>
          </w:p>
        </w:tc>
        <w:tc>
          <w:tcPr>
            <w:tcW w:w="645"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2011</w:t>
            </w:r>
          </w:p>
        </w:tc>
        <w:tc>
          <w:tcPr>
            <w:tcW w:w="645" w:type="pct"/>
            <w:tcBorders>
              <w:top w:val="nil"/>
              <w:left w:val="nil"/>
              <w:bottom w:val="single" w:sz="4" w:space="0" w:color="76933C"/>
              <w:right w:val="nil"/>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2012</w:t>
            </w:r>
          </w:p>
        </w:tc>
        <w:tc>
          <w:tcPr>
            <w:tcW w:w="714" w:type="pct"/>
            <w:tcBorders>
              <w:top w:val="nil"/>
              <w:left w:val="nil"/>
              <w:bottom w:val="single" w:sz="4" w:space="0" w:color="76933C"/>
              <w:right w:val="single" w:sz="4" w:space="0" w:color="76933C"/>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2008 – 2012</w:t>
            </w:r>
          </w:p>
        </w:tc>
      </w:tr>
      <w:tr w:rsidR="00122B28" w:rsidRPr="00DF7F85" w:rsidTr="00CA2528">
        <w:trPr>
          <w:trHeight w:val="300"/>
        </w:trPr>
        <w:tc>
          <w:tcPr>
            <w:tcW w:w="1248" w:type="pct"/>
            <w:tcBorders>
              <w:top w:val="nil"/>
              <w:left w:val="single" w:sz="4" w:space="0" w:color="76933C"/>
              <w:bottom w:val="nil"/>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552"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84,200</w:t>
            </w:r>
          </w:p>
        </w:tc>
        <w:tc>
          <w:tcPr>
            <w:tcW w:w="551" w:type="pct"/>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95,900</w:t>
            </w:r>
          </w:p>
        </w:tc>
        <w:tc>
          <w:tcPr>
            <w:tcW w:w="645" w:type="pct"/>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108,900</w:t>
            </w:r>
          </w:p>
        </w:tc>
        <w:tc>
          <w:tcPr>
            <w:tcW w:w="645" w:type="pct"/>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129,400</w:t>
            </w:r>
          </w:p>
        </w:tc>
        <w:tc>
          <w:tcPr>
            <w:tcW w:w="645" w:type="pct"/>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152,400</w:t>
            </w:r>
          </w:p>
        </w:tc>
        <w:tc>
          <w:tcPr>
            <w:tcW w:w="714" w:type="pct"/>
            <w:tcBorders>
              <w:top w:val="nil"/>
              <w:left w:val="nil"/>
              <w:bottom w:val="nil"/>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81%</w:t>
            </w:r>
          </w:p>
        </w:tc>
      </w:tr>
      <w:tr w:rsidR="00122B28" w:rsidRPr="00DF7F85" w:rsidTr="00CA2528">
        <w:trPr>
          <w:trHeight w:val="300"/>
        </w:trPr>
        <w:tc>
          <w:tcPr>
            <w:tcW w:w="1248"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552" w:type="pct"/>
            <w:tcBorders>
              <w:top w:val="nil"/>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26.7</w:t>
            </w:r>
          </w:p>
        </w:tc>
        <w:tc>
          <w:tcPr>
            <w:tcW w:w="551" w:type="pct"/>
            <w:tcBorders>
              <w:top w:val="single" w:sz="4" w:space="0" w:color="76933C"/>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31.7</w:t>
            </w:r>
          </w:p>
        </w:tc>
        <w:tc>
          <w:tcPr>
            <w:tcW w:w="645" w:type="pct"/>
            <w:tcBorders>
              <w:top w:val="single" w:sz="4" w:space="0" w:color="76933C"/>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36.9</w:t>
            </w:r>
          </w:p>
        </w:tc>
        <w:tc>
          <w:tcPr>
            <w:tcW w:w="645" w:type="pct"/>
            <w:tcBorders>
              <w:top w:val="single" w:sz="4" w:space="0" w:color="76933C"/>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42.1</w:t>
            </w:r>
          </w:p>
        </w:tc>
        <w:tc>
          <w:tcPr>
            <w:tcW w:w="645" w:type="pct"/>
            <w:tcBorders>
              <w:top w:val="single" w:sz="4" w:space="0" w:color="76933C"/>
              <w:left w:val="nil"/>
              <w:bottom w:val="single" w:sz="4" w:space="0" w:color="76933C"/>
              <w:right w:val="nil"/>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50.9</w:t>
            </w:r>
          </w:p>
        </w:tc>
        <w:tc>
          <w:tcPr>
            <w:tcW w:w="714"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spacing w:after="0" w:line="240" w:lineRule="auto"/>
              <w:jc w:val="right"/>
              <w:rPr>
                <w:rFonts w:cs="Arial"/>
                <w:color w:val="000000"/>
                <w:sz w:val="16"/>
                <w:szCs w:val="16"/>
                <w:lang w:eastAsia="en-AU"/>
              </w:rPr>
            </w:pPr>
            <w:r w:rsidRPr="00DF7F85">
              <w:rPr>
                <w:rFonts w:cs="Arial"/>
                <w:color w:val="000000"/>
                <w:sz w:val="16"/>
                <w:szCs w:val="16"/>
                <w:lang w:eastAsia="en-AU"/>
              </w:rPr>
              <w:t>90%</w:t>
            </w:r>
          </w:p>
        </w:tc>
      </w:tr>
    </w:tbl>
    <w:p w:rsidR="00122B28" w:rsidRPr="00DF7F85" w:rsidRDefault="00122B28" w:rsidP="00122B28">
      <w:pPr>
        <w:spacing w:after="0" w:line="240" w:lineRule="auto"/>
        <w:jc w:val="left"/>
        <w:rPr>
          <w:rFonts w:cs="Arial"/>
          <w:sz w:val="16"/>
          <w:szCs w:val="16"/>
        </w:rPr>
      </w:pPr>
    </w:p>
    <w:p w:rsidR="00122B28" w:rsidRPr="00DF7F85" w:rsidRDefault="00122B28" w:rsidP="00122B28">
      <w:pPr>
        <w:spacing w:after="0" w:line="240" w:lineRule="auto"/>
        <w:jc w:val="left"/>
        <w:rPr>
          <w:rFonts w:cs="Arial"/>
          <w:sz w:val="16"/>
          <w:szCs w:val="16"/>
        </w:rPr>
      </w:pPr>
    </w:p>
    <w:p w:rsidR="00122B28" w:rsidRPr="00DF7F85" w:rsidRDefault="00122B28" w:rsidP="00122B28">
      <w:pPr>
        <w:pStyle w:val="Caption"/>
        <w:keepNext/>
        <w:rPr>
          <w:rFonts w:cs="Arial"/>
          <w:sz w:val="16"/>
        </w:rPr>
      </w:pPr>
      <w:r w:rsidRPr="00DF7F85">
        <w:rPr>
          <w:rFonts w:cs="Arial"/>
          <w:sz w:val="16"/>
        </w:rPr>
        <w:t>Table 3.13.2: Government subsidised training delivery for qualifications related to skill shortage occupations, Q32011, Q32012 and Q32013</w:t>
      </w:r>
    </w:p>
    <w:tbl>
      <w:tblPr>
        <w:tblW w:w="5000" w:type="pct"/>
        <w:tblLook w:val="04A0" w:firstRow="1" w:lastRow="0" w:firstColumn="1" w:lastColumn="0" w:noHBand="0" w:noVBand="1"/>
      </w:tblPr>
      <w:tblGrid>
        <w:gridCol w:w="2456"/>
        <w:gridCol w:w="1343"/>
        <w:gridCol w:w="1343"/>
        <w:gridCol w:w="1343"/>
        <w:gridCol w:w="1402"/>
        <w:gridCol w:w="1401"/>
      </w:tblGrid>
      <w:tr w:rsidR="00122B28" w:rsidRPr="00DF7F85" w:rsidTr="00CA2528">
        <w:trPr>
          <w:trHeight w:val="300"/>
        </w:trPr>
        <w:tc>
          <w:tcPr>
            <w:tcW w:w="5000" w:type="pct"/>
            <w:gridSpan w:val="6"/>
            <w:tcBorders>
              <w:top w:val="single" w:sz="4" w:space="0" w:color="76933C"/>
              <w:left w:val="single" w:sz="4" w:space="0" w:color="76933C"/>
              <w:bottom w:val="single" w:sz="4" w:space="0" w:color="9BBB59"/>
              <w:right w:val="nil"/>
            </w:tcBorders>
            <w:shd w:val="clear" w:color="auto" w:fill="76933C"/>
            <w:noWrap/>
            <w:vAlign w:val="bottom"/>
            <w:hideMark/>
          </w:tcPr>
          <w:p w:rsidR="00122B28" w:rsidRPr="00DF7F85" w:rsidRDefault="00122B28" w:rsidP="00CA2528">
            <w:pPr>
              <w:spacing w:after="0" w:line="240" w:lineRule="auto"/>
              <w:jc w:val="center"/>
              <w:rPr>
                <w:rFonts w:cs="Arial"/>
                <w:b/>
                <w:bCs/>
                <w:color w:val="FFFFFF"/>
                <w:sz w:val="16"/>
                <w:szCs w:val="16"/>
                <w:lang w:eastAsia="en-AU"/>
              </w:rPr>
            </w:pPr>
            <w:r w:rsidRPr="00DF7F85">
              <w:rPr>
                <w:rFonts w:cs="Arial"/>
                <w:b/>
                <w:bCs/>
                <w:color w:val="FFFFFF"/>
                <w:sz w:val="16"/>
                <w:szCs w:val="16"/>
                <w:lang w:eastAsia="en-AU"/>
              </w:rPr>
              <w:t>Qualifications Related to Skill Shortage Occupations</w:t>
            </w:r>
          </w:p>
        </w:tc>
      </w:tr>
      <w:tr w:rsidR="00122B28" w:rsidRPr="00DF7F85" w:rsidTr="00CA2528">
        <w:trPr>
          <w:trHeight w:val="450"/>
        </w:trPr>
        <w:tc>
          <w:tcPr>
            <w:tcW w:w="1322" w:type="pct"/>
            <w:tcBorders>
              <w:top w:val="nil"/>
              <w:left w:val="single" w:sz="4" w:space="0" w:color="76933C"/>
              <w:bottom w:val="nil"/>
              <w:right w:val="nil"/>
            </w:tcBorders>
            <w:shd w:val="clear" w:color="auto" w:fill="9BBB59"/>
            <w:noWrap/>
            <w:vAlign w:val="bottom"/>
            <w:hideMark/>
          </w:tcPr>
          <w:p w:rsidR="00122B28" w:rsidRPr="00DF7F85" w:rsidRDefault="00122B28" w:rsidP="00CA2528">
            <w:pPr>
              <w:spacing w:after="0" w:line="240" w:lineRule="auto"/>
              <w:jc w:val="left"/>
              <w:rPr>
                <w:rFonts w:cs="Arial"/>
                <w:color w:val="FFFFFF"/>
                <w:sz w:val="16"/>
                <w:szCs w:val="16"/>
                <w:lang w:eastAsia="en-AU"/>
              </w:rPr>
            </w:pPr>
            <w:r w:rsidRPr="00DF7F85">
              <w:rPr>
                <w:rFonts w:cs="Arial"/>
                <w:color w:val="FFFFFF"/>
                <w:sz w:val="16"/>
                <w:szCs w:val="16"/>
                <w:lang w:eastAsia="en-AU"/>
              </w:rPr>
              <w:t> </w:t>
            </w:r>
          </w:p>
        </w:tc>
        <w:tc>
          <w:tcPr>
            <w:tcW w:w="723"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2011</w:t>
            </w:r>
          </w:p>
        </w:tc>
        <w:tc>
          <w:tcPr>
            <w:tcW w:w="723" w:type="pct"/>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2012</w:t>
            </w:r>
          </w:p>
        </w:tc>
        <w:tc>
          <w:tcPr>
            <w:tcW w:w="723" w:type="pct"/>
            <w:tcBorders>
              <w:top w:val="nil"/>
              <w:left w:val="nil"/>
              <w:bottom w:val="nil"/>
              <w:right w:val="single" w:sz="4" w:space="0" w:color="9BBB59"/>
            </w:tcBorders>
            <w:shd w:val="clear" w:color="auto" w:fill="9BBB59"/>
            <w:noWrap/>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Q3</w:t>
            </w:r>
            <w:r>
              <w:rPr>
                <w:rFonts w:cs="Arial"/>
                <w:color w:val="FFFFFF"/>
                <w:sz w:val="16"/>
                <w:szCs w:val="16"/>
                <w:lang w:eastAsia="en-AU"/>
              </w:rPr>
              <w:t xml:space="preserve"> </w:t>
            </w:r>
            <w:r w:rsidRPr="00DF7F85">
              <w:rPr>
                <w:rFonts w:cs="Arial"/>
                <w:color w:val="FFFFFF"/>
                <w:sz w:val="16"/>
                <w:szCs w:val="16"/>
                <w:lang w:eastAsia="en-AU"/>
              </w:rPr>
              <w:t>2013</w:t>
            </w:r>
          </w:p>
        </w:tc>
        <w:tc>
          <w:tcPr>
            <w:tcW w:w="755"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2011 - Q3</w:t>
            </w:r>
            <w:r>
              <w:rPr>
                <w:rFonts w:cs="Arial"/>
                <w:color w:val="FFFFFF"/>
                <w:sz w:val="16"/>
                <w:szCs w:val="16"/>
                <w:lang w:eastAsia="en-AU"/>
              </w:rPr>
              <w:t xml:space="preserve"> </w:t>
            </w:r>
            <w:r w:rsidRPr="00DF7F85">
              <w:rPr>
                <w:rFonts w:cs="Arial"/>
                <w:color w:val="FFFFFF"/>
                <w:sz w:val="16"/>
                <w:szCs w:val="16"/>
                <w:lang w:eastAsia="en-AU"/>
              </w:rPr>
              <w:t>2013</w:t>
            </w:r>
          </w:p>
        </w:tc>
        <w:tc>
          <w:tcPr>
            <w:tcW w:w="754" w:type="pct"/>
            <w:tcBorders>
              <w:top w:val="nil"/>
              <w:left w:val="nil"/>
              <w:bottom w:val="nil"/>
              <w:right w:val="single" w:sz="4" w:space="0" w:color="9BBB59"/>
            </w:tcBorders>
            <w:shd w:val="clear" w:color="auto" w:fill="9BBB59"/>
            <w:vAlign w:val="center"/>
            <w:hideMark/>
          </w:tcPr>
          <w:p w:rsidR="00122B28" w:rsidRPr="00DF7F85" w:rsidRDefault="00122B28" w:rsidP="00CA2528">
            <w:pPr>
              <w:spacing w:after="0" w:line="240" w:lineRule="auto"/>
              <w:jc w:val="center"/>
              <w:rPr>
                <w:rFonts w:cs="Arial"/>
                <w:color w:val="FFFFFF"/>
                <w:sz w:val="16"/>
                <w:szCs w:val="16"/>
                <w:lang w:eastAsia="en-AU"/>
              </w:rPr>
            </w:pPr>
            <w:r w:rsidRPr="00DF7F85">
              <w:rPr>
                <w:rFonts w:cs="Arial"/>
                <w:color w:val="FFFFFF"/>
                <w:sz w:val="16"/>
                <w:szCs w:val="16"/>
                <w:lang w:eastAsia="en-AU"/>
              </w:rPr>
              <w:t>% Q3</w:t>
            </w:r>
            <w:r>
              <w:rPr>
                <w:rFonts w:cs="Arial"/>
                <w:color w:val="FFFFFF"/>
                <w:sz w:val="16"/>
                <w:szCs w:val="16"/>
                <w:lang w:eastAsia="en-AU"/>
              </w:rPr>
              <w:t xml:space="preserve"> </w:t>
            </w:r>
            <w:r w:rsidRPr="00DF7F85">
              <w:rPr>
                <w:rFonts w:cs="Arial"/>
                <w:color w:val="FFFFFF"/>
                <w:sz w:val="16"/>
                <w:szCs w:val="16"/>
                <w:lang w:eastAsia="en-AU"/>
              </w:rPr>
              <w:t>2012 - Q3</w:t>
            </w:r>
            <w:r>
              <w:rPr>
                <w:rFonts w:cs="Arial"/>
                <w:color w:val="FFFFFF"/>
                <w:sz w:val="16"/>
                <w:szCs w:val="16"/>
                <w:lang w:eastAsia="en-AU"/>
              </w:rPr>
              <w:t xml:space="preserve"> </w:t>
            </w:r>
            <w:r w:rsidRPr="00DF7F85">
              <w:rPr>
                <w:rFonts w:cs="Arial"/>
                <w:color w:val="FFFFFF"/>
                <w:sz w:val="16"/>
                <w:szCs w:val="16"/>
                <w:lang w:eastAsia="en-AU"/>
              </w:rPr>
              <w:t>2013</w:t>
            </w:r>
          </w:p>
        </w:tc>
      </w:tr>
      <w:tr w:rsidR="00122B28" w:rsidRPr="00DF7F85" w:rsidTr="00CA2528">
        <w:trPr>
          <w:trHeight w:val="300"/>
        </w:trPr>
        <w:tc>
          <w:tcPr>
            <w:tcW w:w="1322" w:type="pct"/>
            <w:tcBorders>
              <w:top w:val="single" w:sz="4" w:space="0" w:color="76933C"/>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Enrolments</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112,600</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131,900</w:t>
            </w:r>
          </w:p>
        </w:tc>
        <w:tc>
          <w:tcPr>
            <w:tcW w:w="723"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140,100</w:t>
            </w:r>
          </w:p>
        </w:tc>
        <w:tc>
          <w:tcPr>
            <w:tcW w:w="755" w:type="pct"/>
            <w:tcBorders>
              <w:top w:val="single" w:sz="4" w:space="0" w:color="76933C"/>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24%</w:t>
            </w:r>
          </w:p>
        </w:tc>
        <w:tc>
          <w:tcPr>
            <w:tcW w:w="754" w:type="pct"/>
            <w:tcBorders>
              <w:top w:val="single" w:sz="4" w:space="0" w:color="76933C"/>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6%</w:t>
            </w:r>
          </w:p>
        </w:tc>
      </w:tr>
      <w:tr w:rsidR="00122B28" w:rsidRPr="00DF7F85" w:rsidTr="00CA2528">
        <w:trPr>
          <w:trHeight w:val="300"/>
        </w:trPr>
        <w:tc>
          <w:tcPr>
            <w:tcW w:w="1322" w:type="pct"/>
            <w:tcBorders>
              <w:top w:val="nil"/>
              <w:left w:val="single" w:sz="4" w:space="0" w:color="76933C"/>
              <w:bottom w:val="single" w:sz="4" w:space="0" w:color="76933C"/>
              <w:right w:val="nil"/>
            </w:tcBorders>
            <w:noWrap/>
            <w:vAlign w:val="bottom"/>
            <w:hideMark/>
          </w:tcPr>
          <w:p w:rsidR="00122B28" w:rsidRPr="00DF7F85" w:rsidRDefault="00122B28" w:rsidP="00CA2528">
            <w:pPr>
              <w:spacing w:after="0" w:line="240" w:lineRule="auto"/>
              <w:jc w:val="left"/>
              <w:rPr>
                <w:rFonts w:cs="Arial"/>
                <w:b/>
                <w:bCs/>
                <w:color w:val="76933C"/>
                <w:sz w:val="16"/>
                <w:szCs w:val="16"/>
                <w:lang w:eastAsia="en-AU"/>
              </w:rPr>
            </w:pPr>
            <w:r w:rsidRPr="00DF7F85">
              <w:rPr>
                <w:rFonts w:cs="Arial"/>
                <w:b/>
                <w:bCs/>
                <w:color w:val="76933C"/>
                <w:sz w:val="16"/>
                <w:szCs w:val="16"/>
                <w:lang w:eastAsia="en-AU"/>
              </w:rPr>
              <w:t xml:space="preserve">Hours </w:t>
            </w:r>
            <w:r w:rsidRPr="00DF7F85">
              <w:rPr>
                <w:rFonts w:cs="Arial"/>
                <w:color w:val="76933C"/>
                <w:sz w:val="16"/>
                <w:szCs w:val="16"/>
                <w:lang w:eastAsia="en-AU"/>
              </w:rPr>
              <w:t>(millions)</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40.6</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48.7</w:t>
            </w:r>
          </w:p>
        </w:tc>
        <w:tc>
          <w:tcPr>
            <w:tcW w:w="723"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53.7</w:t>
            </w:r>
          </w:p>
        </w:tc>
        <w:tc>
          <w:tcPr>
            <w:tcW w:w="755" w:type="pct"/>
            <w:tcBorders>
              <w:top w:val="nil"/>
              <w:left w:val="nil"/>
              <w:bottom w:val="single" w:sz="4" w:space="0" w:color="76933C"/>
              <w:right w:val="nil"/>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32%</w:t>
            </w:r>
          </w:p>
        </w:tc>
        <w:tc>
          <w:tcPr>
            <w:tcW w:w="754" w:type="pct"/>
            <w:tcBorders>
              <w:top w:val="nil"/>
              <w:left w:val="nil"/>
              <w:bottom w:val="single" w:sz="4" w:space="0" w:color="76933C"/>
              <w:right w:val="single" w:sz="4" w:space="0" w:color="76933C"/>
            </w:tcBorders>
            <w:noWrap/>
            <w:vAlign w:val="bottom"/>
            <w:hideMark/>
          </w:tcPr>
          <w:p w:rsidR="00122B28" w:rsidRPr="00DF7F85" w:rsidRDefault="00122B28" w:rsidP="00CA2528">
            <w:pPr>
              <w:jc w:val="right"/>
              <w:rPr>
                <w:rFonts w:cs="Arial"/>
                <w:color w:val="000000"/>
                <w:sz w:val="16"/>
                <w:szCs w:val="16"/>
              </w:rPr>
            </w:pPr>
            <w:r w:rsidRPr="00DF7F85">
              <w:rPr>
                <w:rFonts w:cs="Arial"/>
                <w:color w:val="000000"/>
                <w:sz w:val="16"/>
                <w:szCs w:val="16"/>
              </w:rPr>
              <w:t>10%</w:t>
            </w:r>
          </w:p>
        </w:tc>
      </w:tr>
    </w:tbl>
    <w:p w:rsidR="00122B28" w:rsidRDefault="00122B28" w:rsidP="00122B28">
      <w:pPr>
        <w:spacing w:after="0" w:line="240" w:lineRule="auto"/>
        <w:jc w:val="left"/>
        <w:rPr>
          <w:rFonts w:cs="Arial"/>
          <w:szCs w:val="19"/>
        </w:rPr>
      </w:pPr>
    </w:p>
    <w:p w:rsidR="00122B28" w:rsidRDefault="00122B28">
      <w:pPr>
        <w:spacing w:after="0" w:line="240" w:lineRule="auto"/>
        <w:jc w:val="left"/>
        <w:rPr>
          <w:b/>
          <w:bCs/>
          <w:color w:val="76923C" w:themeColor="accent3" w:themeShade="BF"/>
          <w:sz w:val="18"/>
          <w:szCs w:val="16"/>
        </w:rPr>
      </w:pPr>
      <w:r>
        <w:br w:type="page"/>
      </w:r>
    </w:p>
    <w:p w:rsidR="00122B28" w:rsidRDefault="00122B28" w:rsidP="00122B28">
      <w:pPr>
        <w:pStyle w:val="Caption"/>
        <w:keepNext/>
      </w:pPr>
      <w:r>
        <w:lastRenderedPageBreak/>
        <w:t xml:space="preserve">Table 3.14: Top 10 enrolling specialised or in shortage occupations, </w:t>
      </w:r>
      <w:r w:rsidR="00D57A7F">
        <w:t xml:space="preserve">2011, 2012, </w:t>
      </w:r>
      <w:r>
        <w:t>Q3</w:t>
      </w:r>
      <w:r w:rsidR="00235109">
        <w:t xml:space="preserve"> </w:t>
      </w:r>
      <w:r>
        <w:t>2012 and Q3</w:t>
      </w:r>
      <w:r w:rsidR="00235109">
        <w:t xml:space="preserve"> </w:t>
      </w:r>
      <w:r>
        <w:t>2013</w:t>
      </w:r>
    </w:p>
    <w:tbl>
      <w:tblPr>
        <w:tblW w:w="5000" w:type="pct"/>
        <w:tblLook w:val="04A0" w:firstRow="1" w:lastRow="0" w:firstColumn="1" w:lastColumn="0" w:noHBand="0" w:noVBand="1"/>
      </w:tblPr>
      <w:tblGrid>
        <w:gridCol w:w="4569"/>
        <w:gridCol w:w="866"/>
        <w:gridCol w:w="866"/>
        <w:gridCol w:w="1018"/>
        <w:gridCol w:w="1018"/>
        <w:gridCol w:w="951"/>
      </w:tblGrid>
      <w:tr w:rsidR="00122B28" w:rsidRPr="00D937CB" w:rsidTr="00CA2528">
        <w:trPr>
          <w:trHeight w:val="450"/>
        </w:trPr>
        <w:tc>
          <w:tcPr>
            <w:tcW w:w="2460" w:type="pct"/>
            <w:tcBorders>
              <w:top w:val="single" w:sz="4" w:space="0" w:color="76933C"/>
              <w:left w:val="single" w:sz="4" w:space="0" w:color="76933C"/>
              <w:bottom w:val="single" w:sz="4" w:space="0" w:color="95B3D7"/>
              <w:right w:val="nil"/>
            </w:tcBorders>
            <w:shd w:val="clear" w:color="DCE6F1" w:fill="76933C"/>
            <w:noWrap/>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 xml:space="preserve">Occupation </w:t>
            </w:r>
          </w:p>
        </w:tc>
        <w:tc>
          <w:tcPr>
            <w:tcW w:w="466" w:type="pct"/>
            <w:tcBorders>
              <w:top w:val="single" w:sz="4" w:space="0" w:color="76933C"/>
              <w:left w:val="nil"/>
              <w:bottom w:val="nil"/>
              <w:right w:val="nil"/>
            </w:tcBorders>
            <w:shd w:val="clear" w:color="DCE6F1" w:fill="76933C"/>
            <w:noWrap/>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2011</w:t>
            </w:r>
          </w:p>
        </w:tc>
        <w:tc>
          <w:tcPr>
            <w:tcW w:w="466" w:type="pct"/>
            <w:tcBorders>
              <w:top w:val="single" w:sz="4" w:space="0" w:color="76933C"/>
              <w:left w:val="nil"/>
              <w:bottom w:val="nil"/>
              <w:right w:val="nil"/>
            </w:tcBorders>
            <w:shd w:val="clear" w:color="DCE6F1" w:fill="76933C"/>
            <w:noWrap/>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2012</w:t>
            </w:r>
          </w:p>
        </w:tc>
        <w:tc>
          <w:tcPr>
            <w:tcW w:w="548" w:type="pct"/>
            <w:tcBorders>
              <w:top w:val="single" w:sz="4" w:space="0" w:color="76933C"/>
              <w:left w:val="nil"/>
              <w:bottom w:val="nil"/>
              <w:right w:val="nil"/>
            </w:tcBorders>
            <w:shd w:val="clear" w:color="DCE6F1" w:fill="76933C"/>
            <w:noWrap/>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Q3 2012</w:t>
            </w:r>
          </w:p>
        </w:tc>
        <w:tc>
          <w:tcPr>
            <w:tcW w:w="548" w:type="pct"/>
            <w:tcBorders>
              <w:top w:val="single" w:sz="4" w:space="0" w:color="76933C"/>
              <w:left w:val="nil"/>
              <w:bottom w:val="nil"/>
              <w:right w:val="nil"/>
            </w:tcBorders>
            <w:shd w:val="clear" w:color="DCE6F1" w:fill="76933C"/>
            <w:noWrap/>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Q3 2013</w:t>
            </w:r>
          </w:p>
        </w:tc>
        <w:tc>
          <w:tcPr>
            <w:tcW w:w="513" w:type="pct"/>
            <w:tcBorders>
              <w:top w:val="single" w:sz="4" w:space="0" w:color="76933C"/>
              <w:left w:val="nil"/>
              <w:bottom w:val="nil"/>
              <w:right w:val="single" w:sz="4" w:space="0" w:color="76933C"/>
            </w:tcBorders>
            <w:shd w:val="clear" w:color="000000" w:fill="76933C"/>
            <w:vAlign w:val="center"/>
            <w:hideMark/>
          </w:tcPr>
          <w:p w:rsidR="00122B28" w:rsidRPr="00D937CB" w:rsidRDefault="00122B28" w:rsidP="00CA2528">
            <w:pPr>
              <w:spacing w:after="0" w:line="240" w:lineRule="auto"/>
              <w:jc w:val="center"/>
              <w:rPr>
                <w:rFonts w:cs="Arial"/>
                <w:b/>
                <w:bCs/>
                <w:color w:val="FFFFFF"/>
                <w:sz w:val="16"/>
                <w:szCs w:val="16"/>
                <w:lang w:eastAsia="en-AU"/>
              </w:rPr>
            </w:pPr>
            <w:r w:rsidRPr="00D937CB">
              <w:rPr>
                <w:rFonts w:cs="Arial"/>
                <w:b/>
                <w:bCs/>
                <w:color w:val="FFFFFF"/>
                <w:sz w:val="16"/>
                <w:szCs w:val="16"/>
                <w:lang w:eastAsia="en-AU"/>
              </w:rPr>
              <w:t>% change Q3 2012 - Q3 2013</w:t>
            </w:r>
          </w:p>
        </w:tc>
      </w:tr>
      <w:tr w:rsidR="00122B28" w:rsidRPr="00D937CB" w:rsidTr="00CA2528">
        <w:trPr>
          <w:trHeight w:val="225"/>
        </w:trPr>
        <w:tc>
          <w:tcPr>
            <w:tcW w:w="2460"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Child Carers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19,700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25,600</w:t>
            </w:r>
          </w:p>
        </w:tc>
        <w:tc>
          <w:tcPr>
            <w:tcW w:w="548" w:type="pct"/>
            <w:tcBorders>
              <w:top w:val="single" w:sz="4" w:space="0" w:color="76933C"/>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21,900</w:t>
            </w:r>
          </w:p>
        </w:tc>
        <w:tc>
          <w:tcPr>
            <w:tcW w:w="548" w:type="pct"/>
            <w:tcBorders>
              <w:top w:val="single" w:sz="4" w:space="0" w:color="76933C"/>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23,700</w:t>
            </w:r>
          </w:p>
        </w:tc>
        <w:tc>
          <w:tcPr>
            <w:tcW w:w="513" w:type="pct"/>
            <w:tcBorders>
              <w:top w:val="single" w:sz="4" w:space="0" w:color="76933C"/>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8%</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Aged and Disabled Carers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13,000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16,900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13,800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16,500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20%</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Welfare Support Workers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7,500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9,300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8,400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10,000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19%</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Truck Drivers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7,500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10,700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7,500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9,700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29%</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Carpenters and Joiners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9,100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8,000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7,400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7,200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-3%</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Electricians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7,700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7,800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7,300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7,100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-3%</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Enrolled and Mothercraft Nurses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6,400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7,200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6,800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7,000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3%</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Motor Mechanics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5,200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6,600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5,400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6,900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28%</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Plumbers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7,100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7,200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6,800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6,600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-3%</w:t>
            </w:r>
          </w:p>
        </w:tc>
      </w:tr>
      <w:tr w:rsidR="00122B28" w:rsidRPr="00D937CB" w:rsidTr="00CA2528">
        <w:trPr>
          <w:trHeight w:val="225"/>
        </w:trPr>
        <w:tc>
          <w:tcPr>
            <w:tcW w:w="2460" w:type="pct"/>
            <w:tcBorders>
              <w:top w:val="single" w:sz="4" w:space="0" w:color="95B3D7"/>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D937CB">
              <w:rPr>
                <w:rFonts w:cs="Arial"/>
                <w:color w:val="000000"/>
                <w:sz w:val="16"/>
                <w:szCs w:val="16"/>
                <w:lang w:eastAsia="en-AU"/>
              </w:rPr>
              <w:t>Architectural, Building and Surveying Technicians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3,100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5,000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4,300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4,800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12%</w:t>
            </w:r>
          </w:p>
        </w:tc>
      </w:tr>
      <w:tr w:rsidR="00122B28" w:rsidRPr="00D937CB" w:rsidTr="00CA2528">
        <w:trPr>
          <w:trHeight w:val="225"/>
        </w:trPr>
        <w:tc>
          <w:tcPr>
            <w:tcW w:w="2460"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left"/>
              <w:rPr>
                <w:rFonts w:cs="Arial"/>
                <w:color w:val="000000"/>
                <w:sz w:val="16"/>
                <w:szCs w:val="16"/>
                <w:lang w:eastAsia="en-AU"/>
              </w:rPr>
            </w:pPr>
            <w:r w:rsidRPr="003D33CB">
              <w:rPr>
                <w:rFonts w:cs="Arial"/>
                <w:color w:val="000000"/>
                <w:sz w:val="16"/>
                <w:szCs w:val="16"/>
                <w:lang w:eastAsia="en-AU"/>
              </w:rPr>
              <w:t>All o</w:t>
            </w:r>
            <w:r w:rsidRPr="00D937CB">
              <w:rPr>
                <w:rFonts w:cs="Arial"/>
                <w:color w:val="000000"/>
                <w:sz w:val="16"/>
                <w:szCs w:val="16"/>
                <w:lang w:eastAsia="en-AU"/>
              </w:rPr>
              <w:t xml:space="preserve">ther </w:t>
            </w:r>
            <w:r w:rsidRPr="003D33CB">
              <w:rPr>
                <w:rFonts w:cs="Arial"/>
                <w:color w:val="000000"/>
                <w:sz w:val="16"/>
                <w:szCs w:val="16"/>
                <w:lang w:eastAsia="en-AU"/>
              </w:rPr>
              <w:t>o</w:t>
            </w:r>
            <w:r w:rsidRPr="00D937CB">
              <w:rPr>
                <w:rFonts w:cs="Arial"/>
                <w:color w:val="000000"/>
                <w:sz w:val="16"/>
                <w:szCs w:val="16"/>
                <w:lang w:eastAsia="en-AU"/>
              </w:rPr>
              <w:t>ccupations</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50,800</w:t>
            </w:r>
          </w:p>
        </w:tc>
        <w:tc>
          <w:tcPr>
            <w:tcW w:w="466"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58,500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51,400</w:t>
            </w:r>
          </w:p>
        </w:tc>
        <w:tc>
          <w:tcPr>
            <w:tcW w:w="548" w:type="pct"/>
            <w:tcBorders>
              <w:top w:val="nil"/>
              <w:left w:val="single" w:sz="4" w:space="0" w:color="76933C"/>
              <w:bottom w:val="single" w:sz="4" w:space="0" w:color="76933C"/>
              <w:right w:val="nil"/>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48,600</w:t>
            </w:r>
          </w:p>
        </w:tc>
        <w:tc>
          <w:tcPr>
            <w:tcW w:w="513" w:type="pct"/>
            <w:tcBorders>
              <w:top w:val="nil"/>
              <w:left w:val="nil"/>
              <w:bottom w:val="single" w:sz="4" w:space="0" w:color="76933C"/>
              <w:right w:val="single" w:sz="4" w:space="0" w:color="76933C"/>
            </w:tcBorders>
            <w:shd w:val="clear" w:color="auto" w:fill="auto"/>
            <w:noWrap/>
            <w:vAlign w:val="bottom"/>
            <w:hideMark/>
          </w:tcPr>
          <w:p w:rsidR="00122B28" w:rsidRPr="00D937CB" w:rsidRDefault="00122B28" w:rsidP="00CA2528">
            <w:pPr>
              <w:spacing w:after="0" w:line="240" w:lineRule="auto"/>
              <w:jc w:val="right"/>
              <w:rPr>
                <w:rFonts w:cs="Arial"/>
                <w:color w:val="000000"/>
                <w:sz w:val="16"/>
                <w:szCs w:val="16"/>
                <w:lang w:eastAsia="en-AU"/>
              </w:rPr>
            </w:pPr>
            <w:r w:rsidRPr="00D937CB">
              <w:rPr>
                <w:rFonts w:cs="Arial"/>
                <w:color w:val="000000"/>
                <w:sz w:val="16"/>
                <w:szCs w:val="16"/>
                <w:lang w:eastAsia="en-AU"/>
              </w:rPr>
              <w:t>-5%</w:t>
            </w:r>
          </w:p>
        </w:tc>
      </w:tr>
      <w:tr w:rsidR="00122B28" w:rsidRPr="00D937CB" w:rsidTr="00CA2528">
        <w:trPr>
          <w:trHeight w:val="225"/>
        </w:trPr>
        <w:tc>
          <w:tcPr>
            <w:tcW w:w="2460"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76933C"/>
                <w:sz w:val="16"/>
                <w:szCs w:val="16"/>
                <w:lang w:eastAsia="en-AU"/>
              </w:rPr>
            </w:pPr>
          </w:p>
        </w:tc>
        <w:tc>
          <w:tcPr>
            <w:tcW w:w="466"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76933C"/>
                <w:sz w:val="16"/>
                <w:szCs w:val="16"/>
                <w:lang w:eastAsia="en-AU"/>
              </w:rPr>
            </w:pPr>
          </w:p>
        </w:tc>
        <w:tc>
          <w:tcPr>
            <w:tcW w:w="466"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76933C"/>
                <w:sz w:val="16"/>
                <w:szCs w:val="16"/>
                <w:lang w:eastAsia="en-AU"/>
              </w:rPr>
            </w:pPr>
          </w:p>
        </w:tc>
        <w:tc>
          <w:tcPr>
            <w:tcW w:w="548"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000000"/>
                <w:sz w:val="16"/>
                <w:szCs w:val="16"/>
                <w:lang w:eastAsia="en-AU"/>
              </w:rPr>
            </w:pPr>
          </w:p>
        </w:tc>
        <w:tc>
          <w:tcPr>
            <w:tcW w:w="548"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000000"/>
                <w:sz w:val="16"/>
                <w:szCs w:val="16"/>
                <w:lang w:eastAsia="en-AU"/>
              </w:rPr>
            </w:pPr>
          </w:p>
        </w:tc>
        <w:tc>
          <w:tcPr>
            <w:tcW w:w="513" w:type="pct"/>
            <w:tcBorders>
              <w:top w:val="nil"/>
              <w:left w:val="nil"/>
              <w:bottom w:val="nil"/>
              <w:right w:val="nil"/>
            </w:tcBorders>
            <w:shd w:val="clear" w:color="auto" w:fill="auto"/>
            <w:noWrap/>
            <w:vAlign w:val="bottom"/>
            <w:hideMark/>
          </w:tcPr>
          <w:p w:rsidR="00122B28" w:rsidRPr="00D937CB" w:rsidRDefault="00122B28" w:rsidP="00CA2528">
            <w:pPr>
              <w:spacing w:after="0" w:line="240" w:lineRule="auto"/>
              <w:jc w:val="left"/>
              <w:rPr>
                <w:rFonts w:ascii="Calibri" w:hAnsi="Calibri"/>
                <w:color w:val="000000"/>
                <w:sz w:val="16"/>
                <w:szCs w:val="16"/>
                <w:lang w:eastAsia="en-AU"/>
              </w:rPr>
            </w:pPr>
          </w:p>
        </w:tc>
      </w:tr>
    </w:tbl>
    <w:p w:rsidR="00122B28" w:rsidRPr="004D3FA5" w:rsidRDefault="00122B28" w:rsidP="00122B28">
      <w:pPr>
        <w:sectPr w:rsidR="00122B28" w:rsidRPr="004D3FA5">
          <w:pgSz w:w="11907" w:h="16840"/>
          <w:pgMar w:top="993" w:right="1134" w:bottom="1418" w:left="1701" w:header="567" w:footer="567" w:gutter="0"/>
          <w:cols w:space="720"/>
        </w:sectPr>
      </w:pPr>
    </w:p>
    <w:p w:rsidR="00122B28" w:rsidRDefault="00122B28" w:rsidP="00122B28">
      <w:r>
        <w:lastRenderedPageBreak/>
        <w:t>The following table highlights i</w:t>
      </w:r>
      <w:r w:rsidRPr="00FA0962">
        <w:t>ndustry enrolments in qualifications related to either specialised or in shortage occupations</w:t>
      </w:r>
    </w:p>
    <w:p w:rsidR="00122B28" w:rsidRDefault="00122B28" w:rsidP="00122B28">
      <w:pPr>
        <w:rPr>
          <w:rFonts w:cs="Arial"/>
          <w:i/>
          <w:szCs w:val="19"/>
        </w:rPr>
      </w:pPr>
    </w:p>
    <w:p w:rsidR="00122B28" w:rsidRDefault="00122B28" w:rsidP="00122B28">
      <w:pPr>
        <w:pStyle w:val="Caption"/>
        <w:spacing w:after="0"/>
        <w:jc w:val="left"/>
      </w:pPr>
      <w:r>
        <w:t>Table 3.15: Industry enrolments in qualifications related to either specialised or in shortage occupations</w:t>
      </w:r>
    </w:p>
    <w:tbl>
      <w:tblPr>
        <w:tblW w:w="14920" w:type="dxa"/>
        <w:tblInd w:w="93" w:type="dxa"/>
        <w:tblLook w:val="04A0" w:firstRow="1" w:lastRow="0" w:firstColumn="1" w:lastColumn="0" w:noHBand="0" w:noVBand="1"/>
      </w:tblPr>
      <w:tblGrid>
        <w:gridCol w:w="3400"/>
        <w:gridCol w:w="960"/>
        <w:gridCol w:w="960"/>
        <w:gridCol w:w="960"/>
        <w:gridCol w:w="960"/>
        <w:gridCol w:w="960"/>
        <w:gridCol w:w="960"/>
        <w:gridCol w:w="960"/>
        <w:gridCol w:w="960"/>
        <w:gridCol w:w="960"/>
        <w:gridCol w:w="960"/>
        <w:gridCol w:w="960"/>
        <w:gridCol w:w="960"/>
      </w:tblGrid>
      <w:tr w:rsidR="00122B28" w:rsidRPr="0022347D" w:rsidTr="00CA2528">
        <w:trPr>
          <w:trHeight w:val="465"/>
        </w:trPr>
        <w:tc>
          <w:tcPr>
            <w:tcW w:w="3400" w:type="dxa"/>
            <w:vMerge w:val="restart"/>
            <w:tcBorders>
              <w:top w:val="single" w:sz="4" w:space="0" w:color="76933C"/>
              <w:left w:val="single" w:sz="4" w:space="0" w:color="76933C"/>
              <w:bottom w:val="nil"/>
              <w:right w:val="nil"/>
            </w:tcBorders>
            <w:shd w:val="clear" w:color="000000" w:fill="76933C"/>
            <w:noWrap/>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Industry</w:t>
            </w:r>
          </w:p>
        </w:tc>
        <w:tc>
          <w:tcPr>
            <w:tcW w:w="5760" w:type="dxa"/>
            <w:gridSpan w:val="6"/>
            <w:tcBorders>
              <w:top w:val="single" w:sz="4" w:space="0" w:color="76933C"/>
              <w:left w:val="nil"/>
              <w:bottom w:val="nil"/>
              <w:right w:val="nil"/>
            </w:tcBorders>
            <w:shd w:val="clear" w:color="000000" w:fill="4F6228"/>
            <w:vAlign w:val="bottom"/>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Enrolments (Total industry specific qualifications)</w:t>
            </w:r>
          </w:p>
        </w:tc>
        <w:tc>
          <w:tcPr>
            <w:tcW w:w="5760" w:type="dxa"/>
            <w:gridSpan w:val="6"/>
            <w:tcBorders>
              <w:top w:val="single" w:sz="4" w:space="0" w:color="76933C"/>
              <w:left w:val="nil"/>
              <w:bottom w:val="nil"/>
              <w:right w:val="single" w:sz="4" w:space="0" w:color="76933C"/>
            </w:tcBorders>
            <w:shd w:val="clear" w:color="000000" w:fill="76933C"/>
            <w:vAlign w:val="bottom"/>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Enrolments (Specialised OR In Shortage)</w:t>
            </w:r>
          </w:p>
        </w:tc>
      </w:tr>
      <w:tr w:rsidR="00122B28" w:rsidRPr="0022347D" w:rsidTr="00CA2528">
        <w:trPr>
          <w:trHeight w:val="300"/>
        </w:trPr>
        <w:tc>
          <w:tcPr>
            <w:tcW w:w="3400" w:type="dxa"/>
            <w:vMerge/>
            <w:tcBorders>
              <w:top w:val="single" w:sz="4" w:space="0" w:color="76933C"/>
              <w:left w:val="single" w:sz="4" w:space="0" w:color="76933C"/>
              <w:bottom w:val="nil"/>
              <w:right w:val="nil"/>
            </w:tcBorders>
            <w:vAlign w:val="center"/>
            <w:hideMark/>
          </w:tcPr>
          <w:p w:rsidR="00122B28" w:rsidRPr="0022347D" w:rsidRDefault="00122B28" w:rsidP="00CA2528">
            <w:pPr>
              <w:spacing w:after="0" w:line="240" w:lineRule="auto"/>
              <w:jc w:val="left"/>
              <w:rPr>
                <w:rFonts w:ascii="Calibri" w:hAnsi="Calibri"/>
                <w:b/>
                <w:bCs/>
                <w:color w:val="FFFFFF"/>
                <w:sz w:val="16"/>
                <w:szCs w:val="16"/>
                <w:lang w:eastAsia="en-AU"/>
              </w:rPr>
            </w:pP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Share  Q3 2013</w:t>
            </w: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2011</w:t>
            </w: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2012</w:t>
            </w: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2013</w:t>
            </w: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Q3 2011 -  Q3 2013</w:t>
            </w:r>
          </w:p>
        </w:tc>
        <w:tc>
          <w:tcPr>
            <w:tcW w:w="960" w:type="dxa"/>
            <w:tcBorders>
              <w:top w:val="nil"/>
              <w:left w:val="nil"/>
              <w:bottom w:val="nil"/>
              <w:right w:val="nil"/>
            </w:tcBorders>
            <w:shd w:val="clear" w:color="000000" w:fill="4F6228"/>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Q3 2012 -  Q3 2013</w:t>
            </w:r>
          </w:p>
        </w:tc>
        <w:tc>
          <w:tcPr>
            <w:tcW w:w="960" w:type="dxa"/>
            <w:tcBorders>
              <w:top w:val="nil"/>
              <w:left w:val="nil"/>
              <w:bottom w:val="nil"/>
              <w:right w:val="nil"/>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Share  Q3 2013</w:t>
            </w:r>
          </w:p>
        </w:tc>
        <w:tc>
          <w:tcPr>
            <w:tcW w:w="960" w:type="dxa"/>
            <w:tcBorders>
              <w:top w:val="nil"/>
              <w:left w:val="nil"/>
              <w:bottom w:val="nil"/>
              <w:right w:val="nil"/>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2011</w:t>
            </w:r>
          </w:p>
        </w:tc>
        <w:tc>
          <w:tcPr>
            <w:tcW w:w="960" w:type="dxa"/>
            <w:tcBorders>
              <w:top w:val="nil"/>
              <w:left w:val="nil"/>
              <w:bottom w:val="nil"/>
              <w:right w:val="nil"/>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2012</w:t>
            </w:r>
          </w:p>
        </w:tc>
        <w:tc>
          <w:tcPr>
            <w:tcW w:w="960" w:type="dxa"/>
            <w:tcBorders>
              <w:top w:val="nil"/>
              <w:left w:val="nil"/>
              <w:bottom w:val="nil"/>
              <w:right w:val="nil"/>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xml:space="preserve"> Q3 2013</w:t>
            </w:r>
          </w:p>
        </w:tc>
        <w:tc>
          <w:tcPr>
            <w:tcW w:w="960" w:type="dxa"/>
            <w:tcBorders>
              <w:top w:val="nil"/>
              <w:left w:val="nil"/>
              <w:bottom w:val="nil"/>
              <w:right w:val="single" w:sz="4" w:space="0" w:color="76933C"/>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Q3 2011 -  Q3 2013</w:t>
            </w:r>
          </w:p>
        </w:tc>
        <w:tc>
          <w:tcPr>
            <w:tcW w:w="960" w:type="dxa"/>
            <w:tcBorders>
              <w:top w:val="nil"/>
              <w:left w:val="nil"/>
              <w:bottom w:val="nil"/>
              <w:right w:val="single" w:sz="4" w:space="0" w:color="76933C"/>
            </w:tcBorders>
            <w:shd w:val="clear" w:color="000000" w:fill="76933C"/>
            <w:vAlign w:val="center"/>
            <w:hideMark/>
          </w:tcPr>
          <w:p w:rsidR="00122B28" w:rsidRPr="0022347D" w:rsidRDefault="00122B28" w:rsidP="00CA2528">
            <w:pPr>
              <w:spacing w:after="0" w:line="240" w:lineRule="auto"/>
              <w:jc w:val="center"/>
              <w:rPr>
                <w:rFonts w:ascii="Calibri" w:hAnsi="Calibri"/>
                <w:b/>
                <w:bCs/>
                <w:color w:val="FFFFFF"/>
                <w:sz w:val="16"/>
                <w:szCs w:val="16"/>
                <w:lang w:eastAsia="en-AU"/>
              </w:rPr>
            </w:pPr>
            <w:r w:rsidRPr="0022347D">
              <w:rPr>
                <w:rFonts w:ascii="Calibri" w:hAnsi="Calibri"/>
                <w:b/>
                <w:bCs/>
                <w:color w:val="FFFFFF"/>
                <w:sz w:val="16"/>
                <w:szCs w:val="16"/>
                <w:lang w:eastAsia="en-AU"/>
              </w:rPr>
              <w:t>%  Q3 2012 -  Q3 2013</w:t>
            </w:r>
          </w:p>
        </w:tc>
      </w:tr>
      <w:tr w:rsidR="00122B28" w:rsidRPr="0022347D" w:rsidTr="00CA2528">
        <w:trPr>
          <w:trHeight w:val="300"/>
        </w:trPr>
        <w:tc>
          <w:tcPr>
            <w:tcW w:w="3400" w:type="dxa"/>
            <w:tcBorders>
              <w:top w:val="single" w:sz="4" w:space="0" w:color="C4D79B"/>
              <w:left w:val="single" w:sz="4" w:space="0" w:color="76933C"/>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Accommodation and Food Services</w:t>
            </w:r>
          </w:p>
        </w:tc>
        <w:tc>
          <w:tcPr>
            <w:tcW w:w="960" w:type="dxa"/>
            <w:tcBorders>
              <w:top w:val="single" w:sz="4" w:space="0" w:color="76933C"/>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28,300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39,500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23,100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-42%</w:t>
            </w:r>
          </w:p>
        </w:tc>
        <w:tc>
          <w:tcPr>
            <w:tcW w:w="960" w:type="dxa"/>
            <w:tcBorders>
              <w:top w:val="single" w:sz="4" w:space="0" w:color="76933C"/>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6,600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10,700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7,800</w:t>
            </w:r>
          </w:p>
        </w:tc>
        <w:tc>
          <w:tcPr>
            <w:tcW w:w="960" w:type="dxa"/>
            <w:tcBorders>
              <w:top w:val="single" w:sz="4" w:space="0" w:color="76933C"/>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single" w:sz="4" w:space="0" w:color="76933C"/>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-27%</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Administrative and Support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15,200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19,900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12,200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-39%</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Agriculture, Forestry and Fishing</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-37%</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Arts and Recreation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22,700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-38%</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-45%</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175%</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120%</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Construction</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41,800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44,300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49,400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12%</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32,100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36,300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13%</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i/>
                <w:iCs/>
                <w:color w:val="000000"/>
                <w:sz w:val="16"/>
                <w:szCs w:val="16"/>
                <w:lang w:eastAsia="en-AU"/>
              </w:rPr>
            </w:pPr>
            <w:r w:rsidRPr="0022347D">
              <w:rPr>
                <w:rFonts w:ascii="Calibri" w:hAnsi="Calibri"/>
                <w:i/>
                <w:iCs/>
                <w:color w:val="000000"/>
                <w:sz w:val="16"/>
                <w:szCs w:val="16"/>
                <w:lang w:eastAsia="en-AU"/>
              </w:rPr>
              <w:t>Cross-industry e.g. project managers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62,000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84,000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52,200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-16%</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-38%</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-43%</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-38%</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Education and Training</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-36%</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-36%</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Electricity, Gas, Water and Waste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-33%</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-29%</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-29%</w:t>
            </w:r>
          </w:p>
        </w:tc>
      </w:tr>
      <w:tr w:rsidR="00122B28" w:rsidRPr="0022347D" w:rsidTr="00CA2528">
        <w:trPr>
          <w:trHeight w:val="300"/>
        </w:trPr>
        <w:tc>
          <w:tcPr>
            <w:tcW w:w="3400" w:type="dxa"/>
            <w:tcBorders>
              <w:top w:val="single" w:sz="4" w:space="0" w:color="76933C"/>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Financial and Insurance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-54%</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-71%</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-75%</w:t>
            </w:r>
          </w:p>
        </w:tc>
      </w:tr>
      <w:tr w:rsidR="00122B28" w:rsidRPr="0022347D" w:rsidTr="00CA2528">
        <w:trPr>
          <w:trHeight w:val="300"/>
        </w:trPr>
        <w:tc>
          <w:tcPr>
            <w:tcW w:w="3400" w:type="dxa"/>
            <w:tcBorders>
              <w:top w:val="nil"/>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Health Care and Social Assistance</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52,800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67,600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72,500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37%</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47,500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61,000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65,300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37%</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w:t>
            </w:r>
          </w:p>
        </w:tc>
      </w:tr>
      <w:tr w:rsidR="00122B28" w:rsidRPr="0022347D" w:rsidTr="00CA2528">
        <w:trPr>
          <w:trHeight w:val="300"/>
        </w:trPr>
        <w:tc>
          <w:tcPr>
            <w:tcW w:w="3400" w:type="dxa"/>
            <w:tcBorders>
              <w:top w:val="nil"/>
              <w:left w:val="single" w:sz="4" w:space="0" w:color="76933C"/>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Information Media and Telecommunications</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Manufacturing</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26,200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35,300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32,900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26%</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w:t>
            </w:r>
          </w:p>
        </w:tc>
      </w:tr>
      <w:tr w:rsidR="00122B28" w:rsidRPr="0022347D" w:rsidTr="00CA2528">
        <w:trPr>
          <w:trHeight w:val="300"/>
        </w:trPr>
        <w:tc>
          <w:tcPr>
            <w:tcW w:w="3400" w:type="dxa"/>
            <w:tcBorders>
              <w:top w:val="single" w:sz="4" w:space="0" w:color="76933C"/>
              <w:left w:val="single" w:sz="4" w:space="0" w:color="76933C"/>
              <w:bottom w:val="nil"/>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Mining</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r>
      <w:tr w:rsidR="00122B28" w:rsidRPr="0022347D" w:rsidTr="00CA2528">
        <w:trPr>
          <w:trHeight w:val="300"/>
        </w:trPr>
        <w:tc>
          <w:tcPr>
            <w:tcW w:w="3400" w:type="dxa"/>
            <w:tcBorders>
              <w:top w:val="single" w:sz="4" w:space="0" w:color="76933C"/>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Other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17,300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46%</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r>
      <w:tr w:rsidR="00122B28" w:rsidRPr="0022347D" w:rsidTr="00CA2528">
        <w:trPr>
          <w:trHeight w:val="300"/>
        </w:trPr>
        <w:tc>
          <w:tcPr>
            <w:tcW w:w="3400" w:type="dxa"/>
            <w:tcBorders>
              <w:top w:val="nil"/>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Professional, Scientific and Technical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12,000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11,800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-18%</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-16%</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w:t>
            </w:r>
          </w:p>
        </w:tc>
      </w:tr>
      <w:tr w:rsidR="00122B28" w:rsidRPr="0022347D" w:rsidTr="00CA2528">
        <w:trPr>
          <w:trHeight w:val="300"/>
        </w:trPr>
        <w:tc>
          <w:tcPr>
            <w:tcW w:w="3400" w:type="dxa"/>
            <w:tcBorders>
              <w:top w:val="nil"/>
              <w:left w:val="single" w:sz="4" w:space="0" w:color="76933C"/>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Public Administration and Safety</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6,700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r>
      <w:tr w:rsidR="00122B28" w:rsidRPr="0022347D" w:rsidTr="00CA2528">
        <w:trPr>
          <w:trHeight w:val="300"/>
        </w:trPr>
        <w:tc>
          <w:tcPr>
            <w:tcW w:w="3400" w:type="dxa"/>
            <w:tcBorders>
              <w:top w:val="single" w:sz="4" w:space="0" w:color="76933C"/>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Rental, Hiring and Real Estate Services</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-29%</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r>
      <w:tr w:rsidR="00122B28" w:rsidRPr="0022347D" w:rsidTr="00CA2528">
        <w:trPr>
          <w:trHeight w:val="300"/>
        </w:trPr>
        <w:tc>
          <w:tcPr>
            <w:tcW w:w="3400" w:type="dxa"/>
            <w:tcBorders>
              <w:top w:val="nil"/>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Retail Trade</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32,500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13,200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175%</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-59%</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1,500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67%</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33%</w:t>
            </w:r>
          </w:p>
        </w:tc>
      </w:tr>
      <w:tr w:rsidR="00122B28" w:rsidRPr="0022347D" w:rsidTr="00CA2528">
        <w:trPr>
          <w:trHeight w:val="300"/>
        </w:trPr>
        <w:tc>
          <w:tcPr>
            <w:tcW w:w="3400" w:type="dxa"/>
            <w:tcBorders>
              <w:top w:val="nil"/>
              <w:left w:val="single" w:sz="4" w:space="0" w:color="76933C"/>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Transport, Postal and Warehousing</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9%</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19,300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29,300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31,200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6,200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11,000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77%</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41%</w:t>
            </w:r>
          </w:p>
        </w:tc>
      </w:tr>
      <w:tr w:rsidR="00122B28" w:rsidRPr="0022347D" w:rsidTr="00CA2528">
        <w:trPr>
          <w:trHeight w:val="300"/>
        </w:trPr>
        <w:tc>
          <w:tcPr>
            <w:tcW w:w="3400" w:type="dxa"/>
            <w:tcBorders>
              <w:top w:val="nil"/>
              <w:left w:val="single" w:sz="4" w:space="0" w:color="76933C"/>
              <w:bottom w:val="single" w:sz="4" w:space="0" w:color="C4D79B"/>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r w:rsidRPr="0022347D">
              <w:rPr>
                <w:rFonts w:ascii="Calibri" w:hAnsi="Calibri"/>
                <w:color w:val="000000"/>
                <w:sz w:val="16"/>
                <w:szCs w:val="16"/>
                <w:lang w:eastAsia="en-AU"/>
              </w:rPr>
              <w:t>Wholesale Trade</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-43%</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0%</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center"/>
              <w:rPr>
                <w:rFonts w:ascii="Calibri" w:hAnsi="Calibri"/>
                <w:color w:val="000000"/>
                <w:sz w:val="16"/>
                <w:szCs w:val="16"/>
                <w:lang w:eastAsia="en-AU"/>
              </w:rPr>
            </w:pPr>
            <w:r w:rsidRPr="0022347D">
              <w:rPr>
                <w:rFonts w:ascii="Calibri" w:hAnsi="Calibri"/>
                <w:color w:val="000000"/>
                <w:sz w:val="16"/>
                <w:szCs w:val="16"/>
                <w:lang w:eastAsia="en-AU"/>
              </w:rPr>
              <w:t>-</w:t>
            </w:r>
          </w:p>
        </w:tc>
      </w:tr>
      <w:tr w:rsidR="00122B28" w:rsidRPr="0022347D" w:rsidTr="00CA2528">
        <w:trPr>
          <w:trHeight w:val="300"/>
        </w:trPr>
        <w:tc>
          <w:tcPr>
            <w:tcW w:w="3400" w:type="dxa"/>
            <w:tcBorders>
              <w:top w:val="single" w:sz="4" w:space="0" w:color="76933C"/>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left"/>
              <w:rPr>
                <w:rFonts w:ascii="Calibri" w:hAnsi="Calibri"/>
                <w:b/>
                <w:bCs/>
                <w:color w:val="000000"/>
                <w:sz w:val="16"/>
                <w:szCs w:val="16"/>
                <w:lang w:eastAsia="en-AU"/>
              </w:rPr>
            </w:pPr>
            <w:r w:rsidRPr="0022347D">
              <w:rPr>
                <w:rFonts w:ascii="Calibri" w:hAnsi="Calibri"/>
                <w:b/>
                <w:bCs/>
                <w:color w:val="000000"/>
                <w:sz w:val="16"/>
                <w:szCs w:val="16"/>
                <w:lang w:eastAsia="en-AU"/>
              </w:rPr>
              <w:t>Total</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355,000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446,100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359,800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-36%</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-19%</w:t>
            </w:r>
          </w:p>
        </w:tc>
        <w:tc>
          <w:tcPr>
            <w:tcW w:w="960" w:type="dxa"/>
            <w:tcBorders>
              <w:top w:val="nil"/>
              <w:left w:val="single" w:sz="4" w:space="0" w:color="76933C"/>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118,600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140,900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148,100</w:t>
            </w:r>
          </w:p>
        </w:tc>
        <w:tc>
          <w:tcPr>
            <w:tcW w:w="960" w:type="dxa"/>
            <w:tcBorders>
              <w:top w:val="nil"/>
              <w:left w:val="nil"/>
              <w:bottom w:val="single" w:sz="4" w:space="0" w:color="76933C"/>
              <w:right w:val="nil"/>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25%</w:t>
            </w:r>
          </w:p>
        </w:tc>
        <w:tc>
          <w:tcPr>
            <w:tcW w:w="960" w:type="dxa"/>
            <w:tcBorders>
              <w:top w:val="nil"/>
              <w:left w:val="nil"/>
              <w:bottom w:val="single" w:sz="4" w:space="0" w:color="76933C"/>
              <w:right w:val="single" w:sz="4" w:space="0" w:color="76933C"/>
            </w:tcBorders>
            <w:shd w:val="clear" w:color="auto" w:fill="auto"/>
            <w:noWrap/>
            <w:vAlign w:val="bottom"/>
            <w:hideMark/>
          </w:tcPr>
          <w:p w:rsidR="00122B28" w:rsidRPr="0022347D" w:rsidRDefault="00122B28" w:rsidP="00CA2528">
            <w:pPr>
              <w:spacing w:after="0" w:line="240" w:lineRule="auto"/>
              <w:jc w:val="right"/>
              <w:rPr>
                <w:rFonts w:ascii="Calibri" w:hAnsi="Calibri"/>
                <w:color w:val="000000"/>
                <w:sz w:val="16"/>
                <w:szCs w:val="16"/>
                <w:lang w:eastAsia="en-AU"/>
              </w:rPr>
            </w:pPr>
            <w:r w:rsidRPr="0022347D">
              <w:rPr>
                <w:rFonts w:ascii="Calibri" w:hAnsi="Calibri"/>
                <w:color w:val="000000"/>
                <w:sz w:val="16"/>
                <w:szCs w:val="16"/>
                <w:lang w:eastAsia="en-AU"/>
              </w:rPr>
              <w:t>5.1%</w:t>
            </w:r>
          </w:p>
        </w:tc>
      </w:tr>
      <w:tr w:rsidR="00122B28" w:rsidRPr="0022347D" w:rsidTr="00CA2528">
        <w:trPr>
          <w:trHeight w:val="300"/>
        </w:trPr>
        <w:tc>
          <w:tcPr>
            <w:tcW w:w="340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76933C"/>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c>
          <w:tcPr>
            <w:tcW w:w="960" w:type="dxa"/>
            <w:tcBorders>
              <w:top w:val="nil"/>
              <w:left w:val="nil"/>
              <w:bottom w:val="nil"/>
              <w:right w:val="nil"/>
            </w:tcBorders>
            <w:shd w:val="clear" w:color="auto" w:fill="auto"/>
            <w:noWrap/>
            <w:vAlign w:val="bottom"/>
            <w:hideMark/>
          </w:tcPr>
          <w:p w:rsidR="00122B28" w:rsidRPr="0022347D" w:rsidRDefault="00122B28" w:rsidP="00CA2528">
            <w:pPr>
              <w:spacing w:after="0" w:line="240" w:lineRule="auto"/>
              <w:jc w:val="left"/>
              <w:rPr>
                <w:rFonts w:ascii="Calibri" w:hAnsi="Calibri"/>
                <w:color w:val="000000"/>
                <w:sz w:val="16"/>
                <w:szCs w:val="16"/>
                <w:lang w:eastAsia="en-AU"/>
              </w:rPr>
            </w:pPr>
          </w:p>
        </w:tc>
      </w:tr>
    </w:tbl>
    <w:p w:rsidR="00704EB3" w:rsidRDefault="00704EB3" w:rsidP="00704EB3">
      <w:pPr>
        <w:spacing w:after="0" w:line="240" w:lineRule="auto"/>
        <w:jc w:val="left"/>
        <w:rPr>
          <w:rFonts w:cs="Arial"/>
        </w:rPr>
        <w:sectPr w:rsidR="00704EB3">
          <w:pgSz w:w="16840" w:h="11907" w:orient="landscape"/>
          <w:pgMar w:top="1701" w:right="992" w:bottom="1134" w:left="1418" w:header="567" w:footer="567" w:gutter="0"/>
          <w:cols w:space="720"/>
        </w:sectPr>
      </w:pPr>
    </w:p>
    <w:p w:rsidR="001F7AEB" w:rsidRDefault="001F7AEB" w:rsidP="00691010">
      <w:pPr>
        <w:spacing w:after="0" w:line="240" w:lineRule="auto"/>
        <w:jc w:val="left"/>
        <w:rPr>
          <w:rFonts w:cs="Arial"/>
          <w:szCs w:val="19"/>
        </w:rPr>
      </w:pPr>
    </w:p>
    <w:sectPr w:rsidR="001F7AEB" w:rsidSect="004027ED">
      <w:pgSz w:w="11907" w:h="16840" w:code="9"/>
      <w:pgMar w:top="993" w:right="1134" w:bottom="1418"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762" w:rsidRDefault="00477762" w:rsidP="00DA3526">
      <w:r>
        <w:separator/>
      </w:r>
    </w:p>
  </w:endnote>
  <w:endnote w:type="continuationSeparator" w:id="0">
    <w:p w:rsidR="00477762" w:rsidRDefault="00477762" w:rsidP="00DA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637927"/>
      <w:docPartObj>
        <w:docPartGallery w:val="Page Numbers (Bottom of Page)"/>
        <w:docPartUnique/>
      </w:docPartObj>
    </w:sdtPr>
    <w:sdtEndPr>
      <w:rPr>
        <w:noProof/>
      </w:rPr>
    </w:sdtEndPr>
    <w:sdtContent>
      <w:p w:rsidR="00477762" w:rsidRDefault="00477762" w:rsidP="00704EB3">
        <w:pPr>
          <w:pStyle w:val="Footer"/>
          <w:jc w:val="left"/>
        </w:pPr>
        <w:r>
          <w:fldChar w:fldCharType="begin"/>
        </w:r>
        <w:r>
          <w:instrText xml:space="preserve"> PAGE   \* MERGEFORMAT </w:instrText>
        </w:r>
        <w:r>
          <w:fldChar w:fldCharType="separate"/>
        </w:r>
        <w:r w:rsidR="007132B9">
          <w:rPr>
            <w:noProof/>
          </w:rPr>
          <w:t>62</w:t>
        </w:r>
        <w:r>
          <w:rPr>
            <w:noProof/>
          </w:rPr>
          <w:fldChar w:fldCharType="end"/>
        </w:r>
      </w:p>
    </w:sdtContent>
  </w:sdt>
  <w:p w:rsidR="00477762" w:rsidRDefault="00477762" w:rsidP="00DA35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265657"/>
      <w:docPartObj>
        <w:docPartGallery w:val="Page Numbers (Bottom of Page)"/>
        <w:docPartUnique/>
      </w:docPartObj>
    </w:sdtPr>
    <w:sdtEndPr>
      <w:rPr>
        <w:noProof/>
      </w:rPr>
    </w:sdtEndPr>
    <w:sdtContent>
      <w:p w:rsidR="00477762" w:rsidRDefault="00477762">
        <w:pPr>
          <w:pStyle w:val="Footer"/>
        </w:pPr>
        <w:r>
          <w:fldChar w:fldCharType="begin"/>
        </w:r>
        <w:r>
          <w:instrText xml:space="preserve"> PAGE   \* MERGEFORMAT </w:instrText>
        </w:r>
        <w:r>
          <w:fldChar w:fldCharType="separate"/>
        </w:r>
        <w:r w:rsidR="007132B9">
          <w:rPr>
            <w:noProof/>
          </w:rPr>
          <w:t>63</w:t>
        </w:r>
        <w:r>
          <w:rPr>
            <w:noProof/>
          </w:rPr>
          <w:fldChar w:fldCharType="end"/>
        </w:r>
      </w:p>
    </w:sdtContent>
  </w:sdt>
  <w:p w:rsidR="00477762" w:rsidRDefault="00477762" w:rsidP="00DA35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62" w:rsidRDefault="00477762" w:rsidP="00DA35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762" w:rsidRDefault="00477762" w:rsidP="00DA3526">
      <w:r>
        <w:separator/>
      </w:r>
    </w:p>
  </w:footnote>
  <w:footnote w:type="continuationSeparator" w:id="0">
    <w:p w:rsidR="00477762" w:rsidRDefault="00477762" w:rsidP="00DA3526">
      <w:r>
        <w:continuationSeparator/>
      </w:r>
    </w:p>
  </w:footnote>
  <w:footnote w:id="1">
    <w:p w:rsidR="00477762" w:rsidRDefault="00477762">
      <w:pPr>
        <w:pStyle w:val="FootnoteText"/>
      </w:pPr>
      <w:r>
        <w:rPr>
          <w:rStyle w:val="FootnoteReference"/>
        </w:rPr>
        <w:footnoteRef/>
      </w:r>
      <w:r>
        <w:t xml:space="preserve"> </w:t>
      </w:r>
      <w:r w:rsidRPr="00484A61">
        <w:rPr>
          <w:sz w:val="16"/>
          <w:szCs w:val="16"/>
        </w:rPr>
        <w:t xml:space="preserve">TAFE fee for service figures include domestic AQF Level 1 and above.  Refer to </w:t>
      </w:r>
      <w:r>
        <w:rPr>
          <w:sz w:val="16"/>
          <w:szCs w:val="16"/>
        </w:rPr>
        <w:t xml:space="preserve">section on </w:t>
      </w:r>
      <w:r w:rsidRPr="00484A61">
        <w:rPr>
          <w:sz w:val="16"/>
          <w:szCs w:val="16"/>
        </w:rPr>
        <w:t>Reporting scope for further detail.</w:t>
      </w:r>
    </w:p>
  </w:footnote>
  <w:footnote w:id="2">
    <w:p w:rsidR="00477762" w:rsidRPr="00B465B1" w:rsidRDefault="00477762" w:rsidP="00B465B1">
      <w:pPr>
        <w:ind w:left="113"/>
        <w:rPr>
          <w:rFonts w:cs="Arial"/>
          <w:sz w:val="16"/>
          <w:szCs w:val="16"/>
        </w:rPr>
      </w:pPr>
      <w:r>
        <w:rPr>
          <w:rStyle w:val="FootnoteReference"/>
        </w:rPr>
        <w:footnoteRef/>
      </w:r>
      <w:r>
        <w:t xml:space="preserve"> </w:t>
      </w:r>
      <w:r w:rsidRPr="00B465B1">
        <w:rPr>
          <w:sz w:val="16"/>
          <w:szCs w:val="16"/>
        </w:rPr>
        <w:t>The 2012 estimated resident population</w:t>
      </w:r>
      <w:r w:rsidRPr="00B465B1">
        <w:rPr>
          <w:rFonts w:cs="Arial"/>
          <w:sz w:val="16"/>
          <w:szCs w:val="16"/>
        </w:rPr>
        <w:t xml:space="preserve"> published by the Australian Bureau of Statistics (Cat 3235.0) </w:t>
      </w:r>
      <w:r>
        <w:rPr>
          <w:rFonts w:cs="Arial"/>
          <w:sz w:val="16"/>
          <w:szCs w:val="16"/>
        </w:rPr>
        <w:t>were used t</w:t>
      </w:r>
      <w:r w:rsidRPr="00B465B1">
        <w:rPr>
          <w:rFonts w:cs="Arial"/>
          <w:sz w:val="16"/>
          <w:szCs w:val="16"/>
        </w:rPr>
        <w:t xml:space="preserve">o calculate the participation rate </w:t>
      </w:r>
      <w:r>
        <w:rPr>
          <w:rFonts w:cs="Arial"/>
          <w:sz w:val="16"/>
          <w:szCs w:val="16"/>
        </w:rPr>
        <w:t xml:space="preserve">for each </w:t>
      </w:r>
      <w:r w:rsidRPr="00B465B1">
        <w:rPr>
          <w:rFonts w:cs="Arial"/>
          <w:sz w:val="16"/>
          <w:szCs w:val="16"/>
        </w:rPr>
        <w:t>regional area</w:t>
      </w:r>
      <w:r>
        <w:rPr>
          <w:rFonts w:cs="Arial"/>
          <w:sz w:val="16"/>
          <w:szCs w:val="16"/>
        </w:rPr>
        <w:t xml:space="preserve"> in Q3 2013, as the</w:t>
      </w:r>
      <w:r w:rsidRPr="00B465B1">
        <w:rPr>
          <w:rFonts w:cs="Arial"/>
          <w:sz w:val="16"/>
          <w:szCs w:val="16"/>
        </w:rPr>
        <w:t xml:space="preserve"> 2013 population data are not </w:t>
      </w:r>
      <w:r>
        <w:rPr>
          <w:rFonts w:cs="Arial"/>
          <w:sz w:val="16"/>
          <w:szCs w:val="16"/>
        </w:rPr>
        <w:t xml:space="preserve">available until 2014. </w:t>
      </w:r>
    </w:p>
  </w:footnote>
  <w:footnote w:id="3">
    <w:p w:rsidR="00477762" w:rsidRPr="00CF591B" w:rsidRDefault="00477762" w:rsidP="009B51C6">
      <w:pPr>
        <w:pStyle w:val="FootnoteText"/>
        <w:rPr>
          <w:i/>
        </w:rPr>
      </w:pPr>
      <w:r>
        <w:rPr>
          <w:rStyle w:val="FootnoteReference"/>
        </w:rPr>
        <w:footnoteRef/>
      </w:r>
      <w:r>
        <w:t xml:space="preserve"> </w:t>
      </w:r>
      <w:r w:rsidRPr="000C7B63">
        <w:rPr>
          <w:sz w:val="16"/>
          <w:szCs w:val="16"/>
        </w:rPr>
        <w:t xml:space="preserve">The NCVER publication </w:t>
      </w:r>
      <w:r w:rsidRPr="00A7031B">
        <w:rPr>
          <w:sz w:val="16"/>
          <w:szCs w:val="16"/>
        </w:rPr>
        <w:t>Apprentices &amp; Trainees, Early trend estimates March Quarter 2013</w:t>
      </w:r>
      <w:r w:rsidRPr="000C7B63">
        <w:rPr>
          <w:sz w:val="16"/>
          <w:szCs w:val="16"/>
        </w:rPr>
        <w:t xml:space="preserve">, noted that at a national level </w:t>
      </w:r>
      <w:r>
        <w:rPr>
          <w:sz w:val="16"/>
          <w:szCs w:val="16"/>
        </w:rPr>
        <w:t>“</w:t>
      </w:r>
      <w:r w:rsidRPr="00A7031B">
        <w:rPr>
          <w:sz w:val="16"/>
          <w:szCs w:val="16"/>
        </w:rPr>
        <w:t>The substantial growth in non-trade commencements up to the June quarter 2012 and the subsequent decline in the September quarter is predominately due to changes to Commonwealth incentive payments for existing workers, namely the removal of the commencement incentive payment for those apprenticeships and traineeships not on the National Skills Needs List. Under the changes, training needed to have commenced prior to 1 July 2012 to attract the old subsidy rate”</w:t>
      </w:r>
      <w:r>
        <w:rPr>
          <w:sz w:val="16"/>
          <w:szCs w:val="16"/>
        </w:rPr>
        <w:t>.</w:t>
      </w:r>
    </w:p>
  </w:footnote>
  <w:footnote w:id="4">
    <w:p w:rsidR="00477762" w:rsidRPr="00E31B4C" w:rsidRDefault="00477762" w:rsidP="002E0440">
      <w:r>
        <w:rPr>
          <w:rStyle w:val="FootnoteReference"/>
        </w:rPr>
        <w:footnoteRef/>
      </w:r>
      <w:r>
        <w:t xml:space="preserve"> </w:t>
      </w:r>
      <w:r w:rsidRPr="00F6206A">
        <w:rPr>
          <w:sz w:val="16"/>
          <w:szCs w:val="16"/>
        </w:rPr>
        <w:t xml:space="preserve">Note that a course enrolment indicates an enrolment by a student in specified course at a registered training </w:t>
      </w:r>
      <w:r>
        <w:rPr>
          <w:sz w:val="16"/>
          <w:szCs w:val="16"/>
        </w:rPr>
        <w:t>organisation</w:t>
      </w:r>
      <w:r w:rsidRPr="00F6206A">
        <w:rPr>
          <w:sz w:val="16"/>
          <w:szCs w:val="16"/>
        </w:rPr>
        <w:t xml:space="preserve">. Training hours on the other hand measures the hours taken to deliver training. </w:t>
      </w:r>
      <w:proofErr w:type="gramStart"/>
      <w:r w:rsidRPr="00F6206A">
        <w:rPr>
          <w:sz w:val="16"/>
          <w:szCs w:val="16"/>
        </w:rPr>
        <w:t>Total student hours is</w:t>
      </w:r>
      <w:proofErr w:type="gramEnd"/>
      <w:r w:rsidRPr="00F6206A">
        <w:rPr>
          <w:sz w:val="16"/>
          <w:szCs w:val="16"/>
        </w:rPr>
        <w:t xml:space="preserve"> not </w:t>
      </w:r>
      <w:r>
        <w:rPr>
          <w:sz w:val="16"/>
          <w:szCs w:val="16"/>
        </w:rPr>
        <w:t>an indicator of training provider</w:t>
      </w:r>
      <w:r w:rsidRPr="00F6206A">
        <w:rPr>
          <w:sz w:val="16"/>
          <w:szCs w:val="16"/>
        </w:rPr>
        <w:t xml:space="preserve"> revenue. </w:t>
      </w:r>
    </w:p>
    <w:p w:rsidR="00477762" w:rsidRDefault="00477762" w:rsidP="002E0440">
      <w:pPr>
        <w:pStyle w:val="FootnoteText"/>
      </w:pPr>
    </w:p>
  </w:footnote>
  <w:footnote w:id="5">
    <w:p w:rsidR="00477762" w:rsidRPr="00CD6397" w:rsidRDefault="00477762" w:rsidP="00CD6397">
      <w:pPr>
        <w:ind w:left="113"/>
        <w:rPr>
          <w:rFonts w:cs="Arial"/>
          <w:sz w:val="16"/>
          <w:szCs w:val="16"/>
        </w:rPr>
      </w:pPr>
      <w:r>
        <w:rPr>
          <w:rStyle w:val="FootnoteReference"/>
        </w:rPr>
        <w:footnoteRef/>
      </w:r>
      <w:r>
        <w:t xml:space="preserve"> </w:t>
      </w:r>
      <w:r w:rsidRPr="00B465B1">
        <w:rPr>
          <w:sz w:val="16"/>
          <w:szCs w:val="16"/>
        </w:rPr>
        <w:t>The 2012 estimated resident population</w:t>
      </w:r>
      <w:r w:rsidRPr="00B465B1">
        <w:rPr>
          <w:rFonts w:cs="Arial"/>
          <w:sz w:val="16"/>
          <w:szCs w:val="16"/>
        </w:rPr>
        <w:t xml:space="preserve"> published by the Australian Bureau of Statistics (Cat 3235.0) </w:t>
      </w:r>
      <w:r>
        <w:rPr>
          <w:rFonts w:cs="Arial"/>
          <w:sz w:val="16"/>
          <w:szCs w:val="16"/>
        </w:rPr>
        <w:t>were used t</w:t>
      </w:r>
      <w:r w:rsidRPr="00B465B1">
        <w:rPr>
          <w:rFonts w:cs="Arial"/>
          <w:sz w:val="16"/>
          <w:szCs w:val="16"/>
        </w:rPr>
        <w:t xml:space="preserve">o calculate the participation rate </w:t>
      </w:r>
      <w:r>
        <w:rPr>
          <w:rFonts w:cs="Arial"/>
          <w:sz w:val="16"/>
          <w:szCs w:val="16"/>
        </w:rPr>
        <w:t xml:space="preserve">for each </w:t>
      </w:r>
      <w:r w:rsidRPr="00B465B1">
        <w:rPr>
          <w:rFonts w:cs="Arial"/>
          <w:sz w:val="16"/>
          <w:szCs w:val="16"/>
        </w:rPr>
        <w:t>regional area</w:t>
      </w:r>
      <w:r>
        <w:rPr>
          <w:rFonts w:cs="Arial"/>
          <w:sz w:val="16"/>
          <w:szCs w:val="16"/>
        </w:rPr>
        <w:t xml:space="preserve"> in Q3 2013, as the</w:t>
      </w:r>
      <w:r w:rsidRPr="00B465B1">
        <w:rPr>
          <w:rFonts w:cs="Arial"/>
          <w:sz w:val="16"/>
          <w:szCs w:val="16"/>
        </w:rPr>
        <w:t xml:space="preserve"> 2013 population data are not yet available.</w:t>
      </w:r>
    </w:p>
    <w:p w:rsidR="00477762" w:rsidRDefault="00477762">
      <w:pPr>
        <w:pStyle w:val="FootnoteText"/>
      </w:pPr>
    </w:p>
  </w:footnote>
  <w:footnote w:id="6">
    <w:p w:rsidR="00477762" w:rsidRDefault="00477762" w:rsidP="00551E3C">
      <w:pPr>
        <w:pStyle w:val="FootnoteText"/>
        <w:rPr>
          <w:sz w:val="16"/>
          <w:szCs w:val="16"/>
        </w:rPr>
      </w:pPr>
      <w:r>
        <w:rPr>
          <w:rStyle w:val="FootnoteReference"/>
        </w:rPr>
        <w:footnoteRef/>
      </w:r>
      <w:r>
        <w:t xml:space="preserve"> </w:t>
      </w:r>
      <w:r w:rsidRPr="003D04FC">
        <w:rPr>
          <w:sz w:val="16"/>
          <w:szCs w:val="16"/>
        </w:rPr>
        <w:t>Vulnerable workers tend to be in low-paid jobs, are often under-employed, and face job insecurity and limited job opportunities. They might not be able to access entitlements such as superannuation, sick leave, maternity leave and have little if any access to training and development. For some, their vulnerability stems from low skills or poor qualifications.</w:t>
      </w:r>
      <w:r>
        <w:rPr>
          <w:sz w:val="16"/>
          <w:szCs w:val="16"/>
        </w:rPr>
        <w:t xml:space="preserve"> </w:t>
      </w:r>
    </w:p>
    <w:p w:rsidR="00477762" w:rsidRPr="00B21E3C" w:rsidRDefault="007132B9" w:rsidP="00B21E3C">
      <w:pPr>
        <w:spacing w:after="0" w:line="240" w:lineRule="auto"/>
        <w:jc w:val="left"/>
        <w:rPr>
          <w:rFonts w:cs="Arial"/>
          <w:sz w:val="16"/>
          <w:szCs w:val="16"/>
        </w:rPr>
      </w:pPr>
      <w:hyperlink r:id="rId1" w:history="1">
        <w:r w:rsidR="00477762" w:rsidRPr="00150CC4">
          <w:rPr>
            <w:rStyle w:val="Hyperlink"/>
            <w:rFonts w:cs="Arial"/>
            <w:sz w:val="16"/>
            <w:szCs w:val="16"/>
          </w:rPr>
          <w:t>www.education.vic.gov.au/Documents/about/research/acfepublications/hardtoreachlearn.pdf</w:t>
        </w:r>
      </w:hyperlink>
    </w:p>
  </w:footnote>
  <w:footnote w:id="7">
    <w:p w:rsidR="00477762" w:rsidRDefault="00477762" w:rsidP="00D17AF1">
      <w:pPr>
        <w:pStyle w:val="FootnoteText"/>
      </w:pPr>
      <w:r>
        <w:rPr>
          <w:rStyle w:val="FootnoteReference"/>
        </w:rPr>
        <w:footnoteRef/>
      </w:r>
      <w:r>
        <w:t xml:space="preserve"> </w:t>
      </w:r>
      <w:r w:rsidRPr="00FA0962">
        <w:rPr>
          <w:rFonts w:cs="Arial"/>
          <w:sz w:val="16"/>
          <w:szCs w:val="16"/>
        </w:rPr>
        <w:t>Includes all accredited vocational qualifications at Certificate I and above, but excludes generic training such as foundation skills, education pathways and low-level LOTE courses.</w:t>
      </w:r>
    </w:p>
  </w:footnote>
  <w:footnote w:id="8">
    <w:p w:rsidR="00477762" w:rsidRPr="00FA0962" w:rsidRDefault="00477762" w:rsidP="00D17AF1">
      <w:pPr>
        <w:pStyle w:val="BodyText"/>
        <w:tabs>
          <w:tab w:val="num" w:pos="180"/>
        </w:tabs>
        <w:spacing w:after="0"/>
        <w:jc w:val="both"/>
        <w:rPr>
          <w:sz w:val="20"/>
          <w:szCs w:val="20"/>
        </w:rPr>
      </w:pPr>
      <w:r w:rsidRPr="009D5C6C">
        <w:rPr>
          <w:rStyle w:val="FootnoteReference"/>
        </w:rPr>
        <w:footnoteRef/>
      </w:r>
      <w:r w:rsidRPr="00282D83">
        <w:rPr>
          <w:sz w:val="16"/>
          <w:szCs w:val="16"/>
        </w:rPr>
        <w:t xml:space="preserve">DEECD subscribes to the Monash </w:t>
      </w:r>
      <w:proofErr w:type="spellStart"/>
      <w:r w:rsidRPr="00282D83">
        <w:rPr>
          <w:sz w:val="16"/>
          <w:szCs w:val="16"/>
        </w:rPr>
        <w:t>CoPS</w:t>
      </w:r>
      <w:proofErr w:type="spellEnd"/>
      <w:r w:rsidRPr="00282D83">
        <w:rPr>
          <w:sz w:val="16"/>
          <w:szCs w:val="16"/>
        </w:rPr>
        <w:t xml:space="preserve"> Economic Forecasts Model which provides employment and output forecasts down to the 3-digit ANZSIC level, occupational forecasts down to the 4-digit ANZSCO as well as high level aggregation forecasts of hours worked, and ASCED qualifications attained. This report utilises the COPS five year forecast to 2017 for analysis in the VET Industry Profiles.</w:t>
      </w:r>
    </w:p>
  </w:footnote>
  <w:footnote w:id="9">
    <w:p w:rsidR="00477762" w:rsidRDefault="00477762" w:rsidP="00513C7F">
      <w:pPr>
        <w:pStyle w:val="FootnoteText"/>
      </w:pPr>
      <w:r>
        <w:rPr>
          <w:rStyle w:val="FootnoteReference"/>
        </w:rPr>
        <w:footnoteRef/>
      </w:r>
      <w:r>
        <w:t xml:space="preserve"> </w:t>
      </w:r>
      <w:r w:rsidRPr="00FA0962">
        <w:rPr>
          <w:rFonts w:cs="Arial"/>
          <w:sz w:val="16"/>
          <w:szCs w:val="16"/>
        </w:rPr>
        <w:t>Cross-industry training (e.g. business administration, recordkeeping, computing) has been removed from the industry-specific analysis as this training develops business skills which are transferable across many industry sectors.</w:t>
      </w:r>
    </w:p>
  </w:footnote>
  <w:footnote w:id="10">
    <w:p w:rsidR="00477762" w:rsidRPr="0038002F" w:rsidRDefault="00477762" w:rsidP="00547292">
      <w:pPr>
        <w:pStyle w:val="FootnoteText"/>
        <w:rPr>
          <w:rFonts w:cs="Arial"/>
          <w:sz w:val="16"/>
          <w:szCs w:val="16"/>
        </w:rPr>
      </w:pPr>
      <w:r>
        <w:rPr>
          <w:rStyle w:val="FootnoteReference"/>
        </w:rPr>
        <w:footnoteRef/>
      </w:r>
      <w:r>
        <w:t xml:space="preserve"> </w:t>
      </w:r>
      <w:proofErr w:type="gramStart"/>
      <w:r w:rsidRPr="0038002F">
        <w:rPr>
          <w:rFonts w:cs="Arial"/>
          <w:sz w:val="16"/>
          <w:szCs w:val="16"/>
        </w:rPr>
        <w:t>Monash Centre for Policy Studies (2012) Employment Forecasting Model.</w:t>
      </w:r>
      <w:proofErr w:type="gramEnd"/>
    </w:p>
    <w:p w:rsidR="00477762" w:rsidRDefault="00477762" w:rsidP="00547292">
      <w:pPr>
        <w:pStyle w:val="FootnoteText"/>
      </w:pPr>
      <w:r w:rsidRPr="0038002F">
        <w:rPr>
          <w:rFonts w:cs="Arial"/>
          <w:sz w:val="16"/>
          <w:szCs w:val="16"/>
        </w:rPr>
        <w:t>Average annual employment needs are average replacement demand and employment growth levels from 2011-12 through to 2016-17</w:t>
      </w:r>
      <w:r>
        <w:rPr>
          <w:rFonts w:cs="Arial"/>
          <w:sz w:val="16"/>
          <w:szCs w:val="16"/>
        </w:rPr>
        <w:t>.</w:t>
      </w:r>
    </w:p>
  </w:footnote>
  <w:footnote w:id="11">
    <w:p w:rsidR="00477762" w:rsidRPr="000C7B63" w:rsidRDefault="00477762" w:rsidP="008A7538">
      <w:pPr>
        <w:pStyle w:val="FootnoteText"/>
        <w:rPr>
          <w:sz w:val="16"/>
          <w:szCs w:val="16"/>
        </w:rPr>
      </w:pPr>
      <w:r w:rsidRPr="000C7B63">
        <w:rPr>
          <w:rStyle w:val="FootnoteReference"/>
        </w:rPr>
        <w:footnoteRef/>
      </w:r>
      <w:r w:rsidRPr="000C7B63">
        <w:rPr>
          <w:sz w:val="16"/>
          <w:szCs w:val="16"/>
        </w:rPr>
        <w:t xml:space="preserve"> Commencements data is sourced from </w:t>
      </w:r>
      <w:r>
        <w:rPr>
          <w:sz w:val="16"/>
          <w:szCs w:val="16"/>
        </w:rPr>
        <w:t xml:space="preserve">DEECD’s </w:t>
      </w:r>
      <w:r w:rsidRPr="000C7B63">
        <w:rPr>
          <w:sz w:val="16"/>
          <w:szCs w:val="16"/>
        </w:rPr>
        <w:t xml:space="preserve">DELTA system </w:t>
      </w:r>
      <w:r>
        <w:rPr>
          <w:sz w:val="16"/>
          <w:szCs w:val="16"/>
        </w:rPr>
        <w:t xml:space="preserve">which is </w:t>
      </w:r>
      <w:r w:rsidRPr="000C7B63">
        <w:rPr>
          <w:sz w:val="16"/>
          <w:szCs w:val="16"/>
        </w:rPr>
        <w:t xml:space="preserve">used to manage and monitor training contracts. This data </w:t>
      </w:r>
      <w:r>
        <w:rPr>
          <w:sz w:val="16"/>
          <w:szCs w:val="16"/>
        </w:rPr>
        <w:t>is</w:t>
      </w:r>
      <w:r w:rsidRPr="000C7B63">
        <w:rPr>
          <w:sz w:val="16"/>
          <w:szCs w:val="16"/>
        </w:rPr>
        <w:t xml:space="preserve"> used for this purpose only as the Training Market Quarterly Report is based on VET training activity</w:t>
      </w:r>
      <w:r>
        <w:rPr>
          <w:sz w:val="16"/>
          <w:szCs w:val="16"/>
        </w:rPr>
        <w:t xml:space="preserve"> data</w:t>
      </w:r>
      <w:r w:rsidRPr="000C7B63">
        <w:rPr>
          <w:sz w:val="16"/>
          <w:szCs w:val="16"/>
        </w:rPr>
        <w:t>.</w:t>
      </w:r>
      <w:r>
        <w:rPr>
          <w:sz w:val="16"/>
          <w:szCs w:val="16"/>
        </w:rPr>
        <w:tab/>
      </w:r>
    </w:p>
  </w:footnote>
  <w:footnote w:id="12">
    <w:p w:rsidR="00477762" w:rsidRPr="000C7B63" w:rsidRDefault="00477762" w:rsidP="008A7538">
      <w:pPr>
        <w:pStyle w:val="FootnoteText"/>
        <w:rPr>
          <w:sz w:val="16"/>
          <w:szCs w:val="16"/>
        </w:rPr>
      </w:pPr>
      <w:r w:rsidRPr="000C7B63">
        <w:rPr>
          <w:rStyle w:val="FootnoteReference"/>
        </w:rPr>
        <w:footnoteRef/>
      </w:r>
      <w:r w:rsidRPr="000C7B63">
        <w:rPr>
          <w:rStyle w:val="FootnoteReference"/>
        </w:rPr>
        <w:t xml:space="preserve"> </w:t>
      </w:r>
      <w:r w:rsidRPr="000C7B63">
        <w:rPr>
          <w:sz w:val="16"/>
          <w:szCs w:val="16"/>
        </w:rPr>
        <w:t>Australian Bureau of Statistics</w:t>
      </w:r>
      <w:r>
        <w:rPr>
          <w:sz w:val="16"/>
          <w:szCs w:val="16"/>
        </w:rPr>
        <w:t>,</w:t>
      </w:r>
      <w:r w:rsidRPr="000C7B63">
        <w:rPr>
          <w:sz w:val="16"/>
          <w:szCs w:val="16"/>
        </w:rPr>
        <w:t xml:space="preserve"> Building Activity, Australia, 8752.0 </w:t>
      </w:r>
      <w:proofErr w:type="gramStart"/>
      <w:r w:rsidRPr="000C7B63">
        <w:rPr>
          <w:sz w:val="16"/>
          <w:szCs w:val="16"/>
        </w:rPr>
        <w:t>Table</w:t>
      </w:r>
      <w:proofErr w:type="gramEnd"/>
      <w:r w:rsidRPr="000C7B63">
        <w:rPr>
          <w:sz w:val="16"/>
          <w:szCs w:val="16"/>
        </w:rPr>
        <w:t xml:space="preserve"> 34</w:t>
      </w:r>
      <w:r>
        <w:rPr>
          <w:sz w:val="16"/>
          <w:szCs w:val="16"/>
        </w:rPr>
        <w:t xml:space="preserve">: </w:t>
      </w:r>
      <w:r w:rsidRPr="000C7B63">
        <w:rPr>
          <w:sz w:val="16"/>
          <w:szCs w:val="16"/>
        </w:rPr>
        <w:t>Number of Dwelling Unit Commencements by Sector, States and Territories</w:t>
      </w:r>
      <w:r>
        <w:rPr>
          <w:sz w:val="16"/>
          <w:szCs w:val="16"/>
        </w:rPr>
        <w:t>. The latest available data was Quarter 2 2013.</w:t>
      </w:r>
    </w:p>
  </w:footnote>
  <w:footnote w:id="13">
    <w:p w:rsidR="00477762" w:rsidRPr="00CF591B" w:rsidRDefault="00477762" w:rsidP="001D1656">
      <w:pPr>
        <w:pStyle w:val="FootnoteText"/>
        <w:rPr>
          <w:i/>
        </w:rPr>
      </w:pPr>
      <w:r>
        <w:rPr>
          <w:rStyle w:val="FootnoteReference"/>
        </w:rPr>
        <w:footnoteRef/>
      </w:r>
      <w:r>
        <w:t xml:space="preserve"> </w:t>
      </w:r>
      <w:r w:rsidRPr="000C7B63">
        <w:rPr>
          <w:sz w:val="16"/>
          <w:szCs w:val="16"/>
        </w:rPr>
        <w:t xml:space="preserve">The NCVER publication </w:t>
      </w:r>
      <w:r w:rsidRPr="00A7031B">
        <w:rPr>
          <w:sz w:val="16"/>
          <w:szCs w:val="16"/>
        </w:rPr>
        <w:t>Apprentices &amp; Trainees, Early trend estimates March Quarter 2013</w:t>
      </w:r>
      <w:r w:rsidRPr="000C7B63">
        <w:rPr>
          <w:sz w:val="16"/>
          <w:szCs w:val="16"/>
        </w:rPr>
        <w:t xml:space="preserve">, noted that at a national level </w:t>
      </w:r>
      <w:r>
        <w:rPr>
          <w:sz w:val="16"/>
          <w:szCs w:val="16"/>
        </w:rPr>
        <w:t>“</w:t>
      </w:r>
      <w:r w:rsidRPr="00A7031B">
        <w:rPr>
          <w:sz w:val="16"/>
          <w:szCs w:val="16"/>
        </w:rPr>
        <w:t>The substantial growth in non-trade commencements up to the June quarter 2012 and the subsequent decline in the September quarter is predominately due to changes to Commonwealth incentive payments for existing workers, namely the removal of the commencement incentive payment for those apprenticeships and traineeships not on the National Skills Needs List. Under the changes, training needed to have commenced prior to 1 July 2012 to attract the old subsidy rate.”</w:t>
      </w:r>
    </w:p>
  </w:footnote>
  <w:footnote w:id="14">
    <w:p w:rsidR="00477762" w:rsidRDefault="00477762" w:rsidP="00122B28">
      <w:pPr>
        <w:spacing w:after="0" w:line="240" w:lineRule="auto"/>
        <w:rPr>
          <w:rFonts w:cs="Arial"/>
          <w:sz w:val="16"/>
          <w:szCs w:val="16"/>
        </w:rPr>
      </w:pPr>
      <w:r>
        <w:rPr>
          <w:rStyle w:val="FootnoteReference"/>
        </w:rPr>
        <w:footnoteRef/>
      </w:r>
      <w:r>
        <w:t xml:space="preserve"> </w:t>
      </w:r>
      <w:r>
        <w:rPr>
          <w:rFonts w:cs="Arial"/>
          <w:sz w:val="16"/>
          <w:szCs w:val="16"/>
        </w:rPr>
        <w:t>To ensure the most robust alignment with vocational outcomes in the government funded training sector this section is limited to:</w:t>
      </w:r>
    </w:p>
    <w:p w:rsidR="00477762" w:rsidRDefault="00477762" w:rsidP="00122B28">
      <w:pPr>
        <w:pStyle w:val="ListBullet"/>
        <w:numPr>
          <w:ilvl w:val="0"/>
          <w:numId w:val="27"/>
        </w:numPr>
        <w:tabs>
          <w:tab w:val="left" w:pos="720"/>
        </w:tabs>
        <w:spacing w:after="0" w:line="240" w:lineRule="auto"/>
        <w:ind w:left="284" w:right="113" w:hanging="284"/>
        <w:rPr>
          <w:sz w:val="16"/>
          <w:szCs w:val="16"/>
        </w:rPr>
      </w:pPr>
      <w:r>
        <w:rPr>
          <w:sz w:val="16"/>
          <w:szCs w:val="16"/>
        </w:rPr>
        <w:t>government subsidised training to onshore domestic students</w:t>
      </w:r>
    </w:p>
    <w:p w:rsidR="00477762" w:rsidRDefault="00477762" w:rsidP="00122B28">
      <w:pPr>
        <w:pStyle w:val="ListBullet"/>
        <w:numPr>
          <w:ilvl w:val="0"/>
          <w:numId w:val="27"/>
        </w:numPr>
        <w:tabs>
          <w:tab w:val="left" w:pos="720"/>
        </w:tabs>
        <w:spacing w:after="0" w:line="240" w:lineRule="auto"/>
        <w:ind w:left="284" w:right="113" w:hanging="284"/>
        <w:rPr>
          <w:sz w:val="16"/>
          <w:szCs w:val="16"/>
        </w:rPr>
      </w:pPr>
      <w:r>
        <w:rPr>
          <w:sz w:val="16"/>
          <w:szCs w:val="16"/>
        </w:rPr>
        <w:t>training in accredited AQF qualifications at Certificate I and above i.e. short courses, non-award courses and non-accredited training is excluded</w:t>
      </w:r>
    </w:p>
    <w:p w:rsidR="00477762" w:rsidRDefault="00477762" w:rsidP="00122B28">
      <w:pPr>
        <w:pStyle w:val="ListBullet"/>
        <w:numPr>
          <w:ilvl w:val="0"/>
          <w:numId w:val="27"/>
        </w:numPr>
        <w:tabs>
          <w:tab w:val="left" w:pos="720"/>
        </w:tabs>
        <w:spacing w:after="0" w:line="240" w:lineRule="auto"/>
        <w:ind w:left="284" w:right="113" w:hanging="284"/>
        <w:rPr>
          <w:sz w:val="16"/>
          <w:szCs w:val="16"/>
        </w:rPr>
      </w:pPr>
      <w:r>
        <w:rPr>
          <w:sz w:val="16"/>
          <w:szCs w:val="16"/>
        </w:rPr>
        <w:t>excludes courses which cannot be classified directly</w:t>
      </w:r>
      <w:r>
        <w:rPr>
          <w:rStyle w:val="FootnoteReference"/>
        </w:rPr>
        <w:footnoteRef/>
      </w:r>
      <w:r>
        <w:rPr>
          <w:sz w:val="16"/>
          <w:szCs w:val="16"/>
        </w:rPr>
        <w:t xml:space="preserve"> to an employment outcome in a particular occupation, such as training in generic foundation skills such as literacy and numeracy</w:t>
      </w:r>
    </w:p>
  </w:footnote>
  <w:footnote w:id="15">
    <w:p w:rsidR="00477762" w:rsidRPr="000F4C2A" w:rsidRDefault="00477762" w:rsidP="00122B28">
      <w:pPr>
        <w:pStyle w:val="FootnoteText"/>
        <w:rPr>
          <w:rStyle w:val="FootnoteReference"/>
          <w:sz w:val="19"/>
          <w:szCs w:val="24"/>
        </w:rPr>
      </w:pPr>
      <w:r w:rsidRPr="000F4C2A">
        <w:rPr>
          <w:rStyle w:val="FootnoteReference"/>
          <w:sz w:val="19"/>
          <w:szCs w:val="24"/>
        </w:rPr>
        <w:footnoteRef/>
      </w:r>
      <w:r w:rsidRPr="000F4C2A">
        <w:rPr>
          <w:rStyle w:val="FootnoteReference"/>
          <w:sz w:val="19"/>
          <w:szCs w:val="24"/>
        </w:rPr>
        <w:t xml:space="preserve"> </w:t>
      </w:r>
      <w:r w:rsidRPr="000F4C2A">
        <w:rPr>
          <w:rFonts w:cs="Arial"/>
          <w:sz w:val="16"/>
          <w:szCs w:val="16"/>
        </w:rPr>
        <w:t>Australian Workforce and Productivity Agency</w:t>
      </w:r>
      <w:r>
        <w:rPr>
          <w:rFonts w:cs="Arial"/>
          <w:sz w:val="16"/>
          <w:szCs w:val="16"/>
        </w:rPr>
        <w:t xml:space="preserve"> (2012) specialised occupation</w:t>
      </w:r>
      <w:r w:rsidRPr="000F4C2A">
        <w:rPr>
          <w:rFonts w:cs="Arial"/>
          <w:sz w:val="16"/>
          <w:szCs w:val="16"/>
        </w:rPr>
        <w:t xml:space="preserve"> list.</w:t>
      </w:r>
    </w:p>
  </w:footnote>
  <w:footnote w:id="16">
    <w:p w:rsidR="00477762" w:rsidRPr="000F4C2A" w:rsidRDefault="00477762" w:rsidP="00122B28">
      <w:pPr>
        <w:tabs>
          <w:tab w:val="num" w:pos="720"/>
        </w:tabs>
        <w:spacing w:after="0" w:line="240" w:lineRule="auto"/>
        <w:contextualSpacing/>
        <w:jc w:val="left"/>
        <w:rPr>
          <w:rStyle w:val="FootnoteReference"/>
        </w:rPr>
      </w:pPr>
      <w:r w:rsidRPr="000F4C2A">
        <w:rPr>
          <w:rStyle w:val="FootnoteReference"/>
        </w:rPr>
        <w:footnoteRef/>
      </w:r>
      <w:r w:rsidRPr="000F4C2A">
        <w:rPr>
          <w:rStyle w:val="FootnoteReference"/>
        </w:rPr>
        <w:t xml:space="preserve"> </w:t>
      </w:r>
      <w:proofErr w:type="gramStart"/>
      <w:r w:rsidRPr="000F4C2A">
        <w:rPr>
          <w:rFonts w:cs="Arial"/>
          <w:sz w:val="16"/>
          <w:szCs w:val="16"/>
        </w:rPr>
        <w:t xml:space="preserve">HESG </w:t>
      </w:r>
      <w:r>
        <w:rPr>
          <w:rFonts w:cs="Arial"/>
          <w:sz w:val="16"/>
          <w:szCs w:val="16"/>
        </w:rPr>
        <w:t xml:space="preserve">(2012) </w:t>
      </w:r>
      <w:r w:rsidRPr="000F4C2A">
        <w:rPr>
          <w:rFonts w:cs="Arial"/>
          <w:sz w:val="16"/>
          <w:szCs w:val="16"/>
        </w:rPr>
        <w:t>Skills Shortage list.</w:t>
      </w:r>
      <w:proofErr w:type="gramEnd"/>
      <w:r w:rsidRPr="000F4C2A">
        <w:rPr>
          <w:rFonts w:cs="Arial"/>
          <w:sz w:val="16"/>
          <w:szCs w:val="16"/>
        </w:rPr>
        <w:t xml:space="preserve"> </w:t>
      </w:r>
      <w:r>
        <w:rPr>
          <w:rFonts w:cs="Arial"/>
          <w:sz w:val="16"/>
          <w:szCs w:val="16"/>
        </w:rPr>
        <w:t xml:space="preserve">Skill shortage definition from </w:t>
      </w:r>
      <w:r w:rsidRPr="000F4C2A">
        <w:rPr>
          <w:rFonts w:cs="Arial"/>
          <w:sz w:val="16"/>
          <w:szCs w:val="16"/>
        </w:rPr>
        <w:t>DEEWR Skills Shortage List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62" w:rsidRDefault="00477762" w:rsidP="00DA35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62" w:rsidRDefault="00477762" w:rsidP="00DA35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62" w:rsidRDefault="00477762" w:rsidP="00DA35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D0052BC"/>
    <w:lvl w:ilvl="0">
      <w:start w:val="1"/>
      <w:numFmt w:val="decimal"/>
      <w:pStyle w:val="ListNumber"/>
      <w:lvlText w:val="%1."/>
      <w:lvlJc w:val="left"/>
      <w:pPr>
        <w:tabs>
          <w:tab w:val="num" w:pos="360"/>
        </w:tabs>
        <w:ind w:left="360" w:hanging="360"/>
      </w:pPr>
      <w:rPr>
        <w:rFonts w:cs="Times New Roman"/>
      </w:rPr>
    </w:lvl>
  </w:abstractNum>
  <w:abstractNum w:abstractNumId="1">
    <w:nsid w:val="FFFFFF89"/>
    <w:multiLevelType w:val="singleLevel"/>
    <w:tmpl w:val="47E80AE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5D2F10"/>
    <w:multiLevelType w:val="hybridMultilevel"/>
    <w:tmpl w:val="49165EB8"/>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
    <w:nsid w:val="04A31F73"/>
    <w:multiLevelType w:val="hybridMultilevel"/>
    <w:tmpl w:val="6EA66BFC"/>
    <w:lvl w:ilvl="0" w:tplc="2CD08EFA">
      <w:start w:val="1"/>
      <w:numFmt w:val="bullet"/>
      <w:lvlText w:val="•"/>
      <w:lvlJc w:val="left"/>
      <w:pPr>
        <w:tabs>
          <w:tab w:val="num" w:pos="720"/>
        </w:tabs>
        <w:ind w:left="720" w:hanging="360"/>
      </w:pPr>
      <w:rPr>
        <w:rFonts w:ascii="Times New Roman" w:hAnsi="Times New Roman" w:hint="default"/>
      </w:rPr>
    </w:lvl>
    <w:lvl w:ilvl="1" w:tplc="7AFE0166" w:tentative="1">
      <w:start w:val="1"/>
      <w:numFmt w:val="bullet"/>
      <w:lvlText w:val="•"/>
      <w:lvlJc w:val="left"/>
      <w:pPr>
        <w:tabs>
          <w:tab w:val="num" w:pos="1440"/>
        </w:tabs>
        <w:ind w:left="1440" w:hanging="360"/>
      </w:pPr>
      <w:rPr>
        <w:rFonts w:ascii="Times New Roman" w:hAnsi="Times New Roman" w:hint="default"/>
      </w:rPr>
    </w:lvl>
    <w:lvl w:ilvl="2" w:tplc="21BA4BA6" w:tentative="1">
      <w:start w:val="1"/>
      <w:numFmt w:val="bullet"/>
      <w:lvlText w:val="•"/>
      <w:lvlJc w:val="left"/>
      <w:pPr>
        <w:tabs>
          <w:tab w:val="num" w:pos="2160"/>
        </w:tabs>
        <w:ind w:left="2160" w:hanging="360"/>
      </w:pPr>
      <w:rPr>
        <w:rFonts w:ascii="Times New Roman" w:hAnsi="Times New Roman" w:hint="default"/>
      </w:rPr>
    </w:lvl>
    <w:lvl w:ilvl="3" w:tplc="B2D4E808" w:tentative="1">
      <w:start w:val="1"/>
      <w:numFmt w:val="bullet"/>
      <w:lvlText w:val="•"/>
      <w:lvlJc w:val="left"/>
      <w:pPr>
        <w:tabs>
          <w:tab w:val="num" w:pos="2880"/>
        </w:tabs>
        <w:ind w:left="2880" w:hanging="360"/>
      </w:pPr>
      <w:rPr>
        <w:rFonts w:ascii="Times New Roman" w:hAnsi="Times New Roman" w:hint="default"/>
      </w:rPr>
    </w:lvl>
    <w:lvl w:ilvl="4" w:tplc="2B3861D4" w:tentative="1">
      <w:start w:val="1"/>
      <w:numFmt w:val="bullet"/>
      <w:lvlText w:val="•"/>
      <w:lvlJc w:val="left"/>
      <w:pPr>
        <w:tabs>
          <w:tab w:val="num" w:pos="3600"/>
        </w:tabs>
        <w:ind w:left="3600" w:hanging="360"/>
      </w:pPr>
      <w:rPr>
        <w:rFonts w:ascii="Times New Roman" w:hAnsi="Times New Roman" w:hint="default"/>
      </w:rPr>
    </w:lvl>
    <w:lvl w:ilvl="5" w:tplc="64F8E8AA" w:tentative="1">
      <w:start w:val="1"/>
      <w:numFmt w:val="bullet"/>
      <w:lvlText w:val="•"/>
      <w:lvlJc w:val="left"/>
      <w:pPr>
        <w:tabs>
          <w:tab w:val="num" w:pos="4320"/>
        </w:tabs>
        <w:ind w:left="4320" w:hanging="360"/>
      </w:pPr>
      <w:rPr>
        <w:rFonts w:ascii="Times New Roman" w:hAnsi="Times New Roman" w:hint="default"/>
      </w:rPr>
    </w:lvl>
    <w:lvl w:ilvl="6" w:tplc="8730C73A" w:tentative="1">
      <w:start w:val="1"/>
      <w:numFmt w:val="bullet"/>
      <w:lvlText w:val="•"/>
      <w:lvlJc w:val="left"/>
      <w:pPr>
        <w:tabs>
          <w:tab w:val="num" w:pos="5040"/>
        </w:tabs>
        <w:ind w:left="5040" w:hanging="360"/>
      </w:pPr>
      <w:rPr>
        <w:rFonts w:ascii="Times New Roman" w:hAnsi="Times New Roman" w:hint="default"/>
      </w:rPr>
    </w:lvl>
    <w:lvl w:ilvl="7" w:tplc="B652F256" w:tentative="1">
      <w:start w:val="1"/>
      <w:numFmt w:val="bullet"/>
      <w:lvlText w:val="•"/>
      <w:lvlJc w:val="left"/>
      <w:pPr>
        <w:tabs>
          <w:tab w:val="num" w:pos="5760"/>
        </w:tabs>
        <w:ind w:left="5760" w:hanging="360"/>
      </w:pPr>
      <w:rPr>
        <w:rFonts w:ascii="Times New Roman" w:hAnsi="Times New Roman" w:hint="default"/>
      </w:rPr>
    </w:lvl>
    <w:lvl w:ilvl="8" w:tplc="6D0264E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BB724E"/>
    <w:multiLevelType w:val="singleLevel"/>
    <w:tmpl w:val="44C80BCE"/>
    <w:lvl w:ilvl="0">
      <w:start w:val="1"/>
      <w:numFmt w:val="decimal"/>
      <w:lvlRestart w:val="0"/>
      <w:pStyle w:val="BriefDocParagraph"/>
      <w:lvlText w:val="%1."/>
      <w:lvlJc w:val="left"/>
      <w:pPr>
        <w:tabs>
          <w:tab w:val="num" w:pos="357"/>
        </w:tabs>
        <w:ind w:left="357" w:hanging="357"/>
      </w:pPr>
      <w:rPr>
        <w:rFonts w:hint="default"/>
        <w:b w:val="0"/>
        <w:i w:val="0"/>
        <w:color w:val="auto"/>
        <w:sz w:val="24"/>
        <w:u w:val="none"/>
      </w:rPr>
    </w:lvl>
  </w:abstractNum>
  <w:abstractNum w:abstractNumId="5">
    <w:nsid w:val="0B574815"/>
    <w:multiLevelType w:val="hybridMultilevel"/>
    <w:tmpl w:val="2A00B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6D7450"/>
    <w:multiLevelType w:val="hybridMultilevel"/>
    <w:tmpl w:val="07E66244"/>
    <w:lvl w:ilvl="0" w:tplc="20EEAA70">
      <w:start w:val="1"/>
      <w:numFmt w:val="bullet"/>
      <w:lvlText w:val=""/>
      <w:lvlJc w:val="left"/>
      <w:pPr>
        <w:ind w:left="360" w:hanging="360"/>
      </w:pPr>
      <w:rPr>
        <w:rFonts w:ascii="Symbol" w:hAnsi="Symbol" w:hint="default"/>
        <w:b w:val="0"/>
        <w:i w:val="0"/>
        <w:color w:val="76923C" w:themeColor="accent3" w:themeShade="BF"/>
        <w:position w:val="2"/>
        <w:sz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20B71D5"/>
    <w:multiLevelType w:val="hybridMultilevel"/>
    <w:tmpl w:val="83306846"/>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1A7638"/>
    <w:multiLevelType w:val="hybridMultilevel"/>
    <w:tmpl w:val="45ECC746"/>
    <w:lvl w:ilvl="0" w:tplc="81E80EA0">
      <w:start w:val="1"/>
      <w:numFmt w:val="bullet"/>
      <w:lvlText w:val="•"/>
      <w:lvlJc w:val="left"/>
      <w:pPr>
        <w:tabs>
          <w:tab w:val="num" w:pos="720"/>
        </w:tabs>
        <w:ind w:left="720" w:hanging="360"/>
      </w:pPr>
      <w:rPr>
        <w:rFonts w:ascii="Times New Roman" w:hAnsi="Times New Roman" w:hint="default"/>
      </w:rPr>
    </w:lvl>
    <w:lvl w:ilvl="1" w:tplc="8BDE6F60" w:tentative="1">
      <w:start w:val="1"/>
      <w:numFmt w:val="bullet"/>
      <w:lvlText w:val="•"/>
      <w:lvlJc w:val="left"/>
      <w:pPr>
        <w:tabs>
          <w:tab w:val="num" w:pos="1440"/>
        </w:tabs>
        <w:ind w:left="1440" w:hanging="360"/>
      </w:pPr>
      <w:rPr>
        <w:rFonts w:ascii="Times New Roman" w:hAnsi="Times New Roman" w:hint="default"/>
      </w:rPr>
    </w:lvl>
    <w:lvl w:ilvl="2" w:tplc="3E06E9C0" w:tentative="1">
      <w:start w:val="1"/>
      <w:numFmt w:val="bullet"/>
      <w:lvlText w:val="•"/>
      <w:lvlJc w:val="left"/>
      <w:pPr>
        <w:tabs>
          <w:tab w:val="num" w:pos="2160"/>
        </w:tabs>
        <w:ind w:left="2160" w:hanging="360"/>
      </w:pPr>
      <w:rPr>
        <w:rFonts w:ascii="Times New Roman" w:hAnsi="Times New Roman" w:hint="default"/>
      </w:rPr>
    </w:lvl>
    <w:lvl w:ilvl="3" w:tplc="EBD25BBA" w:tentative="1">
      <w:start w:val="1"/>
      <w:numFmt w:val="bullet"/>
      <w:lvlText w:val="•"/>
      <w:lvlJc w:val="left"/>
      <w:pPr>
        <w:tabs>
          <w:tab w:val="num" w:pos="2880"/>
        </w:tabs>
        <w:ind w:left="2880" w:hanging="360"/>
      </w:pPr>
      <w:rPr>
        <w:rFonts w:ascii="Times New Roman" w:hAnsi="Times New Roman" w:hint="default"/>
      </w:rPr>
    </w:lvl>
    <w:lvl w:ilvl="4" w:tplc="8A4870AE" w:tentative="1">
      <w:start w:val="1"/>
      <w:numFmt w:val="bullet"/>
      <w:lvlText w:val="•"/>
      <w:lvlJc w:val="left"/>
      <w:pPr>
        <w:tabs>
          <w:tab w:val="num" w:pos="3600"/>
        </w:tabs>
        <w:ind w:left="3600" w:hanging="360"/>
      </w:pPr>
      <w:rPr>
        <w:rFonts w:ascii="Times New Roman" w:hAnsi="Times New Roman" w:hint="default"/>
      </w:rPr>
    </w:lvl>
    <w:lvl w:ilvl="5" w:tplc="5D505802" w:tentative="1">
      <w:start w:val="1"/>
      <w:numFmt w:val="bullet"/>
      <w:lvlText w:val="•"/>
      <w:lvlJc w:val="left"/>
      <w:pPr>
        <w:tabs>
          <w:tab w:val="num" w:pos="4320"/>
        </w:tabs>
        <w:ind w:left="4320" w:hanging="360"/>
      </w:pPr>
      <w:rPr>
        <w:rFonts w:ascii="Times New Roman" w:hAnsi="Times New Roman" w:hint="default"/>
      </w:rPr>
    </w:lvl>
    <w:lvl w:ilvl="6" w:tplc="DF101FF4" w:tentative="1">
      <w:start w:val="1"/>
      <w:numFmt w:val="bullet"/>
      <w:lvlText w:val="•"/>
      <w:lvlJc w:val="left"/>
      <w:pPr>
        <w:tabs>
          <w:tab w:val="num" w:pos="5040"/>
        </w:tabs>
        <w:ind w:left="5040" w:hanging="360"/>
      </w:pPr>
      <w:rPr>
        <w:rFonts w:ascii="Times New Roman" w:hAnsi="Times New Roman" w:hint="default"/>
      </w:rPr>
    </w:lvl>
    <w:lvl w:ilvl="7" w:tplc="2B8273E4" w:tentative="1">
      <w:start w:val="1"/>
      <w:numFmt w:val="bullet"/>
      <w:lvlText w:val="•"/>
      <w:lvlJc w:val="left"/>
      <w:pPr>
        <w:tabs>
          <w:tab w:val="num" w:pos="5760"/>
        </w:tabs>
        <w:ind w:left="5760" w:hanging="360"/>
      </w:pPr>
      <w:rPr>
        <w:rFonts w:ascii="Times New Roman" w:hAnsi="Times New Roman" w:hint="default"/>
      </w:rPr>
    </w:lvl>
    <w:lvl w:ilvl="8" w:tplc="7954F57A" w:tentative="1">
      <w:start w:val="1"/>
      <w:numFmt w:val="bullet"/>
      <w:lvlText w:val="•"/>
      <w:lvlJc w:val="left"/>
      <w:pPr>
        <w:tabs>
          <w:tab w:val="num" w:pos="6480"/>
        </w:tabs>
        <w:ind w:left="6480" w:hanging="360"/>
      </w:pPr>
      <w:rPr>
        <w:rFonts w:ascii="Times New Roman" w:hAnsi="Times New Roman" w:hint="default"/>
      </w:rPr>
    </w:lvl>
  </w:abstractNum>
  <w:abstractNum w:abstractNumId="9">
    <w:nsid w:val="21AE3E56"/>
    <w:multiLevelType w:val="hybridMultilevel"/>
    <w:tmpl w:val="673E0E06"/>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5811D1"/>
    <w:multiLevelType w:val="hybridMultilevel"/>
    <w:tmpl w:val="5B2E85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F4E7F89"/>
    <w:multiLevelType w:val="hybridMultilevel"/>
    <w:tmpl w:val="41D873E2"/>
    <w:lvl w:ilvl="0" w:tplc="D38E9C94">
      <w:numFmt w:val="bullet"/>
      <w:lvlText w:val="•"/>
      <w:lvlJc w:val="left"/>
      <w:pPr>
        <w:ind w:left="1065" w:hanging="70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71F6908"/>
    <w:multiLevelType w:val="hybridMultilevel"/>
    <w:tmpl w:val="3536ADC6"/>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20EEAA70">
      <w:start w:val="1"/>
      <w:numFmt w:val="bullet"/>
      <w:lvlText w:val=""/>
      <w:lvlJc w:val="left"/>
      <w:pPr>
        <w:ind w:left="1193" w:hanging="360"/>
      </w:pPr>
      <w:rPr>
        <w:rFonts w:ascii="Symbol" w:hAnsi="Symbol" w:hint="default"/>
        <w:b w:val="0"/>
        <w:i w:val="0"/>
        <w:color w:val="76923C" w:themeColor="accent3" w:themeShade="BF"/>
        <w:position w:val="2"/>
        <w:sz w:val="14"/>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3">
    <w:nsid w:val="40BF23C5"/>
    <w:multiLevelType w:val="hybridMultilevel"/>
    <w:tmpl w:val="02FCBB1E"/>
    <w:lvl w:ilvl="0" w:tplc="20EEAA70">
      <w:start w:val="1"/>
      <w:numFmt w:val="bullet"/>
      <w:lvlText w:val=""/>
      <w:lvlJc w:val="left"/>
      <w:pPr>
        <w:ind w:left="360"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5643F75"/>
    <w:multiLevelType w:val="hybridMultilevel"/>
    <w:tmpl w:val="546076AC"/>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5">
    <w:nsid w:val="456A41E7"/>
    <w:multiLevelType w:val="hybridMultilevel"/>
    <w:tmpl w:val="6ED08D44"/>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nsid w:val="49003FCC"/>
    <w:multiLevelType w:val="hybridMultilevel"/>
    <w:tmpl w:val="4C0E0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FD14127"/>
    <w:multiLevelType w:val="hybridMultilevel"/>
    <w:tmpl w:val="86E0D002"/>
    <w:lvl w:ilvl="0" w:tplc="954AD51C">
      <w:start w:val="1"/>
      <w:numFmt w:val="bullet"/>
      <w:lvlText w:val="•"/>
      <w:lvlJc w:val="left"/>
      <w:pPr>
        <w:tabs>
          <w:tab w:val="num" w:pos="360"/>
        </w:tabs>
        <w:ind w:left="360" w:hanging="360"/>
      </w:pPr>
      <w:rPr>
        <w:rFonts w:ascii="Times New Roman" w:hAnsi="Times New Roman" w:hint="default"/>
      </w:rPr>
    </w:lvl>
    <w:lvl w:ilvl="1" w:tplc="17B03ABC" w:tentative="1">
      <w:start w:val="1"/>
      <w:numFmt w:val="bullet"/>
      <w:lvlText w:val="•"/>
      <w:lvlJc w:val="left"/>
      <w:pPr>
        <w:tabs>
          <w:tab w:val="num" w:pos="1080"/>
        </w:tabs>
        <w:ind w:left="1080" w:hanging="360"/>
      </w:pPr>
      <w:rPr>
        <w:rFonts w:ascii="Times New Roman" w:hAnsi="Times New Roman" w:hint="default"/>
      </w:rPr>
    </w:lvl>
    <w:lvl w:ilvl="2" w:tplc="C2420ACC" w:tentative="1">
      <w:start w:val="1"/>
      <w:numFmt w:val="bullet"/>
      <w:lvlText w:val="•"/>
      <w:lvlJc w:val="left"/>
      <w:pPr>
        <w:tabs>
          <w:tab w:val="num" w:pos="1800"/>
        </w:tabs>
        <w:ind w:left="1800" w:hanging="360"/>
      </w:pPr>
      <w:rPr>
        <w:rFonts w:ascii="Times New Roman" w:hAnsi="Times New Roman" w:hint="default"/>
      </w:rPr>
    </w:lvl>
    <w:lvl w:ilvl="3" w:tplc="8110A8C6" w:tentative="1">
      <w:start w:val="1"/>
      <w:numFmt w:val="bullet"/>
      <w:lvlText w:val="•"/>
      <w:lvlJc w:val="left"/>
      <w:pPr>
        <w:tabs>
          <w:tab w:val="num" w:pos="2520"/>
        </w:tabs>
        <w:ind w:left="2520" w:hanging="360"/>
      </w:pPr>
      <w:rPr>
        <w:rFonts w:ascii="Times New Roman" w:hAnsi="Times New Roman" w:hint="default"/>
      </w:rPr>
    </w:lvl>
    <w:lvl w:ilvl="4" w:tplc="5380EEC8" w:tentative="1">
      <w:start w:val="1"/>
      <w:numFmt w:val="bullet"/>
      <w:lvlText w:val="•"/>
      <w:lvlJc w:val="left"/>
      <w:pPr>
        <w:tabs>
          <w:tab w:val="num" w:pos="3240"/>
        </w:tabs>
        <w:ind w:left="3240" w:hanging="360"/>
      </w:pPr>
      <w:rPr>
        <w:rFonts w:ascii="Times New Roman" w:hAnsi="Times New Roman" w:hint="default"/>
      </w:rPr>
    </w:lvl>
    <w:lvl w:ilvl="5" w:tplc="1D326E98" w:tentative="1">
      <w:start w:val="1"/>
      <w:numFmt w:val="bullet"/>
      <w:lvlText w:val="•"/>
      <w:lvlJc w:val="left"/>
      <w:pPr>
        <w:tabs>
          <w:tab w:val="num" w:pos="3960"/>
        </w:tabs>
        <w:ind w:left="3960" w:hanging="360"/>
      </w:pPr>
      <w:rPr>
        <w:rFonts w:ascii="Times New Roman" w:hAnsi="Times New Roman" w:hint="default"/>
      </w:rPr>
    </w:lvl>
    <w:lvl w:ilvl="6" w:tplc="14A454EE" w:tentative="1">
      <w:start w:val="1"/>
      <w:numFmt w:val="bullet"/>
      <w:lvlText w:val="•"/>
      <w:lvlJc w:val="left"/>
      <w:pPr>
        <w:tabs>
          <w:tab w:val="num" w:pos="4680"/>
        </w:tabs>
        <w:ind w:left="4680" w:hanging="360"/>
      </w:pPr>
      <w:rPr>
        <w:rFonts w:ascii="Times New Roman" w:hAnsi="Times New Roman" w:hint="default"/>
      </w:rPr>
    </w:lvl>
    <w:lvl w:ilvl="7" w:tplc="C59A2FA2" w:tentative="1">
      <w:start w:val="1"/>
      <w:numFmt w:val="bullet"/>
      <w:lvlText w:val="•"/>
      <w:lvlJc w:val="left"/>
      <w:pPr>
        <w:tabs>
          <w:tab w:val="num" w:pos="5400"/>
        </w:tabs>
        <w:ind w:left="5400" w:hanging="360"/>
      </w:pPr>
      <w:rPr>
        <w:rFonts w:ascii="Times New Roman" w:hAnsi="Times New Roman" w:hint="default"/>
      </w:rPr>
    </w:lvl>
    <w:lvl w:ilvl="8" w:tplc="B6183222" w:tentative="1">
      <w:start w:val="1"/>
      <w:numFmt w:val="bullet"/>
      <w:lvlText w:val="•"/>
      <w:lvlJc w:val="left"/>
      <w:pPr>
        <w:tabs>
          <w:tab w:val="num" w:pos="6120"/>
        </w:tabs>
        <w:ind w:left="6120" w:hanging="360"/>
      </w:pPr>
      <w:rPr>
        <w:rFonts w:ascii="Times New Roman" w:hAnsi="Times New Roman" w:hint="default"/>
      </w:rPr>
    </w:lvl>
  </w:abstractNum>
  <w:abstractNum w:abstractNumId="18">
    <w:nsid w:val="4FEB32A5"/>
    <w:multiLevelType w:val="hybridMultilevel"/>
    <w:tmpl w:val="4E4C12E0"/>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A2B5ED1"/>
    <w:multiLevelType w:val="hybridMultilevel"/>
    <w:tmpl w:val="93BE8D3A"/>
    <w:lvl w:ilvl="0" w:tplc="20EEAA70">
      <w:start w:val="1"/>
      <w:numFmt w:val="bullet"/>
      <w:lvlText w:val=""/>
      <w:lvlJc w:val="left"/>
      <w:pPr>
        <w:ind w:left="357" w:hanging="357"/>
      </w:pPr>
      <w:rPr>
        <w:rFonts w:ascii="Symbol" w:hAnsi="Symbol" w:hint="default"/>
        <w:b w:val="0"/>
        <w:i w:val="0"/>
        <w:color w:val="76923C" w:themeColor="accent3" w:themeShade="BF"/>
        <w:position w:val="2"/>
        <w:sz w:val="1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608C2EDA"/>
    <w:multiLevelType w:val="hybridMultilevel"/>
    <w:tmpl w:val="455E876C"/>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1">
    <w:nsid w:val="611237DD"/>
    <w:multiLevelType w:val="hybridMultilevel"/>
    <w:tmpl w:val="933CE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CD58E0"/>
    <w:multiLevelType w:val="hybridMultilevel"/>
    <w:tmpl w:val="56DEE04A"/>
    <w:lvl w:ilvl="0" w:tplc="A18CF4FE">
      <w:start w:val="1"/>
      <w:numFmt w:val="bullet"/>
      <w:lvlText w:val=""/>
      <w:lvlJc w:val="left"/>
      <w:pPr>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C361547"/>
    <w:multiLevelType w:val="hybridMultilevel"/>
    <w:tmpl w:val="189C7528"/>
    <w:lvl w:ilvl="0" w:tplc="A18CF4FE">
      <w:start w:val="1"/>
      <w:numFmt w:val="bullet"/>
      <w:lvlText w:val=""/>
      <w:lvlJc w:val="left"/>
      <w:pPr>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2143DFC"/>
    <w:multiLevelType w:val="hybridMultilevel"/>
    <w:tmpl w:val="ABA2D370"/>
    <w:lvl w:ilvl="0" w:tplc="FFFFFFFF">
      <w:start w:val="1"/>
      <w:numFmt w:val="bullet"/>
      <w:pStyle w:val="Bulletlist"/>
      <w:lvlText w:val=""/>
      <w:lvlJc w:val="left"/>
      <w:pPr>
        <w:ind w:left="357" w:hanging="35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5">
    <w:nsid w:val="75627089"/>
    <w:multiLevelType w:val="hybridMultilevel"/>
    <w:tmpl w:val="EBAEF9F8"/>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nsid w:val="77543155"/>
    <w:multiLevelType w:val="hybridMultilevel"/>
    <w:tmpl w:val="9C7E3D4A"/>
    <w:lvl w:ilvl="0" w:tplc="20EEAA70">
      <w:start w:val="1"/>
      <w:numFmt w:val="bullet"/>
      <w:lvlText w:val=""/>
      <w:lvlJc w:val="left"/>
      <w:pPr>
        <w:tabs>
          <w:tab w:val="num" w:pos="113"/>
        </w:tabs>
        <w:ind w:left="227" w:hanging="114"/>
      </w:pPr>
      <w:rPr>
        <w:rFonts w:ascii="Symbol" w:hAnsi="Symbol" w:hint="default"/>
        <w:b w:val="0"/>
        <w:i w:val="0"/>
        <w:color w:val="76923C" w:themeColor="accent3" w:themeShade="BF"/>
        <w:position w:val="2"/>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76C29DC"/>
    <w:multiLevelType w:val="hybridMultilevel"/>
    <w:tmpl w:val="C196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67597F"/>
    <w:multiLevelType w:val="hybridMultilevel"/>
    <w:tmpl w:val="299E1C40"/>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nsid w:val="795B5D29"/>
    <w:multiLevelType w:val="hybridMultilevel"/>
    <w:tmpl w:val="540A892C"/>
    <w:lvl w:ilvl="0" w:tplc="BF14EB0C">
      <w:start w:val="1"/>
      <w:numFmt w:val="bullet"/>
      <w:lvlText w:val="•"/>
      <w:lvlJc w:val="left"/>
      <w:pPr>
        <w:tabs>
          <w:tab w:val="num" w:pos="720"/>
        </w:tabs>
        <w:ind w:left="720" w:hanging="360"/>
      </w:pPr>
      <w:rPr>
        <w:rFonts w:ascii="Times New Roman" w:hAnsi="Times New Roman" w:hint="default"/>
      </w:rPr>
    </w:lvl>
    <w:lvl w:ilvl="1" w:tplc="BB764768" w:tentative="1">
      <w:start w:val="1"/>
      <w:numFmt w:val="bullet"/>
      <w:lvlText w:val="•"/>
      <w:lvlJc w:val="left"/>
      <w:pPr>
        <w:tabs>
          <w:tab w:val="num" w:pos="1440"/>
        </w:tabs>
        <w:ind w:left="1440" w:hanging="360"/>
      </w:pPr>
      <w:rPr>
        <w:rFonts w:ascii="Times New Roman" w:hAnsi="Times New Roman" w:hint="default"/>
      </w:rPr>
    </w:lvl>
    <w:lvl w:ilvl="2" w:tplc="D444EB50" w:tentative="1">
      <w:start w:val="1"/>
      <w:numFmt w:val="bullet"/>
      <w:lvlText w:val="•"/>
      <w:lvlJc w:val="left"/>
      <w:pPr>
        <w:tabs>
          <w:tab w:val="num" w:pos="2160"/>
        </w:tabs>
        <w:ind w:left="2160" w:hanging="360"/>
      </w:pPr>
      <w:rPr>
        <w:rFonts w:ascii="Times New Roman" w:hAnsi="Times New Roman" w:hint="default"/>
      </w:rPr>
    </w:lvl>
    <w:lvl w:ilvl="3" w:tplc="DB2CD5CA" w:tentative="1">
      <w:start w:val="1"/>
      <w:numFmt w:val="bullet"/>
      <w:lvlText w:val="•"/>
      <w:lvlJc w:val="left"/>
      <w:pPr>
        <w:tabs>
          <w:tab w:val="num" w:pos="2880"/>
        </w:tabs>
        <w:ind w:left="2880" w:hanging="360"/>
      </w:pPr>
      <w:rPr>
        <w:rFonts w:ascii="Times New Roman" w:hAnsi="Times New Roman" w:hint="default"/>
      </w:rPr>
    </w:lvl>
    <w:lvl w:ilvl="4" w:tplc="56F2DCE2" w:tentative="1">
      <w:start w:val="1"/>
      <w:numFmt w:val="bullet"/>
      <w:lvlText w:val="•"/>
      <w:lvlJc w:val="left"/>
      <w:pPr>
        <w:tabs>
          <w:tab w:val="num" w:pos="3600"/>
        </w:tabs>
        <w:ind w:left="3600" w:hanging="360"/>
      </w:pPr>
      <w:rPr>
        <w:rFonts w:ascii="Times New Roman" w:hAnsi="Times New Roman" w:hint="default"/>
      </w:rPr>
    </w:lvl>
    <w:lvl w:ilvl="5" w:tplc="77A8FA78" w:tentative="1">
      <w:start w:val="1"/>
      <w:numFmt w:val="bullet"/>
      <w:lvlText w:val="•"/>
      <w:lvlJc w:val="left"/>
      <w:pPr>
        <w:tabs>
          <w:tab w:val="num" w:pos="4320"/>
        </w:tabs>
        <w:ind w:left="4320" w:hanging="360"/>
      </w:pPr>
      <w:rPr>
        <w:rFonts w:ascii="Times New Roman" w:hAnsi="Times New Roman" w:hint="default"/>
      </w:rPr>
    </w:lvl>
    <w:lvl w:ilvl="6" w:tplc="98B2522E" w:tentative="1">
      <w:start w:val="1"/>
      <w:numFmt w:val="bullet"/>
      <w:lvlText w:val="•"/>
      <w:lvlJc w:val="left"/>
      <w:pPr>
        <w:tabs>
          <w:tab w:val="num" w:pos="5040"/>
        </w:tabs>
        <w:ind w:left="5040" w:hanging="360"/>
      </w:pPr>
      <w:rPr>
        <w:rFonts w:ascii="Times New Roman" w:hAnsi="Times New Roman" w:hint="default"/>
      </w:rPr>
    </w:lvl>
    <w:lvl w:ilvl="7" w:tplc="22D81398" w:tentative="1">
      <w:start w:val="1"/>
      <w:numFmt w:val="bullet"/>
      <w:lvlText w:val="•"/>
      <w:lvlJc w:val="left"/>
      <w:pPr>
        <w:tabs>
          <w:tab w:val="num" w:pos="5760"/>
        </w:tabs>
        <w:ind w:left="5760" w:hanging="360"/>
      </w:pPr>
      <w:rPr>
        <w:rFonts w:ascii="Times New Roman" w:hAnsi="Times New Roman" w:hint="default"/>
      </w:rPr>
    </w:lvl>
    <w:lvl w:ilvl="8" w:tplc="1E061B0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A3D4339"/>
    <w:multiLevelType w:val="hybridMultilevel"/>
    <w:tmpl w:val="40543132"/>
    <w:lvl w:ilvl="0" w:tplc="20EEAA70">
      <w:start w:val="1"/>
      <w:numFmt w:val="bullet"/>
      <w:lvlText w:val=""/>
      <w:lvlJc w:val="left"/>
      <w:pPr>
        <w:ind w:left="473" w:hanging="360"/>
      </w:pPr>
      <w:rPr>
        <w:rFonts w:ascii="Symbol" w:hAnsi="Symbol" w:hint="default"/>
        <w:b w:val="0"/>
        <w:i w:val="0"/>
        <w:color w:val="76923C" w:themeColor="accent3" w:themeShade="BF"/>
        <w:position w:val="2"/>
        <w:sz w:val="14"/>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0"/>
  </w:num>
  <w:num w:numId="2">
    <w:abstractNumId w:val="1"/>
  </w:num>
  <w:num w:numId="3">
    <w:abstractNumId w:val="24"/>
  </w:num>
  <w:num w:numId="4">
    <w:abstractNumId w:val="4"/>
  </w:num>
  <w:num w:numId="5">
    <w:abstractNumId w:val="20"/>
  </w:num>
  <w:num w:numId="6">
    <w:abstractNumId w:val="30"/>
  </w:num>
  <w:num w:numId="7">
    <w:abstractNumId w:val="25"/>
  </w:num>
  <w:num w:numId="8">
    <w:abstractNumId w:val="15"/>
  </w:num>
  <w:num w:numId="9">
    <w:abstractNumId w:val="28"/>
  </w:num>
  <w:num w:numId="10">
    <w:abstractNumId w:val="14"/>
  </w:num>
  <w:num w:numId="11">
    <w:abstractNumId w:val="2"/>
  </w:num>
  <w:num w:numId="12">
    <w:abstractNumId w:val="18"/>
  </w:num>
  <w:num w:numId="13">
    <w:abstractNumId w:val="26"/>
  </w:num>
  <w:num w:numId="14">
    <w:abstractNumId w:val="12"/>
  </w:num>
  <w:num w:numId="15">
    <w:abstractNumId w:val="17"/>
  </w:num>
  <w:num w:numId="16">
    <w:abstractNumId w:val="8"/>
  </w:num>
  <w:num w:numId="17">
    <w:abstractNumId w:val="3"/>
  </w:num>
  <w:num w:numId="18">
    <w:abstractNumId w:val="29"/>
  </w:num>
  <w:num w:numId="19">
    <w:abstractNumId w:val="14"/>
  </w:num>
  <w:num w:numId="20">
    <w:abstractNumId w:val="21"/>
  </w:num>
  <w:num w:numId="21">
    <w:abstractNumId w:val="7"/>
  </w:num>
  <w:num w:numId="22">
    <w:abstractNumId w:val="9"/>
  </w:num>
  <w:num w:numId="23">
    <w:abstractNumId w:val="1"/>
  </w:num>
  <w:num w:numId="24">
    <w:abstractNumId w:val="1"/>
  </w:num>
  <w:num w:numId="25">
    <w:abstractNumId w:val="1"/>
  </w:num>
  <w:num w:numId="26">
    <w:abstractNumId w:val="27"/>
  </w:num>
  <w:num w:numId="27">
    <w:abstractNumId w:val="16"/>
  </w:num>
  <w:num w:numId="28">
    <w:abstractNumId w:val="1"/>
  </w:num>
  <w:num w:numId="29">
    <w:abstractNumId w:val="5"/>
  </w:num>
  <w:num w:numId="30">
    <w:abstractNumId w:val="11"/>
  </w:num>
  <w:num w:numId="31">
    <w:abstractNumId w:val="22"/>
  </w:num>
  <w:num w:numId="32">
    <w:abstractNumId w:val="23"/>
  </w:num>
  <w:num w:numId="33">
    <w:abstractNumId w:val="19"/>
  </w:num>
  <w:num w:numId="34">
    <w:abstractNumId w:val="10"/>
  </w:num>
  <w:num w:numId="35">
    <w:abstractNumId w:val="6"/>
  </w:num>
  <w:num w:numId="36">
    <w:abstractNumId w:val="13"/>
  </w:num>
  <w:num w:numId="3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evenAndOddHeaders/>
  <w:characterSpacingControl w:val="doNotCompress"/>
  <w:hdrShapeDefaults>
    <o:shapedefaults v:ext="edit" spidmax="79873">
      <o:colormru v:ext="edit" colors="#06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OLE_LINK1" w:val="Empty"/>
    <w:docVar w:name="Start" w:val="Empty"/>
  </w:docVars>
  <w:rsids>
    <w:rsidRoot w:val="00E41976"/>
    <w:rsid w:val="0000098C"/>
    <w:rsid w:val="00000D0B"/>
    <w:rsid w:val="000013BE"/>
    <w:rsid w:val="00001AF8"/>
    <w:rsid w:val="000021B0"/>
    <w:rsid w:val="000031E0"/>
    <w:rsid w:val="00003327"/>
    <w:rsid w:val="0000359A"/>
    <w:rsid w:val="0000436D"/>
    <w:rsid w:val="00004483"/>
    <w:rsid w:val="0000472C"/>
    <w:rsid w:val="00004E42"/>
    <w:rsid w:val="0000518C"/>
    <w:rsid w:val="000051A6"/>
    <w:rsid w:val="00005927"/>
    <w:rsid w:val="00005DDA"/>
    <w:rsid w:val="00005FBF"/>
    <w:rsid w:val="000073D9"/>
    <w:rsid w:val="00007B81"/>
    <w:rsid w:val="00010F3E"/>
    <w:rsid w:val="000115DF"/>
    <w:rsid w:val="00011895"/>
    <w:rsid w:val="000118FF"/>
    <w:rsid w:val="00011BFC"/>
    <w:rsid w:val="0001237D"/>
    <w:rsid w:val="00012B40"/>
    <w:rsid w:val="00012FB0"/>
    <w:rsid w:val="00013468"/>
    <w:rsid w:val="00013743"/>
    <w:rsid w:val="00013913"/>
    <w:rsid w:val="00013E21"/>
    <w:rsid w:val="00013E95"/>
    <w:rsid w:val="0001470B"/>
    <w:rsid w:val="00014D81"/>
    <w:rsid w:val="00014EAE"/>
    <w:rsid w:val="00015123"/>
    <w:rsid w:val="0001546F"/>
    <w:rsid w:val="000164CE"/>
    <w:rsid w:val="00016659"/>
    <w:rsid w:val="00016C10"/>
    <w:rsid w:val="00016E03"/>
    <w:rsid w:val="0001799B"/>
    <w:rsid w:val="00017A72"/>
    <w:rsid w:val="00020073"/>
    <w:rsid w:val="00020126"/>
    <w:rsid w:val="00020431"/>
    <w:rsid w:val="000205D5"/>
    <w:rsid w:val="0002073E"/>
    <w:rsid w:val="00021F8F"/>
    <w:rsid w:val="00022B50"/>
    <w:rsid w:val="00022DA7"/>
    <w:rsid w:val="000230B8"/>
    <w:rsid w:val="000230C3"/>
    <w:rsid w:val="00023385"/>
    <w:rsid w:val="000233EF"/>
    <w:rsid w:val="00023B7E"/>
    <w:rsid w:val="0002436A"/>
    <w:rsid w:val="00024645"/>
    <w:rsid w:val="00024755"/>
    <w:rsid w:val="00024CC6"/>
    <w:rsid w:val="000251FC"/>
    <w:rsid w:val="00025B97"/>
    <w:rsid w:val="00025F9F"/>
    <w:rsid w:val="0002637D"/>
    <w:rsid w:val="00026A86"/>
    <w:rsid w:val="00026B5B"/>
    <w:rsid w:val="00026DD0"/>
    <w:rsid w:val="000277CB"/>
    <w:rsid w:val="00027D3F"/>
    <w:rsid w:val="000301A6"/>
    <w:rsid w:val="000306CE"/>
    <w:rsid w:val="000315BF"/>
    <w:rsid w:val="00031A06"/>
    <w:rsid w:val="00032139"/>
    <w:rsid w:val="000321D7"/>
    <w:rsid w:val="0003260C"/>
    <w:rsid w:val="00032693"/>
    <w:rsid w:val="00032D7D"/>
    <w:rsid w:val="000331E2"/>
    <w:rsid w:val="00033943"/>
    <w:rsid w:val="00033B5A"/>
    <w:rsid w:val="000344F2"/>
    <w:rsid w:val="000344F3"/>
    <w:rsid w:val="00035605"/>
    <w:rsid w:val="000359AF"/>
    <w:rsid w:val="00036337"/>
    <w:rsid w:val="00036B5A"/>
    <w:rsid w:val="00037113"/>
    <w:rsid w:val="00037144"/>
    <w:rsid w:val="00037779"/>
    <w:rsid w:val="00037C64"/>
    <w:rsid w:val="00037C6F"/>
    <w:rsid w:val="00037E8F"/>
    <w:rsid w:val="00040D76"/>
    <w:rsid w:val="00040DBD"/>
    <w:rsid w:val="000412CE"/>
    <w:rsid w:val="00041DB5"/>
    <w:rsid w:val="000427B9"/>
    <w:rsid w:val="000431BC"/>
    <w:rsid w:val="00044069"/>
    <w:rsid w:val="000445B3"/>
    <w:rsid w:val="0004488C"/>
    <w:rsid w:val="000448F9"/>
    <w:rsid w:val="00044D34"/>
    <w:rsid w:val="00045F0C"/>
    <w:rsid w:val="00047065"/>
    <w:rsid w:val="00047964"/>
    <w:rsid w:val="00047DB1"/>
    <w:rsid w:val="00047E08"/>
    <w:rsid w:val="00050691"/>
    <w:rsid w:val="00050AA4"/>
    <w:rsid w:val="00050F2B"/>
    <w:rsid w:val="00051C70"/>
    <w:rsid w:val="000530F2"/>
    <w:rsid w:val="000533B6"/>
    <w:rsid w:val="00053D88"/>
    <w:rsid w:val="00053F25"/>
    <w:rsid w:val="000542B4"/>
    <w:rsid w:val="000542BE"/>
    <w:rsid w:val="000544B0"/>
    <w:rsid w:val="00054902"/>
    <w:rsid w:val="00054966"/>
    <w:rsid w:val="00055674"/>
    <w:rsid w:val="000558AC"/>
    <w:rsid w:val="00055924"/>
    <w:rsid w:val="000567FF"/>
    <w:rsid w:val="00056B6C"/>
    <w:rsid w:val="000570D2"/>
    <w:rsid w:val="000609C4"/>
    <w:rsid w:val="00060FF1"/>
    <w:rsid w:val="0006144D"/>
    <w:rsid w:val="000618E6"/>
    <w:rsid w:val="000624ED"/>
    <w:rsid w:val="00062501"/>
    <w:rsid w:val="0006334B"/>
    <w:rsid w:val="00063DD4"/>
    <w:rsid w:val="00064D9F"/>
    <w:rsid w:val="000650E9"/>
    <w:rsid w:val="0006608D"/>
    <w:rsid w:val="00066151"/>
    <w:rsid w:val="00066191"/>
    <w:rsid w:val="000670AF"/>
    <w:rsid w:val="000674EA"/>
    <w:rsid w:val="00070701"/>
    <w:rsid w:val="0007086C"/>
    <w:rsid w:val="00070EAA"/>
    <w:rsid w:val="00070FBB"/>
    <w:rsid w:val="00071BF5"/>
    <w:rsid w:val="00071E33"/>
    <w:rsid w:val="000723D7"/>
    <w:rsid w:val="0007240D"/>
    <w:rsid w:val="00072C85"/>
    <w:rsid w:val="00072E45"/>
    <w:rsid w:val="00073D30"/>
    <w:rsid w:val="0007417A"/>
    <w:rsid w:val="00074714"/>
    <w:rsid w:val="00075AE3"/>
    <w:rsid w:val="00076DD0"/>
    <w:rsid w:val="000778DC"/>
    <w:rsid w:val="00077C86"/>
    <w:rsid w:val="0008040B"/>
    <w:rsid w:val="00080CBB"/>
    <w:rsid w:val="00081678"/>
    <w:rsid w:val="00082870"/>
    <w:rsid w:val="00082ACB"/>
    <w:rsid w:val="00082BDC"/>
    <w:rsid w:val="00082F7C"/>
    <w:rsid w:val="000834AF"/>
    <w:rsid w:val="0008362A"/>
    <w:rsid w:val="00083B2E"/>
    <w:rsid w:val="00084502"/>
    <w:rsid w:val="000845E1"/>
    <w:rsid w:val="00085687"/>
    <w:rsid w:val="00085CA6"/>
    <w:rsid w:val="00085E8F"/>
    <w:rsid w:val="000866DB"/>
    <w:rsid w:val="00086B12"/>
    <w:rsid w:val="00086BD6"/>
    <w:rsid w:val="00086C04"/>
    <w:rsid w:val="00086DCD"/>
    <w:rsid w:val="0008714D"/>
    <w:rsid w:val="000874CB"/>
    <w:rsid w:val="0008750F"/>
    <w:rsid w:val="00090411"/>
    <w:rsid w:val="000904E5"/>
    <w:rsid w:val="0009295E"/>
    <w:rsid w:val="00092C2D"/>
    <w:rsid w:val="00093CFF"/>
    <w:rsid w:val="00093E20"/>
    <w:rsid w:val="00094060"/>
    <w:rsid w:val="00094B22"/>
    <w:rsid w:val="00094B73"/>
    <w:rsid w:val="00094C6E"/>
    <w:rsid w:val="0009522F"/>
    <w:rsid w:val="00095265"/>
    <w:rsid w:val="000952D6"/>
    <w:rsid w:val="000955C5"/>
    <w:rsid w:val="00095642"/>
    <w:rsid w:val="000957B5"/>
    <w:rsid w:val="00095D34"/>
    <w:rsid w:val="00095DBA"/>
    <w:rsid w:val="00096336"/>
    <w:rsid w:val="0009644C"/>
    <w:rsid w:val="00096914"/>
    <w:rsid w:val="00096B7C"/>
    <w:rsid w:val="00097A9E"/>
    <w:rsid w:val="000A01B4"/>
    <w:rsid w:val="000A0792"/>
    <w:rsid w:val="000A0CD0"/>
    <w:rsid w:val="000A12B3"/>
    <w:rsid w:val="000A1309"/>
    <w:rsid w:val="000A13A9"/>
    <w:rsid w:val="000A1523"/>
    <w:rsid w:val="000A191D"/>
    <w:rsid w:val="000A1C0E"/>
    <w:rsid w:val="000A263E"/>
    <w:rsid w:val="000A28E5"/>
    <w:rsid w:val="000A2BB1"/>
    <w:rsid w:val="000A3827"/>
    <w:rsid w:val="000A41E2"/>
    <w:rsid w:val="000A4428"/>
    <w:rsid w:val="000A4698"/>
    <w:rsid w:val="000A4E9B"/>
    <w:rsid w:val="000A4EAE"/>
    <w:rsid w:val="000A532A"/>
    <w:rsid w:val="000A5C0F"/>
    <w:rsid w:val="000A5C66"/>
    <w:rsid w:val="000B0008"/>
    <w:rsid w:val="000B07A1"/>
    <w:rsid w:val="000B0828"/>
    <w:rsid w:val="000B14A5"/>
    <w:rsid w:val="000B1BA6"/>
    <w:rsid w:val="000B1CF3"/>
    <w:rsid w:val="000B1EBC"/>
    <w:rsid w:val="000B208D"/>
    <w:rsid w:val="000B20BC"/>
    <w:rsid w:val="000B242F"/>
    <w:rsid w:val="000B3520"/>
    <w:rsid w:val="000B4033"/>
    <w:rsid w:val="000B4E4D"/>
    <w:rsid w:val="000B5151"/>
    <w:rsid w:val="000B5179"/>
    <w:rsid w:val="000B5372"/>
    <w:rsid w:val="000B5A60"/>
    <w:rsid w:val="000B63C6"/>
    <w:rsid w:val="000B6438"/>
    <w:rsid w:val="000B696B"/>
    <w:rsid w:val="000B7190"/>
    <w:rsid w:val="000B7B43"/>
    <w:rsid w:val="000B7EA5"/>
    <w:rsid w:val="000C0342"/>
    <w:rsid w:val="000C0A2C"/>
    <w:rsid w:val="000C0A7E"/>
    <w:rsid w:val="000C0C5B"/>
    <w:rsid w:val="000C1100"/>
    <w:rsid w:val="000C1529"/>
    <w:rsid w:val="000C18FC"/>
    <w:rsid w:val="000C193A"/>
    <w:rsid w:val="000C1BAF"/>
    <w:rsid w:val="000C1E17"/>
    <w:rsid w:val="000C1F9E"/>
    <w:rsid w:val="000C24B9"/>
    <w:rsid w:val="000C24FB"/>
    <w:rsid w:val="000C300D"/>
    <w:rsid w:val="000C304F"/>
    <w:rsid w:val="000C3C27"/>
    <w:rsid w:val="000C4238"/>
    <w:rsid w:val="000C5656"/>
    <w:rsid w:val="000C6A8B"/>
    <w:rsid w:val="000C6DE2"/>
    <w:rsid w:val="000C7B63"/>
    <w:rsid w:val="000C7EFC"/>
    <w:rsid w:val="000D002C"/>
    <w:rsid w:val="000D00D1"/>
    <w:rsid w:val="000D0125"/>
    <w:rsid w:val="000D0131"/>
    <w:rsid w:val="000D0334"/>
    <w:rsid w:val="000D0F9F"/>
    <w:rsid w:val="000D120A"/>
    <w:rsid w:val="000D1845"/>
    <w:rsid w:val="000D1C15"/>
    <w:rsid w:val="000D1D4F"/>
    <w:rsid w:val="000D26FA"/>
    <w:rsid w:val="000D2D76"/>
    <w:rsid w:val="000D2E28"/>
    <w:rsid w:val="000D3829"/>
    <w:rsid w:val="000D3D11"/>
    <w:rsid w:val="000D42D3"/>
    <w:rsid w:val="000D4602"/>
    <w:rsid w:val="000D4779"/>
    <w:rsid w:val="000D4AE8"/>
    <w:rsid w:val="000D4DEB"/>
    <w:rsid w:val="000D52DF"/>
    <w:rsid w:val="000D5764"/>
    <w:rsid w:val="000D5B80"/>
    <w:rsid w:val="000D61CA"/>
    <w:rsid w:val="000D631F"/>
    <w:rsid w:val="000D64A6"/>
    <w:rsid w:val="000D650C"/>
    <w:rsid w:val="000D6B2B"/>
    <w:rsid w:val="000D6F19"/>
    <w:rsid w:val="000D715B"/>
    <w:rsid w:val="000D7B6E"/>
    <w:rsid w:val="000D7D83"/>
    <w:rsid w:val="000E03AA"/>
    <w:rsid w:val="000E0614"/>
    <w:rsid w:val="000E15F7"/>
    <w:rsid w:val="000E1C05"/>
    <w:rsid w:val="000E2510"/>
    <w:rsid w:val="000E25CF"/>
    <w:rsid w:val="000E296F"/>
    <w:rsid w:val="000E3652"/>
    <w:rsid w:val="000E3913"/>
    <w:rsid w:val="000E5201"/>
    <w:rsid w:val="000E5DF4"/>
    <w:rsid w:val="000E6E19"/>
    <w:rsid w:val="000E6E8E"/>
    <w:rsid w:val="000E7B52"/>
    <w:rsid w:val="000F07BC"/>
    <w:rsid w:val="000F0ED1"/>
    <w:rsid w:val="000F15B8"/>
    <w:rsid w:val="000F178B"/>
    <w:rsid w:val="000F191C"/>
    <w:rsid w:val="000F2173"/>
    <w:rsid w:val="000F2294"/>
    <w:rsid w:val="000F22B6"/>
    <w:rsid w:val="000F2336"/>
    <w:rsid w:val="000F2530"/>
    <w:rsid w:val="000F39A1"/>
    <w:rsid w:val="000F39CF"/>
    <w:rsid w:val="000F3BC9"/>
    <w:rsid w:val="000F3E83"/>
    <w:rsid w:val="000F44E9"/>
    <w:rsid w:val="000F48FE"/>
    <w:rsid w:val="000F4DDF"/>
    <w:rsid w:val="000F5582"/>
    <w:rsid w:val="000F5F74"/>
    <w:rsid w:val="000F62B7"/>
    <w:rsid w:val="000F68F8"/>
    <w:rsid w:val="000F6D76"/>
    <w:rsid w:val="000F759A"/>
    <w:rsid w:val="000F764C"/>
    <w:rsid w:val="000F7F86"/>
    <w:rsid w:val="00100278"/>
    <w:rsid w:val="0010054C"/>
    <w:rsid w:val="0010169A"/>
    <w:rsid w:val="0010227E"/>
    <w:rsid w:val="00102584"/>
    <w:rsid w:val="001026CE"/>
    <w:rsid w:val="001035B5"/>
    <w:rsid w:val="0010392D"/>
    <w:rsid w:val="00103B14"/>
    <w:rsid w:val="00104DDF"/>
    <w:rsid w:val="00105985"/>
    <w:rsid w:val="00105A2F"/>
    <w:rsid w:val="00105B25"/>
    <w:rsid w:val="00105BAB"/>
    <w:rsid w:val="0010680B"/>
    <w:rsid w:val="00106E8B"/>
    <w:rsid w:val="001070D0"/>
    <w:rsid w:val="001101DB"/>
    <w:rsid w:val="001105A0"/>
    <w:rsid w:val="001108B4"/>
    <w:rsid w:val="00110919"/>
    <w:rsid w:val="001110D9"/>
    <w:rsid w:val="001113D9"/>
    <w:rsid w:val="00111521"/>
    <w:rsid w:val="00111F04"/>
    <w:rsid w:val="00112881"/>
    <w:rsid w:val="00113117"/>
    <w:rsid w:val="001132E2"/>
    <w:rsid w:val="001134F7"/>
    <w:rsid w:val="00113C7D"/>
    <w:rsid w:val="00113E2F"/>
    <w:rsid w:val="001140B2"/>
    <w:rsid w:val="00115ACD"/>
    <w:rsid w:val="00115C86"/>
    <w:rsid w:val="00116BB7"/>
    <w:rsid w:val="00116E31"/>
    <w:rsid w:val="0011770A"/>
    <w:rsid w:val="00117EA7"/>
    <w:rsid w:val="0012014F"/>
    <w:rsid w:val="001209A8"/>
    <w:rsid w:val="00120CAF"/>
    <w:rsid w:val="00121063"/>
    <w:rsid w:val="0012135F"/>
    <w:rsid w:val="001219D3"/>
    <w:rsid w:val="00121C7B"/>
    <w:rsid w:val="00121DD8"/>
    <w:rsid w:val="00122529"/>
    <w:rsid w:val="00122755"/>
    <w:rsid w:val="0012276C"/>
    <w:rsid w:val="00122B28"/>
    <w:rsid w:val="00122E6C"/>
    <w:rsid w:val="001232DA"/>
    <w:rsid w:val="001238DA"/>
    <w:rsid w:val="0012396C"/>
    <w:rsid w:val="00123D7F"/>
    <w:rsid w:val="00124F05"/>
    <w:rsid w:val="00125103"/>
    <w:rsid w:val="00125604"/>
    <w:rsid w:val="001256D1"/>
    <w:rsid w:val="001258F3"/>
    <w:rsid w:val="00125A62"/>
    <w:rsid w:val="00125C24"/>
    <w:rsid w:val="00126689"/>
    <w:rsid w:val="00126CFD"/>
    <w:rsid w:val="00126DCF"/>
    <w:rsid w:val="001273F0"/>
    <w:rsid w:val="00127418"/>
    <w:rsid w:val="001305E3"/>
    <w:rsid w:val="00131DDA"/>
    <w:rsid w:val="0013272D"/>
    <w:rsid w:val="00132BAB"/>
    <w:rsid w:val="00132D85"/>
    <w:rsid w:val="001330E6"/>
    <w:rsid w:val="00133277"/>
    <w:rsid w:val="001333FA"/>
    <w:rsid w:val="00134751"/>
    <w:rsid w:val="00134B3D"/>
    <w:rsid w:val="001356A6"/>
    <w:rsid w:val="00136BFB"/>
    <w:rsid w:val="001375A4"/>
    <w:rsid w:val="00140050"/>
    <w:rsid w:val="0014079C"/>
    <w:rsid w:val="001407BE"/>
    <w:rsid w:val="0014080E"/>
    <w:rsid w:val="00140AAF"/>
    <w:rsid w:val="00141132"/>
    <w:rsid w:val="0014153F"/>
    <w:rsid w:val="001416A5"/>
    <w:rsid w:val="00141912"/>
    <w:rsid w:val="001427B0"/>
    <w:rsid w:val="001436DB"/>
    <w:rsid w:val="00143DC7"/>
    <w:rsid w:val="00143FE1"/>
    <w:rsid w:val="0014406E"/>
    <w:rsid w:val="00144180"/>
    <w:rsid w:val="001441F7"/>
    <w:rsid w:val="00144A73"/>
    <w:rsid w:val="001454D6"/>
    <w:rsid w:val="00145859"/>
    <w:rsid w:val="00145909"/>
    <w:rsid w:val="001473B2"/>
    <w:rsid w:val="00147BA5"/>
    <w:rsid w:val="00147D01"/>
    <w:rsid w:val="00147F75"/>
    <w:rsid w:val="00150202"/>
    <w:rsid w:val="00150FCA"/>
    <w:rsid w:val="001513CC"/>
    <w:rsid w:val="0015173E"/>
    <w:rsid w:val="00151B26"/>
    <w:rsid w:val="00151BF0"/>
    <w:rsid w:val="00152340"/>
    <w:rsid w:val="00152498"/>
    <w:rsid w:val="00152DDC"/>
    <w:rsid w:val="00152DF0"/>
    <w:rsid w:val="00153583"/>
    <w:rsid w:val="001540F0"/>
    <w:rsid w:val="00154EFA"/>
    <w:rsid w:val="001551E4"/>
    <w:rsid w:val="001556B6"/>
    <w:rsid w:val="00155ACB"/>
    <w:rsid w:val="00156A0D"/>
    <w:rsid w:val="00156D17"/>
    <w:rsid w:val="00156E3A"/>
    <w:rsid w:val="00156E79"/>
    <w:rsid w:val="0015729C"/>
    <w:rsid w:val="00157F14"/>
    <w:rsid w:val="00160DBE"/>
    <w:rsid w:val="00160FCC"/>
    <w:rsid w:val="00161236"/>
    <w:rsid w:val="00161629"/>
    <w:rsid w:val="00161755"/>
    <w:rsid w:val="0016179B"/>
    <w:rsid w:val="00162B67"/>
    <w:rsid w:val="00163382"/>
    <w:rsid w:val="001637D2"/>
    <w:rsid w:val="00163DA9"/>
    <w:rsid w:val="00163E95"/>
    <w:rsid w:val="00164517"/>
    <w:rsid w:val="0016482F"/>
    <w:rsid w:val="00165031"/>
    <w:rsid w:val="00165A89"/>
    <w:rsid w:val="00165A9C"/>
    <w:rsid w:val="00165BB3"/>
    <w:rsid w:val="00165E35"/>
    <w:rsid w:val="00165FD1"/>
    <w:rsid w:val="001661C5"/>
    <w:rsid w:val="00166CF5"/>
    <w:rsid w:val="00167A07"/>
    <w:rsid w:val="00167B61"/>
    <w:rsid w:val="00170699"/>
    <w:rsid w:val="00170CD7"/>
    <w:rsid w:val="00170D7E"/>
    <w:rsid w:val="00171020"/>
    <w:rsid w:val="00171CC7"/>
    <w:rsid w:val="00171F58"/>
    <w:rsid w:val="00173AE8"/>
    <w:rsid w:val="00174D56"/>
    <w:rsid w:val="00175C50"/>
    <w:rsid w:val="00175E2E"/>
    <w:rsid w:val="001777F9"/>
    <w:rsid w:val="00180005"/>
    <w:rsid w:val="0018031D"/>
    <w:rsid w:val="0018175E"/>
    <w:rsid w:val="00181838"/>
    <w:rsid w:val="00181A4C"/>
    <w:rsid w:val="00182A95"/>
    <w:rsid w:val="00182ACC"/>
    <w:rsid w:val="00183580"/>
    <w:rsid w:val="001836E8"/>
    <w:rsid w:val="00184227"/>
    <w:rsid w:val="00184951"/>
    <w:rsid w:val="00184BF4"/>
    <w:rsid w:val="00184F84"/>
    <w:rsid w:val="00185804"/>
    <w:rsid w:val="00185BFA"/>
    <w:rsid w:val="001864A9"/>
    <w:rsid w:val="001865CC"/>
    <w:rsid w:val="00186A43"/>
    <w:rsid w:val="00186E21"/>
    <w:rsid w:val="00187225"/>
    <w:rsid w:val="00187322"/>
    <w:rsid w:val="001877CD"/>
    <w:rsid w:val="001877DC"/>
    <w:rsid w:val="0019011C"/>
    <w:rsid w:val="001902DA"/>
    <w:rsid w:val="001904CD"/>
    <w:rsid w:val="001905F7"/>
    <w:rsid w:val="00190CE0"/>
    <w:rsid w:val="00191FD9"/>
    <w:rsid w:val="001920E4"/>
    <w:rsid w:val="00192656"/>
    <w:rsid w:val="00193029"/>
    <w:rsid w:val="0019346B"/>
    <w:rsid w:val="001934C0"/>
    <w:rsid w:val="00193D82"/>
    <w:rsid w:val="00194286"/>
    <w:rsid w:val="0019492E"/>
    <w:rsid w:val="00194B91"/>
    <w:rsid w:val="00194CA3"/>
    <w:rsid w:val="00196041"/>
    <w:rsid w:val="001962EA"/>
    <w:rsid w:val="0019649C"/>
    <w:rsid w:val="00196974"/>
    <w:rsid w:val="0019699B"/>
    <w:rsid w:val="00196EBA"/>
    <w:rsid w:val="00196F19"/>
    <w:rsid w:val="00197840"/>
    <w:rsid w:val="00197A9A"/>
    <w:rsid w:val="001A07BD"/>
    <w:rsid w:val="001A0854"/>
    <w:rsid w:val="001A1AD1"/>
    <w:rsid w:val="001A1E6E"/>
    <w:rsid w:val="001A3458"/>
    <w:rsid w:val="001A40F0"/>
    <w:rsid w:val="001A4590"/>
    <w:rsid w:val="001A492A"/>
    <w:rsid w:val="001A4B12"/>
    <w:rsid w:val="001A4CF9"/>
    <w:rsid w:val="001A4FF7"/>
    <w:rsid w:val="001A618D"/>
    <w:rsid w:val="001A65CA"/>
    <w:rsid w:val="001A68E3"/>
    <w:rsid w:val="001A7030"/>
    <w:rsid w:val="001A743A"/>
    <w:rsid w:val="001A77DB"/>
    <w:rsid w:val="001B0187"/>
    <w:rsid w:val="001B1F62"/>
    <w:rsid w:val="001B2568"/>
    <w:rsid w:val="001B33B8"/>
    <w:rsid w:val="001B3621"/>
    <w:rsid w:val="001B3B1D"/>
    <w:rsid w:val="001B4775"/>
    <w:rsid w:val="001B537A"/>
    <w:rsid w:val="001B5413"/>
    <w:rsid w:val="001B545B"/>
    <w:rsid w:val="001B59F5"/>
    <w:rsid w:val="001B5B7E"/>
    <w:rsid w:val="001B6171"/>
    <w:rsid w:val="001B690A"/>
    <w:rsid w:val="001B6ED9"/>
    <w:rsid w:val="001B723B"/>
    <w:rsid w:val="001B796C"/>
    <w:rsid w:val="001B7D17"/>
    <w:rsid w:val="001B7FA5"/>
    <w:rsid w:val="001B7FE0"/>
    <w:rsid w:val="001C02B4"/>
    <w:rsid w:val="001C0387"/>
    <w:rsid w:val="001C062F"/>
    <w:rsid w:val="001C0BE7"/>
    <w:rsid w:val="001C10D4"/>
    <w:rsid w:val="001C1188"/>
    <w:rsid w:val="001C124F"/>
    <w:rsid w:val="001C1596"/>
    <w:rsid w:val="001C1759"/>
    <w:rsid w:val="001C1EE7"/>
    <w:rsid w:val="001C20D6"/>
    <w:rsid w:val="001C215C"/>
    <w:rsid w:val="001C2339"/>
    <w:rsid w:val="001C28DD"/>
    <w:rsid w:val="001C2DDC"/>
    <w:rsid w:val="001C3148"/>
    <w:rsid w:val="001C3505"/>
    <w:rsid w:val="001C3ACD"/>
    <w:rsid w:val="001C57B0"/>
    <w:rsid w:val="001C5D5A"/>
    <w:rsid w:val="001C6679"/>
    <w:rsid w:val="001C668F"/>
    <w:rsid w:val="001C68E2"/>
    <w:rsid w:val="001C6CBB"/>
    <w:rsid w:val="001C6EFC"/>
    <w:rsid w:val="001C7091"/>
    <w:rsid w:val="001C72E4"/>
    <w:rsid w:val="001C790D"/>
    <w:rsid w:val="001C7A8C"/>
    <w:rsid w:val="001D0105"/>
    <w:rsid w:val="001D0AE1"/>
    <w:rsid w:val="001D1656"/>
    <w:rsid w:val="001D20B8"/>
    <w:rsid w:val="001D2792"/>
    <w:rsid w:val="001D2857"/>
    <w:rsid w:val="001D2CF4"/>
    <w:rsid w:val="001D3585"/>
    <w:rsid w:val="001D50D0"/>
    <w:rsid w:val="001D53B5"/>
    <w:rsid w:val="001D599A"/>
    <w:rsid w:val="001D6168"/>
    <w:rsid w:val="001D71CB"/>
    <w:rsid w:val="001D728C"/>
    <w:rsid w:val="001D7560"/>
    <w:rsid w:val="001D759F"/>
    <w:rsid w:val="001E0752"/>
    <w:rsid w:val="001E08B8"/>
    <w:rsid w:val="001E09DD"/>
    <w:rsid w:val="001E21F4"/>
    <w:rsid w:val="001E23BD"/>
    <w:rsid w:val="001E2B36"/>
    <w:rsid w:val="001E3026"/>
    <w:rsid w:val="001E3486"/>
    <w:rsid w:val="001E3686"/>
    <w:rsid w:val="001E3E22"/>
    <w:rsid w:val="001E4A04"/>
    <w:rsid w:val="001E5003"/>
    <w:rsid w:val="001E6395"/>
    <w:rsid w:val="001E7437"/>
    <w:rsid w:val="001E7C6A"/>
    <w:rsid w:val="001F0434"/>
    <w:rsid w:val="001F0A4B"/>
    <w:rsid w:val="001F1847"/>
    <w:rsid w:val="001F1C0D"/>
    <w:rsid w:val="001F2260"/>
    <w:rsid w:val="001F240B"/>
    <w:rsid w:val="001F29E3"/>
    <w:rsid w:val="001F2BFB"/>
    <w:rsid w:val="001F2C90"/>
    <w:rsid w:val="001F2DCF"/>
    <w:rsid w:val="001F2FE6"/>
    <w:rsid w:val="001F333F"/>
    <w:rsid w:val="001F3AE1"/>
    <w:rsid w:val="001F3DC5"/>
    <w:rsid w:val="001F4261"/>
    <w:rsid w:val="001F5431"/>
    <w:rsid w:val="001F56DC"/>
    <w:rsid w:val="001F580F"/>
    <w:rsid w:val="001F5FC3"/>
    <w:rsid w:val="001F6116"/>
    <w:rsid w:val="001F63E6"/>
    <w:rsid w:val="001F64A9"/>
    <w:rsid w:val="001F6726"/>
    <w:rsid w:val="001F6C83"/>
    <w:rsid w:val="001F78C1"/>
    <w:rsid w:val="001F7A52"/>
    <w:rsid w:val="001F7AEB"/>
    <w:rsid w:val="001F7C07"/>
    <w:rsid w:val="00200194"/>
    <w:rsid w:val="00200B0F"/>
    <w:rsid w:val="0020110B"/>
    <w:rsid w:val="002014E5"/>
    <w:rsid w:val="00202768"/>
    <w:rsid w:val="00202F23"/>
    <w:rsid w:val="002033D9"/>
    <w:rsid w:val="00204000"/>
    <w:rsid w:val="002044DF"/>
    <w:rsid w:val="00205339"/>
    <w:rsid w:val="00205A58"/>
    <w:rsid w:val="00205A9D"/>
    <w:rsid w:val="00205B50"/>
    <w:rsid w:val="00205EF5"/>
    <w:rsid w:val="0020601B"/>
    <w:rsid w:val="002061AC"/>
    <w:rsid w:val="002065E8"/>
    <w:rsid w:val="0020691A"/>
    <w:rsid w:val="0020796B"/>
    <w:rsid w:val="00207DF0"/>
    <w:rsid w:val="0021038E"/>
    <w:rsid w:val="00210422"/>
    <w:rsid w:val="00210774"/>
    <w:rsid w:val="002118B7"/>
    <w:rsid w:val="002124F0"/>
    <w:rsid w:val="002125AB"/>
    <w:rsid w:val="00212E16"/>
    <w:rsid w:val="00213095"/>
    <w:rsid w:val="002131B9"/>
    <w:rsid w:val="00213BC5"/>
    <w:rsid w:val="00213C0F"/>
    <w:rsid w:val="00214F35"/>
    <w:rsid w:val="00215601"/>
    <w:rsid w:val="0021651B"/>
    <w:rsid w:val="00216B80"/>
    <w:rsid w:val="00217764"/>
    <w:rsid w:val="00220148"/>
    <w:rsid w:val="0022176C"/>
    <w:rsid w:val="00221A72"/>
    <w:rsid w:val="00221E29"/>
    <w:rsid w:val="00222544"/>
    <w:rsid w:val="0022275F"/>
    <w:rsid w:val="00222E74"/>
    <w:rsid w:val="0022400D"/>
    <w:rsid w:val="00224378"/>
    <w:rsid w:val="00224561"/>
    <w:rsid w:val="002248DA"/>
    <w:rsid w:val="00224C3A"/>
    <w:rsid w:val="00224E66"/>
    <w:rsid w:val="00225029"/>
    <w:rsid w:val="002269E2"/>
    <w:rsid w:val="00227312"/>
    <w:rsid w:val="002275C9"/>
    <w:rsid w:val="002277E9"/>
    <w:rsid w:val="00227F04"/>
    <w:rsid w:val="00227F35"/>
    <w:rsid w:val="002309EA"/>
    <w:rsid w:val="00230E49"/>
    <w:rsid w:val="002318E7"/>
    <w:rsid w:val="00231994"/>
    <w:rsid w:val="00231A35"/>
    <w:rsid w:val="00231FD0"/>
    <w:rsid w:val="002324B6"/>
    <w:rsid w:val="00232544"/>
    <w:rsid w:val="002329EF"/>
    <w:rsid w:val="00232C9F"/>
    <w:rsid w:val="00233202"/>
    <w:rsid w:val="00233452"/>
    <w:rsid w:val="00233C45"/>
    <w:rsid w:val="00233F17"/>
    <w:rsid w:val="00234AF0"/>
    <w:rsid w:val="00234DB4"/>
    <w:rsid w:val="00235011"/>
    <w:rsid w:val="0023505C"/>
    <w:rsid w:val="00235109"/>
    <w:rsid w:val="002358FE"/>
    <w:rsid w:val="0023598E"/>
    <w:rsid w:val="00236CCD"/>
    <w:rsid w:val="00236DE0"/>
    <w:rsid w:val="00240BA4"/>
    <w:rsid w:val="00240E1B"/>
    <w:rsid w:val="00240F20"/>
    <w:rsid w:val="00241BC1"/>
    <w:rsid w:val="0024209D"/>
    <w:rsid w:val="00242B10"/>
    <w:rsid w:val="00243EAA"/>
    <w:rsid w:val="00244765"/>
    <w:rsid w:val="00244A97"/>
    <w:rsid w:val="00245864"/>
    <w:rsid w:val="00246095"/>
    <w:rsid w:val="0024706D"/>
    <w:rsid w:val="00247288"/>
    <w:rsid w:val="0024747B"/>
    <w:rsid w:val="00247897"/>
    <w:rsid w:val="002508E9"/>
    <w:rsid w:val="00251094"/>
    <w:rsid w:val="002511BC"/>
    <w:rsid w:val="00251427"/>
    <w:rsid w:val="00252000"/>
    <w:rsid w:val="0025254F"/>
    <w:rsid w:val="002531BA"/>
    <w:rsid w:val="00253442"/>
    <w:rsid w:val="00253FE6"/>
    <w:rsid w:val="0025400C"/>
    <w:rsid w:val="0025463D"/>
    <w:rsid w:val="00255874"/>
    <w:rsid w:val="00255E47"/>
    <w:rsid w:val="00256257"/>
    <w:rsid w:val="00256922"/>
    <w:rsid w:val="002571B0"/>
    <w:rsid w:val="0026038D"/>
    <w:rsid w:val="0026109A"/>
    <w:rsid w:val="00261552"/>
    <w:rsid w:val="00261697"/>
    <w:rsid w:val="00261798"/>
    <w:rsid w:val="00261BE6"/>
    <w:rsid w:val="00261F1A"/>
    <w:rsid w:val="002629BC"/>
    <w:rsid w:val="00262C8A"/>
    <w:rsid w:val="00263D3B"/>
    <w:rsid w:val="002647C8"/>
    <w:rsid w:val="00265FE3"/>
    <w:rsid w:val="0026607E"/>
    <w:rsid w:val="00267307"/>
    <w:rsid w:val="0027062C"/>
    <w:rsid w:val="00271C2E"/>
    <w:rsid w:val="0027209E"/>
    <w:rsid w:val="002729F7"/>
    <w:rsid w:val="002734C6"/>
    <w:rsid w:val="0027429D"/>
    <w:rsid w:val="002744F6"/>
    <w:rsid w:val="002755F5"/>
    <w:rsid w:val="002757F4"/>
    <w:rsid w:val="00275821"/>
    <w:rsid w:val="00275C1F"/>
    <w:rsid w:val="00275E16"/>
    <w:rsid w:val="0027602B"/>
    <w:rsid w:val="002761B6"/>
    <w:rsid w:val="0027794E"/>
    <w:rsid w:val="00277A25"/>
    <w:rsid w:val="00277AD8"/>
    <w:rsid w:val="00277F59"/>
    <w:rsid w:val="00280144"/>
    <w:rsid w:val="00281061"/>
    <w:rsid w:val="002819C9"/>
    <w:rsid w:val="0028224E"/>
    <w:rsid w:val="002824F4"/>
    <w:rsid w:val="00282704"/>
    <w:rsid w:val="00282D83"/>
    <w:rsid w:val="00283290"/>
    <w:rsid w:val="002844A9"/>
    <w:rsid w:val="00284656"/>
    <w:rsid w:val="00285E32"/>
    <w:rsid w:val="00286148"/>
    <w:rsid w:val="002865B6"/>
    <w:rsid w:val="00286B1D"/>
    <w:rsid w:val="0028706F"/>
    <w:rsid w:val="002905B4"/>
    <w:rsid w:val="00291FA1"/>
    <w:rsid w:val="00292BE1"/>
    <w:rsid w:val="0029325D"/>
    <w:rsid w:val="002936E7"/>
    <w:rsid w:val="00294E33"/>
    <w:rsid w:val="00295297"/>
    <w:rsid w:val="00295618"/>
    <w:rsid w:val="00295CC2"/>
    <w:rsid w:val="00295E3C"/>
    <w:rsid w:val="00296087"/>
    <w:rsid w:val="002960BB"/>
    <w:rsid w:val="002967D9"/>
    <w:rsid w:val="00296B9A"/>
    <w:rsid w:val="0029718E"/>
    <w:rsid w:val="00297820"/>
    <w:rsid w:val="002A081A"/>
    <w:rsid w:val="002A0921"/>
    <w:rsid w:val="002A15E7"/>
    <w:rsid w:val="002A163D"/>
    <w:rsid w:val="002A1A81"/>
    <w:rsid w:val="002A1DD0"/>
    <w:rsid w:val="002A1E89"/>
    <w:rsid w:val="002A1EBA"/>
    <w:rsid w:val="002A238F"/>
    <w:rsid w:val="002A3A89"/>
    <w:rsid w:val="002A4123"/>
    <w:rsid w:val="002A41B7"/>
    <w:rsid w:val="002A4AA2"/>
    <w:rsid w:val="002A4E4E"/>
    <w:rsid w:val="002A537E"/>
    <w:rsid w:val="002A53DF"/>
    <w:rsid w:val="002A55E3"/>
    <w:rsid w:val="002A5A95"/>
    <w:rsid w:val="002A5B3A"/>
    <w:rsid w:val="002A5FE3"/>
    <w:rsid w:val="002A6332"/>
    <w:rsid w:val="002A6C3C"/>
    <w:rsid w:val="002A6E04"/>
    <w:rsid w:val="002A6EE3"/>
    <w:rsid w:val="002A7990"/>
    <w:rsid w:val="002B0508"/>
    <w:rsid w:val="002B055A"/>
    <w:rsid w:val="002B095B"/>
    <w:rsid w:val="002B18E9"/>
    <w:rsid w:val="002B1E62"/>
    <w:rsid w:val="002B1F57"/>
    <w:rsid w:val="002B2550"/>
    <w:rsid w:val="002B3E90"/>
    <w:rsid w:val="002B4702"/>
    <w:rsid w:val="002B4E24"/>
    <w:rsid w:val="002B50EC"/>
    <w:rsid w:val="002B5A8D"/>
    <w:rsid w:val="002B5CF7"/>
    <w:rsid w:val="002B5DD2"/>
    <w:rsid w:val="002B5FFA"/>
    <w:rsid w:val="002B62A0"/>
    <w:rsid w:val="002B6374"/>
    <w:rsid w:val="002B6720"/>
    <w:rsid w:val="002B69CB"/>
    <w:rsid w:val="002C004A"/>
    <w:rsid w:val="002C0587"/>
    <w:rsid w:val="002C076D"/>
    <w:rsid w:val="002C0816"/>
    <w:rsid w:val="002C1ABF"/>
    <w:rsid w:val="002C2116"/>
    <w:rsid w:val="002C21E2"/>
    <w:rsid w:val="002C240D"/>
    <w:rsid w:val="002C2441"/>
    <w:rsid w:val="002C369F"/>
    <w:rsid w:val="002C3B6F"/>
    <w:rsid w:val="002C446E"/>
    <w:rsid w:val="002C4BD1"/>
    <w:rsid w:val="002C4D3A"/>
    <w:rsid w:val="002C4DC2"/>
    <w:rsid w:val="002C4E6B"/>
    <w:rsid w:val="002C5A1D"/>
    <w:rsid w:val="002C60E7"/>
    <w:rsid w:val="002C640A"/>
    <w:rsid w:val="002C6B0B"/>
    <w:rsid w:val="002C6C8C"/>
    <w:rsid w:val="002C72F2"/>
    <w:rsid w:val="002C7AC7"/>
    <w:rsid w:val="002C7EC1"/>
    <w:rsid w:val="002D0333"/>
    <w:rsid w:val="002D1565"/>
    <w:rsid w:val="002D16A9"/>
    <w:rsid w:val="002D2025"/>
    <w:rsid w:val="002D21EC"/>
    <w:rsid w:val="002D2B4D"/>
    <w:rsid w:val="002D2B65"/>
    <w:rsid w:val="002D2C17"/>
    <w:rsid w:val="002D2F56"/>
    <w:rsid w:val="002D34B0"/>
    <w:rsid w:val="002D34CC"/>
    <w:rsid w:val="002D3846"/>
    <w:rsid w:val="002D431B"/>
    <w:rsid w:val="002D46C5"/>
    <w:rsid w:val="002D49D9"/>
    <w:rsid w:val="002D4C03"/>
    <w:rsid w:val="002D4C04"/>
    <w:rsid w:val="002D4D82"/>
    <w:rsid w:val="002D5249"/>
    <w:rsid w:val="002D59AD"/>
    <w:rsid w:val="002D5AD5"/>
    <w:rsid w:val="002D5B23"/>
    <w:rsid w:val="002D5E2B"/>
    <w:rsid w:val="002D6560"/>
    <w:rsid w:val="002D66F4"/>
    <w:rsid w:val="002D6A3A"/>
    <w:rsid w:val="002D6CA8"/>
    <w:rsid w:val="002D7808"/>
    <w:rsid w:val="002D780B"/>
    <w:rsid w:val="002E0440"/>
    <w:rsid w:val="002E063A"/>
    <w:rsid w:val="002E06A5"/>
    <w:rsid w:val="002E08E3"/>
    <w:rsid w:val="002E0E28"/>
    <w:rsid w:val="002E1305"/>
    <w:rsid w:val="002E1A81"/>
    <w:rsid w:val="002E1EF8"/>
    <w:rsid w:val="002E2502"/>
    <w:rsid w:val="002E25A1"/>
    <w:rsid w:val="002E2B85"/>
    <w:rsid w:val="002E2F12"/>
    <w:rsid w:val="002E3B01"/>
    <w:rsid w:val="002E3B0C"/>
    <w:rsid w:val="002E48BF"/>
    <w:rsid w:val="002E4C15"/>
    <w:rsid w:val="002E4EF9"/>
    <w:rsid w:val="002E4F0C"/>
    <w:rsid w:val="002E59B9"/>
    <w:rsid w:val="002E5AA7"/>
    <w:rsid w:val="002E60E2"/>
    <w:rsid w:val="002E6786"/>
    <w:rsid w:val="002E6D1E"/>
    <w:rsid w:val="002E7DBC"/>
    <w:rsid w:val="002F07A2"/>
    <w:rsid w:val="002F0F44"/>
    <w:rsid w:val="002F1A38"/>
    <w:rsid w:val="002F25A7"/>
    <w:rsid w:val="002F2B7B"/>
    <w:rsid w:val="002F2BA4"/>
    <w:rsid w:val="002F3212"/>
    <w:rsid w:val="002F3C54"/>
    <w:rsid w:val="002F4553"/>
    <w:rsid w:val="002F45D5"/>
    <w:rsid w:val="002F46C0"/>
    <w:rsid w:val="002F6D3E"/>
    <w:rsid w:val="002F7067"/>
    <w:rsid w:val="002F763C"/>
    <w:rsid w:val="002F7717"/>
    <w:rsid w:val="002F78AB"/>
    <w:rsid w:val="002F7DB2"/>
    <w:rsid w:val="00300347"/>
    <w:rsid w:val="0030086D"/>
    <w:rsid w:val="00300B10"/>
    <w:rsid w:val="00300BBC"/>
    <w:rsid w:val="00301197"/>
    <w:rsid w:val="003013F7"/>
    <w:rsid w:val="00301762"/>
    <w:rsid w:val="00301FDF"/>
    <w:rsid w:val="003037E5"/>
    <w:rsid w:val="00303E17"/>
    <w:rsid w:val="003040D5"/>
    <w:rsid w:val="00304358"/>
    <w:rsid w:val="0030458E"/>
    <w:rsid w:val="00304C92"/>
    <w:rsid w:val="00305146"/>
    <w:rsid w:val="003054BD"/>
    <w:rsid w:val="00305555"/>
    <w:rsid w:val="003057F1"/>
    <w:rsid w:val="00306BD0"/>
    <w:rsid w:val="00307014"/>
    <w:rsid w:val="003078FB"/>
    <w:rsid w:val="00307966"/>
    <w:rsid w:val="00307A13"/>
    <w:rsid w:val="0031016D"/>
    <w:rsid w:val="00310751"/>
    <w:rsid w:val="00310976"/>
    <w:rsid w:val="00310BCF"/>
    <w:rsid w:val="00310C91"/>
    <w:rsid w:val="00311256"/>
    <w:rsid w:val="00311297"/>
    <w:rsid w:val="00311660"/>
    <w:rsid w:val="003117F3"/>
    <w:rsid w:val="00311A2E"/>
    <w:rsid w:val="00311EAD"/>
    <w:rsid w:val="00312808"/>
    <w:rsid w:val="00312A9E"/>
    <w:rsid w:val="00312DC6"/>
    <w:rsid w:val="00313625"/>
    <w:rsid w:val="00313A94"/>
    <w:rsid w:val="0031418F"/>
    <w:rsid w:val="003144B4"/>
    <w:rsid w:val="003149B8"/>
    <w:rsid w:val="003152CC"/>
    <w:rsid w:val="00315C21"/>
    <w:rsid w:val="00316D7F"/>
    <w:rsid w:val="003178E7"/>
    <w:rsid w:val="00320016"/>
    <w:rsid w:val="0032113A"/>
    <w:rsid w:val="0032113E"/>
    <w:rsid w:val="00321D45"/>
    <w:rsid w:val="00321DE9"/>
    <w:rsid w:val="00321ED2"/>
    <w:rsid w:val="00321F8E"/>
    <w:rsid w:val="0032249D"/>
    <w:rsid w:val="0032399D"/>
    <w:rsid w:val="0032509B"/>
    <w:rsid w:val="00325C60"/>
    <w:rsid w:val="00325EA9"/>
    <w:rsid w:val="0032652B"/>
    <w:rsid w:val="00326DBB"/>
    <w:rsid w:val="00326E20"/>
    <w:rsid w:val="00327020"/>
    <w:rsid w:val="003274DF"/>
    <w:rsid w:val="00327A82"/>
    <w:rsid w:val="00327B56"/>
    <w:rsid w:val="00327B57"/>
    <w:rsid w:val="00330167"/>
    <w:rsid w:val="0033017F"/>
    <w:rsid w:val="0033099B"/>
    <w:rsid w:val="003318B2"/>
    <w:rsid w:val="00331A90"/>
    <w:rsid w:val="003323B6"/>
    <w:rsid w:val="003327CA"/>
    <w:rsid w:val="0033309A"/>
    <w:rsid w:val="00333FF8"/>
    <w:rsid w:val="00336495"/>
    <w:rsid w:val="00336FD9"/>
    <w:rsid w:val="003371E0"/>
    <w:rsid w:val="00337473"/>
    <w:rsid w:val="003402E1"/>
    <w:rsid w:val="003404F2"/>
    <w:rsid w:val="003419D9"/>
    <w:rsid w:val="00341BDE"/>
    <w:rsid w:val="0034225C"/>
    <w:rsid w:val="0034233A"/>
    <w:rsid w:val="003423AC"/>
    <w:rsid w:val="003427AB"/>
    <w:rsid w:val="00342B0F"/>
    <w:rsid w:val="00342CAF"/>
    <w:rsid w:val="003432FF"/>
    <w:rsid w:val="0034339A"/>
    <w:rsid w:val="00343F58"/>
    <w:rsid w:val="00345224"/>
    <w:rsid w:val="00347B09"/>
    <w:rsid w:val="00347E13"/>
    <w:rsid w:val="00347EB8"/>
    <w:rsid w:val="0035036D"/>
    <w:rsid w:val="003503D9"/>
    <w:rsid w:val="00350D29"/>
    <w:rsid w:val="00350D9B"/>
    <w:rsid w:val="00350E35"/>
    <w:rsid w:val="00351166"/>
    <w:rsid w:val="003518C2"/>
    <w:rsid w:val="00351DE9"/>
    <w:rsid w:val="00352375"/>
    <w:rsid w:val="00352617"/>
    <w:rsid w:val="003535F3"/>
    <w:rsid w:val="00354108"/>
    <w:rsid w:val="003547D7"/>
    <w:rsid w:val="003552D9"/>
    <w:rsid w:val="003556C8"/>
    <w:rsid w:val="00355DDA"/>
    <w:rsid w:val="00356319"/>
    <w:rsid w:val="003564AE"/>
    <w:rsid w:val="003564F4"/>
    <w:rsid w:val="00356959"/>
    <w:rsid w:val="00356ED9"/>
    <w:rsid w:val="00357518"/>
    <w:rsid w:val="00360460"/>
    <w:rsid w:val="00360951"/>
    <w:rsid w:val="00360FE6"/>
    <w:rsid w:val="003612E2"/>
    <w:rsid w:val="00361689"/>
    <w:rsid w:val="00361DA1"/>
    <w:rsid w:val="00361E44"/>
    <w:rsid w:val="003626BB"/>
    <w:rsid w:val="0036283E"/>
    <w:rsid w:val="00362E51"/>
    <w:rsid w:val="00363B35"/>
    <w:rsid w:val="003642AD"/>
    <w:rsid w:val="0036442C"/>
    <w:rsid w:val="003648EF"/>
    <w:rsid w:val="00364A12"/>
    <w:rsid w:val="003655F4"/>
    <w:rsid w:val="00365806"/>
    <w:rsid w:val="003659C6"/>
    <w:rsid w:val="00366161"/>
    <w:rsid w:val="003669B4"/>
    <w:rsid w:val="00366ACC"/>
    <w:rsid w:val="003670E8"/>
    <w:rsid w:val="00367436"/>
    <w:rsid w:val="00367A84"/>
    <w:rsid w:val="00367E19"/>
    <w:rsid w:val="00367FDB"/>
    <w:rsid w:val="00370B87"/>
    <w:rsid w:val="003712A9"/>
    <w:rsid w:val="003722DF"/>
    <w:rsid w:val="00372D4B"/>
    <w:rsid w:val="00372EA7"/>
    <w:rsid w:val="00373778"/>
    <w:rsid w:val="003746F8"/>
    <w:rsid w:val="00374ED1"/>
    <w:rsid w:val="00375752"/>
    <w:rsid w:val="003757C0"/>
    <w:rsid w:val="00375C94"/>
    <w:rsid w:val="00375DDA"/>
    <w:rsid w:val="00375EFF"/>
    <w:rsid w:val="00375F7F"/>
    <w:rsid w:val="003760F5"/>
    <w:rsid w:val="003764F2"/>
    <w:rsid w:val="0037746F"/>
    <w:rsid w:val="00377638"/>
    <w:rsid w:val="003778A9"/>
    <w:rsid w:val="0037793E"/>
    <w:rsid w:val="00377AAA"/>
    <w:rsid w:val="003801EA"/>
    <w:rsid w:val="0038178F"/>
    <w:rsid w:val="00381D8D"/>
    <w:rsid w:val="00382204"/>
    <w:rsid w:val="00382343"/>
    <w:rsid w:val="0038243B"/>
    <w:rsid w:val="00382960"/>
    <w:rsid w:val="00383942"/>
    <w:rsid w:val="00383CF6"/>
    <w:rsid w:val="00383D02"/>
    <w:rsid w:val="00384885"/>
    <w:rsid w:val="00384BC2"/>
    <w:rsid w:val="003859BE"/>
    <w:rsid w:val="00385DBA"/>
    <w:rsid w:val="00385F2D"/>
    <w:rsid w:val="003860F6"/>
    <w:rsid w:val="003863F2"/>
    <w:rsid w:val="003866C5"/>
    <w:rsid w:val="00386BFA"/>
    <w:rsid w:val="00387472"/>
    <w:rsid w:val="003878D5"/>
    <w:rsid w:val="00387912"/>
    <w:rsid w:val="00387EC4"/>
    <w:rsid w:val="00390092"/>
    <w:rsid w:val="003900F7"/>
    <w:rsid w:val="003903C9"/>
    <w:rsid w:val="0039055D"/>
    <w:rsid w:val="003906CE"/>
    <w:rsid w:val="0039072E"/>
    <w:rsid w:val="0039074D"/>
    <w:rsid w:val="00390B40"/>
    <w:rsid w:val="0039262A"/>
    <w:rsid w:val="003927AA"/>
    <w:rsid w:val="00392DAC"/>
    <w:rsid w:val="003938FB"/>
    <w:rsid w:val="0039410E"/>
    <w:rsid w:val="003941C8"/>
    <w:rsid w:val="00394A7B"/>
    <w:rsid w:val="00394A8E"/>
    <w:rsid w:val="00395242"/>
    <w:rsid w:val="003962B9"/>
    <w:rsid w:val="00396399"/>
    <w:rsid w:val="00397AF4"/>
    <w:rsid w:val="00397C0D"/>
    <w:rsid w:val="00397C95"/>
    <w:rsid w:val="003A05AD"/>
    <w:rsid w:val="003A0646"/>
    <w:rsid w:val="003A0804"/>
    <w:rsid w:val="003A0C8E"/>
    <w:rsid w:val="003A0CB7"/>
    <w:rsid w:val="003A15C4"/>
    <w:rsid w:val="003A17A6"/>
    <w:rsid w:val="003A1BA5"/>
    <w:rsid w:val="003A3628"/>
    <w:rsid w:val="003A388D"/>
    <w:rsid w:val="003A3ECA"/>
    <w:rsid w:val="003A40A9"/>
    <w:rsid w:val="003A4F95"/>
    <w:rsid w:val="003A595B"/>
    <w:rsid w:val="003A5E44"/>
    <w:rsid w:val="003A680C"/>
    <w:rsid w:val="003A7C35"/>
    <w:rsid w:val="003B04EA"/>
    <w:rsid w:val="003B0532"/>
    <w:rsid w:val="003B0652"/>
    <w:rsid w:val="003B0D06"/>
    <w:rsid w:val="003B1428"/>
    <w:rsid w:val="003B33FB"/>
    <w:rsid w:val="003B3C27"/>
    <w:rsid w:val="003B3CA3"/>
    <w:rsid w:val="003B3E17"/>
    <w:rsid w:val="003B46B0"/>
    <w:rsid w:val="003B49B6"/>
    <w:rsid w:val="003B4B6C"/>
    <w:rsid w:val="003B4D63"/>
    <w:rsid w:val="003B4EE7"/>
    <w:rsid w:val="003B5280"/>
    <w:rsid w:val="003B57CE"/>
    <w:rsid w:val="003B5967"/>
    <w:rsid w:val="003B5B55"/>
    <w:rsid w:val="003B5CC2"/>
    <w:rsid w:val="003B6005"/>
    <w:rsid w:val="003B6A37"/>
    <w:rsid w:val="003B7116"/>
    <w:rsid w:val="003B716D"/>
    <w:rsid w:val="003B7A52"/>
    <w:rsid w:val="003B7A75"/>
    <w:rsid w:val="003C0A63"/>
    <w:rsid w:val="003C19A6"/>
    <w:rsid w:val="003C1D94"/>
    <w:rsid w:val="003C309B"/>
    <w:rsid w:val="003C3503"/>
    <w:rsid w:val="003C3779"/>
    <w:rsid w:val="003C3DFD"/>
    <w:rsid w:val="003C3EAC"/>
    <w:rsid w:val="003C42E3"/>
    <w:rsid w:val="003C4E57"/>
    <w:rsid w:val="003C531F"/>
    <w:rsid w:val="003C60A4"/>
    <w:rsid w:val="003C638E"/>
    <w:rsid w:val="003C64BD"/>
    <w:rsid w:val="003C6826"/>
    <w:rsid w:val="003C6BC3"/>
    <w:rsid w:val="003C70E2"/>
    <w:rsid w:val="003C7F25"/>
    <w:rsid w:val="003D01DF"/>
    <w:rsid w:val="003D04A5"/>
    <w:rsid w:val="003D04FC"/>
    <w:rsid w:val="003D06F9"/>
    <w:rsid w:val="003D0B77"/>
    <w:rsid w:val="003D0C76"/>
    <w:rsid w:val="003D127A"/>
    <w:rsid w:val="003D1B11"/>
    <w:rsid w:val="003D1F0F"/>
    <w:rsid w:val="003D2C28"/>
    <w:rsid w:val="003D2DB4"/>
    <w:rsid w:val="003D356E"/>
    <w:rsid w:val="003D428F"/>
    <w:rsid w:val="003D467A"/>
    <w:rsid w:val="003D5467"/>
    <w:rsid w:val="003D5B53"/>
    <w:rsid w:val="003D5F27"/>
    <w:rsid w:val="003D6152"/>
    <w:rsid w:val="003D6709"/>
    <w:rsid w:val="003D6ABC"/>
    <w:rsid w:val="003D6F84"/>
    <w:rsid w:val="003D7231"/>
    <w:rsid w:val="003D73F7"/>
    <w:rsid w:val="003D73FD"/>
    <w:rsid w:val="003D74FD"/>
    <w:rsid w:val="003D7663"/>
    <w:rsid w:val="003E1293"/>
    <w:rsid w:val="003E15DC"/>
    <w:rsid w:val="003E180C"/>
    <w:rsid w:val="003E1898"/>
    <w:rsid w:val="003E26CF"/>
    <w:rsid w:val="003E2B4C"/>
    <w:rsid w:val="003E307C"/>
    <w:rsid w:val="003E325C"/>
    <w:rsid w:val="003E3882"/>
    <w:rsid w:val="003E3A06"/>
    <w:rsid w:val="003E5729"/>
    <w:rsid w:val="003E5C73"/>
    <w:rsid w:val="003E5E52"/>
    <w:rsid w:val="003E66F5"/>
    <w:rsid w:val="003E6C12"/>
    <w:rsid w:val="003E7198"/>
    <w:rsid w:val="003E7502"/>
    <w:rsid w:val="003E78E5"/>
    <w:rsid w:val="003E7CFF"/>
    <w:rsid w:val="003F0817"/>
    <w:rsid w:val="003F0B1F"/>
    <w:rsid w:val="003F0B8D"/>
    <w:rsid w:val="003F0BDE"/>
    <w:rsid w:val="003F0C71"/>
    <w:rsid w:val="003F15B3"/>
    <w:rsid w:val="003F173C"/>
    <w:rsid w:val="003F2BBB"/>
    <w:rsid w:val="003F3002"/>
    <w:rsid w:val="003F3426"/>
    <w:rsid w:val="003F3ABA"/>
    <w:rsid w:val="003F3CC5"/>
    <w:rsid w:val="003F3CF1"/>
    <w:rsid w:val="003F3F47"/>
    <w:rsid w:val="003F4BA3"/>
    <w:rsid w:val="003F545E"/>
    <w:rsid w:val="003F5D03"/>
    <w:rsid w:val="003F61CF"/>
    <w:rsid w:val="003F6393"/>
    <w:rsid w:val="003F7606"/>
    <w:rsid w:val="004004B6"/>
    <w:rsid w:val="00400E32"/>
    <w:rsid w:val="004014B2"/>
    <w:rsid w:val="00401A98"/>
    <w:rsid w:val="004027ED"/>
    <w:rsid w:val="00402945"/>
    <w:rsid w:val="00402AE8"/>
    <w:rsid w:val="00402BA7"/>
    <w:rsid w:val="00403DC4"/>
    <w:rsid w:val="0040408C"/>
    <w:rsid w:val="00404265"/>
    <w:rsid w:val="004042E8"/>
    <w:rsid w:val="00404AB0"/>
    <w:rsid w:val="00405349"/>
    <w:rsid w:val="0040591F"/>
    <w:rsid w:val="00405B55"/>
    <w:rsid w:val="00405CF2"/>
    <w:rsid w:val="0040635F"/>
    <w:rsid w:val="004067B5"/>
    <w:rsid w:val="00406ABC"/>
    <w:rsid w:val="00407310"/>
    <w:rsid w:val="00407369"/>
    <w:rsid w:val="0040743A"/>
    <w:rsid w:val="00407788"/>
    <w:rsid w:val="00407A28"/>
    <w:rsid w:val="00407CB0"/>
    <w:rsid w:val="0041083F"/>
    <w:rsid w:val="004111E3"/>
    <w:rsid w:val="004113EA"/>
    <w:rsid w:val="00411DEF"/>
    <w:rsid w:val="00412284"/>
    <w:rsid w:val="0041249D"/>
    <w:rsid w:val="00413203"/>
    <w:rsid w:val="0041429C"/>
    <w:rsid w:val="004145B9"/>
    <w:rsid w:val="00414EFB"/>
    <w:rsid w:val="004155CE"/>
    <w:rsid w:val="00416B67"/>
    <w:rsid w:val="00416D6F"/>
    <w:rsid w:val="00422EC5"/>
    <w:rsid w:val="00423423"/>
    <w:rsid w:val="00423B9C"/>
    <w:rsid w:val="00424363"/>
    <w:rsid w:val="00424EFC"/>
    <w:rsid w:val="0042530C"/>
    <w:rsid w:val="00425450"/>
    <w:rsid w:val="004257C4"/>
    <w:rsid w:val="00426187"/>
    <w:rsid w:val="00426252"/>
    <w:rsid w:val="00426650"/>
    <w:rsid w:val="0042760E"/>
    <w:rsid w:val="00427E55"/>
    <w:rsid w:val="004302D8"/>
    <w:rsid w:val="00430A43"/>
    <w:rsid w:val="004311C7"/>
    <w:rsid w:val="00431768"/>
    <w:rsid w:val="004319EB"/>
    <w:rsid w:val="00431D26"/>
    <w:rsid w:val="0043232D"/>
    <w:rsid w:val="004324BC"/>
    <w:rsid w:val="00432790"/>
    <w:rsid w:val="0043328F"/>
    <w:rsid w:val="00433312"/>
    <w:rsid w:val="00433A3A"/>
    <w:rsid w:val="00434144"/>
    <w:rsid w:val="00434910"/>
    <w:rsid w:val="00434EEF"/>
    <w:rsid w:val="00435B9E"/>
    <w:rsid w:val="00435D95"/>
    <w:rsid w:val="00436827"/>
    <w:rsid w:val="00437ACC"/>
    <w:rsid w:val="00437FA9"/>
    <w:rsid w:val="0044026D"/>
    <w:rsid w:val="00441483"/>
    <w:rsid w:val="00442CBB"/>
    <w:rsid w:val="00442DEB"/>
    <w:rsid w:val="00443212"/>
    <w:rsid w:val="00443529"/>
    <w:rsid w:val="0044360F"/>
    <w:rsid w:val="0044425D"/>
    <w:rsid w:val="004445E4"/>
    <w:rsid w:val="004461F5"/>
    <w:rsid w:val="00446AF0"/>
    <w:rsid w:val="0044708C"/>
    <w:rsid w:val="004478B6"/>
    <w:rsid w:val="0045005D"/>
    <w:rsid w:val="0045041A"/>
    <w:rsid w:val="004504D4"/>
    <w:rsid w:val="00451109"/>
    <w:rsid w:val="004512E2"/>
    <w:rsid w:val="00451A20"/>
    <w:rsid w:val="00451C98"/>
    <w:rsid w:val="00451CF6"/>
    <w:rsid w:val="00452253"/>
    <w:rsid w:val="00452698"/>
    <w:rsid w:val="004529B8"/>
    <w:rsid w:val="00452C40"/>
    <w:rsid w:val="00452EAA"/>
    <w:rsid w:val="00454034"/>
    <w:rsid w:val="004543E3"/>
    <w:rsid w:val="0045471B"/>
    <w:rsid w:val="0045523F"/>
    <w:rsid w:val="00455A42"/>
    <w:rsid w:val="00455AA2"/>
    <w:rsid w:val="004566D8"/>
    <w:rsid w:val="004571B4"/>
    <w:rsid w:val="004571E4"/>
    <w:rsid w:val="00457E38"/>
    <w:rsid w:val="00460AB7"/>
    <w:rsid w:val="00462358"/>
    <w:rsid w:val="0046280E"/>
    <w:rsid w:val="004635B1"/>
    <w:rsid w:val="00463D64"/>
    <w:rsid w:val="00463D85"/>
    <w:rsid w:val="00466C7C"/>
    <w:rsid w:val="00466E1B"/>
    <w:rsid w:val="0046736F"/>
    <w:rsid w:val="004679ED"/>
    <w:rsid w:val="00467A90"/>
    <w:rsid w:val="00467F90"/>
    <w:rsid w:val="0047004A"/>
    <w:rsid w:val="00470E76"/>
    <w:rsid w:val="00471FC1"/>
    <w:rsid w:val="0047390C"/>
    <w:rsid w:val="00473E16"/>
    <w:rsid w:val="00473FF6"/>
    <w:rsid w:val="00474605"/>
    <w:rsid w:val="00475213"/>
    <w:rsid w:val="0047523E"/>
    <w:rsid w:val="00475A9C"/>
    <w:rsid w:val="00475E83"/>
    <w:rsid w:val="00476107"/>
    <w:rsid w:val="0047660A"/>
    <w:rsid w:val="0047672F"/>
    <w:rsid w:val="004771F6"/>
    <w:rsid w:val="00477762"/>
    <w:rsid w:val="00477F10"/>
    <w:rsid w:val="00480283"/>
    <w:rsid w:val="004802BD"/>
    <w:rsid w:val="00480446"/>
    <w:rsid w:val="004807D9"/>
    <w:rsid w:val="00480A1C"/>
    <w:rsid w:val="00480AFA"/>
    <w:rsid w:val="00480B3B"/>
    <w:rsid w:val="00480D54"/>
    <w:rsid w:val="004816EE"/>
    <w:rsid w:val="00482F83"/>
    <w:rsid w:val="004833EF"/>
    <w:rsid w:val="00483582"/>
    <w:rsid w:val="00483ED3"/>
    <w:rsid w:val="00484338"/>
    <w:rsid w:val="0048472F"/>
    <w:rsid w:val="00484A61"/>
    <w:rsid w:val="0048510C"/>
    <w:rsid w:val="00485115"/>
    <w:rsid w:val="00485168"/>
    <w:rsid w:val="004851B2"/>
    <w:rsid w:val="004855FD"/>
    <w:rsid w:val="004856D4"/>
    <w:rsid w:val="00485841"/>
    <w:rsid w:val="00485899"/>
    <w:rsid w:val="0048612D"/>
    <w:rsid w:val="0048695A"/>
    <w:rsid w:val="00486FB5"/>
    <w:rsid w:val="00487041"/>
    <w:rsid w:val="004873CA"/>
    <w:rsid w:val="0048755D"/>
    <w:rsid w:val="0048779E"/>
    <w:rsid w:val="00487BE6"/>
    <w:rsid w:val="004907C4"/>
    <w:rsid w:val="004909DC"/>
    <w:rsid w:val="00490EA6"/>
    <w:rsid w:val="00491308"/>
    <w:rsid w:val="004914CF"/>
    <w:rsid w:val="00491822"/>
    <w:rsid w:val="00492838"/>
    <w:rsid w:val="00492955"/>
    <w:rsid w:val="0049336A"/>
    <w:rsid w:val="00493A15"/>
    <w:rsid w:val="004942B7"/>
    <w:rsid w:val="00494659"/>
    <w:rsid w:val="004946DA"/>
    <w:rsid w:val="00494F1F"/>
    <w:rsid w:val="004957F9"/>
    <w:rsid w:val="00495A64"/>
    <w:rsid w:val="00495C76"/>
    <w:rsid w:val="0049613A"/>
    <w:rsid w:val="0049626A"/>
    <w:rsid w:val="004970EB"/>
    <w:rsid w:val="004972C3"/>
    <w:rsid w:val="00497809"/>
    <w:rsid w:val="004978BF"/>
    <w:rsid w:val="00497C8C"/>
    <w:rsid w:val="004A0779"/>
    <w:rsid w:val="004A0863"/>
    <w:rsid w:val="004A08A6"/>
    <w:rsid w:val="004A0B59"/>
    <w:rsid w:val="004A0BA6"/>
    <w:rsid w:val="004A1216"/>
    <w:rsid w:val="004A1B68"/>
    <w:rsid w:val="004A374A"/>
    <w:rsid w:val="004A379C"/>
    <w:rsid w:val="004A4330"/>
    <w:rsid w:val="004A4862"/>
    <w:rsid w:val="004A48AE"/>
    <w:rsid w:val="004A4DCD"/>
    <w:rsid w:val="004A60D7"/>
    <w:rsid w:val="004A6167"/>
    <w:rsid w:val="004A63A7"/>
    <w:rsid w:val="004A7054"/>
    <w:rsid w:val="004A7171"/>
    <w:rsid w:val="004A7E3C"/>
    <w:rsid w:val="004B00BD"/>
    <w:rsid w:val="004B0AE6"/>
    <w:rsid w:val="004B19DE"/>
    <w:rsid w:val="004B1B0C"/>
    <w:rsid w:val="004B2831"/>
    <w:rsid w:val="004B2BBC"/>
    <w:rsid w:val="004B328B"/>
    <w:rsid w:val="004B383A"/>
    <w:rsid w:val="004B3B2C"/>
    <w:rsid w:val="004B4665"/>
    <w:rsid w:val="004B47B3"/>
    <w:rsid w:val="004B47BB"/>
    <w:rsid w:val="004B4B50"/>
    <w:rsid w:val="004B4B8F"/>
    <w:rsid w:val="004B4CDC"/>
    <w:rsid w:val="004B4DAD"/>
    <w:rsid w:val="004B4E03"/>
    <w:rsid w:val="004B52D7"/>
    <w:rsid w:val="004B5382"/>
    <w:rsid w:val="004B558C"/>
    <w:rsid w:val="004B5B92"/>
    <w:rsid w:val="004B63DD"/>
    <w:rsid w:val="004B699C"/>
    <w:rsid w:val="004B742F"/>
    <w:rsid w:val="004C0232"/>
    <w:rsid w:val="004C0778"/>
    <w:rsid w:val="004C0BC4"/>
    <w:rsid w:val="004C0C3F"/>
    <w:rsid w:val="004C1212"/>
    <w:rsid w:val="004C136A"/>
    <w:rsid w:val="004C182B"/>
    <w:rsid w:val="004C1E34"/>
    <w:rsid w:val="004C2074"/>
    <w:rsid w:val="004C214D"/>
    <w:rsid w:val="004C28F6"/>
    <w:rsid w:val="004C2953"/>
    <w:rsid w:val="004C2FA3"/>
    <w:rsid w:val="004C30A8"/>
    <w:rsid w:val="004C30CC"/>
    <w:rsid w:val="004C3365"/>
    <w:rsid w:val="004C4133"/>
    <w:rsid w:val="004C4556"/>
    <w:rsid w:val="004C4C2E"/>
    <w:rsid w:val="004C4F6B"/>
    <w:rsid w:val="004C50C9"/>
    <w:rsid w:val="004C5789"/>
    <w:rsid w:val="004C5A1D"/>
    <w:rsid w:val="004C5F99"/>
    <w:rsid w:val="004C6AE7"/>
    <w:rsid w:val="004C7064"/>
    <w:rsid w:val="004C74E6"/>
    <w:rsid w:val="004C76C6"/>
    <w:rsid w:val="004C7933"/>
    <w:rsid w:val="004C7A16"/>
    <w:rsid w:val="004C7C07"/>
    <w:rsid w:val="004C7E5B"/>
    <w:rsid w:val="004D1427"/>
    <w:rsid w:val="004D1BB9"/>
    <w:rsid w:val="004D1E90"/>
    <w:rsid w:val="004D1F77"/>
    <w:rsid w:val="004D2823"/>
    <w:rsid w:val="004D29B8"/>
    <w:rsid w:val="004D38C7"/>
    <w:rsid w:val="004D38C8"/>
    <w:rsid w:val="004D3A11"/>
    <w:rsid w:val="004D40EC"/>
    <w:rsid w:val="004D422C"/>
    <w:rsid w:val="004D44FA"/>
    <w:rsid w:val="004D4522"/>
    <w:rsid w:val="004D47C4"/>
    <w:rsid w:val="004D4F69"/>
    <w:rsid w:val="004D5841"/>
    <w:rsid w:val="004D598A"/>
    <w:rsid w:val="004D5C63"/>
    <w:rsid w:val="004D646E"/>
    <w:rsid w:val="004D64B2"/>
    <w:rsid w:val="004D6937"/>
    <w:rsid w:val="004D6CEB"/>
    <w:rsid w:val="004D6EE1"/>
    <w:rsid w:val="004D7D6F"/>
    <w:rsid w:val="004E0101"/>
    <w:rsid w:val="004E0193"/>
    <w:rsid w:val="004E0FA0"/>
    <w:rsid w:val="004E1567"/>
    <w:rsid w:val="004E18BC"/>
    <w:rsid w:val="004E1997"/>
    <w:rsid w:val="004E20AB"/>
    <w:rsid w:val="004E28E6"/>
    <w:rsid w:val="004E2D5E"/>
    <w:rsid w:val="004E3528"/>
    <w:rsid w:val="004E3EC2"/>
    <w:rsid w:val="004E4031"/>
    <w:rsid w:val="004E48F6"/>
    <w:rsid w:val="004E497D"/>
    <w:rsid w:val="004E585C"/>
    <w:rsid w:val="004E643D"/>
    <w:rsid w:val="004E77E1"/>
    <w:rsid w:val="004E7A47"/>
    <w:rsid w:val="004F0806"/>
    <w:rsid w:val="004F0C3E"/>
    <w:rsid w:val="004F0EED"/>
    <w:rsid w:val="004F21C7"/>
    <w:rsid w:val="004F2875"/>
    <w:rsid w:val="004F28F9"/>
    <w:rsid w:val="004F2B96"/>
    <w:rsid w:val="004F2BC4"/>
    <w:rsid w:val="004F309E"/>
    <w:rsid w:val="004F37AD"/>
    <w:rsid w:val="004F40ED"/>
    <w:rsid w:val="004F42E1"/>
    <w:rsid w:val="004F4399"/>
    <w:rsid w:val="004F531A"/>
    <w:rsid w:val="004F5D91"/>
    <w:rsid w:val="004F6909"/>
    <w:rsid w:val="004F6E0C"/>
    <w:rsid w:val="00500B47"/>
    <w:rsid w:val="0050241E"/>
    <w:rsid w:val="005024B3"/>
    <w:rsid w:val="00502A21"/>
    <w:rsid w:val="00502A93"/>
    <w:rsid w:val="00502B6F"/>
    <w:rsid w:val="0050391C"/>
    <w:rsid w:val="005043DF"/>
    <w:rsid w:val="005045A9"/>
    <w:rsid w:val="0050480C"/>
    <w:rsid w:val="00504D4C"/>
    <w:rsid w:val="005054AA"/>
    <w:rsid w:val="00505827"/>
    <w:rsid w:val="0050584F"/>
    <w:rsid w:val="005060F0"/>
    <w:rsid w:val="00506365"/>
    <w:rsid w:val="005070DD"/>
    <w:rsid w:val="005077D9"/>
    <w:rsid w:val="00507AB3"/>
    <w:rsid w:val="00507BAC"/>
    <w:rsid w:val="0051046D"/>
    <w:rsid w:val="00510ACF"/>
    <w:rsid w:val="00511064"/>
    <w:rsid w:val="0051170D"/>
    <w:rsid w:val="0051242C"/>
    <w:rsid w:val="00512EAB"/>
    <w:rsid w:val="00512F77"/>
    <w:rsid w:val="005133F2"/>
    <w:rsid w:val="0051380E"/>
    <w:rsid w:val="00513A29"/>
    <w:rsid w:val="00513B34"/>
    <w:rsid w:val="00513B3C"/>
    <w:rsid w:val="00513C7F"/>
    <w:rsid w:val="00513F4D"/>
    <w:rsid w:val="005145E5"/>
    <w:rsid w:val="00514DC6"/>
    <w:rsid w:val="005156F6"/>
    <w:rsid w:val="00516259"/>
    <w:rsid w:val="005163A3"/>
    <w:rsid w:val="005164C1"/>
    <w:rsid w:val="00516CDF"/>
    <w:rsid w:val="00516D52"/>
    <w:rsid w:val="00516D60"/>
    <w:rsid w:val="005179DC"/>
    <w:rsid w:val="00517A26"/>
    <w:rsid w:val="00517D0F"/>
    <w:rsid w:val="005200E2"/>
    <w:rsid w:val="0052033B"/>
    <w:rsid w:val="00520473"/>
    <w:rsid w:val="00520723"/>
    <w:rsid w:val="00520B8B"/>
    <w:rsid w:val="00520E24"/>
    <w:rsid w:val="00522D3D"/>
    <w:rsid w:val="0052300B"/>
    <w:rsid w:val="00523CCB"/>
    <w:rsid w:val="005248E0"/>
    <w:rsid w:val="00524A3E"/>
    <w:rsid w:val="00525112"/>
    <w:rsid w:val="005257CC"/>
    <w:rsid w:val="00525F75"/>
    <w:rsid w:val="005261BA"/>
    <w:rsid w:val="00526461"/>
    <w:rsid w:val="00526EF5"/>
    <w:rsid w:val="00526FF8"/>
    <w:rsid w:val="0052721E"/>
    <w:rsid w:val="005274A3"/>
    <w:rsid w:val="005275EE"/>
    <w:rsid w:val="00527E6B"/>
    <w:rsid w:val="00530325"/>
    <w:rsid w:val="00530BB8"/>
    <w:rsid w:val="0053179A"/>
    <w:rsid w:val="00532A8B"/>
    <w:rsid w:val="00532E69"/>
    <w:rsid w:val="00533365"/>
    <w:rsid w:val="00534276"/>
    <w:rsid w:val="005342CC"/>
    <w:rsid w:val="00534474"/>
    <w:rsid w:val="00534AA7"/>
    <w:rsid w:val="00534C20"/>
    <w:rsid w:val="00534E42"/>
    <w:rsid w:val="00535298"/>
    <w:rsid w:val="00535B58"/>
    <w:rsid w:val="00536046"/>
    <w:rsid w:val="00536848"/>
    <w:rsid w:val="00536D1C"/>
    <w:rsid w:val="00536E42"/>
    <w:rsid w:val="0053783C"/>
    <w:rsid w:val="00537E45"/>
    <w:rsid w:val="00537EC3"/>
    <w:rsid w:val="00537FFC"/>
    <w:rsid w:val="0054156A"/>
    <w:rsid w:val="005415D1"/>
    <w:rsid w:val="00541B24"/>
    <w:rsid w:val="00541C01"/>
    <w:rsid w:val="00541E62"/>
    <w:rsid w:val="005428A2"/>
    <w:rsid w:val="00542C4D"/>
    <w:rsid w:val="00542D0A"/>
    <w:rsid w:val="0054323B"/>
    <w:rsid w:val="00543352"/>
    <w:rsid w:val="00543659"/>
    <w:rsid w:val="00543940"/>
    <w:rsid w:val="00543C57"/>
    <w:rsid w:val="0054428D"/>
    <w:rsid w:val="005444B3"/>
    <w:rsid w:val="005448E1"/>
    <w:rsid w:val="005449D6"/>
    <w:rsid w:val="00544C47"/>
    <w:rsid w:val="00545396"/>
    <w:rsid w:val="0054549A"/>
    <w:rsid w:val="0054657E"/>
    <w:rsid w:val="00546FF3"/>
    <w:rsid w:val="00547292"/>
    <w:rsid w:val="005478EC"/>
    <w:rsid w:val="0055077B"/>
    <w:rsid w:val="0055106F"/>
    <w:rsid w:val="005513CD"/>
    <w:rsid w:val="00551E3C"/>
    <w:rsid w:val="00551EE7"/>
    <w:rsid w:val="00552267"/>
    <w:rsid w:val="00553D35"/>
    <w:rsid w:val="00553FE6"/>
    <w:rsid w:val="0055438C"/>
    <w:rsid w:val="005544BA"/>
    <w:rsid w:val="0055463D"/>
    <w:rsid w:val="00554A9A"/>
    <w:rsid w:val="00554D80"/>
    <w:rsid w:val="005559B7"/>
    <w:rsid w:val="00556294"/>
    <w:rsid w:val="00556B43"/>
    <w:rsid w:val="0056007C"/>
    <w:rsid w:val="005600CA"/>
    <w:rsid w:val="005608BE"/>
    <w:rsid w:val="00561677"/>
    <w:rsid w:val="005618A8"/>
    <w:rsid w:val="005618DF"/>
    <w:rsid w:val="0056235D"/>
    <w:rsid w:val="005623EB"/>
    <w:rsid w:val="00562EA3"/>
    <w:rsid w:val="00563711"/>
    <w:rsid w:val="00563A19"/>
    <w:rsid w:val="00563B93"/>
    <w:rsid w:val="00563BDF"/>
    <w:rsid w:val="005642A8"/>
    <w:rsid w:val="00564627"/>
    <w:rsid w:val="00564A0D"/>
    <w:rsid w:val="005654CD"/>
    <w:rsid w:val="005657E5"/>
    <w:rsid w:val="00566467"/>
    <w:rsid w:val="00566DAE"/>
    <w:rsid w:val="00566E42"/>
    <w:rsid w:val="005671BD"/>
    <w:rsid w:val="00567724"/>
    <w:rsid w:val="0057045E"/>
    <w:rsid w:val="00570464"/>
    <w:rsid w:val="00570E03"/>
    <w:rsid w:val="005713D1"/>
    <w:rsid w:val="005721E0"/>
    <w:rsid w:val="00572277"/>
    <w:rsid w:val="005722AB"/>
    <w:rsid w:val="00572795"/>
    <w:rsid w:val="00572D72"/>
    <w:rsid w:val="00572EA9"/>
    <w:rsid w:val="005732B5"/>
    <w:rsid w:val="005734D1"/>
    <w:rsid w:val="0057395C"/>
    <w:rsid w:val="00574097"/>
    <w:rsid w:val="00574BF9"/>
    <w:rsid w:val="00574CCF"/>
    <w:rsid w:val="0057573E"/>
    <w:rsid w:val="00576174"/>
    <w:rsid w:val="005763EB"/>
    <w:rsid w:val="005764E1"/>
    <w:rsid w:val="0057663D"/>
    <w:rsid w:val="0057676F"/>
    <w:rsid w:val="00580492"/>
    <w:rsid w:val="0058065A"/>
    <w:rsid w:val="00580BEE"/>
    <w:rsid w:val="005818FA"/>
    <w:rsid w:val="00581A9A"/>
    <w:rsid w:val="005822DB"/>
    <w:rsid w:val="00582E24"/>
    <w:rsid w:val="00582E4C"/>
    <w:rsid w:val="00583039"/>
    <w:rsid w:val="00584014"/>
    <w:rsid w:val="005840FC"/>
    <w:rsid w:val="005844A6"/>
    <w:rsid w:val="00584D28"/>
    <w:rsid w:val="005853A2"/>
    <w:rsid w:val="0058587D"/>
    <w:rsid w:val="00585F0E"/>
    <w:rsid w:val="00586622"/>
    <w:rsid w:val="00586BF8"/>
    <w:rsid w:val="005870BC"/>
    <w:rsid w:val="00587D50"/>
    <w:rsid w:val="00587EF7"/>
    <w:rsid w:val="00590888"/>
    <w:rsid w:val="005908C5"/>
    <w:rsid w:val="00590F3C"/>
    <w:rsid w:val="00590FEF"/>
    <w:rsid w:val="00591B33"/>
    <w:rsid w:val="00591CA0"/>
    <w:rsid w:val="005921C0"/>
    <w:rsid w:val="00592C57"/>
    <w:rsid w:val="005931B6"/>
    <w:rsid w:val="00593A5B"/>
    <w:rsid w:val="00594702"/>
    <w:rsid w:val="0059542A"/>
    <w:rsid w:val="00595A4F"/>
    <w:rsid w:val="00595A75"/>
    <w:rsid w:val="00595D95"/>
    <w:rsid w:val="00596183"/>
    <w:rsid w:val="005961B7"/>
    <w:rsid w:val="00596716"/>
    <w:rsid w:val="005969E1"/>
    <w:rsid w:val="00597113"/>
    <w:rsid w:val="005979E6"/>
    <w:rsid w:val="005A04B0"/>
    <w:rsid w:val="005A06D0"/>
    <w:rsid w:val="005A0CEB"/>
    <w:rsid w:val="005A0D36"/>
    <w:rsid w:val="005A13F1"/>
    <w:rsid w:val="005A1668"/>
    <w:rsid w:val="005A23D3"/>
    <w:rsid w:val="005A25C3"/>
    <w:rsid w:val="005A2B5E"/>
    <w:rsid w:val="005A2E6A"/>
    <w:rsid w:val="005A2F31"/>
    <w:rsid w:val="005A4041"/>
    <w:rsid w:val="005A42A6"/>
    <w:rsid w:val="005A4F0D"/>
    <w:rsid w:val="005A5787"/>
    <w:rsid w:val="005A5856"/>
    <w:rsid w:val="005A59CC"/>
    <w:rsid w:val="005A5CFD"/>
    <w:rsid w:val="005A775B"/>
    <w:rsid w:val="005A778A"/>
    <w:rsid w:val="005A78D9"/>
    <w:rsid w:val="005A7E6C"/>
    <w:rsid w:val="005B1665"/>
    <w:rsid w:val="005B1771"/>
    <w:rsid w:val="005B1783"/>
    <w:rsid w:val="005B1A83"/>
    <w:rsid w:val="005B210A"/>
    <w:rsid w:val="005B235C"/>
    <w:rsid w:val="005B2564"/>
    <w:rsid w:val="005B2A78"/>
    <w:rsid w:val="005B3DDA"/>
    <w:rsid w:val="005B3DF7"/>
    <w:rsid w:val="005B478C"/>
    <w:rsid w:val="005B47FC"/>
    <w:rsid w:val="005B4818"/>
    <w:rsid w:val="005B48EA"/>
    <w:rsid w:val="005B4B21"/>
    <w:rsid w:val="005B4F6B"/>
    <w:rsid w:val="005B51DD"/>
    <w:rsid w:val="005B533C"/>
    <w:rsid w:val="005B5730"/>
    <w:rsid w:val="005B6676"/>
    <w:rsid w:val="005B746A"/>
    <w:rsid w:val="005C0406"/>
    <w:rsid w:val="005C1070"/>
    <w:rsid w:val="005C12FB"/>
    <w:rsid w:val="005C13CE"/>
    <w:rsid w:val="005C1634"/>
    <w:rsid w:val="005C229E"/>
    <w:rsid w:val="005C3749"/>
    <w:rsid w:val="005C3871"/>
    <w:rsid w:val="005C3976"/>
    <w:rsid w:val="005C3BA8"/>
    <w:rsid w:val="005C424E"/>
    <w:rsid w:val="005C44D7"/>
    <w:rsid w:val="005C45D3"/>
    <w:rsid w:val="005C4736"/>
    <w:rsid w:val="005C4DF9"/>
    <w:rsid w:val="005C5078"/>
    <w:rsid w:val="005C55EE"/>
    <w:rsid w:val="005C59EC"/>
    <w:rsid w:val="005C5C3D"/>
    <w:rsid w:val="005C5C90"/>
    <w:rsid w:val="005C628E"/>
    <w:rsid w:val="005C68C7"/>
    <w:rsid w:val="005C7102"/>
    <w:rsid w:val="005C75F5"/>
    <w:rsid w:val="005C76B6"/>
    <w:rsid w:val="005D0A1D"/>
    <w:rsid w:val="005D14F0"/>
    <w:rsid w:val="005D184D"/>
    <w:rsid w:val="005D1B56"/>
    <w:rsid w:val="005D2010"/>
    <w:rsid w:val="005D22D7"/>
    <w:rsid w:val="005D249A"/>
    <w:rsid w:val="005D24B7"/>
    <w:rsid w:val="005D33B6"/>
    <w:rsid w:val="005D38A8"/>
    <w:rsid w:val="005D3A43"/>
    <w:rsid w:val="005D3EC2"/>
    <w:rsid w:val="005D45A1"/>
    <w:rsid w:val="005D4649"/>
    <w:rsid w:val="005D46B9"/>
    <w:rsid w:val="005D49A4"/>
    <w:rsid w:val="005D4CC9"/>
    <w:rsid w:val="005D4D70"/>
    <w:rsid w:val="005D4ED9"/>
    <w:rsid w:val="005D5595"/>
    <w:rsid w:val="005D5610"/>
    <w:rsid w:val="005D5A34"/>
    <w:rsid w:val="005D5CA9"/>
    <w:rsid w:val="005D5D3C"/>
    <w:rsid w:val="005D5F65"/>
    <w:rsid w:val="005D67D7"/>
    <w:rsid w:val="005D6A8E"/>
    <w:rsid w:val="005D7006"/>
    <w:rsid w:val="005D73E6"/>
    <w:rsid w:val="005E0511"/>
    <w:rsid w:val="005E0855"/>
    <w:rsid w:val="005E09A0"/>
    <w:rsid w:val="005E0FE9"/>
    <w:rsid w:val="005E1659"/>
    <w:rsid w:val="005E2892"/>
    <w:rsid w:val="005E2A6B"/>
    <w:rsid w:val="005E2D96"/>
    <w:rsid w:val="005E32EB"/>
    <w:rsid w:val="005E336A"/>
    <w:rsid w:val="005E3757"/>
    <w:rsid w:val="005E3BE6"/>
    <w:rsid w:val="005E40C6"/>
    <w:rsid w:val="005E4464"/>
    <w:rsid w:val="005E4EE6"/>
    <w:rsid w:val="005E5093"/>
    <w:rsid w:val="005E54EF"/>
    <w:rsid w:val="005E54F8"/>
    <w:rsid w:val="005E5F68"/>
    <w:rsid w:val="005E6AE3"/>
    <w:rsid w:val="005E6E6D"/>
    <w:rsid w:val="005F038B"/>
    <w:rsid w:val="005F0D7E"/>
    <w:rsid w:val="005F0EEB"/>
    <w:rsid w:val="005F10CA"/>
    <w:rsid w:val="005F145E"/>
    <w:rsid w:val="005F166A"/>
    <w:rsid w:val="005F2DE9"/>
    <w:rsid w:val="005F2FD6"/>
    <w:rsid w:val="005F405E"/>
    <w:rsid w:val="005F43F0"/>
    <w:rsid w:val="005F45A6"/>
    <w:rsid w:val="005F4779"/>
    <w:rsid w:val="005F48E5"/>
    <w:rsid w:val="005F4CA6"/>
    <w:rsid w:val="005F550A"/>
    <w:rsid w:val="005F59D7"/>
    <w:rsid w:val="005F60A1"/>
    <w:rsid w:val="005F6EC8"/>
    <w:rsid w:val="005F716E"/>
    <w:rsid w:val="005F733A"/>
    <w:rsid w:val="005F73D7"/>
    <w:rsid w:val="005F7A4D"/>
    <w:rsid w:val="005F7EA4"/>
    <w:rsid w:val="006003DD"/>
    <w:rsid w:val="006007D8"/>
    <w:rsid w:val="00600A13"/>
    <w:rsid w:val="006017AF"/>
    <w:rsid w:val="006017BC"/>
    <w:rsid w:val="00601D9A"/>
    <w:rsid w:val="006023DB"/>
    <w:rsid w:val="00602414"/>
    <w:rsid w:val="00602750"/>
    <w:rsid w:val="00602C39"/>
    <w:rsid w:val="00602DDA"/>
    <w:rsid w:val="0060344B"/>
    <w:rsid w:val="00603687"/>
    <w:rsid w:val="00603EEA"/>
    <w:rsid w:val="00604618"/>
    <w:rsid w:val="0060490F"/>
    <w:rsid w:val="00604B3B"/>
    <w:rsid w:val="00604C80"/>
    <w:rsid w:val="00604ECC"/>
    <w:rsid w:val="006050D5"/>
    <w:rsid w:val="00605DF6"/>
    <w:rsid w:val="006066DE"/>
    <w:rsid w:val="0060713C"/>
    <w:rsid w:val="006075A3"/>
    <w:rsid w:val="00607E3B"/>
    <w:rsid w:val="00607F6D"/>
    <w:rsid w:val="00607FB0"/>
    <w:rsid w:val="00610170"/>
    <w:rsid w:val="006114A2"/>
    <w:rsid w:val="00611513"/>
    <w:rsid w:val="00611E69"/>
    <w:rsid w:val="00613207"/>
    <w:rsid w:val="00614654"/>
    <w:rsid w:val="00614D84"/>
    <w:rsid w:val="00615050"/>
    <w:rsid w:val="006153A2"/>
    <w:rsid w:val="006157B1"/>
    <w:rsid w:val="00615B96"/>
    <w:rsid w:val="00615CE2"/>
    <w:rsid w:val="00615DE1"/>
    <w:rsid w:val="00615F57"/>
    <w:rsid w:val="006162FE"/>
    <w:rsid w:val="00616C28"/>
    <w:rsid w:val="0061711E"/>
    <w:rsid w:val="006173D7"/>
    <w:rsid w:val="0061781E"/>
    <w:rsid w:val="00617C62"/>
    <w:rsid w:val="00617DF9"/>
    <w:rsid w:val="00620C4E"/>
    <w:rsid w:val="00620F5A"/>
    <w:rsid w:val="00621929"/>
    <w:rsid w:val="00621D18"/>
    <w:rsid w:val="00621F6A"/>
    <w:rsid w:val="006225CF"/>
    <w:rsid w:val="0062326B"/>
    <w:rsid w:val="00623528"/>
    <w:rsid w:val="0062363D"/>
    <w:rsid w:val="00623F2C"/>
    <w:rsid w:val="00624414"/>
    <w:rsid w:val="006244B3"/>
    <w:rsid w:val="00624954"/>
    <w:rsid w:val="00624E82"/>
    <w:rsid w:val="00625696"/>
    <w:rsid w:val="00625B52"/>
    <w:rsid w:val="006264D1"/>
    <w:rsid w:val="00626E65"/>
    <w:rsid w:val="00626EED"/>
    <w:rsid w:val="0062734E"/>
    <w:rsid w:val="00627D72"/>
    <w:rsid w:val="00630A60"/>
    <w:rsid w:val="00630F8F"/>
    <w:rsid w:val="00631084"/>
    <w:rsid w:val="006313D0"/>
    <w:rsid w:val="00631405"/>
    <w:rsid w:val="00631BA0"/>
    <w:rsid w:val="00631DB2"/>
    <w:rsid w:val="00631DE4"/>
    <w:rsid w:val="00631F13"/>
    <w:rsid w:val="00632717"/>
    <w:rsid w:val="00632EBD"/>
    <w:rsid w:val="006332D3"/>
    <w:rsid w:val="006339FB"/>
    <w:rsid w:val="00634045"/>
    <w:rsid w:val="00634640"/>
    <w:rsid w:val="006348E6"/>
    <w:rsid w:val="00634B13"/>
    <w:rsid w:val="00634DBE"/>
    <w:rsid w:val="00634FA8"/>
    <w:rsid w:val="00635235"/>
    <w:rsid w:val="00635F2B"/>
    <w:rsid w:val="006361B2"/>
    <w:rsid w:val="006363BF"/>
    <w:rsid w:val="00636FAF"/>
    <w:rsid w:val="006370C2"/>
    <w:rsid w:val="006370CF"/>
    <w:rsid w:val="00637700"/>
    <w:rsid w:val="00640667"/>
    <w:rsid w:val="00640ACA"/>
    <w:rsid w:val="006410BE"/>
    <w:rsid w:val="00641355"/>
    <w:rsid w:val="006419B4"/>
    <w:rsid w:val="00641A50"/>
    <w:rsid w:val="00641DB4"/>
    <w:rsid w:val="0064229D"/>
    <w:rsid w:val="006429FA"/>
    <w:rsid w:val="00642E4E"/>
    <w:rsid w:val="0064339B"/>
    <w:rsid w:val="00643640"/>
    <w:rsid w:val="0064384F"/>
    <w:rsid w:val="00643A84"/>
    <w:rsid w:val="00643E6A"/>
    <w:rsid w:val="00643FCF"/>
    <w:rsid w:val="00644908"/>
    <w:rsid w:val="00644AF7"/>
    <w:rsid w:val="00645BCF"/>
    <w:rsid w:val="00645DDE"/>
    <w:rsid w:val="006463BA"/>
    <w:rsid w:val="006467D6"/>
    <w:rsid w:val="00647919"/>
    <w:rsid w:val="00647D69"/>
    <w:rsid w:val="00650962"/>
    <w:rsid w:val="00651032"/>
    <w:rsid w:val="00651174"/>
    <w:rsid w:val="00651223"/>
    <w:rsid w:val="0065185E"/>
    <w:rsid w:val="00652532"/>
    <w:rsid w:val="00652CC2"/>
    <w:rsid w:val="00652D1F"/>
    <w:rsid w:val="0065356A"/>
    <w:rsid w:val="00653634"/>
    <w:rsid w:val="006537CB"/>
    <w:rsid w:val="00653D7C"/>
    <w:rsid w:val="006549C2"/>
    <w:rsid w:val="006555FF"/>
    <w:rsid w:val="006559F0"/>
    <w:rsid w:val="00655A85"/>
    <w:rsid w:val="00655CC9"/>
    <w:rsid w:val="0065640A"/>
    <w:rsid w:val="00656839"/>
    <w:rsid w:val="0065735E"/>
    <w:rsid w:val="00657ECA"/>
    <w:rsid w:val="00660445"/>
    <w:rsid w:val="00660565"/>
    <w:rsid w:val="00660DA1"/>
    <w:rsid w:val="00660F1F"/>
    <w:rsid w:val="00661C0C"/>
    <w:rsid w:val="006621FB"/>
    <w:rsid w:val="0066236D"/>
    <w:rsid w:val="0066289A"/>
    <w:rsid w:val="00662BE3"/>
    <w:rsid w:val="00663489"/>
    <w:rsid w:val="00663A1C"/>
    <w:rsid w:val="00663D79"/>
    <w:rsid w:val="0066432C"/>
    <w:rsid w:val="006643B5"/>
    <w:rsid w:val="00664548"/>
    <w:rsid w:val="006655DF"/>
    <w:rsid w:val="006666F3"/>
    <w:rsid w:val="00666713"/>
    <w:rsid w:val="0066674A"/>
    <w:rsid w:val="00666ACF"/>
    <w:rsid w:val="00667042"/>
    <w:rsid w:val="006672F1"/>
    <w:rsid w:val="00667468"/>
    <w:rsid w:val="006674DA"/>
    <w:rsid w:val="00667740"/>
    <w:rsid w:val="00667CC8"/>
    <w:rsid w:val="00667CD2"/>
    <w:rsid w:val="00667E1C"/>
    <w:rsid w:val="00670E15"/>
    <w:rsid w:val="00670E65"/>
    <w:rsid w:val="00670ED4"/>
    <w:rsid w:val="006717E7"/>
    <w:rsid w:val="0067194A"/>
    <w:rsid w:val="00671B1A"/>
    <w:rsid w:val="0067260A"/>
    <w:rsid w:val="006732FE"/>
    <w:rsid w:val="00673777"/>
    <w:rsid w:val="006738FB"/>
    <w:rsid w:val="00673ED3"/>
    <w:rsid w:val="00673FAF"/>
    <w:rsid w:val="00676422"/>
    <w:rsid w:val="00676CCF"/>
    <w:rsid w:val="00680113"/>
    <w:rsid w:val="0068024D"/>
    <w:rsid w:val="006802BF"/>
    <w:rsid w:val="00680341"/>
    <w:rsid w:val="00680F22"/>
    <w:rsid w:val="00681602"/>
    <w:rsid w:val="00681BB5"/>
    <w:rsid w:val="00681C3A"/>
    <w:rsid w:val="00681D4F"/>
    <w:rsid w:val="00681DBD"/>
    <w:rsid w:val="0068254D"/>
    <w:rsid w:val="0068260C"/>
    <w:rsid w:val="006826FE"/>
    <w:rsid w:val="006832E1"/>
    <w:rsid w:val="00683401"/>
    <w:rsid w:val="006836E7"/>
    <w:rsid w:val="00684217"/>
    <w:rsid w:val="0068505E"/>
    <w:rsid w:val="0068526C"/>
    <w:rsid w:val="00685C00"/>
    <w:rsid w:val="00686593"/>
    <w:rsid w:val="00686A3D"/>
    <w:rsid w:val="00686FAA"/>
    <w:rsid w:val="0068755B"/>
    <w:rsid w:val="0068771C"/>
    <w:rsid w:val="0069078C"/>
    <w:rsid w:val="00690A25"/>
    <w:rsid w:val="00690B78"/>
    <w:rsid w:val="00690D1F"/>
    <w:rsid w:val="00690D38"/>
    <w:rsid w:val="00691010"/>
    <w:rsid w:val="006911E7"/>
    <w:rsid w:val="00691DEA"/>
    <w:rsid w:val="00692154"/>
    <w:rsid w:val="00692C68"/>
    <w:rsid w:val="00692D4F"/>
    <w:rsid w:val="0069307D"/>
    <w:rsid w:val="006942C3"/>
    <w:rsid w:val="00694B2F"/>
    <w:rsid w:val="006951C3"/>
    <w:rsid w:val="00695477"/>
    <w:rsid w:val="00695EFE"/>
    <w:rsid w:val="00696DB3"/>
    <w:rsid w:val="0069769C"/>
    <w:rsid w:val="00697B97"/>
    <w:rsid w:val="00697D6A"/>
    <w:rsid w:val="006A0D6B"/>
    <w:rsid w:val="006A1079"/>
    <w:rsid w:val="006A11F8"/>
    <w:rsid w:val="006A19CD"/>
    <w:rsid w:val="006A19F9"/>
    <w:rsid w:val="006A1BFD"/>
    <w:rsid w:val="006A1CB5"/>
    <w:rsid w:val="006A344C"/>
    <w:rsid w:val="006A37C0"/>
    <w:rsid w:val="006A3C5D"/>
    <w:rsid w:val="006A3CFA"/>
    <w:rsid w:val="006A3E62"/>
    <w:rsid w:val="006A415B"/>
    <w:rsid w:val="006A4725"/>
    <w:rsid w:val="006A53C5"/>
    <w:rsid w:val="006A58D6"/>
    <w:rsid w:val="006A5D79"/>
    <w:rsid w:val="006A6503"/>
    <w:rsid w:val="006A68DA"/>
    <w:rsid w:val="006A6AE7"/>
    <w:rsid w:val="006A6CF4"/>
    <w:rsid w:val="006A6E19"/>
    <w:rsid w:val="006A6E38"/>
    <w:rsid w:val="006A7072"/>
    <w:rsid w:val="006A7F0C"/>
    <w:rsid w:val="006B08F9"/>
    <w:rsid w:val="006B0F2D"/>
    <w:rsid w:val="006B11AB"/>
    <w:rsid w:val="006B1A5A"/>
    <w:rsid w:val="006B1B53"/>
    <w:rsid w:val="006B2205"/>
    <w:rsid w:val="006B29BB"/>
    <w:rsid w:val="006B2CD8"/>
    <w:rsid w:val="006B4CF3"/>
    <w:rsid w:val="006B4E35"/>
    <w:rsid w:val="006B500A"/>
    <w:rsid w:val="006B56C2"/>
    <w:rsid w:val="006B6638"/>
    <w:rsid w:val="006B700F"/>
    <w:rsid w:val="006B7941"/>
    <w:rsid w:val="006C0366"/>
    <w:rsid w:val="006C0880"/>
    <w:rsid w:val="006C0A1B"/>
    <w:rsid w:val="006C0A32"/>
    <w:rsid w:val="006C0D53"/>
    <w:rsid w:val="006C1D5C"/>
    <w:rsid w:val="006C2B2B"/>
    <w:rsid w:val="006C2F88"/>
    <w:rsid w:val="006C3A42"/>
    <w:rsid w:val="006C3B7A"/>
    <w:rsid w:val="006C4447"/>
    <w:rsid w:val="006C482D"/>
    <w:rsid w:val="006C49A8"/>
    <w:rsid w:val="006C4C7F"/>
    <w:rsid w:val="006C503C"/>
    <w:rsid w:val="006C5152"/>
    <w:rsid w:val="006C51CF"/>
    <w:rsid w:val="006C60FB"/>
    <w:rsid w:val="006C65F5"/>
    <w:rsid w:val="006C6696"/>
    <w:rsid w:val="006C6844"/>
    <w:rsid w:val="006C743A"/>
    <w:rsid w:val="006C7ECE"/>
    <w:rsid w:val="006D0361"/>
    <w:rsid w:val="006D0C46"/>
    <w:rsid w:val="006D0CE9"/>
    <w:rsid w:val="006D1A58"/>
    <w:rsid w:val="006D1B68"/>
    <w:rsid w:val="006D200C"/>
    <w:rsid w:val="006D30F7"/>
    <w:rsid w:val="006D3F2F"/>
    <w:rsid w:val="006D3FF0"/>
    <w:rsid w:val="006D41D1"/>
    <w:rsid w:val="006D4F92"/>
    <w:rsid w:val="006D5D49"/>
    <w:rsid w:val="006D5EAE"/>
    <w:rsid w:val="006D6C4A"/>
    <w:rsid w:val="006D73B9"/>
    <w:rsid w:val="006D7CEE"/>
    <w:rsid w:val="006E0058"/>
    <w:rsid w:val="006E1F0B"/>
    <w:rsid w:val="006E2070"/>
    <w:rsid w:val="006E29DC"/>
    <w:rsid w:val="006E2CA5"/>
    <w:rsid w:val="006E39E9"/>
    <w:rsid w:val="006E3D45"/>
    <w:rsid w:val="006E4FB6"/>
    <w:rsid w:val="006E5138"/>
    <w:rsid w:val="006E5D40"/>
    <w:rsid w:val="006E66E8"/>
    <w:rsid w:val="006E745A"/>
    <w:rsid w:val="006E7CD7"/>
    <w:rsid w:val="006F120D"/>
    <w:rsid w:val="006F139F"/>
    <w:rsid w:val="006F1B03"/>
    <w:rsid w:val="006F2808"/>
    <w:rsid w:val="006F2EDF"/>
    <w:rsid w:val="006F35A8"/>
    <w:rsid w:val="006F424D"/>
    <w:rsid w:val="006F4AA2"/>
    <w:rsid w:val="006F4C0F"/>
    <w:rsid w:val="006F5A32"/>
    <w:rsid w:val="006F5E43"/>
    <w:rsid w:val="006F6071"/>
    <w:rsid w:val="006F6955"/>
    <w:rsid w:val="006F6BF0"/>
    <w:rsid w:val="006F702E"/>
    <w:rsid w:val="006F7BB6"/>
    <w:rsid w:val="006F7E65"/>
    <w:rsid w:val="00700189"/>
    <w:rsid w:val="007004F5"/>
    <w:rsid w:val="00700592"/>
    <w:rsid w:val="007009F9"/>
    <w:rsid w:val="00700ADC"/>
    <w:rsid w:val="00701614"/>
    <w:rsid w:val="007028DF"/>
    <w:rsid w:val="007031B4"/>
    <w:rsid w:val="007035D5"/>
    <w:rsid w:val="00703FBD"/>
    <w:rsid w:val="007044AB"/>
    <w:rsid w:val="007044BB"/>
    <w:rsid w:val="0070481F"/>
    <w:rsid w:val="00704A0F"/>
    <w:rsid w:val="00704BDF"/>
    <w:rsid w:val="00704EB3"/>
    <w:rsid w:val="0070517A"/>
    <w:rsid w:val="00705A6A"/>
    <w:rsid w:val="00705ABD"/>
    <w:rsid w:val="00706306"/>
    <w:rsid w:val="00707A85"/>
    <w:rsid w:val="007100A8"/>
    <w:rsid w:val="007108D9"/>
    <w:rsid w:val="00710FA2"/>
    <w:rsid w:val="007132B9"/>
    <w:rsid w:val="00713E3A"/>
    <w:rsid w:val="00713E3D"/>
    <w:rsid w:val="0071402F"/>
    <w:rsid w:val="00715173"/>
    <w:rsid w:val="00715603"/>
    <w:rsid w:val="00715C5B"/>
    <w:rsid w:val="00716231"/>
    <w:rsid w:val="007167F6"/>
    <w:rsid w:val="00716F19"/>
    <w:rsid w:val="0071728F"/>
    <w:rsid w:val="00717EC0"/>
    <w:rsid w:val="00720835"/>
    <w:rsid w:val="00721245"/>
    <w:rsid w:val="00721748"/>
    <w:rsid w:val="00721C84"/>
    <w:rsid w:val="00721D47"/>
    <w:rsid w:val="00722508"/>
    <w:rsid w:val="007225CC"/>
    <w:rsid w:val="00722C38"/>
    <w:rsid w:val="00723485"/>
    <w:rsid w:val="0072366B"/>
    <w:rsid w:val="00724000"/>
    <w:rsid w:val="00724464"/>
    <w:rsid w:val="007245D2"/>
    <w:rsid w:val="00724F81"/>
    <w:rsid w:val="00725257"/>
    <w:rsid w:val="00726D7E"/>
    <w:rsid w:val="00726E48"/>
    <w:rsid w:val="0072709D"/>
    <w:rsid w:val="0072758E"/>
    <w:rsid w:val="007279D0"/>
    <w:rsid w:val="00727E6E"/>
    <w:rsid w:val="0073026C"/>
    <w:rsid w:val="00730BF4"/>
    <w:rsid w:val="0073171A"/>
    <w:rsid w:val="00731D92"/>
    <w:rsid w:val="00731ED4"/>
    <w:rsid w:val="00732556"/>
    <w:rsid w:val="00732764"/>
    <w:rsid w:val="00732A64"/>
    <w:rsid w:val="007332B6"/>
    <w:rsid w:val="00733815"/>
    <w:rsid w:val="00733BF4"/>
    <w:rsid w:val="00733FDA"/>
    <w:rsid w:val="00733FE5"/>
    <w:rsid w:val="0073405C"/>
    <w:rsid w:val="0073416E"/>
    <w:rsid w:val="00734456"/>
    <w:rsid w:val="0073485D"/>
    <w:rsid w:val="00734D55"/>
    <w:rsid w:val="007350E0"/>
    <w:rsid w:val="00735629"/>
    <w:rsid w:val="0073570C"/>
    <w:rsid w:val="00735A31"/>
    <w:rsid w:val="00735F37"/>
    <w:rsid w:val="007360A1"/>
    <w:rsid w:val="00736513"/>
    <w:rsid w:val="00736AC4"/>
    <w:rsid w:val="00736BBD"/>
    <w:rsid w:val="0073736B"/>
    <w:rsid w:val="0073789B"/>
    <w:rsid w:val="007404DD"/>
    <w:rsid w:val="00740564"/>
    <w:rsid w:val="007405F0"/>
    <w:rsid w:val="00740D79"/>
    <w:rsid w:val="00741027"/>
    <w:rsid w:val="007416A6"/>
    <w:rsid w:val="0074182E"/>
    <w:rsid w:val="00741C44"/>
    <w:rsid w:val="00741E36"/>
    <w:rsid w:val="00741FC6"/>
    <w:rsid w:val="00742301"/>
    <w:rsid w:val="0074280D"/>
    <w:rsid w:val="007431BC"/>
    <w:rsid w:val="007436A4"/>
    <w:rsid w:val="00743D2A"/>
    <w:rsid w:val="007442A5"/>
    <w:rsid w:val="00744DC1"/>
    <w:rsid w:val="0074540B"/>
    <w:rsid w:val="00745CBC"/>
    <w:rsid w:val="007464A3"/>
    <w:rsid w:val="0074691A"/>
    <w:rsid w:val="00746F99"/>
    <w:rsid w:val="00747063"/>
    <w:rsid w:val="00747BC6"/>
    <w:rsid w:val="00747C33"/>
    <w:rsid w:val="0075010E"/>
    <w:rsid w:val="00750266"/>
    <w:rsid w:val="00750922"/>
    <w:rsid w:val="00751719"/>
    <w:rsid w:val="00751C3E"/>
    <w:rsid w:val="0075243D"/>
    <w:rsid w:val="00752A8D"/>
    <w:rsid w:val="00752D53"/>
    <w:rsid w:val="0075318B"/>
    <w:rsid w:val="00753D13"/>
    <w:rsid w:val="00753F00"/>
    <w:rsid w:val="007545A5"/>
    <w:rsid w:val="0075523B"/>
    <w:rsid w:val="00755400"/>
    <w:rsid w:val="00755B7E"/>
    <w:rsid w:val="00756574"/>
    <w:rsid w:val="00757289"/>
    <w:rsid w:val="007608FC"/>
    <w:rsid w:val="00762056"/>
    <w:rsid w:val="0076279C"/>
    <w:rsid w:val="00762ED4"/>
    <w:rsid w:val="00762FF9"/>
    <w:rsid w:val="00763B81"/>
    <w:rsid w:val="0076466A"/>
    <w:rsid w:val="00764C90"/>
    <w:rsid w:val="00765A0B"/>
    <w:rsid w:val="00765E27"/>
    <w:rsid w:val="00766C59"/>
    <w:rsid w:val="00766CC6"/>
    <w:rsid w:val="007675F1"/>
    <w:rsid w:val="00767C54"/>
    <w:rsid w:val="00767C7C"/>
    <w:rsid w:val="007707BC"/>
    <w:rsid w:val="00770A07"/>
    <w:rsid w:val="0077126D"/>
    <w:rsid w:val="007719A7"/>
    <w:rsid w:val="00771F91"/>
    <w:rsid w:val="0077346A"/>
    <w:rsid w:val="00774A98"/>
    <w:rsid w:val="00774E17"/>
    <w:rsid w:val="00775296"/>
    <w:rsid w:val="00776904"/>
    <w:rsid w:val="00776908"/>
    <w:rsid w:val="00776B83"/>
    <w:rsid w:val="0077753A"/>
    <w:rsid w:val="007775C4"/>
    <w:rsid w:val="00777BA8"/>
    <w:rsid w:val="00780270"/>
    <w:rsid w:val="00780631"/>
    <w:rsid w:val="00781647"/>
    <w:rsid w:val="00781A03"/>
    <w:rsid w:val="00781CF2"/>
    <w:rsid w:val="0078244A"/>
    <w:rsid w:val="00783017"/>
    <w:rsid w:val="00783503"/>
    <w:rsid w:val="00783590"/>
    <w:rsid w:val="007845FA"/>
    <w:rsid w:val="0078493F"/>
    <w:rsid w:val="00785303"/>
    <w:rsid w:val="00785628"/>
    <w:rsid w:val="007862F0"/>
    <w:rsid w:val="00786BCD"/>
    <w:rsid w:val="00787567"/>
    <w:rsid w:val="007877AE"/>
    <w:rsid w:val="007878D2"/>
    <w:rsid w:val="00787968"/>
    <w:rsid w:val="007902FD"/>
    <w:rsid w:val="0079050F"/>
    <w:rsid w:val="00790D75"/>
    <w:rsid w:val="00790FA8"/>
    <w:rsid w:val="007910C5"/>
    <w:rsid w:val="00791233"/>
    <w:rsid w:val="00791863"/>
    <w:rsid w:val="0079261D"/>
    <w:rsid w:val="00792F3B"/>
    <w:rsid w:val="007933EA"/>
    <w:rsid w:val="007936E9"/>
    <w:rsid w:val="00793C19"/>
    <w:rsid w:val="00793CB5"/>
    <w:rsid w:val="00794C13"/>
    <w:rsid w:val="00794EF3"/>
    <w:rsid w:val="0079511D"/>
    <w:rsid w:val="0079532F"/>
    <w:rsid w:val="007957E3"/>
    <w:rsid w:val="0079603E"/>
    <w:rsid w:val="00797E05"/>
    <w:rsid w:val="007A0034"/>
    <w:rsid w:val="007A0147"/>
    <w:rsid w:val="007A06EE"/>
    <w:rsid w:val="007A070F"/>
    <w:rsid w:val="007A1201"/>
    <w:rsid w:val="007A144E"/>
    <w:rsid w:val="007A1BF6"/>
    <w:rsid w:val="007A2223"/>
    <w:rsid w:val="007A27E5"/>
    <w:rsid w:val="007A28C5"/>
    <w:rsid w:val="007A28E4"/>
    <w:rsid w:val="007A2BA3"/>
    <w:rsid w:val="007A2CE7"/>
    <w:rsid w:val="007A2E6A"/>
    <w:rsid w:val="007A3A50"/>
    <w:rsid w:val="007A3BD4"/>
    <w:rsid w:val="007A3FAB"/>
    <w:rsid w:val="007A41D5"/>
    <w:rsid w:val="007A42AC"/>
    <w:rsid w:val="007A4A4B"/>
    <w:rsid w:val="007A4A54"/>
    <w:rsid w:val="007A4ED0"/>
    <w:rsid w:val="007A587F"/>
    <w:rsid w:val="007A5C34"/>
    <w:rsid w:val="007A6711"/>
    <w:rsid w:val="007A71E5"/>
    <w:rsid w:val="007A7D5E"/>
    <w:rsid w:val="007B0860"/>
    <w:rsid w:val="007B0B1A"/>
    <w:rsid w:val="007B0FCD"/>
    <w:rsid w:val="007B1723"/>
    <w:rsid w:val="007B1DB1"/>
    <w:rsid w:val="007B1DCB"/>
    <w:rsid w:val="007B20E8"/>
    <w:rsid w:val="007B29DA"/>
    <w:rsid w:val="007B33AB"/>
    <w:rsid w:val="007B3547"/>
    <w:rsid w:val="007B3A84"/>
    <w:rsid w:val="007B3AB1"/>
    <w:rsid w:val="007B3B1D"/>
    <w:rsid w:val="007B4284"/>
    <w:rsid w:val="007B4A16"/>
    <w:rsid w:val="007B52ED"/>
    <w:rsid w:val="007B530B"/>
    <w:rsid w:val="007B5993"/>
    <w:rsid w:val="007B6B4C"/>
    <w:rsid w:val="007B6D52"/>
    <w:rsid w:val="007B7FAE"/>
    <w:rsid w:val="007C0731"/>
    <w:rsid w:val="007C0937"/>
    <w:rsid w:val="007C0A80"/>
    <w:rsid w:val="007C105F"/>
    <w:rsid w:val="007C1279"/>
    <w:rsid w:val="007C16E1"/>
    <w:rsid w:val="007C1976"/>
    <w:rsid w:val="007C2327"/>
    <w:rsid w:val="007C259F"/>
    <w:rsid w:val="007C2964"/>
    <w:rsid w:val="007C2AC5"/>
    <w:rsid w:val="007C3680"/>
    <w:rsid w:val="007C3A1B"/>
    <w:rsid w:val="007C3D24"/>
    <w:rsid w:val="007C46F6"/>
    <w:rsid w:val="007C4C3D"/>
    <w:rsid w:val="007C4D71"/>
    <w:rsid w:val="007C55D1"/>
    <w:rsid w:val="007C565C"/>
    <w:rsid w:val="007C6426"/>
    <w:rsid w:val="007C64D9"/>
    <w:rsid w:val="007C6640"/>
    <w:rsid w:val="007C7311"/>
    <w:rsid w:val="007C7BBC"/>
    <w:rsid w:val="007D05A2"/>
    <w:rsid w:val="007D0B9E"/>
    <w:rsid w:val="007D0CA7"/>
    <w:rsid w:val="007D0D62"/>
    <w:rsid w:val="007D0F87"/>
    <w:rsid w:val="007D158A"/>
    <w:rsid w:val="007D1E39"/>
    <w:rsid w:val="007D1F00"/>
    <w:rsid w:val="007D20D4"/>
    <w:rsid w:val="007D276C"/>
    <w:rsid w:val="007D2E14"/>
    <w:rsid w:val="007D2E78"/>
    <w:rsid w:val="007D309B"/>
    <w:rsid w:val="007D3481"/>
    <w:rsid w:val="007D3F9B"/>
    <w:rsid w:val="007D43AE"/>
    <w:rsid w:val="007D4691"/>
    <w:rsid w:val="007D478D"/>
    <w:rsid w:val="007D56E5"/>
    <w:rsid w:val="007D59C7"/>
    <w:rsid w:val="007D5EE3"/>
    <w:rsid w:val="007D6CEB"/>
    <w:rsid w:val="007D6E47"/>
    <w:rsid w:val="007D6E5A"/>
    <w:rsid w:val="007D759C"/>
    <w:rsid w:val="007D75CA"/>
    <w:rsid w:val="007D7B83"/>
    <w:rsid w:val="007E0806"/>
    <w:rsid w:val="007E0D38"/>
    <w:rsid w:val="007E0DA0"/>
    <w:rsid w:val="007E14F5"/>
    <w:rsid w:val="007E1CA0"/>
    <w:rsid w:val="007E2013"/>
    <w:rsid w:val="007E26D7"/>
    <w:rsid w:val="007E3448"/>
    <w:rsid w:val="007E3868"/>
    <w:rsid w:val="007E3A32"/>
    <w:rsid w:val="007E3C9F"/>
    <w:rsid w:val="007E45A0"/>
    <w:rsid w:val="007E483D"/>
    <w:rsid w:val="007E48DA"/>
    <w:rsid w:val="007E48DC"/>
    <w:rsid w:val="007E49D5"/>
    <w:rsid w:val="007E5CAF"/>
    <w:rsid w:val="007E5F95"/>
    <w:rsid w:val="007E63E9"/>
    <w:rsid w:val="007E717A"/>
    <w:rsid w:val="007E7B89"/>
    <w:rsid w:val="007F0360"/>
    <w:rsid w:val="007F0873"/>
    <w:rsid w:val="007F0928"/>
    <w:rsid w:val="007F09CF"/>
    <w:rsid w:val="007F0A64"/>
    <w:rsid w:val="007F0A7B"/>
    <w:rsid w:val="007F12D5"/>
    <w:rsid w:val="007F178F"/>
    <w:rsid w:val="007F2111"/>
    <w:rsid w:val="007F2CF8"/>
    <w:rsid w:val="007F2D39"/>
    <w:rsid w:val="007F3076"/>
    <w:rsid w:val="007F3DD2"/>
    <w:rsid w:val="007F4066"/>
    <w:rsid w:val="007F42A6"/>
    <w:rsid w:val="007F44CC"/>
    <w:rsid w:val="007F58B2"/>
    <w:rsid w:val="007F5C0B"/>
    <w:rsid w:val="007F5C3C"/>
    <w:rsid w:val="007F5EC5"/>
    <w:rsid w:val="007F66F1"/>
    <w:rsid w:val="007F66F5"/>
    <w:rsid w:val="007F6980"/>
    <w:rsid w:val="007F6BFA"/>
    <w:rsid w:val="007F6C4C"/>
    <w:rsid w:val="007F6C52"/>
    <w:rsid w:val="007F6FCA"/>
    <w:rsid w:val="007F732F"/>
    <w:rsid w:val="007F7FF9"/>
    <w:rsid w:val="0080096F"/>
    <w:rsid w:val="00800C58"/>
    <w:rsid w:val="00800D3B"/>
    <w:rsid w:val="00800E6F"/>
    <w:rsid w:val="00800ED9"/>
    <w:rsid w:val="00802130"/>
    <w:rsid w:val="0080231F"/>
    <w:rsid w:val="008024CA"/>
    <w:rsid w:val="008029D4"/>
    <w:rsid w:val="00802CEF"/>
    <w:rsid w:val="0080359A"/>
    <w:rsid w:val="00803871"/>
    <w:rsid w:val="00804150"/>
    <w:rsid w:val="0080482D"/>
    <w:rsid w:val="00804E0B"/>
    <w:rsid w:val="008054AC"/>
    <w:rsid w:val="0080629D"/>
    <w:rsid w:val="0080679A"/>
    <w:rsid w:val="008072C7"/>
    <w:rsid w:val="00810084"/>
    <w:rsid w:val="008108F0"/>
    <w:rsid w:val="00811200"/>
    <w:rsid w:val="008121D1"/>
    <w:rsid w:val="008142F7"/>
    <w:rsid w:val="008145D4"/>
    <w:rsid w:val="00814D63"/>
    <w:rsid w:val="00814F3D"/>
    <w:rsid w:val="0081522F"/>
    <w:rsid w:val="00815417"/>
    <w:rsid w:val="0081559F"/>
    <w:rsid w:val="00816027"/>
    <w:rsid w:val="00817695"/>
    <w:rsid w:val="008176F8"/>
    <w:rsid w:val="00817761"/>
    <w:rsid w:val="0082018B"/>
    <w:rsid w:val="008203B5"/>
    <w:rsid w:val="00820C50"/>
    <w:rsid w:val="008210F0"/>
    <w:rsid w:val="00821DF9"/>
    <w:rsid w:val="00822725"/>
    <w:rsid w:val="00822E83"/>
    <w:rsid w:val="00823050"/>
    <w:rsid w:val="0082367D"/>
    <w:rsid w:val="00824267"/>
    <w:rsid w:val="00824884"/>
    <w:rsid w:val="00824FD9"/>
    <w:rsid w:val="008254DB"/>
    <w:rsid w:val="00825637"/>
    <w:rsid w:val="00825B64"/>
    <w:rsid w:val="00825D7F"/>
    <w:rsid w:val="008263F8"/>
    <w:rsid w:val="008274EB"/>
    <w:rsid w:val="00827CF1"/>
    <w:rsid w:val="00830DB0"/>
    <w:rsid w:val="0083106B"/>
    <w:rsid w:val="008316F6"/>
    <w:rsid w:val="00831B57"/>
    <w:rsid w:val="00832DED"/>
    <w:rsid w:val="00833E5E"/>
    <w:rsid w:val="00833FA2"/>
    <w:rsid w:val="00834544"/>
    <w:rsid w:val="00834ACD"/>
    <w:rsid w:val="00834F43"/>
    <w:rsid w:val="008350C4"/>
    <w:rsid w:val="0083522A"/>
    <w:rsid w:val="00835980"/>
    <w:rsid w:val="00835D9F"/>
    <w:rsid w:val="0083667E"/>
    <w:rsid w:val="00836A3B"/>
    <w:rsid w:val="00836BAA"/>
    <w:rsid w:val="00837A82"/>
    <w:rsid w:val="008400A7"/>
    <w:rsid w:val="008400C9"/>
    <w:rsid w:val="00840B83"/>
    <w:rsid w:val="00840E3D"/>
    <w:rsid w:val="00841842"/>
    <w:rsid w:val="00841AF5"/>
    <w:rsid w:val="00841F48"/>
    <w:rsid w:val="00842451"/>
    <w:rsid w:val="00842521"/>
    <w:rsid w:val="00842871"/>
    <w:rsid w:val="00842E88"/>
    <w:rsid w:val="00843310"/>
    <w:rsid w:val="008433F8"/>
    <w:rsid w:val="008437EB"/>
    <w:rsid w:val="0084394B"/>
    <w:rsid w:val="00843A27"/>
    <w:rsid w:val="00843BB3"/>
    <w:rsid w:val="00843FCD"/>
    <w:rsid w:val="0084470F"/>
    <w:rsid w:val="00844F81"/>
    <w:rsid w:val="0084505D"/>
    <w:rsid w:val="00845719"/>
    <w:rsid w:val="00846EB6"/>
    <w:rsid w:val="0084780D"/>
    <w:rsid w:val="008478F0"/>
    <w:rsid w:val="008478F8"/>
    <w:rsid w:val="00850296"/>
    <w:rsid w:val="00851F80"/>
    <w:rsid w:val="008520C5"/>
    <w:rsid w:val="00852AA8"/>
    <w:rsid w:val="00853656"/>
    <w:rsid w:val="00853684"/>
    <w:rsid w:val="008543B2"/>
    <w:rsid w:val="00854CF8"/>
    <w:rsid w:val="008553C7"/>
    <w:rsid w:val="008553F1"/>
    <w:rsid w:val="00855494"/>
    <w:rsid w:val="00855B88"/>
    <w:rsid w:val="00855D93"/>
    <w:rsid w:val="008567F4"/>
    <w:rsid w:val="00860C4B"/>
    <w:rsid w:val="00861092"/>
    <w:rsid w:val="008610B1"/>
    <w:rsid w:val="008610DE"/>
    <w:rsid w:val="0086172F"/>
    <w:rsid w:val="00861BA9"/>
    <w:rsid w:val="00861E37"/>
    <w:rsid w:val="008621F2"/>
    <w:rsid w:val="00862AC8"/>
    <w:rsid w:val="00862BD7"/>
    <w:rsid w:val="00862C48"/>
    <w:rsid w:val="00862FFD"/>
    <w:rsid w:val="00863BF8"/>
    <w:rsid w:val="00863DA9"/>
    <w:rsid w:val="008646DD"/>
    <w:rsid w:val="00864F6C"/>
    <w:rsid w:val="0086546B"/>
    <w:rsid w:val="00865E95"/>
    <w:rsid w:val="00866073"/>
    <w:rsid w:val="008660F7"/>
    <w:rsid w:val="00866CF3"/>
    <w:rsid w:val="008674E2"/>
    <w:rsid w:val="0086770D"/>
    <w:rsid w:val="00867C79"/>
    <w:rsid w:val="00870840"/>
    <w:rsid w:val="00871190"/>
    <w:rsid w:val="008712B8"/>
    <w:rsid w:val="0087156B"/>
    <w:rsid w:val="0087191A"/>
    <w:rsid w:val="00871A6A"/>
    <w:rsid w:val="00872765"/>
    <w:rsid w:val="00872830"/>
    <w:rsid w:val="0087334C"/>
    <w:rsid w:val="00873524"/>
    <w:rsid w:val="008736F2"/>
    <w:rsid w:val="008736F9"/>
    <w:rsid w:val="00873A1E"/>
    <w:rsid w:val="00873A27"/>
    <w:rsid w:val="008747D9"/>
    <w:rsid w:val="00874B0C"/>
    <w:rsid w:val="00874F18"/>
    <w:rsid w:val="0087506D"/>
    <w:rsid w:val="0087526E"/>
    <w:rsid w:val="008763D7"/>
    <w:rsid w:val="0087646D"/>
    <w:rsid w:val="00876B42"/>
    <w:rsid w:val="00876D78"/>
    <w:rsid w:val="0088004C"/>
    <w:rsid w:val="008802CD"/>
    <w:rsid w:val="008808D9"/>
    <w:rsid w:val="00880DE5"/>
    <w:rsid w:val="0088127A"/>
    <w:rsid w:val="008819CD"/>
    <w:rsid w:val="00881AAB"/>
    <w:rsid w:val="00881CFF"/>
    <w:rsid w:val="00881E1D"/>
    <w:rsid w:val="00882035"/>
    <w:rsid w:val="008825B1"/>
    <w:rsid w:val="00882CED"/>
    <w:rsid w:val="00883257"/>
    <w:rsid w:val="008835A8"/>
    <w:rsid w:val="008839A6"/>
    <w:rsid w:val="00883BCA"/>
    <w:rsid w:val="00883C06"/>
    <w:rsid w:val="00884279"/>
    <w:rsid w:val="008842A4"/>
    <w:rsid w:val="00884B08"/>
    <w:rsid w:val="00885223"/>
    <w:rsid w:val="00886180"/>
    <w:rsid w:val="0088765B"/>
    <w:rsid w:val="00887CED"/>
    <w:rsid w:val="00890737"/>
    <w:rsid w:val="00891619"/>
    <w:rsid w:val="0089176D"/>
    <w:rsid w:val="00891A33"/>
    <w:rsid w:val="00891E91"/>
    <w:rsid w:val="00892002"/>
    <w:rsid w:val="00892373"/>
    <w:rsid w:val="0089259D"/>
    <w:rsid w:val="00892C80"/>
    <w:rsid w:val="00893134"/>
    <w:rsid w:val="00893FC0"/>
    <w:rsid w:val="00894840"/>
    <w:rsid w:val="008952DF"/>
    <w:rsid w:val="00895474"/>
    <w:rsid w:val="008956CD"/>
    <w:rsid w:val="0089640E"/>
    <w:rsid w:val="00896FEA"/>
    <w:rsid w:val="00897DD5"/>
    <w:rsid w:val="00897F57"/>
    <w:rsid w:val="008A047B"/>
    <w:rsid w:val="008A1997"/>
    <w:rsid w:val="008A1998"/>
    <w:rsid w:val="008A1A0F"/>
    <w:rsid w:val="008A1C18"/>
    <w:rsid w:val="008A1DDA"/>
    <w:rsid w:val="008A1E13"/>
    <w:rsid w:val="008A1E4F"/>
    <w:rsid w:val="008A2A00"/>
    <w:rsid w:val="008A2B68"/>
    <w:rsid w:val="008A3E33"/>
    <w:rsid w:val="008A40A3"/>
    <w:rsid w:val="008A4D44"/>
    <w:rsid w:val="008A5F7A"/>
    <w:rsid w:val="008A6441"/>
    <w:rsid w:val="008A6EDD"/>
    <w:rsid w:val="008A70A1"/>
    <w:rsid w:val="008A7538"/>
    <w:rsid w:val="008A76F0"/>
    <w:rsid w:val="008B1446"/>
    <w:rsid w:val="008B1B21"/>
    <w:rsid w:val="008B2184"/>
    <w:rsid w:val="008B26CC"/>
    <w:rsid w:val="008B2778"/>
    <w:rsid w:val="008B27BB"/>
    <w:rsid w:val="008B2D03"/>
    <w:rsid w:val="008B2F26"/>
    <w:rsid w:val="008B471F"/>
    <w:rsid w:val="008B4D01"/>
    <w:rsid w:val="008B6318"/>
    <w:rsid w:val="008B6585"/>
    <w:rsid w:val="008B6C38"/>
    <w:rsid w:val="008B6DEA"/>
    <w:rsid w:val="008C06D6"/>
    <w:rsid w:val="008C0A56"/>
    <w:rsid w:val="008C10E9"/>
    <w:rsid w:val="008C17E4"/>
    <w:rsid w:val="008C384B"/>
    <w:rsid w:val="008C3A1C"/>
    <w:rsid w:val="008C410C"/>
    <w:rsid w:val="008C4341"/>
    <w:rsid w:val="008C4640"/>
    <w:rsid w:val="008C4794"/>
    <w:rsid w:val="008C4CAE"/>
    <w:rsid w:val="008C51EE"/>
    <w:rsid w:val="008C52D7"/>
    <w:rsid w:val="008C5BF3"/>
    <w:rsid w:val="008C642C"/>
    <w:rsid w:val="008C75EE"/>
    <w:rsid w:val="008C76DC"/>
    <w:rsid w:val="008C7955"/>
    <w:rsid w:val="008D089B"/>
    <w:rsid w:val="008D0A84"/>
    <w:rsid w:val="008D0B3C"/>
    <w:rsid w:val="008D13A0"/>
    <w:rsid w:val="008D19EC"/>
    <w:rsid w:val="008D1F00"/>
    <w:rsid w:val="008D26B8"/>
    <w:rsid w:val="008D2A99"/>
    <w:rsid w:val="008D2D17"/>
    <w:rsid w:val="008D2D6D"/>
    <w:rsid w:val="008D3AD5"/>
    <w:rsid w:val="008D5A89"/>
    <w:rsid w:val="008D5C77"/>
    <w:rsid w:val="008D6D73"/>
    <w:rsid w:val="008D6EDC"/>
    <w:rsid w:val="008D6FD3"/>
    <w:rsid w:val="008D7D5A"/>
    <w:rsid w:val="008E0383"/>
    <w:rsid w:val="008E0725"/>
    <w:rsid w:val="008E0E61"/>
    <w:rsid w:val="008E0F58"/>
    <w:rsid w:val="008E0FFA"/>
    <w:rsid w:val="008E17B9"/>
    <w:rsid w:val="008E1968"/>
    <w:rsid w:val="008E1D1A"/>
    <w:rsid w:val="008E26C2"/>
    <w:rsid w:val="008E2C14"/>
    <w:rsid w:val="008E2CFF"/>
    <w:rsid w:val="008E2E43"/>
    <w:rsid w:val="008E35A7"/>
    <w:rsid w:val="008E366B"/>
    <w:rsid w:val="008E37FC"/>
    <w:rsid w:val="008E3E14"/>
    <w:rsid w:val="008E4520"/>
    <w:rsid w:val="008E5A60"/>
    <w:rsid w:val="008E5BEB"/>
    <w:rsid w:val="008E66DC"/>
    <w:rsid w:val="008E763E"/>
    <w:rsid w:val="008E7CED"/>
    <w:rsid w:val="008E7DA7"/>
    <w:rsid w:val="008F06D9"/>
    <w:rsid w:val="008F075B"/>
    <w:rsid w:val="008F0BCF"/>
    <w:rsid w:val="008F0E07"/>
    <w:rsid w:val="008F1942"/>
    <w:rsid w:val="008F1968"/>
    <w:rsid w:val="008F2321"/>
    <w:rsid w:val="008F2E5E"/>
    <w:rsid w:val="008F330E"/>
    <w:rsid w:val="008F358F"/>
    <w:rsid w:val="008F4915"/>
    <w:rsid w:val="008F56CF"/>
    <w:rsid w:val="008F5B96"/>
    <w:rsid w:val="008F5E1B"/>
    <w:rsid w:val="008F5FEC"/>
    <w:rsid w:val="008F6437"/>
    <w:rsid w:val="008F6998"/>
    <w:rsid w:val="008F741D"/>
    <w:rsid w:val="008F78B2"/>
    <w:rsid w:val="0090034E"/>
    <w:rsid w:val="00900B70"/>
    <w:rsid w:val="009011A4"/>
    <w:rsid w:val="009012BC"/>
    <w:rsid w:val="00901708"/>
    <w:rsid w:val="00902072"/>
    <w:rsid w:val="00903550"/>
    <w:rsid w:val="00903D11"/>
    <w:rsid w:val="00903D87"/>
    <w:rsid w:val="00903E77"/>
    <w:rsid w:val="00904FF5"/>
    <w:rsid w:val="00906560"/>
    <w:rsid w:val="0090660F"/>
    <w:rsid w:val="00906A1A"/>
    <w:rsid w:val="009071EF"/>
    <w:rsid w:val="009072C8"/>
    <w:rsid w:val="0091012C"/>
    <w:rsid w:val="00910212"/>
    <w:rsid w:val="0091031B"/>
    <w:rsid w:val="00910A12"/>
    <w:rsid w:val="00910C9A"/>
    <w:rsid w:val="00910E61"/>
    <w:rsid w:val="00912340"/>
    <w:rsid w:val="00912895"/>
    <w:rsid w:val="00912B14"/>
    <w:rsid w:val="00914256"/>
    <w:rsid w:val="0091445A"/>
    <w:rsid w:val="009144C2"/>
    <w:rsid w:val="0091488F"/>
    <w:rsid w:val="00915A55"/>
    <w:rsid w:val="00915F01"/>
    <w:rsid w:val="00915FED"/>
    <w:rsid w:val="00916401"/>
    <w:rsid w:val="0091670A"/>
    <w:rsid w:val="0091688B"/>
    <w:rsid w:val="009168B0"/>
    <w:rsid w:val="009171DD"/>
    <w:rsid w:val="009178E1"/>
    <w:rsid w:val="00917B7C"/>
    <w:rsid w:val="009205EA"/>
    <w:rsid w:val="0092089B"/>
    <w:rsid w:val="009209FE"/>
    <w:rsid w:val="00920DAA"/>
    <w:rsid w:val="009211B4"/>
    <w:rsid w:val="00921805"/>
    <w:rsid w:val="00921D2E"/>
    <w:rsid w:val="00922AAD"/>
    <w:rsid w:val="0092336B"/>
    <w:rsid w:val="009240F8"/>
    <w:rsid w:val="00924989"/>
    <w:rsid w:val="0092499B"/>
    <w:rsid w:val="00924D66"/>
    <w:rsid w:val="009266F7"/>
    <w:rsid w:val="00926AC1"/>
    <w:rsid w:val="00927329"/>
    <w:rsid w:val="00927968"/>
    <w:rsid w:val="00927DE0"/>
    <w:rsid w:val="00930138"/>
    <w:rsid w:val="00931CFA"/>
    <w:rsid w:val="009321B7"/>
    <w:rsid w:val="0093266C"/>
    <w:rsid w:val="00932A44"/>
    <w:rsid w:val="00932F0D"/>
    <w:rsid w:val="00933173"/>
    <w:rsid w:val="00933FDB"/>
    <w:rsid w:val="0093488C"/>
    <w:rsid w:val="00934BDD"/>
    <w:rsid w:val="00934FF9"/>
    <w:rsid w:val="00935643"/>
    <w:rsid w:val="00935B93"/>
    <w:rsid w:val="00935DCA"/>
    <w:rsid w:val="009367C5"/>
    <w:rsid w:val="00936871"/>
    <w:rsid w:val="00937142"/>
    <w:rsid w:val="009371DE"/>
    <w:rsid w:val="00937BBB"/>
    <w:rsid w:val="00937D0F"/>
    <w:rsid w:val="009406DC"/>
    <w:rsid w:val="00941010"/>
    <w:rsid w:val="00941061"/>
    <w:rsid w:val="009412AE"/>
    <w:rsid w:val="0094147E"/>
    <w:rsid w:val="0094160D"/>
    <w:rsid w:val="00942C52"/>
    <w:rsid w:val="00942FCD"/>
    <w:rsid w:val="0094306E"/>
    <w:rsid w:val="009432C5"/>
    <w:rsid w:val="009432F5"/>
    <w:rsid w:val="00943E87"/>
    <w:rsid w:val="0094436D"/>
    <w:rsid w:val="009445EA"/>
    <w:rsid w:val="00944792"/>
    <w:rsid w:val="00944997"/>
    <w:rsid w:val="009452E7"/>
    <w:rsid w:val="0094669B"/>
    <w:rsid w:val="00947194"/>
    <w:rsid w:val="009479BE"/>
    <w:rsid w:val="00947B91"/>
    <w:rsid w:val="00947C36"/>
    <w:rsid w:val="00947ED2"/>
    <w:rsid w:val="00950167"/>
    <w:rsid w:val="009503DA"/>
    <w:rsid w:val="00950C07"/>
    <w:rsid w:val="0095153A"/>
    <w:rsid w:val="009516C0"/>
    <w:rsid w:val="00951867"/>
    <w:rsid w:val="00951EBD"/>
    <w:rsid w:val="009525C5"/>
    <w:rsid w:val="00953BD5"/>
    <w:rsid w:val="00953FCF"/>
    <w:rsid w:val="009540CA"/>
    <w:rsid w:val="009545EB"/>
    <w:rsid w:val="009549E6"/>
    <w:rsid w:val="009554A3"/>
    <w:rsid w:val="009554C8"/>
    <w:rsid w:val="00955769"/>
    <w:rsid w:val="009558ED"/>
    <w:rsid w:val="00955CEF"/>
    <w:rsid w:val="009565B5"/>
    <w:rsid w:val="009566F8"/>
    <w:rsid w:val="00956B4C"/>
    <w:rsid w:val="00956EE8"/>
    <w:rsid w:val="009570BA"/>
    <w:rsid w:val="00960471"/>
    <w:rsid w:val="009605F5"/>
    <w:rsid w:val="0096072E"/>
    <w:rsid w:val="00960E09"/>
    <w:rsid w:val="00961222"/>
    <w:rsid w:val="00961671"/>
    <w:rsid w:val="0096195B"/>
    <w:rsid w:val="00961BED"/>
    <w:rsid w:val="00961E63"/>
    <w:rsid w:val="00961FFE"/>
    <w:rsid w:val="00962237"/>
    <w:rsid w:val="00962660"/>
    <w:rsid w:val="00962D5C"/>
    <w:rsid w:val="00963271"/>
    <w:rsid w:val="00963A2A"/>
    <w:rsid w:val="0096468B"/>
    <w:rsid w:val="00964E76"/>
    <w:rsid w:val="0096559A"/>
    <w:rsid w:val="009656FF"/>
    <w:rsid w:val="00966133"/>
    <w:rsid w:val="00966289"/>
    <w:rsid w:val="0096694C"/>
    <w:rsid w:val="00966B94"/>
    <w:rsid w:val="00967084"/>
    <w:rsid w:val="00967354"/>
    <w:rsid w:val="0096750E"/>
    <w:rsid w:val="00970065"/>
    <w:rsid w:val="00970A05"/>
    <w:rsid w:val="00970C2F"/>
    <w:rsid w:val="009710CD"/>
    <w:rsid w:val="009717B7"/>
    <w:rsid w:val="00971F2D"/>
    <w:rsid w:val="00972C26"/>
    <w:rsid w:val="00972F69"/>
    <w:rsid w:val="00973310"/>
    <w:rsid w:val="00973895"/>
    <w:rsid w:val="00973B6C"/>
    <w:rsid w:val="00973B7E"/>
    <w:rsid w:val="00974B7F"/>
    <w:rsid w:val="00975112"/>
    <w:rsid w:val="0097609C"/>
    <w:rsid w:val="0097660D"/>
    <w:rsid w:val="00976941"/>
    <w:rsid w:val="00976CAA"/>
    <w:rsid w:val="009775A7"/>
    <w:rsid w:val="00977BE0"/>
    <w:rsid w:val="00977E0A"/>
    <w:rsid w:val="00980A53"/>
    <w:rsid w:val="00980FC2"/>
    <w:rsid w:val="0098213E"/>
    <w:rsid w:val="009821D5"/>
    <w:rsid w:val="00982FBC"/>
    <w:rsid w:val="0098311A"/>
    <w:rsid w:val="00983FA4"/>
    <w:rsid w:val="00984307"/>
    <w:rsid w:val="00984B48"/>
    <w:rsid w:val="00984F58"/>
    <w:rsid w:val="009855FA"/>
    <w:rsid w:val="009868BB"/>
    <w:rsid w:val="00986C56"/>
    <w:rsid w:val="009901A0"/>
    <w:rsid w:val="00990342"/>
    <w:rsid w:val="009907A5"/>
    <w:rsid w:val="00990AAC"/>
    <w:rsid w:val="009911CF"/>
    <w:rsid w:val="00991481"/>
    <w:rsid w:val="00991587"/>
    <w:rsid w:val="009918AA"/>
    <w:rsid w:val="0099198D"/>
    <w:rsid w:val="009921B4"/>
    <w:rsid w:val="00992281"/>
    <w:rsid w:val="00992912"/>
    <w:rsid w:val="009930D3"/>
    <w:rsid w:val="00993815"/>
    <w:rsid w:val="00994490"/>
    <w:rsid w:val="009945B0"/>
    <w:rsid w:val="00994C97"/>
    <w:rsid w:val="00994D1D"/>
    <w:rsid w:val="00995873"/>
    <w:rsid w:val="00995AC5"/>
    <w:rsid w:val="0099614A"/>
    <w:rsid w:val="0099649F"/>
    <w:rsid w:val="00996922"/>
    <w:rsid w:val="00996D76"/>
    <w:rsid w:val="00997375"/>
    <w:rsid w:val="00997833"/>
    <w:rsid w:val="009A07BD"/>
    <w:rsid w:val="009A1B6F"/>
    <w:rsid w:val="009A1FE0"/>
    <w:rsid w:val="009A2D3B"/>
    <w:rsid w:val="009A4160"/>
    <w:rsid w:val="009A42DF"/>
    <w:rsid w:val="009A498C"/>
    <w:rsid w:val="009A586A"/>
    <w:rsid w:val="009A595B"/>
    <w:rsid w:val="009A5B92"/>
    <w:rsid w:val="009A5C4C"/>
    <w:rsid w:val="009A6044"/>
    <w:rsid w:val="009A6584"/>
    <w:rsid w:val="009A68C5"/>
    <w:rsid w:val="009A6A74"/>
    <w:rsid w:val="009A6EAF"/>
    <w:rsid w:val="009A6F78"/>
    <w:rsid w:val="009A716B"/>
    <w:rsid w:val="009A7514"/>
    <w:rsid w:val="009A756A"/>
    <w:rsid w:val="009A7E0D"/>
    <w:rsid w:val="009A7FF0"/>
    <w:rsid w:val="009B00D6"/>
    <w:rsid w:val="009B06BB"/>
    <w:rsid w:val="009B1AFD"/>
    <w:rsid w:val="009B24EB"/>
    <w:rsid w:val="009B27D2"/>
    <w:rsid w:val="009B2846"/>
    <w:rsid w:val="009B29A1"/>
    <w:rsid w:val="009B30E0"/>
    <w:rsid w:val="009B318D"/>
    <w:rsid w:val="009B3874"/>
    <w:rsid w:val="009B3936"/>
    <w:rsid w:val="009B40E0"/>
    <w:rsid w:val="009B416E"/>
    <w:rsid w:val="009B423C"/>
    <w:rsid w:val="009B51A9"/>
    <w:rsid w:val="009B51C6"/>
    <w:rsid w:val="009B54AD"/>
    <w:rsid w:val="009B5642"/>
    <w:rsid w:val="009B5895"/>
    <w:rsid w:val="009B5BD8"/>
    <w:rsid w:val="009B6121"/>
    <w:rsid w:val="009B614A"/>
    <w:rsid w:val="009B6A67"/>
    <w:rsid w:val="009B6D9E"/>
    <w:rsid w:val="009B6E7F"/>
    <w:rsid w:val="009B734B"/>
    <w:rsid w:val="009B7387"/>
    <w:rsid w:val="009B74C5"/>
    <w:rsid w:val="009C1600"/>
    <w:rsid w:val="009C1BBA"/>
    <w:rsid w:val="009C1F1C"/>
    <w:rsid w:val="009C25FC"/>
    <w:rsid w:val="009C3807"/>
    <w:rsid w:val="009C3D2B"/>
    <w:rsid w:val="009C3D94"/>
    <w:rsid w:val="009C4A67"/>
    <w:rsid w:val="009C56CD"/>
    <w:rsid w:val="009C6353"/>
    <w:rsid w:val="009C657F"/>
    <w:rsid w:val="009C6A30"/>
    <w:rsid w:val="009C6D1F"/>
    <w:rsid w:val="009C6E20"/>
    <w:rsid w:val="009C6E79"/>
    <w:rsid w:val="009C7247"/>
    <w:rsid w:val="009C74CF"/>
    <w:rsid w:val="009C7A39"/>
    <w:rsid w:val="009D099C"/>
    <w:rsid w:val="009D0FCF"/>
    <w:rsid w:val="009D1BAD"/>
    <w:rsid w:val="009D2161"/>
    <w:rsid w:val="009D32CD"/>
    <w:rsid w:val="009D391E"/>
    <w:rsid w:val="009D3C68"/>
    <w:rsid w:val="009D3EB2"/>
    <w:rsid w:val="009D4221"/>
    <w:rsid w:val="009D437D"/>
    <w:rsid w:val="009D4B51"/>
    <w:rsid w:val="009D4D30"/>
    <w:rsid w:val="009D524A"/>
    <w:rsid w:val="009D55E3"/>
    <w:rsid w:val="009D57BC"/>
    <w:rsid w:val="009D5B50"/>
    <w:rsid w:val="009D5C6C"/>
    <w:rsid w:val="009D5E5A"/>
    <w:rsid w:val="009D616C"/>
    <w:rsid w:val="009D7BEC"/>
    <w:rsid w:val="009D7DFA"/>
    <w:rsid w:val="009E03EF"/>
    <w:rsid w:val="009E0CDF"/>
    <w:rsid w:val="009E0D01"/>
    <w:rsid w:val="009E13B2"/>
    <w:rsid w:val="009E1EAD"/>
    <w:rsid w:val="009E20FF"/>
    <w:rsid w:val="009E2626"/>
    <w:rsid w:val="009E3A7B"/>
    <w:rsid w:val="009E3C85"/>
    <w:rsid w:val="009E406F"/>
    <w:rsid w:val="009E42BA"/>
    <w:rsid w:val="009E5922"/>
    <w:rsid w:val="009E5BB6"/>
    <w:rsid w:val="009E60B8"/>
    <w:rsid w:val="009E6239"/>
    <w:rsid w:val="009E72AD"/>
    <w:rsid w:val="009E73B0"/>
    <w:rsid w:val="009E73C8"/>
    <w:rsid w:val="009F0072"/>
    <w:rsid w:val="009F0122"/>
    <w:rsid w:val="009F12AD"/>
    <w:rsid w:val="009F145A"/>
    <w:rsid w:val="009F184D"/>
    <w:rsid w:val="009F2000"/>
    <w:rsid w:val="009F21F2"/>
    <w:rsid w:val="009F2531"/>
    <w:rsid w:val="009F2C5F"/>
    <w:rsid w:val="009F445F"/>
    <w:rsid w:val="009F5059"/>
    <w:rsid w:val="009F51D5"/>
    <w:rsid w:val="009F53E7"/>
    <w:rsid w:val="009F58BD"/>
    <w:rsid w:val="009F59E5"/>
    <w:rsid w:val="009F60F5"/>
    <w:rsid w:val="009F63B7"/>
    <w:rsid w:val="009F6C20"/>
    <w:rsid w:val="009F6C31"/>
    <w:rsid w:val="00A00A46"/>
    <w:rsid w:val="00A0178B"/>
    <w:rsid w:val="00A01918"/>
    <w:rsid w:val="00A01E44"/>
    <w:rsid w:val="00A02451"/>
    <w:rsid w:val="00A03D4F"/>
    <w:rsid w:val="00A03F31"/>
    <w:rsid w:val="00A03FE2"/>
    <w:rsid w:val="00A042D1"/>
    <w:rsid w:val="00A0444E"/>
    <w:rsid w:val="00A04AA6"/>
    <w:rsid w:val="00A05095"/>
    <w:rsid w:val="00A05773"/>
    <w:rsid w:val="00A05A6D"/>
    <w:rsid w:val="00A06096"/>
    <w:rsid w:val="00A06182"/>
    <w:rsid w:val="00A065F7"/>
    <w:rsid w:val="00A06652"/>
    <w:rsid w:val="00A06882"/>
    <w:rsid w:val="00A069BB"/>
    <w:rsid w:val="00A07718"/>
    <w:rsid w:val="00A07DEC"/>
    <w:rsid w:val="00A07EA6"/>
    <w:rsid w:val="00A07EBB"/>
    <w:rsid w:val="00A10CFD"/>
    <w:rsid w:val="00A11333"/>
    <w:rsid w:val="00A11B89"/>
    <w:rsid w:val="00A122C0"/>
    <w:rsid w:val="00A123F7"/>
    <w:rsid w:val="00A125C2"/>
    <w:rsid w:val="00A1265B"/>
    <w:rsid w:val="00A12815"/>
    <w:rsid w:val="00A128A2"/>
    <w:rsid w:val="00A12AF3"/>
    <w:rsid w:val="00A12B63"/>
    <w:rsid w:val="00A12C90"/>
    <w:rsid w:val="00A13C17"/>
    <w:rsid w:val="00A13C46"/>
    <w:rsid w:val="00A14578"/>
    <w:rsid w:val="00A14997"/>
    <w:rsid w:val="00A1579D"/>
    <w:rsid w:val="00A15FDF"/>
    <w:rsid w:val="00A15FEF"/>
    <w:rsid w:val="00A16A7F"/>
    <w:rsid w:val="00A171E0"/>
    <w:rsid w:val="00A1744A"/>
    <w:rsid w:val="00A17649"/>
    <w:rsid w:val="00A17C05"/>
    <w:rsid w:val="00A17E5E"/>
    <w:rsid w:val="00A208AE"/>
    <w:rsid w:val="00A213A6"/>
    <w:rsid w:val="00A2179E"/>
    <w:rsid w:val="00A21B54"/>
    <w:rsid w:val="00A21ECD"/>
    <w:rsid w:val="00A2387A"/>
    <w:rsid w:val="00A23A06"/>
    <w:rsid w:val="00A23E1C"/>
    <w:rsid w:val="00A241F8"/>
    <w:rsid w:val="00A24733"/>
    <w:rsid w:val="00A24B20"/>
    <w:rsid w:val="00A24FC3"/>
    <w:rsid w:val="00A25081"/>
    <w:rsid w:val="00A2523C"/>
    <w:rsid w:val="00A253C4"/>
    <w:rsid w:val="00A25A59"/>
    <w:rsid w:val="00A25AD0"/>
    <w:rsid w:val="00A26ADD"/>
    <w:rsid w:val="00A26D81"/>
    <w:rsid w:val="00A270F2"/>
    <w:rsid w:val="00A27409"/>
    <w:rsid w:val="00A27BF7"/>
    <w:rsid w:val="00A27EC9"/>
    <w:rsid w:val="00A30550"/>
    <w:rsid w:val="00A30966"/>
    <w:rsid w:val="00A30C8F"/>
    <w:rsid w:val="00A313DA"/>
    <w:rsid w:val="00A31AE1"/>
    <w:rsid w:val="00A31E1A"/>
    <w:rsid w:val="00A326AF"/>
    <w:rsid w:val="00A34678"/>
    <w:rsid w:val="00A3546F"/>
    <w:rsid w:val="00A35ADF"/>
    <w:rsid w:val="00A35F0A"/>
    <w:rsid w:val="00A362A1"/>
    <w:rsid w:val="00A36682"/>
    <w:rsid w:val="00A369F8"/>
    <w:rsid w:val="00A37A40"/>
    <w:rsid w:val="00A37E72"/>
    <w:rsid w:val="00A37FC4"/>
    <w:rsid w:val="00A40263"/>
    <w:rsid w:val="00A40BFD"/>
    <w:rsid w:val="00A41DA7"/>
    <w:rsid w:val="00A425AE"/>
    <w:rsid w:val="00A42C93"/>
    <w:rsid w:val="00A43820"/>
    <w:rsid w:val="00A43F0B"/>
    <w:rsid w:val="00A447E6"/>
    <w:rsid w:val="00A44AB4"/>
    <w:rsid w:val="00A44BDB"/>
    <w:rsid w:val="00A44C75"/>
    <w:rsid w:val="00A44D61"/>
    <w:rsid w:val="00A44FEB"/>
    <w:rsid w:val="00A4567D"/>
    <w:rsid w:val="00A45796"/>
    <w:rsid w:val="00A45AAC"/>
    <w:rsid w:val="00A45F12"/>
    <w:rsid w:val="00A46053"/>
    <w:rsid w:val="00A4618F"/>
    <w:rsid w:val="00A46325"/>
    <w:rsid w:val="00A46600"/>
    <w:rsid w:val="00A4668A"/>
    <w:rsid w:val="00A4703B"/>
    <w:rsid w:val="00A47565"/>
    <w:rsid w:val="00A47AB4"/>
    <w:rsid w:val="00A47ABA"/>
    <w:rsid w:val="00A501BA"/>
    <w:rsid w:val="00A50357"/>
    <w:rsid w:val="00A50905"/>
    <w:rsid w:val="00A50E11"/>
    <w:rsid w:val="00A5147F"/>
    <w:rsid w:val="00A516C2"/>
    <w:rsid w:val="00A516E5"/>
    <w:rsid w:val="00A51703"/>
    <w:rsid w:val="00A51ADC"/>
    <w:rsid w:val="00A51B8A"/>
    <w:rsid w:val="00A52944"/>
    <w:rsid w:val="00A529A1"/>
    <w:rsid w:val="00A52C22"/>
    <w:rsid w:val="00A52D97"/>
    <w:rsid w:val="00A535DD"/>
    <w:rsid w:val="00A53DE9"/>
    <w:rsid w:val="00A5473F"/>
    <w:rsid w:val="00A54987"/>
    <w:rsid w:val="00A54CD4"/>
    <w:rsid w:val="00A54E5D"/>
    <w:rsid w:val="00A5568B"/>
    <w:rsid w:val="00A55ADA"/>
    <w:rsid w:val="00A56BF3"/>
    <w:rsid w:val="00A5792B"/>
    <w:rsid w:val="00A57AC4"/>
    <w:rsid w:val="00A6044B"/>
    <w:rsid w:val="00A60731"/>
    <w:rsid w:val="00A60A2F"/>
    <w:rsid w:val="00A60DBE"/>
    <w:rsid w:val="00A6102D"/>
    <w:rsid w:val="00A62688"/>
    <w:rsid w:val="00A62E5E"/>
    <w:rsid w:val="00A63C79"/>
    <w:rsid w:val="00A641C4"/>
    <w:rsid w:val="00A648CA"/>
    <w:rsid w:val="00A650B5"/>
    <w:rsid w:val="00A6569A"/>
    <w:rsid w:val="00A65AE9"/>
    <w:rsid w:val="00A661F9"/>
    <w:rsid w:val="00A666E5"/>
    <w:rsid w:val="00A66872"/>
    <w:rsid w:val="00A67201"/>
    <w:rsid w:val="00A674EA"/>
    <w:rsid w:val="00A67786"/>
    <w:rsid w:val="00A67E1A"/>
    <w:rsid w:val="00A67E55"/>
    <w:rsid w:val="00A7031B"/>
    <w:rsid w:val="00A70366"/>
    <w:rsid w:val="00A705CD"/>
    <w:rsid w:val="00A706DC"/>
    <w:rsid w:val="00A70DA3"/>
    <w:rsid w:val="00A717D2"/>
    <w:rsid w:val="00A71AF2"/>
    <w:rsid w:val="00A71EB6"/>
    <w:rsid w:val="00A722D3"/>
    <w:rsid w:val="00A724F4"/>
    <w:rsid w:val="00A726A1"/>
    <w:rsid w:val="00A7315D"/>
    <w:rsid w:val="00A73482"/>
    <w:rsid w:val="00A7377C"/>
    <w:rsid w:val="00A73969"/>
    <w:rsid w:val="00A73978"/>
    <w:rsid w:val="00A73D67"/>
    <w:rsid w:val="00A7403E"/>
    <w:rsid w:val="00A74278"/>
    <w:rsid w:val="00A74808"/>
    <w:rsid w:val="00A7484C"/>
    <w:rsid w:val="00A74BEF"/>
    <w:rsid w:val="00A75809"/>
    <w:rsid w:val="00A75B48"/>
    <w:rsid w:val="00A75D92"/>
    <w:rsid w:val="00A772F9"/>
    <w:rsid w:val="00A77D23"/>
    <w:rsid w:val="00A802D3"/>
    <w:rsid w:val="00A80A62"/>
    <w:rsid w:val="00A80D14"/>
    <w:rsid w:val="00A8118D"/>
    <w:rsid w:val="00A81853"/>
    <w:rsid w:val="00A824FC"/>
    <w:rsid w:val="00A83268"/>
    <w:rsid w:val="00A83459"/>
    <w:rsid w:val="00A84A1B"/>
    <w:rsid w:val="00A850AE"/>
    <w:rsid w:val="00A854F7"/>
    <w:rsid w:val="00A85819"/>
    <w:rsid w:val="00A861F3"/>
    <w:rsid w:val="00A86430"/>
    <w:rsid w:val="00A86523"/>
    <w:rsid w:val="00A86D60"/>
    <w:rsid w:val="00A8722D"/>
    <w:rsid w:val="00A8729B"/>
    <w:rsid w:val="00A87D7F"/>
    <w:rsid w:val="00A87F9B"/>
    <w:rsid w:val="00A903CB"/>
    <w:rsid w:val="00A903E9"/>
    <w:rsid w:val="00A907C4"/>
    <w:rsid w:val="00A9155E"/>
    <w:rsid w:val="00A9165D"/>
    <w:rsid w:val="00A9260A"/>
    <w:rsid w:val="00A93133"/>
    <w:rsid w:val="00A94534"/>
    <w:rsid w:val="00A958CB"/>
    <w:rsid w:val="00A95E02"/>
    <w:rsid w:val="00A96203"/>
    <w:rsid w:val="00A96DB2"/>
    <w:rsid w:val="00A976D5"/>
    <w:rsid w:val="00A977F2"/>
    <w:rsid w:val="00A978A8"/>
    <w:rsid w:val="00A97CCC"/>
    <w:rsid w:val="00A97DF4"/>
    <w:rsid w:val="00A97EFE"/>
    <w:rsid w:val="00AA0A2B"/>
    <w:rsid w:val="00AA11E9"/>
    <w:rsid w:val="00AA14A7"/>
    <w:rsid w:val="00AA2A28"/>
    <w:rsid w:val="00AA2FB8"/>
    <w:rsid w:val="00AA30CC"/>
    <w:rsid w:val="00AA34D3"/>
    <w:rsid w:val="00AA3672"/>
    <w:rsid w:val="00AA38F4"/>
    <w:rsid w:val="00AA4293"/>
    <w:rsid w:val="00AA44D2"/>
    <w:rsid w:val="00AA4B36"/>
    <w:rsid w:val="00AA54EB"/>
    <w:rsid w:val="00AA5681"/>
    <w:rsid w:val="00AA57CC"/>
    <w:rsid w:val="00AA61B4"/>
    <w:rsid w:val="00AA6C8B"/>
    <w:rsid w:val="00AA6CC2"/>
    <w:rsid w:val="00AA6CF5"/>
    <w:rsid w:val="00AA6EC8"/>
    <w:rsid w:val="00AB0036"/>
    <w:rsid w:val="00AB03D7"/>
    <w:rsid w:val="00AB11B9"/>
    <w:rsid w:val="00AB1A4B"/>
    <w:rsid w:val="00AB1E8D"/>
    <w:rsid w:val="00AB1F61"/>
    <w:rsid w:val="00AB2688"/>
    <w:rsid w:val="00AB275E"/>
    <w:rsid w:val="00AB2CEC"/>
    <w:rsid w:val="00AB2D09"/>
    <w:rsid w:val="00AB3289"/>
    <w:rsid w:val="00AB32E5"/>
    <w:rsid w:val="00AB3D95"/>
    <w:rsid w:val="00AB4C4F"/>
    <w:rsid w:val="00AB5C86"/>
    <w:rsid w:val="00AB6611"/>
    <w:rsid w:val="00AB6CB3"/>
    <w:rsid w:val="00AB740B"/>
    <w:rsid w:val="00AB7C58"/>
    <w:rsid w:val="00AC0732"/>
    <w:rsid w:val="00AC07F3"/>
    <w:rsid w:val="00AC0E76"/>
    <w:rsid w:val="00AC1061"/>
    <w:rsid w:val="00AC1722"/>
    <w:rsid w:val="00AC3184"/>
    <w:rsid w:val="00AC37B5"/>
    <w:rsid w:val="00AC42D7"/>
    <w:rsid w:val="00AC55B2"/>
    <w:rsid w:val="00AC5705"/>
    <w:rsid w:val="00AC5CFD"/>
    <w:rsid w:val="00AC691A"/>
    <w:rsid w:val="00AC7E33"/>
    <w:rsid w:val="00AD0774"/>
    <w:rsid w:val="00AD136B"/>
    <w:rsid w:val="00AD154B"/>
    <w:rsid w:val="00AD1717"/>
    <w:rsid w:val="00AD1732"/>
    <w:rsid w:val="00AD1BBD"/>
    <w:rsid w:val="00AD2361"/>
    <w:rsid w:val="00AD2D2A"/>
    <w:rsid w:val="00AD4AE7"/>
    <w:rsid w:val="00AD4F8A"/>
    <w:rsid w:val="00AD562F"/>
    <w:rsid w:val="00AD5742"/>
    <w:rsid w:val="00AD6239"/>
    <w:rsid w:val="00AD640F"/>
    <w:rsid w:val="00AD6A9E"/>
    <w:rsid w:val="00AD718F"/>
    <w:rsid w:val="00AD79A3"/>
    <w:rsid w:val="00AE05BB"/>
    <w:rsid w:val="00AE063E"/>
    <w:rsid w:val="00AE0970"/>
    <w:rsid w:val="00AE09BD"/>
    <w:rsid w:val="00AE0CC1"/>
    <w:rsid w:val="00AE121B"/>
    <w:rsid w:val="00AE1940"/>
    <w:rsid w:val="00AE1D54"/>
    <w:rsid w:val="00AE2141"/>
    <w:rsid w:val="00AE2237"/>
    <w:rsid w:val="00AE39BF"/>
    <w:rsid w:val="00AE3D9A"/>
    <w:rsid w:val="00AE4754"/>
    <w:rsid w:val="00AE4812"/>
    <w:rsid w:val="00AE4F10"/>
    <w:rsid w:val="00AE54A3"/>
    <w:rsid w:val="00AE6353"/>
    <w:rsid w:val="00AE672D"/>
    <w:rsid w:val="00AE6989"/>
    <w:rsid w:val="00AE729E"/>
    <w:rsid w:val="00AE797A"/>
    <w:rsid w:val="00AF01A3"/>
    <w:rsid w:val="00AF01D0"/>
    <w:rsid w:val="00AF027F"/>
    <w:rsid w:val="00AF0721"/>
    <w:rsid w:val="00AF2125"/>
    <w:rsid w:val="00AF230B"/>
    <w:rsid w:val="00AF29D4"/>
    <w:rsid w:val="00AF362C"/>
    <w:rsid w:val="00AF3F88"/>
    <w:rsid w:val="00AF4DCF"/>
    <w:rsid w:val="00AF4F4E"/>
    <w:rsid w:val="00AF50E2"/>
    <w:rsid w:val="00AF525D"/>
    <w:rsid w:val="00AF5496"/>
    <w:rsid w:val="00AF570E"/>
    <w:rsid w:val="00AF5945"/>
    <w:rsid w:val="00AF59CF"/>
    <w:rsid w:val="00AF5F46"/>
    <w:rsid w:val="00AF6726"/>
    <w:rsid w:val="00AF688C"/>
    <w:rsid w:val="00AF6E00"/>
    <w:rsid w:val="00AF6E1F"/>
    <w:rsid w:val="00AF7473"/>
    <w:rsid w:val="00AF7FE7"/>
    <w:rsid w:val="00B00847"/>
    <w:rsid w:val="00B01380"/>
    <w:rsid w:val="00B0185A"/>
    <w:rsid w:val="00B02653"/>
    <w:rsid w:val="00B02EF0"/>
    <w:rsid w:val="00B0348D"/>
    <w:rsid w:val="00B03850"/>
    <w:rsid w:val="00B03C13"/>
    <w:rsid w:val="00B04011"/>
    <w:rsid w:val="00B04161"/>
    <w:rsid w:val="00B049E6"/>
    <w:rsid w:val="00B04B71"/>
    <w:rsid w:val="00B04C62"/>
    <w:rsid w:val="00B0543C"/>
    <w:rsid w:val="00B062C4"/>
    <w:rsid w:val="00B069AF"/>
    <w:rsid w:val="00B0756A"/>
    <w:rsid w:val="00B077B4"/>
    <w:rsid w:val="00B07952"/>
    <w:rsid w:val="00B10EDC"/>
    <w:rsid w:val="00B12843"/>
    <w:rsid w:val="00B13DE6"/>
    <w:rsid w:val="00B1437B"/>
    <w:rsid w:val="00B14A59"/>
    <w:rsid w:val="00B14DB7"/>
    <w:rsid w:val="00B16580"/>
    <w:rsid w:val="00B16981"/>
    <w:rsid w:val="00B1730F"/>
    <w:rsid w:val="00B207E7"/>
    <w:rsid w:val="00B21070"/>
    <w:rsid w:val="00B21C4D"/>
    <w:rsid w:val="00B21E3C"/>
    <w:rsid w:val="00B22E77"/>
    <w:rsid w:val="00B235C9"/>
    <w:rsid w:val="00B24C4B"/>
    <w:rsid w:val="00B24FFB"/>
    <w:rsid w:val="00B25055"/>
    <w:rsid w:val="00B26006"/>
    <w:rsid w:val="00B264F8"/>
    <w:rsid w:val="00B26618"/>
    <w:rsid w:val="00B26B1D"/>
    <w:rsid w:val="00B26C9E"/>
    <w:rsid w:val="00B2703D"/>
    <w:rsid w:val="00B3005F"/>
    <w:rsid w:val="00B30275"/>
    <w:rsid w:val="00B30C60"/>
    <w:rsid w:val="00B313ED"/>
    <w:rsid w:val="00B3209C"/>
    <w:rsid w:val="00B32515"/>
    <w:rsid w:val="00B32935"/>
    <w:rsid w:val="00B32ADD"/>
    <w:rsid w:val="00B33730"/>
    <w:rsid w:val="00B339E4"/>
    <w:rsid w:val="00B33C0A"/>
    <w:rsid w:val="00B34178"/>
    <w:rsid w:val="00B3446B"/>
    <w:rsid w:val="00B345E6"/>
    <w:rsid w:val="00B34D43"/>
    <w:rsid w:val="00B3537B"/>
    <w:rsid w:val="00B3553E"/>
    <w:rsid w:val="00B35779"/>
    <w:rsid w:val="00B35A2C"/>
    <w:rsid w:val="00B366FB"/>
    <w:rsid w:val="00B36C18"/>
    <w:rsid w:val="00B36FE5"/>
    <w:rsid w:val="00B36FE9"/>
    <w:rsid w:val="00B37019"/>
    <w:rsid w:val="00B377BB"/>
    <w:rsid w:val="00B378D9"/>
    <w:rsid w:val="00B40134"/>
    <w:rsid w:val="00B40325"/>
    <w:rsid w:val="00B40C43"/>
    <w:rsid w:val="00B40C85"/>
    <w:rsid w:val="00B40CCA"/>
    <w:rsid w:val="00B41108"/>
    <w:rsid w:val="00B41298"/>
    <w:rsid w:val="00B412CF"/>
    <w:rsid w:val="00B41369"/>
    <w:rsid w:val="00B41444"/>
    <w:rsid w:val="00B4147D"/>
    <w:rsid w:val="00B42099"/>
    <w:rsid w:val="00B42FA8"/>
    <w:rsid w:val="00B430AD"/>
    <w:rsid w:val="00B4332E"/>
    <w:rsid w:val="00B4345D"/>
    <w:rsid w:val="00B453C0"/>
    <w:rsid w:val="00B45566"/>
    <w:rsid w:val="00B45A9B"/>
    <w:rsid w:val="00B461A8"/>
    <w:rsid w:val="00B465B1"/>
    <w:rsid w:val="00B4686E"/>
    <w:rsid w:val="00B46C0A"/>
    <w:rsid w:val="00B46CC9"/>
    <w:rsid w:val="00B46CF3"/>
    <w:rsid w:val="00B47A48"/>
    <w:rsid w:val="00B47D66"/>
    <w:rsid w:val="00B47EFD"/>
    <w:rsid w:val="00B51187"/>
    <w:rsid w:val="00B5336B"/>
    <w:rsid w:val="00B5417B"/>
    <w:rsid w:val="00B5417C"/>
    <w:rsid w:val="00B54811"/>
    <w:rsid w:val="00B560C7"/>
    <w:rsid w:val="00B562E6"/>
    <w:rsid w:val="00B56CC3"/>
    <w:rsid w:val="00B56D27"/>
    <w:rsid w:val="00B56F89"/>
    <w:rsid w:val="00B574F2"/>
    <w:rsid w:val="00B57A56"/>
    <w:rsid w:val="00B57C11"/>
    <w:rsid w:val="00B6005D"/>
    <w:rsid w:val="00B60580"/>
    <w:rsid w:val="00B60A4F"/>
    <w:rsid w:val="00B6104A"/>
    <w:rsid w:val="00B611CE"/>
    <w:rsid w:val="00B61365"/>
    <w:rsid w:val="00B62AF0"/>
    <w:rsid w:val="00B62B06"/>
    <w:rsid w:val="00B62C4D"/>
    <w:rsid w:val="00B62DB5"/>
    <w:rsid w:val="00B637B1"/>
    <w:rsid w:val="00B63826"/>
    <w:rsid w:val="00B6399C"/>
    <w:rsid w:val="00B64135"/>
    <w:rsid w:val="00B64434"/>
    <w:rsid w:val="00B6525F"/>
    <w:rsid w:val="00B657D2"/>
    <w:rsid w:val="00B65940"/>
    <w:rsid w:val="00B65D74"/>
    <w:rsid w:val="00B665E0"/>
    <w:rsid w:val="00B66680"/>
    <w:rsid w:val="00B67294"/>
    <w:rsid w:val="00B672BD"/>
    <w:rsid w:val="00B6745C"/>
    <w:rsid w:val="00B67698"/>
    <w:rsid w:val="00B677C9"/>
    <w:rsid w:val="00B67A95"/>
    <w:rsid w:val="00B67C87"/>
    <w:rsid w:val="00B67F43"/>
    <w:rsid w:val="00B70F1A"/>
    <w:rsid w:val="00B711DB"/>
    <w:rsid w:val="00B71391"/>
    <w:rsid w:val="00B715AD"/>
    <w:rsid w:val="00B7199C"/>
    <w:rsid w:val="00B7209A"/>
    <w:rsid w:val="00B723A3"/>
    <w:rsid w:val="00B72480"/>
    <w:rsid w:val="00B72707"/>
    <w:rsid w:val="00B72B2E"/>
    <w:rsid w:val="00B736CD"/>
    <w:rsid w:val="00B73C8B"/>
    <w:rsid w:val="00B758A9"/>
    <w:rsid w:val="00B76E6D"/>
    <w:rsid w:val="00B775B7"/>
    <w:rsid w:val="00B807CB"/>
    <w:rsid w:val="00B8093D"/>
    <w:rsid w:val="00B8121D"/>
    <w:rsid w:val="00B81281"/>
    <w:rsid w:val="00B813FD"/>
    <w:rsid w:val="00B81670"/>
    <w:rsid w:val="00B81C3C"/>
    <w:rsid w:val="00B828F9"/>
    <w:rsid w:val="00B8300B"/>
    <w:rsid w:val="00B83F9A"/>
    <w:rsid w:val="00B8426B"/>
    <w:rsid w:val="00B85214"/>
    <w:rsid w:val="00B86444"/>
    <w:rsid w:val="00B86C20"/>
    <w:rsid w:val="00B86E51"/>
    <w:rsid w:val="00B8799C"/>
    <w:rsid w:val="00B87F18"/>
    <w:rsid w:val="00B90580"/>
    <w:rsid w:val="00B913F8"/>
    <w:rsid w:val="00B91472"/>
    <w:rsid w:val="00B916D5"/>
    <w:rsid w:val="00B91AF9"/>
    <w:rsid w:val="00B91D10"/>
    <w:rsid w:val="00B928E5"/>
    <w:rsid w:val="00B932E8"/>
    <w:rsid w:val="00B9389A"/>
    <w:rsid w:val="00B93B80"/>
    <w:rsid w:val="00B9431D"/>
    <w:rsid w:val="00B94402"/>
    <w:rsid w:val="00B944FC"/>
    <w:rsid w:val="00B94C86"/>
    <w:rsid w:val="00B94D91"/>
    <w:rsid w:val="00B95015"/>
    <w:rsid w:val="00B95E3F"/>
    <w:rsid w:val="00B95F2A"/>
    <w:rsid w:val="00B97320"/>
    <w:rsid w:val="00B97F8B"/>
    <w:rsid w:val="00BA07D5"/>
    <w:rsid w:val="00BA11A5"/>
    <w:rsid w:val="00BA1E2D"/>
    <w:rsid w:val="00BA2A7C"/>
    <w:rsid w:val="00BA2C82"/>
    <w:rsid w:val="00BA3186"/>
    <w:rsid w:val="00BA3F06"/>
    <w:rsid w:val="00BA4161"/>
    <w:rsid w:val="00BA4541"/>
    <w:rsid w:val="00BA4D7A"/>
    <w:rsid w:val="00BA58D4"/>
    <w:rsid w:val="00BA6359"/>
    <w:rsid w:val="00BA6ED4"/>
    <w:rsid w:val="00BA7302"/>
    <w:rsid w:val="00BA7BAF"/>
    <w:rsid w:val="00BA7D97"/>
    <w:rsid w:val="00BB0D42"/>
    <w:rsid w:val="00BB0F9D"/>
    <w:rsid w:val="00BB1E91"/>
    <w:rsid w:val="00BB290A"/>
    <w:rsid w:val="00BB30B9"/>
    <w:rsid w:val="00BB37EA"/>
    <w:rsid w:val="00BB3D3A"/>
    <w:rsid w:val="00BB42C5"/>
    <w:rsid w:val="00BB43E4"/>
    <w:rsid w:val="00BB4519"/>
    <w:rsid w:val="00BB46CC"/>
    <w:rsid w:val="00BB551A"/>
    <w:rsid w:val="00BB5E9B"/>
    <w:rsid w:val="00BB5EA3"/>
    <w:rsid w:val="00BB6373"/>
    <w:rsid w:val="00BB63F2"/>
    <w:rsid w:val="00BB6565"/>
    <w:rsid w:val="00BB6AF0"/>
    <w:rsid w:val="00BB7276"/>
    <w:rsid w:val="00BB7D39"/>
    <w:rsid w:val="00BB7E11"/>
    <w:rsid w:val="00BC07F2"/>
    <w:rsid w:val="00BC1554"/>
    <w:rsid w:val="00BC172B"/>
    <w:rsid w:val="00BC1E11"/>
    <w:rsid w:val="00BC20F8"/>
    <w:rsid w:val="00BC2184"/>
    <w:rsid w:val="00BC23CB"/>
    <w:rsid w:val="00BC2911"/>
    <w:rsid w:val="00BC3693"/>
    <w:rsid w:val="00BC3B24"/>
    <w:rsid w:val="00BC4014"/>
    <w:rsid w:val="00BC4F64"/>
    <w:rsid w:val="00BC577E"/>
    <w:rsid w:val="00BC596A"/>
    <w:rsid w:val="00BC5B29"/>
    <w:rsid w:val="00BC6567"/>
    <w:rsid w:val="00BC713E"/>
    <w:rsid w:val="00BC7552"/>
    <w:rsid w:val="00BC75FB"/>
    <w:rsid w:val="00BC793B"/>
    <w:rsid w:val="00BC7AFA"/>
    <w:rsid w:val="00BD05E2"/>
    <w:rsid w:val="00BD0909"/>
    <w:rsid w:val="00BD0CE3"/>
    <w:rsid w:val="00BD0F3F"/>
    <w:rsid w:val="00BD188E"/>
    <w:rsid w:val="00BD19B8"/>
    <w:rsid w:val="00BD1F3F"/>
    <w:rsid w:val="00BD2205"/>
    <w:rsid w:val="00BD40AF"/>
    <w:rsid w:val="00BD45AD"/>
    <w:rsid w:val="00BD48C3"/>
    <w:rsid w:val="00BD4956"/>
    <w:rsid w:val="00BD5457"/>
    <w:rsid w:val="00BD5759"/>
    <w:rsid w:val="00BD5941"/>
    <w:rsid w:val="00BD6202"/>
    <w:rsid w:val="00BD6458"/>
    <w:rsid w:val="00BD68EB"/>
    <w:rsid w:val="00BD6E0F"/>
    <w:rsid w:val="00BD6EF1"/>
    <w:rsid w:val="00BD7A2E"/>
    <w:rsid w:val="00BE011B"/>
    <w:rsid w:val="00BE0A43"/>
    <w:rsid w:val="00BE11FB"/>
    <w:rsid w:val="00BE2668"/>
    <w:rsid w:val="00BE29BF"/>
    <w:rsid w:val="00BE2BC1"/>
    <w:rsid w:val="00BE3545"/>
    <w:rsid w:val="00BE366B"/>
    <w:rsid w:val="00BE4185"/>
    <w:rsid w:val="00BE4320"/>
    <w:rsid w:val="00BE44E6"/>
    <w:rsid w:val="00BE44ED"/>
    <w:rsid w:val="00BE469B"/>
    <w:rsid w:val="00BE49EA"/>
    <w:rsid w:val="00BE4A30"/>
    <w:rsid w:val="00BE4F3A"/>
    <w:rsid w:val="00BE6203"/>
    <w:rsid w:val="00BE6285"/>
    <w:rsid w:val="00BE6D8C"/>
    <w:rsid w:val="00BF00F9"/>
    <w:rsid w:val="00BF030E"/>
    <w:rsid w:val="00BF1E5C"/>
    <w:rsid w:val="00BF4DD7"/>
    <w:rsid w:val="00BF544B"/>
    <w:rsid w:val="00BF5A52"/>
    <w:rsid w:val="00BF5A79"/>
    <w:rsid w:val="00BF639B"/>
    <w:rsid w:val="00BF6478"/>
    <w:rsid w:val="00BF6657"/>
    <w:rsid w:val="00BF6D9A"/>
    <w:rsid w:val="00BF7361"/>
    <w:rsid w:val="00BF7D47"/>
    <w:rsid w:val="00BF7E7E"/>
    <w:rsid w:val="00C002EF"/>
    <w:rsid w:val="00C0030A"/>
    <w:rsid w:val="00C003F4"/>
    <w:rsid w:val="00C004C6"/>
    <w:rsid w:val="00C008B3"/>
    <w:rsid w:val="00C01F6E"/>
    <w:rsid w:val="00C024F6"/>
    <w:rsid w:val="00C028EB"/>
    <w:rsid w:val="00C0314F"/>
    <w:rsid w:val="00C03543"/>
    <w:rsid w:val="00C03B4B"/>
    <w:rsid w:val="00C042EB"/>
    <w:rsid w:val="00C04F69"/>
    <w:rsid w:val="00C0549F"/>
    <w:rsid w:val="00C059EC"/>
    <w:rsid w:val="00C062BF"/>
    <w:rsid w:val="00C06D0E"/>
    <w:rsid w:val="00C06FE2"/>
    <w:rsid w:val="00C07D8A"/>
    <w:rsid w:val="00C10D8D"/>
    <w:rsid w:val="00C113F0"/>
    <w:rsid w:val="00C11A0A"/>
    <w:rsid w:val="00C12171"/>
    <w:rsid w:val="00C127FD"/>
    <w:rsid w:val="00C13143"/>
    <w:rsid w:val="00C134AB"/>
    <w:rsid w:val="00C135C8"/>
    <w:rsid w:val="00C13AAE"/>
    <w:rsid w:val="00C13EC4"/>
    <w:rsid w:val="00C140D3"/>
    <w:rsid w:val="00C14724"/>
    <w:rsid w:val="00C14971"/>
    <w:rsid w:val="00C14A8B"/>
    <w:rsid w:val="00C14C35"/>
    <w:rsid w:val="00C14F78"/>
    <w:rsid w:val="00C15A15"/>
    <w:rsid w:val="00C161DB"/>
    <w:rsid w:val="00C1637A"/>
    <w:rsid w:val="00C171CC"/>
    <w:rsid w:val="00C1742F"/>
    <w:rsid w:val="00C1765E"/>
    <w:rsid w:val="00C20C8B"/>
    <w:rsid w:val="00C20E6F"/>
    <w:rsid w:val="00C2142B"/>
    <w:rsid w:val="00C224B0"/>
    <w:rsid w:val="00C224EF"/>
    <w:rsid w:val="00C225D7"/>
    <w:rsid w:val="00C22DB9"/>
    <w:rsid w:val="00C2301A"/>
    <w:rsid w:val="00C236C8"/>
    <w:rsid w:val="00C23952"/>
    <w:rsid w:val="00C23B2A"/>
    <w:rsid w:val="00C2403C"/>
    <w:rsid w:val="00C24055"/>
    <w:rsid w:val="00C245E0"/>
    <w:rsid w:val="00C25220"/>
    <w:rsid w:val="00C25830"/>
    <w:rsid w:val="00C269CF"/>
    <w:rsid w:val="00C26EDF"/>
    <w:rsid w:val="00C27881"/>
    <w:rsid w:val="00C2798C"/>
    <w:rsid w:val="00C301B8"/>
    <w:rsid w:val="00C3122E"/>
    <w:rsid w:val="00C31A72"/>
    <w:rsid w:val="00C322E8"/>
    <w:rsid w:val="00C32942"/>
    <w:rsid w:val="00C3334B"/>
    <w:rsid w:val="00C3355E"/>
    <w:rsid w:val="00C33B65"/>
    <w:rsid w:val="00C343E2"/>
    <w:rsid w:val="00C344CE"/>
    <w:rsid w:val="00C34D67"/>
    <w:rsid w:val="00C35746"/>
    <w:rsid w:val="00C35869"/>
    <w:rsid w:val="00C35EAE"/>
    <w:rsid w:val="00C36320"/>
    <w:rsid w:val="00C3687A"/>
    <w:rsid w:val="00C36C47"/>
    <w:rsid w:val="00C37A3B"/>
    <w:rsid w:val="00C401F8"/>
    <w:rsid w:val="00C403BD"/>
    <w:rsid w:val="00C40883"/>
    <w:rsid w:val="00C40B0C"/>
    <w:rsid w:val="00C40CAA"/>
    <w:rsid w:val="00C40D1B"/>
    <w:rsid w:val="00C40D56"/>
    <w:rsid w:val="00C4158C"/>
    <w:rsid w:val="00C41D58"/>
    <w:rsid w:val="00C42497"/>
    <w:rsid w:val="00C4319F"/>
    <w:rsid w:val="00C43497"/>
    <w:rsid w:val="00C440AF"/>
    <w:rsid w:val="00C449CF"/>
    <w:rsid w:val="00C44B72"/>
    <w:rsid w:val="00C45220"/>
    <w:rsid w:val="00C45AD9"/>
    <w:rsid w:val="00C45B16"/>
    <w:rsid w:val="00C464E9"/>
    <w:rsid w:val="00C46A63"/>
    <w:rsid w:val="00C46D3C"/>
    <w:rsid w:val="00C46D46"/>
    <w:rsid w:val="00C501FB"/>
    <w:rsid w:val="00C50BC4"/>
    <w:rsid w:val="00C50FEB"/>
    <w:rsid w:val="00C5141F"/>
    <w:rsid w:val="00C5148E"/>
    <w:rsid w:val="00C518EE"/>
    <w:rsid w:val="00C51937"/>
    <w:rsid w:val="00C51BFA"/>
    <w:rsid w:val="00C51DF4"/>
    <w:rsid w:val="00C52103"/>
    <w:rsid w:val="00C52D6C"/>
    <w:rsid w:val="00C53713"/>
    <w:rsid w:val="00C53935"/>
    <w:rsid w:val="00C53C3C"/>
    <w:rsid w:val="00C5499C"/>
    <w:rsid w:val="00C54B09"/>
    <w:rsid w:val="00C55681"/>
    <w:rsid w:val="00C5583D"/>
    <w:rsid w:val="00C56673"/>
    <w:rsid w:val="00C57910"/>
    <w:rsid w:val="00C57DA6"/>
    <w:rsid w:val="00C605FF"/>
    <w:rsid w:val="00C6168C"/>
    <w:rsid w:val="00C62164"/>
    <w:rsid w:val="00C627EE"/>
    <w:rsid w:val="00C62829"/>
    <w:rsid w:val="00C628E2"/>
    <w:rsid w:val="00C62910"/>
    <w:rsid w:val="00C62C9C"/>
    <w:rsid w:val="00C63816"/>
    <w:rsid w:val="00C63D52"/>
    <w:rsid w:val="00C640A8"/>
    <w:rsid w:val="00C6549D"/>
    <w:rsid w:val="00C65828"/>
    <w:rsid w:val="00C65CC7"/>
    <w:rsid w:val="00C65D62"/>
    <w:rsid w:val="00C65FDE"/>
    <w:rsid w:val="00C66413"/>
    <w:rsid w:val="00C6679F"/>
    <w:rsid w:val="00C66EDA"/>
    <w:rsid w:val="00C672D5"/>
    <w:rsid w:val="00C7009B"/>
    <w:rsid w:val="00C7030A"/>
    <w:rsid w:val="00C7033F"/>
    <w:rsid w:val="00C703EC"/>
    <w:rsid w:val="00C70CED"/>
    <w:rsid w:val="00C70E6E"/>
    <w:rsid w:val="00C7107E"/>
    <w:rsid w:val="00C719C7"/>
    <w:rsid w:val="00C7232C"/>
    <w:rsid w:val="00C72469"/>
    <w:rsid w:val="00C72508"/>
    <w:rsid w:val="00C72852"/>
    <w:rsid w:val="00C73333"/>
    <w:rsid w:val="00C735F1"/>
    <w:rsid w:val="00C73DBE"/>
    <w:rsid w:val="00C749D9"/>
    <w:rsid w:val="00C74A74"/>
    <w:rsid w:val="00C74DB9"/>
    <w:rsid w:val="00C75313"/>
    <w:rsid w:val="00C7535A"/>
    <w:rsid w:val="00C757F2"/>
    <w:rsid w:val="00C75C97"/>
    <w:rsid w:val="00C766B3"/>
    <w:rsid w:val="00C767AD"/>
    <w:rsid w:val="00C7735A"/>
    <w:rsid w:val="00C77B36"/>
    <w:rsid w:val="00C80FF7"/>
    <w:rsid w:val="00C8100A"/>
    <w:rsid w:val="00C819FF"/>
    <w:rsid w:val="00C81A5C"/>
    <w:rsid w:val="00C81F4A"/>
    <w:rsid w:val="00C82628"/>
    <w:rsid w:val="00C8307E"/>
    <w:rsid w:val="00C83673"/>
    <w:rsid w:val="00C83E7F"/>
    <w:rsid w:val="00C84487"/>
    <w:rsid w:val="00C845CA"/>
    <w:rsid w:val="00C84C72"/>
    <w:rsid w:val="00C85357"/>
    <w:rsid w:val="00C8546A"/>
    <w:rsid w:val="00C85600"/>
    <w:rsid w:val="00C87E89"/>
    <w:rsid w:val="00C901CA"/>
    <w:rsid w:val="00C90634"/>
    <w:rsid w:val="00C90DA6"/>
    <w:rsid w:val="00C9107A"/>
    <w:rsid w:val="00C91269"/>
    <w:rsid w:val="00C91776"/>
    <w:rsid w:val="00C917ED"/>
    <w:rsid w:val="00C91DA3"/>
    <w:rsid w:val="00C91F49"/>
    <w:rsid w:val="00C92185"/>
    <w:rsid w:val="00C92DDE"/>
    <w:rsid w:val="00C933EE"/>
    <w:rsid w:val="00C945FC"/>
    <w:rsid w:val="00C9492A"/>
    <w:rsid w:val="00C9529A"/>
    <w:rsid w:val="00C95C39"/>
    <w:rsid w:val="00C95D0B"/>
    <w:rsid w:val="00C96157"/>
    <w:rsid w:val="00C968FF"/>
    <w:rsid w:val="00C96FDE"/>
    <w:rsid w:val="00C975B9"/>
    <w:rsid w:val="00C979FF"/>
    <w:rsid w:val="00CA03C0"/>
    <w:rsid w:val="00CA0965"/>
    <w:rsid w:val="00CA0C83"/>
    <w:rsid w:val="00CA1725"/>
    <w:rsid w:val="00CA17E8"/>
    <w:rsid w:val="00CA1E22"/>
    <w:rsid w:val="00CA2528"/>
    <w:rsid w:val="00CA3544"/>
    <w:rsid w:val="00CA3F4F"/>
    <w:rsid w:val="00CA5068"/>
    <w:rsid w:val="00CA53B2"/>
    <w:rsid w:val="00CA5895"/>
    <w:rsid w:val="00CA59A5"/>
    <w:rsid w:val="00CA59AF"/>
    <w:rsid w:val="00CA5B82"/>
    <w:rsid w:val="00CA7253"/>
    <w:rsid w:val="00CA761B"/>
    <w:rsid w:val="00CA7940"/>
    <w:rsid w:val="00CA79D5"/>
    <w:rsid w:val="00CB1117"/>
    <w:rsid w:val="00CB1C64"/>
    <w:rsid w:val="00CB2F95"/>
    <w:rsid w:val="00CB339D"/>
    <w:rsid w:val="00CB3474"/>
    <w:rsid w:val="00CB367C"/>
    <w:rsid w:val="00CB38A6"/>
    <w:rsid w:val="00CB40F3"/>
    <w:rsid w:val="00CB426A"/>
    <w:rsid w:val="00CB42AC"/>
    <w:rsid w:val="00CB4A85"/>
    <w:rsid w:val="00CB5276"/>
    <w:rsid w:val="00CB53D7"/>
    <w:rsid w:val="00CB5563"/>
    <w:rsid w:val="00CB5B58"/>
    <w:rsid w:val="00CB5F33"/>
    <w:rsid w:val="00CB63CA"/>
    <w:rsid w:val="00CB7101"/>
    <w:rsid w:val="00CB7FC7"/>
    <w:rsid w:val="00CC00E2"/>
    <w:rsid w:val="00CC0C50"/>
    <w:rsid w:val="00CC2652"/>
    <w:rsid w:val="00CC27DC"/>
    <w:rsid w:val="00CC30AA"/>
    <w:rsid w:val="00CC33C0"/>
    <w:rsid w:val="00CC3531"/>
    <w:rsid w:val="00CC3858"/>
    <w:rsid w:val="00CC57B5"/>
    <w:rsid w:val="00CC5A45"/>
    <w:rsid w:val="00CC6223"/>
    <w:rsid w:val="00CC62D6"/>
    <w:rsid w:val="00CC6372"/>
    <w:rsid w:val="00CC65B6"/>
    <w:rsid w:val="00CC6809"/>
    <w:rsid w:val="00CC6BE7"/>
    <w:rsid w:val="00CC6EFD"/>
    <w:rsid w:val="00CC70C1"/>
    <w:rsid w:val="00CC70E1"/>
    <w:rsid w:val="00CD0525"/>
    <w:rsid w:val="00CD08B6"/>
    <w:rsid w:val="00CD0E08"/>
    <w:rsid w:val="00CD1169"/>
    <w:rsid w:val="00CD21C1"/>
    <w:rsid w:val="00CD260E"/>
    <w:rsid w:val="00CD38BE"/>
    <w:rsid w:val="00CD3AAA"/>
    <w:rsid w:val="00CD3C5A"/>
    <w:rsid w:val="00CD3CBE"/>
    <w:rsid w:val="00CD3D7A"/>
    <w:rsid w:val="00CD3DD8"/>
    <w:rsid w:val="00CD3E5E"/>
    <w:rsid w:val="00CD4079"/>
    <w:rsid w:val="00CD423A"/>
    <w:rsid w:val="00CD4ED8"/>
    <w:rsid w:val="00CD5141"/>
    <w:rsid w:val="00CD52FA"/>
    <w:rsid w:val="00CD54C2"/>
    <w:rsid w:val="00CD55A7"/>
    <w:rsid w:val="00CD5B00"/>
    <w:rsid w:val="00CD5D51"/>
    <w:rsid w:val="00CD6397"/>
    <w:rsid w:val="00CD6CCF"/>
    <w:rsid w:val="00CE051C"/>
    <w:rsid w:val="00CE11E9"/>
    <w:rsid w:val="00CE12BE"/>
    <w:rsid w:val="00CE1C42"/>
    <w:rsid w:val="00CE1E09"/>
    <w:rsid w:val="00CE216F"/>
    <w:rsid w:val="00CE225C"/>
    <w:rsid w:val="00CE252B"/>
    <w:rsid w:val="00CE30C6"/>
    <w:rsid w:val="00CE32F9"/>
    <w:rsid w:val="00CE334B"/>
    <w:rsid w:val="00CE3686"/>
    <w:rsid w:val="00CE3873"/>
    <w:rsid w:val="00CE3978"/>
    <w:rsid w:val="00CE41CC"/>
    <w:rsid w:val="00CE47A3"/>
    <w:rsid w:val="00CE48D9"/>
    <w:rsid w:val="00CE5028"/>
    <w:rsid w:val="00CE618B"/>
    <w:rsid w:val="00CE66B6"/>
    <w:rsid w:val="00CE6A9D"/>
    <w:rsid w:val="00CE7528"/>
    <w:rsid w:val="00CE7A30"/>
    <w:rsid w:val="00CE7BDF"/>
    <w:rsid w:val="00CF0797"/>
    <w:rsid w:val="00CF0B87"/>
    <w:rsid w:val="00CF12A6"/>
    <w:rsid w:val="00CF17A2"/>
    <w:rsid w:val="00CF1CB9"/>
    <w:rsid w:val="00CF214A"/>
    <w:rsid w:val="00CF2938"/>
    <w:rsid w:val="00CF2A46"/>
    <w:rsid w:val="00CF2FD7"/>
    <w:rsid w:val="00CF32FB"/>
    <w:rsid w:val="00CF3422"/>
    <w:rsid w:val="00CF3D30"/>
    <w:rsid w:val="00CF4AAA"/>
    <w:rsid w:val="00CF4E9D"/>
    <w:rsid w:val="00CF591B"/>
    <w:rsid w:val="00CF5D1C"/>
    <w:rsid w:val="00CF61B9"/>
    <w:rsid w:val="00CF662D"/>
    <w:rsid w:val="00CF6C05"/>
    <w:rsid w:val="00CF6E2C"/>
    <w:rsid w:val="00D007AE"/>
    <w:rsid w:val="00D01B5D"/>
    <w:rsid w:val="00D020DD"/>
    <w:rsid w:val="00D022C6"/>
    <w:rsid w:val="00D02302"/>
    <w:rsid w:val="00D03540"/>
    <w:rsid w:val="00D03C9A"/>
    <w:rsid w:val="00D04314"/>
    <w:rsid w:val="00D0510F"/>
    <w:rsid w:val="00D053DA"/>
    <w:rsid w:val="00D0594C"/>
    <w:rsid w:val="00D05A64"/>
    <w:rsid w:val="00D05BCB"/>
    <w:rsid w:val="00D05F5E"/>
    <w:rsid w:val="00D05FE7"/>
    <w:rsid w:val="00D06016"/>
    <w:rsid w:val="00D06207"/>
    <w:rsid w:val="00D06C0E"/>
    <w:rsid w:val="00D06F82"/>
    <w:rsid w:val="00D07CF1"/>
    <w:rsid w:val="00D10224"/>
    <w:rsid w:val="00D1038C"/>
    <w:rsid w:val="00D107AA"/>
    <w:rsid w:val="00D109BC"/>
    <w:rsid w:val="00D118DC"/>
    <w:rsid w:val="00D11A78"/>
    <w:rsid w:val="00D11AB9"/>
    <w:rsid w:val="00D11E29"/>
    <w:rsid w:val="00D12048"/>
    <w:rsid w:val="00D1237A"/>
    <w:rsid w:val="00D12AD8"/>
    <w:rsid w:val="00D13205"/>
    <w:rsid w:val="00D13582"/>
    <w:rsid w:val="00D13FA9"/>
    <w:rsid w:val="00D15199"/>
    <w:rsid w:val="00D151BE"/>
    <w:rsid w:val="00D15283"/>
    <w:rsid w:val="00D154BA"/>
    <w:rsid w:val="00D15BCB"/>
    <w:rsid w:val="00D168D3"/>
    <w:rsid w:val="00D16B8E"/>
    <w:rsid w:val="00D17972"/>
    <w:rsid w:val="00D17A78"/>
    <w:rsid w:val="00D17AF1"/>
    <w:rsid w:val="00D17F7A"/>
    <w:rsid w:val="00D20582"/>
    <w:rsid w:val="00D212B9"/>
    <w:rsid w:val="00D21810"/>
    <w:rsid w:val="00D21B76"/>
    <w:rsid w:val="00D21EAD"/>
    <w:rsid w:val="00D22055"/>
    <w:rsid w:val="00D22716"/>
    <w:rsid w:val="00D227DE"/>
    <w:rsid w:val="00D2282E"/>
    <w:rsid w:val="00D23438"/>
    <w:rsid w:val="00D23810"/>
    <w:rsid w:val="00D24593"/>
    <w:rsid w:val="00D246A2"/>
    <w:rsid w:val="00D248FA"/>
    <w:rsid w:val="00D249CB"/>
    <w:rsid w:val="00D24E6A"/>
    <w:rsid w:val="00D24E72"/>
    <w:rsid w:val="00D2533C"/>
    <w:rsid w:val="00D25831"/>
    <w:rsid w:val="00D264F1"/>
    <w:rsid w:val="00D26ACD"/>
    <w:rsid w:val="00D26BC4"/>
    <w:rsid w:val="00D27344"/>
    <w:rsid w:val="00D275F7"/>
    <w:rsid w:val="00D278CA"/>
    <w:rsid w:val="00D27F5E"/>
    <w:rsid w:val="00D30763"/>
    <w:rsid w:val="00D30A07"/>
    <w:rsid w:val="00D30BC0"/>
    <w:rsid w:val="00D30E20"/>
    <w:rsid w:val="00D315E3"/>
    <w:rsid w:val="00D31837"/>
    <w:rsid w:val="00D31E32"/>
    <w:rsid w:val="00D3348C"/>
    <w:rsid w:val="00D33931"/>
    <w:rsid w:val="00D345F3"/>
    <w:rsid w:val="00D34AE6"/>
    <w:rsid w:val="00D34BC1"/>
    <w:rsid w:val="00D35125"/>
    <w:rsid w:val="00D351CC"/>
    <w:rsid w:val="00D365B2"/>
    <w:rsid w:val="00D36819"/>
    <w:rsid w:val="00D3690D"/>
    <w:rsid w:val="00D36B62"/>
    <w:rsid w:val="00D3707C"/>
    <w:rsid w:val="00D37D95"/>
    <w:rsid w:val="00D37FF0"/>
    <w:rsid w:val="00D407FC"/>
    <w:rsid w:val="00D4154C"/>
    <w:rsid w:val="00D41869"/>
    <w:rsid w:val="00D41F4E"/>
    <w:rsid w:val="00D420C6"/>
    <w:rsid w:val="00D430AF"/>
    <w:rsid w:val="00D434D8"/>
    <w:rsid w:val="00D43DB5"/>
    <w:rsid w:val="00D45101"/>
    <w:rsid w:val="00D459FC"/>
    <w:rsid w:val="00D45F17"/>
    <w:rsid w:val="00D468C0"/>
    <w:rsid w:val="00D46C83"/>
    <w:rsid w:val="00D47E94"/>
    <w:rsid w:val="00D50194"/>
    <w:rsid w:val="00D503BC"/>
    <w:rsid w:val="00D50F5E"/>
    <w:rsid w:val="00D51496"/>
    <w:rsid w:val="00D51590"/>
    <w:rsid w:val="00D5246F"/>
    <w:rsid w:val="00D5311D"/>
    <w:rsid w:val="00D53876"/>
    <w:rsid w:val="00D53A25"/>
    <w:rsid w:val="00D53BDE"/>
    <w:rsid w:val="00D53CBA"/>
    <w:rsid w:val="00D53F6F"/>
    <w:rsid w:val="00D54C88"/>
    <w:rsid w:val="00D54F62"/>
    <w:rsid w:val="00D55E0D"/>
    <w:rsid w:val="00D5609A"/>
    <w:rsid w:val="00D56E24"/>
    <w:rsid w:val="00D574B6"/>
    <w:rsid w:val="00D57752"/>
    <w:rsid w:val="00D57A7F"/>
    <w:rsid w:val="00D60B44"/>
    <w:rsid w:val="00D60CA4"/>
    <w:rsid w:val="00D62444"/>
    <w:rsid w:val="00D6299C"/>
    <w:rsid w:val="00D62CFB"/>
    <w:rsid w:val="00D64F9A"/>
    <w:rsid w:val="00D65420"/>
    <w:rsid w:val="00D6553B"/>
    <w:rsid w:val="00D655B7"/>
    <w:rsid w:val="00D66F93"/>
    <w:rsid w:val="00D67B5E"/>
    <w:rsid w:val="00D67CEA"/>
    <w:rsid w:val="00D70112"/>
    <w:rsid w:val="00D70D05"/>
    <w:rsid w:val="00D70E75"/>
    <w:rsid w:val="00D712E6"/>
    <w:rsid w:val="00D71C0C"/>
    <w:rsid w:val="00D71FFD"/>
    <w:rsid w:val="00D729A3"/>
    <w:rsid w:val="00D72ACF"/>
    <w:rsid w:val="00D72F0D"/>
    <w:rsid w:val="00D736D9"/>
    <w:rsid w:val="00D73A89"/>
    <w:rsid w:val="00D73E5A"/>
    <w:rsid w:val="00D75619"/>
    <w:rsid w:val="00D756FD"/>
    <w:rsid w:val="00D757E0"/>
    <w:rsid w:val="00D758F5"/>
    <w:rsid w:val="00D75FDF"/>
    <w:rsid w:val="00D7671A"/>
    <w:rsid w:val="00D76721"/>
    <w:rsid w:val="00D76D72"/>
    <w:rsid w:val="00D76E70"/>
    <w:rsid w:val="00D775AF"/>
    <w:rsid w:val="00D7770D"/>
    <w:rsid w:val="00D8052D"/>
    <w:rsid w:val="00D80D9D"/>
    <w:rsid w:val="00D813E6"/>
    <w:rsid w:val="00D81478"/>
    <w:rsid w:val="00D81B03"/>
    <w:rsid w:val="00D81D0B"/>
    <w:rsid w:val="00D827F6"/>
    <w:rsid w:val="00D82820"/>
    <w:rsid w:val="00D82CED"/>
    <w:rsid w:val="00D82D07"/>
    <w:rsid w:val="00D83406"/>
    <w:rsid w:val="00D834EC"/>
    <w:rsid w:val="00D8389D"/>
    <w:rsid w:val="00D848D1"/>
    <w:rsid w:val="00D84CA9"/>
    <w:rsid w:val="00D8550F"/>
    <w:rsid w:val="00D857A4"/>
    <w:rsid w:val="00D86DA4"/>
    <w:rsid w:val="00D86FF6"/>
    <w:rsid w:val="00D90908"/>
    <w:rsid w:val="00D90EF4"/>
    <w:rsid w:val="00D9125B"/>
    <w:rsid w:val="00D912EA"/>
    <w:rsid w:val="00D923E1"/>
    <w:rsid w:val="00D9280F"/>
    <w:rsid w:val="00D92CE9"/>
    <w:rsid w:val="00D93474"/>
    <w:rsid w:val="00D93A1F"/>
    <w:rsid w:val="00D93BF1"/>
    <w:rsid w:val="00D94074"/>
    <w:rsid w:val="00D940E1"/>
    <w:rsid w:val="00D944C8"/>
    <w:rsid w:val="00D948CA"/>
    <w:rsid w:val="00D95246"/>
    <w:rsid w:val="00D952B7"/>
    <w:rsid w:val="00D95B03"/>
    <w:rsid w:val="00D9629B"/>
    <w:rsid w:val="00D962B9"/>
    <w:rsid w:val="00D9634D"/>
    <w:rsid w:val="00D96C09"/>
    <w:rsid w:val="00D96D9C"/>
    <w:rsid w:val="00D979A8"/>
    <w:rsid w:val="00DA1A94"/>
    <w:rsid w:val="00DA21A2"/>
    <w:rsid w:val="00DA2A7D"/>
    <w:rsid w:val="00DA3526"/>
    <w:rsid w:val="00DA3A7B"/>
    <w:rsid w:val="00DA4291"/>
    <w:rsid w:val="00DA4C20"/>
    <w:rsid w:val="00DA5649"/>
    <w:rsid w:val="00DA5706"/>
    <w:rsid w:val="00DA634F"/>
    <w:rsid w:val="00DA6AF9"/>
    <w:rsid w:val="00DA743D"/>
    <w:rsid w:val="00DA7582"/>
    <w:rsid w:val="00DA7EF3"/>
    <w:rsid w:val="00DB07E0"/>
    <w:rsid w:val="00DB08E2"/>
    <w:rsid w:val="00DB0D23"/>
    <w:rsid w:val="00DB126C"/>
    <w:rsid w:val="00DB14C3"/>
    <w:rsid w:val="00DB1840"/>
    <w:rsid w:val="00DB1E0C"/>
    <w:rsid w:val="00DB1E23"/>
    <w:rsid w:val="00DB28A8"/>
    <w:rsid w:val="00DB2BE7"/>
    <w:rsid w:val="00DB3BAE"/>
    <w:rsid w:val="00DB466F"/>
    <w:rsid w:val="00DB4B43"/>
    <w:rsid w:val="00DB5345"/>
    <w:rsid w:val="00DB54A4"/>
    <w:rsid w:val="00DB5C9C"/>
    <w:rsid w:val="00DB5E06"/>
    <w:rsid w:val="00DB620F"/>
    <w:rsid w:val="00DB65C2"/>
    <w:rsid w:val="00DB6E3B"/>
    <w:rsid w:val="00DB6F1E"/>
    <w:rsid w:val="00DB72B4"/>
    <w:rsid w:val="00DB731D"/>
    <w:rsid w:val="00DB7765"/>
    <w:rsid w:val="00DC01D2"/>
    <w:rsid w:val="00DC07D7"/>
    <w:rsid w:val="00DC0B26"/>
    <w:rsid w:val="00DC0BA2"/>
    <w:rsid w:val="00DC0DA5"/>
    <w:rsid w:val="00DC19C4"/>
    <w:rsid w:val="00DC19F2"/>
    <w:rsid w:val="00DC3A04"/>
    <w:rsid w:val="00DC41E7"/>
    <w:rsid w:val="00DC46C7"/>
    <w:rsid w:val="00DC4E86"/>
    <w:rsid w:val="00DC58D9"/>
    <w:rsid w:val="00DC5904"/>
    <w:rsid w:val="00DC5E83"/>
    <w:rsid w:val="00DC6A0C"/>
    <w:rsid w:val="00DC6D47"/>
    <w:rsid w:val="00DC6F46"/>
    <w:rsid w:val="00DC78B4"/>
    <w:rsid w:val="00DC7917"/>
    <w:rsid w:val="00DC79F4"/>
    <w:rsid w:val="00DC7CEC"/>
    <w:rsid w:val="00DC7DC8"/>
    <w:rsid w:val="00DC7E31"/>
    <w:rsid w:val="00DC7EAC"/>
    <w:rsid w:val="00DD2751"/>
    <w:rsid w:val="00DD3AC7"/>
    <w:rsid w:val="00DD3F3B"/>
    <w:rsid w:val="00DD40A3"/>
    <w:rsid w:val="00DD41D9"/>
    <w:rsid w:val="00DD4243"/>
    <w:rsid w:val="00DD44AB"/>
    <w:rsid w:val="00DD4AC0"/>
    <w:rsid w:val="00DD4F9C"/>
    <w:rsid w:val="00DD52DE"/>
    <w:rsid w:val="00DD5456"/>
    <w:rsid w:val="00DD5FF2"/>
    <w:rsid w:val="00DD6D5B"/>
    <w:rsid w:val="00DD7E6F"/>
    <w:rsid w:val="00DE0030"/>
    <w:rsid w:val="00DE0559"/>
    <w:rsid w:val="00DE2677"/>
    <w:rsid w:val="00DE27EC"/>
    <w:rsid w:val="00DE2DDE"/>
    <w:rsid w:val="00DE3964"/>
    <w:rsid w:val="00DE3D8B"/>
    <w:rsid w:val="00DE411D"/>
    <w:rsid w:val="00DE42FA"/>
    <w:rsid w:val="00DE48E2"/>
    <w:rsid w:val="00DE48EB"/>
    <w:rsid w:val="00DE4A31"/>
    <w:rsid w:val="00DE53A4"/>
    <w:rsid w:val="00DE53B2"/>
    <w:rsid w:val="00DE55F2"/>
    <w:rsid w:val="00DE5606"/>
    <w:rsid w:val="00DE6154"/>
    <w:rsid w:val="00DE650C"/>
    <w:rsid w:val="00DE6982"/>
    <w:rsid w:val="00DE6B3A"/>
    <w:rsid w:val="00DE6D26"/>
    <w:rsid w:val="00DE6FA3"/>
    <w:rsid w:val="00DE70AD"/>
    <w:rsid w:val="00DE7180"/>
    <w:rsid w:val="00DE751A"/>
    <w:rsid w:val="00DE784E"/>
    <w:rsid w:val="00DF0ADC"/>
    <w:rsid w:val="00DF0EF9"/>
    <w:rsid w:val="00DF16BE"/>
    <w:rsid w:val="00DF18D3"/>
    <w:rsid w:val="00DF1B47"/>
    <w:rsid w:val="00DF1C63"/>
    <w:rsid w:val="00DF2279"/>
    <w:rsid w:val="00DF2386"/>
    <w:rsid w:val="00DF2433"/>
    <w:rsid w:val="00DF270A"/>
    <w:rsid w:val="00DF2C55"/>
    <w:rsid w:val="00DF2D8C"/>
    <w:rsid w:val="00DF3F20"/>
    <w:rsid w:val="00DF4C27"/>
    <w:rsid w:val="00DF4DDE"/>
    <w:rsid w:val="00DF4E0B"/>
    <w:rsid w:val="00DF526A"/>
    <w:rsid w:val="00DF544F"/>
    <w:rsid w:val="00DF62BF"/>
    <w:rsid w:val="00DF6A17"/>
    <w:rsid w:val="00DF7467"/>
    <w:rsid w:val="00DF7C01"/>
    <w:rsid w:val="00E00021"/>
    <w:rsid w:val="00E00149"/>
    <w:rsid w:val="00E00B9F"/>
    <w:rsid w:val="00E01ADB"/>
    <w:rsid w:val="00E01E41"/>
    <w:rsid w:val="00E02141"/>
    <w:rsid w:val="00E02224"/>
    <w:rsid w:val="00E028BC"/>
    <w:rsid w:val="00E034BE"/>
    <w:rsid w:val="00E03DE7"/>
    <w:rsid w:val="00E03EE1"/>
    <w:rsid w:val="00E0459C"/>
    <w:rsid w:val="00E04A5D"/>
    <w:rsid w:val="00E05984"/>
    <w:rsid w:val="00E05A50"/>
    <w:rsid w:val="00E06C85"/>
    <w:rsid w:val="00E079A5"/>
    <w:rsid w:val="00E079F0"/>
    <w:rsid w:val="00E07A0F"/>
    <w:rsid w:val="00E113A1"/>
    <w:rsid w:val="00E1196B"/>
    <w:rsid w:val="00E11FD3"/>
    <w:rsid w:val="00E12072"/>
    <w:rsid w:val="00E123AB"/>
    <w:rsid w:val="00E1287D"/>
    <w:rsid w:val="00E129B2"/>
    <w:rsid w:val="00E1423E"/>
    <w:rsid w:val="00E14D83"/>
    <w:rsid w:val="00E14DEA"/>
    <w:rsid w:val="00E15362"/>
    <w:rsid w:val="00E153B3"/>
    <w:rsid w:val="00E159FF"/>
    <w:rsid w:val="00E16DF3"/>
    <w:rsid w:val="00E1754F"/>
    <w:rsid w:val="00E17C5E"/>
    <w:rsid w:val="00E2022C"/>
    <w:rsid w:val="00E20923"/>
    <w:rsid w:val="00E216BF"/>
    <w:rsid w:val="00E222E9"/>
    <w:rsid w:val="00E232C6"/>
    <w:rsid w:val="00E23F19"/>
    <w:rsid w:val="00E241AA"/>
    <w:rsid w:val="00E2454F"/>
    <w:rsid w:val="00E24958"/>
    <w:rsid w:val="00E24AF4"/>
    <w:rsid w:val="00E25051"/>
    <w:rsid w:val="00E2616D"/>
    <w:rsid w:val="00E275DD"/>
    <w:rsid w:val="00E30A70"/>
    <w:rsid w:val="00E30EDD"/>
    <w:rsid w:val="00E313B8"/>
    <w:rsid w:val="00E3187C"/>
    <w:rsid w:val="00E31B4C"/>
    <w:rsid w:val="00E3204F"/>
    <w:rsid w:val="00E32275"/>
    <w:rsid w:val="00E32331"/>
    <w:rsid w:val="00E32A42"/>
    <w:rsid w:val="00E32D1A"/>
    <w:rsid w:val="00E332C7"/>
    <w:rsid w:val="00E33454"/>
    <w:rsid w:val="00E3386E"/>
    <w:rsid w:val="00E33BEB"/>
    <w:rsid w:val="00E33E94"/>
    <w:rsid w:val="00E34620"/>
    <w:rsid w:val="00E346FC"/>
    <w:rsid w:val="00E34827"/>
    <w:rsid w:val="00E3514F"/>
    <w:rsid w:val="00E36210"/>
    <w:rsid w:val="00E36927"/>
    <w:rsid w:val="00E36971"/>
    <w:rsid w:val="00E36C40"/>
    <w:rsid w:val="00E37232"/>
    <w:rsid w:val="00E37331"/>
    <w:rsid w:val="00E3735A"/>
    <w:rsid w:val="00E377FE"/>
    <w:rsid w:val="00E37E23"/>
    <w:rsid w:val="00E40008"/>
    <w:rsid w:val="00E40CD6"/>
    <w:rsid w:val="00E41976"/>
    <w:rsid w:val="00E42EF4"/>
    <w:rsid w:val="00E43372"/>
    <w:rsid w:val="00E435F6"/>
    <w:rsid w:val="00E436C0"/>
    <w:rsid w:val="00E439F5"/>
    <w:rsid w:val="00E43C55"/>
    <w:rsid w:val="00E43E29"/>
    <w:rsid w:val="00E441DE"/>
    <w:rsid w:val="00E443BE"/>
    <w:rsid w:val="00E45233"/>
    <w:rsid w:val="00E45236"/>
    <w:rsid w:val="00E454B9"/>
    <w:rsid w:val="00E4627E"/>
    <w:rsid w:val="00E46379"/>
    <w:rsid w:val="00E46B80"/>
    <w:rsid w:val="00E47240"/>
    <w:rsid w:val="00E50406"/>
    <w:rsid w:val="00E51A0D"/>
    <w:rsid w:val="00E51EB8"/>
    <w:rsid w:val="00E51EF4"/>
    <w:rsid w:val="00E52084"/>
    <w:rsid w:val="00E530A9"/>
    <w:rsid w:val="00E536A1"/>
    <w:rsid w:val="00E542B7"/>
    <w:rsid w:val="00E54C45"/>
    <w:rsid w:val="00E55D13"/>
    <w:rsid w:val="00E5611D"/>
    <w:rsid w:val="00E5616C"/>
    <w:rsid w:val="00E56991"/>
    <w:rsid w:val="00E56CF7"/>
    <w:rsid w:val="00E5740A"/>
    <w:rsid w:val="00E5780A"/>
    <w:rsid w:val="00E6010C"/>
    <w:rsid w:val="00E603D6"/>
    <w:rsid w:val="00E6041C"/>
    <w:rsid w:val="00E60668"/>
    <w:rsid w:val="00E60828"/>
    <w:rsid w:val="00E60A8C"/>
    <w:rsid w:val="00E60CC7"/>
    <w:rsid w:val="00E612FD"/>
    <w:rsid w:val="00E6153B"/>
    <w:rsid w:val="00E615CC"/>
    <w:rsid w:val="00E61ECA"/>
    <w:rsid w:val="00E61FA4"/>
    <w:rsid w:val="00E621B6"/>
    <w:rsid w:val="00E6244D"/>
    <w:rsid w:val="00E6294B"/>
    <w:rsid w:val="00E62C12"/>
    <w:rsid w:val="00E63486"/>
    <w:rsid w:val="00E63830"/>
    <w:rsid w:val="00E63AF0"/>
    <w:rsid w:val="00E640F2"/>
    <w:rsid w:val="00E644BE"/>
    <w:rsid w:val="00E645B1"/>
    <w:rsid w:val="00E646B0"/>
    <w:rsid w:val="00E64894"/>
    <w:rsid w:val="00E64A77"/>
    <w:rsid w:val="00E64EB6"/>
    <w:rsid w:val="00E65959"/>
    <w:rsid w:val="00E66557"/>
    <w:rsid w:val="00E666E4"/>
    <w:rsid w:val="00E667FD"/>
    <w:rsid w:val="00E668AC"/>
    <w:rsid w:val="00E6727C"/>
    <w:rsid w:val="00E67C61"/>
    <w:rsid w:val="00E70002"/>
    <w:rsid w:val="00E70ECF"/>
    <w:rsid w:val="00E70FE9"/>
    <w:rsid w:val="00E71623"/>
    <w:rsid w:val="00E71985"/>
    <w:rsid w:val="00E71A69"/>
    <w:rsid w:val="00E71D15"/>
    <w:rsid w:val="00E71F2E"/>
    <w:rsid w:val="00E7212E"/>
    <w:rsid w:val="00E72788"/>
    <w:rsid w:val="00E72C99"/>
    <w:rsid w:val="00E72CED"/>
    <w:rsid w:val="00E735EB"/>
    <w:rsid w:val="00E7370A"/>
    <w:rsid w:val="00E7392C"/>
    <w:rsid w:val="00E741CD"/>
    <w:rsid w:val="00E742A4"/>
    <w:rsid w:val="00E742BB"/>
    <w:rsid w:val="00E74C01"/>
    <w:rsid w:val="00E751EC"/>
    <w:rsid w:val="00E75455"/>
    <w:rsid w:val="00E75763"/>
    <w:rsid w:val="00E75F75"/>
    <w:rsid w:val="00E75FF8"/>
    <w:rsid w:val="00E76C5B"/>
    <w:rsid w:val="00E774F4"/>
    <w:rsid w:val="00E800CB"/>
    <w:rsid w:val="00E81A29"/>
    <w:rsid w:val="00E81C95"/>
    <w:rsid w:val="00E821E5"/>
    <w:rsid w:val="00E8232B"/>
    <w:rsid w:val="00E82D09"/>
    <w:rsid w:val="00E85CCB"/>
    <w:rsid w:val="00E860C2"/>
    <w:rsid w:val="00E86237"/>
    <w:rsid w:val="00E862AD"/>
    <w:rsid w:val="00E86368"/>
    <w:rsid w:val="00E86C24"/>
    <w:rsid w:val="00E86E57"/>
    <w:rsid w:val="00E90E8A"/>
    <w:rsid w:val="00E91446"/>
    <w:rsid w:val="00E925B6"/>
    <w:rsid w:val="00E92751"/>
    <w:rsid w:val="00E93644"/>
    <w:rsid w:val="00E94245"/>
    <w:rsid w:val="00E942B8"/>
    <w:rsid w:val="00E9449E"/>
    <w:rsid w:val="00E945CD"/>
    <w:rsid w:val="00E95287"/>
    <w:rsid w:val="00E95301"/>
    <w:rsid w:val="00E954A9"/>
    <w:rsid w:val="00E95DED"/>
    <w:rsid w:val="00E95DF1"/>
    <w:rsid w:val="00E966BB"/>
    <w:rsid w:val="00E96CB4"/>
    <w:rsid w:val="00E9714A"/>
    <w:rsid w:val="00E97217"/>
    <w:rsid w:val="00E97395"/>
    <w:rsid w:val="00E97EF1"/>
    <w:rsid w:val="00EA064C"/>
    <w:rsid w:val="00EA07C8"/>
    <w:rsid w:val="00EA0AA8"/>
    <w:rsid w:val="00EA14F8"/>
    <w:rsid w:val="00EA1AA3"/>
    <w:rsid w:val="00EA1B71"/>
    <w:rsid w:val="00EA233A"/>
    <w:rsid w:val="00EA2372"/>
    <w:rsid w:val="00EA23A5"/>
    <w:rsid w:val="00EA26AA"/>
    <w:rsid w:val="00EA27CC"/>
    <w:rsid w:val="00EA2A86"/>
    <w:rsid w:val="00EA2BFF"/>
    <w:rsid w:val="00EA2E3E"/>
    <w:rsid w:val="00EA374C"/>
    <w:rsid w:val="00EA411A"/>
    <w:rsid w:val="00EA4562"/>
    <w:rsid w:val="00EA5101"/>
    <w:rsid w:val="00EA5A06"/>
    <w:rsid w:val="00EA5ABC"/>
    <w:rsid w:val="00EA724D"/>
    <w:rsid w:val="00EA73C9"/>
    <w:rsid w:val="00EA74F8"/>
    <w:rsid w:val="00EA7875"/>
    <w:rsid w:val="00EB03D4"/>
    <w:rsid w:val="00EB0A1A"/>
    <w:rsid w:val="00EB10C4"/>
    <w:rsid w:val="00EB181A"/>
    <w:rsid w:val="00EB1CCB"/>
    <w:rsid w:val="00EB1FF8"/>
    <w:rsid w:val="00EB2713"/>
    <w:rsid w:val="00EB2F4B"/>
    <w:rsid w:val="00EB320C"/>
    <w:rsid w:val="00EB3A86"/>
    <w:rsid w:val="00EB48F8"/>
    <w:rsid w:val="00EB4CDF"/>
    <w:rsid w:val="00EB4EE5"/>
    <w:rsid w:val="00EB58FC"/>
    <w:rsid w:val="00EB60B7"/>
    <w:rsid w:val="00EB6351"/>
    <w:rsid w:val="00EB6633"/>
    <w:rsid w:val="00EB68BB"/>
    <w:rsid w:val="00EB6AEC"/>
    <w:rsid w:val="00EB6FFA"/>
    <w:rsid w:val="00EB757F"/>
    <w:rsid w:val="00EB7F74"/>
    <w:rsid w:val="00EC0DB9"/>
    <w:rsid w:val="00EC2247"/>
    <w:rsid w:val="00EC3F15"/>
    <w:rsid w:val="00EC42C1"/>
    <w:rsid w:val="00EC4729"/>
    <w:rsid w:val="00EC5088"/>
    <w:rsid w:val="00EC5C65"/>
    <w:rsid w:val="00EC6091"/>
    <w:rsid w:val="00EC6526"/>
    <w:rsid w:val="00EC664F"/>
    <w:rsid w:val="00EC67C3"/>
    <w:rsid w:val="00EC6D40"/>
    <w:rsid w:val="00EC7B01"/>
    <w:rsid w:val="00EC7FEF"/>
    <w:rsid w:val="00ED0454"/>
    <w:rsid w:val="00ED095A"/>
    <w:rsid w:val="00ED0D04"/>
    <w:rsid w:val="00ED171F"/>
    <w:rsid w:val="00ED19D3"/>
    <w:rsid w:val="00ED19E9"/>
    <w:rsid w:val="00ED1B27"/>
    <w:rsid w:val="00ED1F4D"/>
    <w:rsid w:val="00ED2280"/>
    <w:rsid w:val="00ED3BA7"/>
    <w:rsid w:val="00ED4739"/>
    <w:rsid w:val="00ED4E7D"/>
    <w:rsid w:val="00ED5FD8"/>
    <w:rsid w:val="00ED5FF4"/>
    <w:rsid w:val="00ED675F"/>
    <w:rsid w:val="00ED6E1C"/>
    <w:rsid w:val="00ED6EDF"/>
    <w:rsid w:val="00ED7E34"/>
    <w:rsid w:val="00ED7ECA"/>
    <w:rsid w:val="00EE010A"/>
    <w:rsid w:val="00EE04B2"/>
    <w:rsid w:val="00EE14F0"/>
    <w:rsid w:val="00EE1907"/>
    <w:rsid w:val="00EE197A"/>
    <w:rsid w:val="00EE2F9E"/>
    <w:rsid w:val="00EE3033"/>
    <w:rsid w:val="00EE32E8"/>
    <w:rsid w:val="00EE45D8"/>
    <w:rsid w:val="00EE4A35"/>
    <w:rsid w:val="00EE50C4"/>
    <w:rsid w:val="00EE5660"/>
    <w:rsid w:val="00EE567B"/>
    <w:rsid w:val="00EE5731"/>
    <w:rsid w:val="00EE5AD0"/>
    <w:rsid w:val="00EE6085"/>
    <w:rsid w:val="00EE616F"/>
    <w:rsid w:val="00EE6970"/>
    <w:rsid w:val="00EE6BD1"/>
    <w:rsid w:val="00EE6CE7"/>
    <w:rsid w:val="00EE7E32"/>
    <w:rsid w:val="00EF001B"/>
    <w:rsid w:val="00EF0780"/>
    <w:rsid w:val="00EF0DBE"/>
    <w:rsid w:val="00EF1402"/>
    <w:rsid w:val="00EF1DBC"/>
    <w:rsid w:val="00EF2F29"/>
    <w:rsid w:val="00EF39A5"/>
    <w:rsid w:val="00EF45C0"/>
    <w:rsid w:val="00EF55B5"/>
    <w:rsid w:val="00EF55F0"/>
    <w:rsid w:val="00EF5C4D"/>
    <w:rsid w:val="00EF77C5"/>
    <w:rsid w:val="00EF799D"/>
    <w:rsid w:val="00EF7BF8"/>
    <w:rsid w:val="00F00040"/>
    <w:rsid w:val="00F00D52"/>
    <w:rsid w:val="00F01267"/>
    <w:rsid w:val="00F015D8"/>
    <w:rsid w:val="00F01FB6"/>
    <w:rsid w:val="00F02991"/>
    <w:rsid w:val="00F02A00"/>
    <w:rsid w:val="00F02B92"/>
    <w:rsid w:val="00F034AF"/>
    <w:rsid w:val="00F04131"/>
    <w:rsid w:val="00F053A4"/>
    <w:rsid w:val="00F054EF"/>
    <w:rsid w:val="00F05803"/>
    <w:rsid w:val="00F05C9A"/>
    <w:rsid w:val="00F05E2E"/>
    <w:rsid w:val="00F0638A"/>
    <w:rsid w:val="00F06CEB"/>
    <w:rsid w:val="00F06EE6"/>
    <w:rsid w:val="00F0701D"/>
    <w:rsid w:val="00F0734E"/>
    <w:rsid w:val="00F0755D"/>
    <w:rsid w:val="00F07595"/>
    <w:rsid w:val="00F077D0"/>
    <w:rsid w:val="00F07F49"/>
    <w:rsid w:val="00F1008C"/>
    <w:rsid w:val="00F1035A"/>
    <w:rsid w:val="00F10674"/>
    <w:rsid w:val="00F108AA"/>
    <w:rsid w:val="00F10BCF"/>
    <w:rsid w:val="00F10C31"/>
    <w:rsid w:val="00F11085"/>
    <w:rsid w:val="00F114D2"/>
    <w:rsid w:val="00F11D45"/>
    <w:rsid w:val="00F123CC"/>
    <w:rsid w:val="00F131E6"/>
    <w:rsid w:val="00F1419E"/>
    <w:rsid w:val="00F14889"/>
    <w:rsid w:val="00F156AB"/>
    <w:rsid w:val="00F156DC"/>
    <w:rsid w:val="00F1575F"/>
    <w:rsid w:val="00F15C1C"/>
    <w:rsid w:val="00F16587"/>
    <w:rsid w:val="00F165E6"/>
    <w:rsid w:val="00F1684C"/>
    <w:rsid w:val="00F16953"/>
    <w:rsid w:val="00F16F74"/>
    <w:rsid w:val="00F177BC"/>
    <w:rsid w:val="00F17812"/>
    <w:rsid w:val="00F17E56"/>
    <w:rsid w:val="00F201FD"/>
    <w:rsid w:val="00F2161D"/>
    <w:rsid w:val="00F2190F"/>
    <w:rsid w:val="00F21C1A"/>
    <w:rsid w:val="00F222C1"/>
    <w:rsid w:val="00F22876"/>
    <w:rsid w:val="00F22A45"/>
    <w:rsid w:val="00F22A6B"/>
    <w:rsid w:val="00F22D47"/>
    <w:rsid w:val="00F2332C"/>
    <w:rsid w:val="00F23F05"/>
    <w:rsid w:val="00F25073"/>
    <w:rsid w:val="00F254C4"/>
    <w:rsid w:val="00F25D32"/>
    <w:rsid w:val="00F25FA6"/>
    <w:rsid w:val="00F26244"/>
    <w:rsid w:val="00F26278"/>
    <w:rsid w:val="00F26AC3"/>
    <w:rsid w:val="00F26B92"/>
    <w:rsid w:val="00F26C5B"/>
    <w:rsid w:val="00F26CEB"/>
    <w:rsid w:val="00F271F7"/>
    <w:rsid w:val="00F3012F"/>
    <w:rsid w:val="00F301A7"/>
    <w:rsid w:val="00F304D7"/>
    <w:rsid w:val="00F31E54"/>
    <w:rsid w:val="00F31E8B"/>
    <w:rsid w:val="00F31FC4"/>
    <w:rsid w:val="00F32027"/>
    <w:rsid w:val="00F3262A"/>
    <w:rsid w:val="00F326CD"/>
    <w:rsid w:val="00F3283A"/>
    <w:rsid w:val="00F32E43"/>
    <w:rsid w:val="00F32E74"/>
    <w:rsid w:val="00F34DAD"/>
    <w:rsid w:val="00F35070"/>
    <w:rsid w:val="00F35156"/>
    <w:rsid w:val="00F35EC2"/>
    <w:rsid w:val="00F36173"/>
    <w:rsid w:val="00F36240"/>
    <w:rsid w:val="00F3627C"/>
    <w:rsid w:val="00F37555"/>
    <w:rsid w:val="00F37E7E"/>
    <w:rsid w:val="00F406E0"/>
    <w:rsid w:val="00F41965"/>
    <w:rsid w:val="00F41F93"/>
    <w:rsid w:val="00F42B4A"/>
    <w:rsid w:val="00F42D56"/>
    <w:rsid w:val="00F43A7D"/>
    <w:rsid w:val="00F43D0C"/>
    <w:rsid w:val="00F44057"/>
    <w:rsid w:val="00F44564"/>
    <w:rsid w:val="00F44583"/>
    <w:rsid w:val="00F44D5D"/>
    <w:rsid w:val="00F45306"/>
    <w:rsid w:val="00F46349"/>
    <w:rsid w:val="00F465A2"/>
    <w:rsid w:val="00F46AD9"/>
    <w:rsid w:val="00F46BB3"/>
    <w:rsid w:val="00F46C7D"/>
    <w:rsid w:val="00F46CB4"/>
    <w:rsid w:val="00F46E51"/>
    <w:rsid w:val="00F4742F"/>
    <w:rsid w:val="00F474F2"/>
    <w:rsid w:val="00F47532"/>
    <w:rsid w:val="00F501CB"/>
    <w:rsid w:val="00F50592"/>
    <w:rsid w:val="00F507C0"/>
    <w:rsid w:val="00F50953"/>
    <w:rsid w:val="00F51779"/>
    <w:rsid w:val="00F51940"/>
    <w:rsid w:val="00F523F7"/>
    <w:rsid w:val="00F537BF"/>
    <w:rsid w:val="00F53A84"/>
    <w:rsid w:val="00F53E4A"/>
    <w:rsid w:val="00F541A7"/>
    <w:rsid w:val="00F546C0"/>
    <w:rsid w:val="00F55035"/>
    <w:rsid w:val="00F55071"/>
    <w:rsid w:val="00F551CC"/>
    <w:rsid w:val="00F55250"/>
    <w:rsid w:val="00F55BDE"/>
    <w:rsid w:val="00F5648A"/>
    <w:rsid w:val="00F567E8"/>
    <w:rsid w:val="00F57087"/>
    <w:rsid w:val="00F57513"/>
    <w:rsid w:val="00F57AC7"/>
    <w:rsid w:val="00F57B01"/>
    <w:rsid w:val="00F57C80"/>
    <w:rsid w:val="00F60047"/>
    <w:rsid w:val="00F603E0"/>
    <w:rsid w:val="00F604D5"/>
    <w:rsid w:val="00F60A30"/>
    <w:rsid w:val="00F60B4E"/>
    <w:rsid w:val="00F60BD4"/>
    <w:rsid w:val="00F61352"/>
    <w:rsid w:val="00F619E1"/>
    <w:rsid w:val="00F61D87"/>
    <w:rsid w:val="00F6205B"/>
    <w:rsid w:val="00F6206A"/>
    <w:rsid w:val="00F624F2"/>
    <w:rsid w:val="00F62E2B"/>
    <w:rsid w:val="00F630F7"/>
    <w:rsid w:val="00F639EF"/>
    <w:rsid w:val="00F63A1D"/>
    <w:rsid w:val="00F642CE"/>
    <w:rsid w:val="00F64786"/>
    <w:rsid w:val="00F6501F"/>
    <w:rsid w:val="00F65064"/>
    <w:rsid w:val="00F652BB"/>
    <w:rsid w:val="00F6644B"/>
    <w:rsid w:val="00F6667E"/>
    <w:rsid w:val="00F67E85"/>
    <w:rsid w:val="00F700AC"/>
    <w:rsid w:val="00F70A7F"/>
    <w:rsid w:val="00F70B21"/>
    <w:rsid w:val="00F71582"/>
    <w:rsid w:val="00F71A26"/>
    <w:rsid w:val="00F72324"/>
    <w:rsid w:val="00F7261E"/>
    <w:rsid w:val="00F73776"/>
    <w:rsid w:val="00F74A8F"/>
    <w:rsid w:val="00F75021"/>
    <w:rsid w:val="00F7592F"/>
    <w:rsid w:val="00F75B32"/>
    <w:rsid w:val="00F75ECF"/>
    <w:rsid w:val="00F76524"/>
    <w:rsid w:val="00F7683C"/>
    <w:rsid w:val="00F76885"/>
    <w:rsid w:val="00F76BA5"/>
    <w:rsid w:val="00F7728F"/>
    <w:rsid w:val="00F772C4"/>
    <w:rsid w:val="00F772C5"/>
    <w:rsid w:val="00F7779E"/>
    <w:rsid w:val="00F81305"/>
    <w:rsid w:val="00F81D81"/>
    <w:rsid w:val="00F821BC"/>
    <w:rsid w:val="00F82284"/>
    <w:rsid w:val="00F828D5"/>
    <w:rsid w:val="00F82E0A"/>
    <w:rsid w:val="00F830DD"/>
    <w:rsid w:val="00F83EC2"/>
    <w:rsid w:val="00F83F6B"/>
    <w:rsid w:val="00F84A1F"/>
    <w:rsid w:val="00F84E27"/>
    <w:rsid w:val="00F860F9"/>
    <w:rsid w:val="00F86D5C"/>
    <w:rsid w:val="00F87392"/>
    <w:rsid w:val="00F876BB"/>
    <w:rsid w:val="00F87DA6"/>
    <w:rsid w:val="00F87EB1"/>
    <w:rsid w:val="00F90D71"/>
    <w:rsid w:val="00F91326"/>
    <w:rsid w:val="00F9148B"/>
    <w:rsid w:val="00F9156E"/>
    <w:rsid w:val="00F916BB"/>
    <w:rsid w:val="00F92609"/>
    <w:rsid w:val="00F930A2"/>
    <w:rsid w:val="00F9318B"/>
    <w:rsid w:val="00F93740"/>
    <w:rsid w:val="00F9393B"/>
    <w:rsid w:val="00F93BA5"/>
    <w:rsid w:val="00F93BFA"/>
    <w:rsid w:val="00F93E74"/>
    <w:rsid w:val="00F94367"/>
    <w:rsid w:val="00F9436D"/>
    <w:rsid w:val="00F948CC"/>
    <w:rsid w:val="00F94933"/>
    <w:rsid w:val="00F94B14"/>
    <w:rsid w:val="00F94D0C"/>
    <w:rsid w:val="00F952B3"/>
    <w:rsid w:val="00F96C46"/>
    <w:rsid w:val="00F97131"/>
    <w:rsid w:val="00F97247"/>
    <w:rsid w:val="00F979E8"/>
    <w:rsid w:val="00F97C86"/>
    <w:rsid w:val="00FA0737"/>
    <w:rsid w:val="00FA08BA"/>
    <w:rsid w:val="00FA0DFF"/>
    <w:rsid w:val="00FA1183"/>
    <w:rsid w:val="00FA23F0"/>
    <w:rsid w:val="00FA2660"/>
    <w:rsid w:val="00FA2F9A"/>
    <w:rsid w:val="00FA3124"/>
    <w:rsid w:val="00FA34BB"/>
    <w:rsid w:val="00FA3721"/>
    <w:rsid w:val="00FA3A34"/>
    <w:rsid w:val="00FA3E8E"/>
    <w:rsid w:val="00FA4508"/>
    <w:rsid w:val="00FA4989"/>
    <w:rsid w:val="00FA4C08"/>
    <w:rsid w:val="00FA50E5"/>
    <w:rsid w:val="00FA54E0"/>
    <w:rsid w:val="00FA591F"/>
    <w:rsid w:val="00FA5A94"/>
    <w:rsid w:val="00FA60EB"/>
    <w:rsid w:val="00FA64D5"/>
    <w:rsid w:val="00FA6614"/>
    <w:rsid w:val="00FA6FE1"/>
    <w:rsid w:val="00FA7172"/>
    <w:rsid w:val="00FA71F4"/>
    <w:rsid w:val="00FA7464"/>
    <w:rsid w:val="00FB0256"/>
    <w:rsid w:val="00FB168E"/>
    <w:rsid w:val="00FB1909"/>
    <w:rsid w:val="00FB1ECF"/>
    <w:rsid w:val="00FB3842"/>
    <w:rsid w:val="00FB4406"/>
    <w:rsid w:val="00FB49E6"/>
    <w:rsid w:val="00FB4FC1"/>
    <w:rsid w:val="00FB550C"/>
    <w:rsid w:val="00FB5597"/>
    <w:rsid w:val="00FB57DC"/>
    <w:rsid w:val="00FB5A5E"/>
    <w:rsid w:val="00FB5C33"/>
    <w:rsid w:val="00FB5CA3"/>
    <w:rsid w:val="00FB6652"/>
    <w:rsid w:val="00FB76F1"/>
    <w:rsid w:val="00FC0D2D"/>
    <w:rsid w:val="00FC2047"/>
    <w:rsid w:val="00FC263C"/>
    <w:rsid w:val="00FC26F5"/>
    <w:rsid w:val="00FC2785"/>
    <w:rsid w:val="00FC28AB"/>
    <w:rsid w:val="00FC33CB"/>
    <w:rsid w:val="00FC373B"/>
    <w:rsid w:val="00FC4F8E"/>
    <w:rsid w:val="00FC633F"/>
    <w:rsid w:val="00FC6605"/>
    <w:rsid w:val="00FC662F"/>
    <w:rsid w:val="00FC664D"/>
    <w:rsid w:val="00FC6C06"/>
    <w:rsid w:val="00FC6C8D"/>
    <w:rsid w:val="00FC6EAF"/>
    <w:rsid w:val="00FC76A1"/>
    <w:rsid w:val="00FC76BA"/>
    <w:rsid w:val="00FC779F"/>
    <w:rsid w:val="00FC77BC"/>
    <w:rsid w:val="00FC7DCE"/>
    <w:rsid w:val="00FD008E"/>
    <w:rsid w:val="00FD0A55"/>
    <w:rsid w:val="00FD1678"/>
    <w:rsid w:val="00FD172E"/>
    <w:rsid w:val="00FD21E7"/>
    <w:rsid w:val="00FD2EF6"/>
    <w:rsid w:val="00FD31FE"/>
    <w:rsid w:val="00FD365F"/>
    <w:rsid w:val="00FD40CF"/>
    <w:rsid w:val="00FD41DF"/>
    <w:rsid w:val="00FD43C6"/>
    <w:rsid w:val="00FD4594"/>
    <w:rsid w:val="00FD4F31"/>
    <w:rsid w:val="00FD5C56"/>
    <w:rsid w:val="00FD61EB"/>
    <w:rsid w:val="00FD6C2C"/>
    <w:rsid w:val="00FD6FA2"/>
    <w:rsid w:val="00FD76C1"/>
    <w:rsid w:val="00FD7B00"/>
    <w:rsid w:val="00FD7B39"/>
    <w:rsid w:val="00FD7FA7"/>
    <w:rsid w:val="00FE0405"/>
    <w:rsid w:val="00FE0876"/>
    <w:rsid w:val="00FE0FB6"/>
    <w:rsid w:val="00FE10F6"/>
    <w:rsid w:val="00FE1301"/>
    <w:rsid w:val="00FE24C5"/>
    <w:rsid w:val="00FE2549"/>
    <w:rsid w:val="00FE282A"/>
    <w:rsid w:val="00FE2839"/>
    <w:rsid w:val="00FE28E0"/>
    <w:rsid w:val="00FE360B"/>
    <w:rsid w:val="00FE58BA"/>
    <w:rsid w:val="00FE5E4B"/>
    <w:rsid w:val="00FE622D"/>
    <w:rsid w:val="00FE7E89"/>
    <w:rsid w:val="00FF0082"/>
    <w:rsid w:val="00FF0738"/>
    <w:rsid w:val="00FF0923"/>
    <w:rsid w:val="00FF1C37"/>
    <w:rsid w:val="00FF1D16"/>
    <w:rsid w:val="00FF23D7"/>
    <w:rsid w:val="00FF2785"/>
    <w:rsid w:val="00FF2CFF"/>
    <w:rsid w:val="00FF2D8E"/>
    <w:rsid w:val="00FF2F1E"/>
    <w:rsid w:val="00FF34F3"/>
    <w:rsid w:val="00FF385F"/>
    <w:rsid w:val="00FF4341"/>
    <w:rsid w:val="00FF4753"/>
    <w:rsid w:val="00FF4BB3"/>
    <w:rsid w:val="00FF5161"/>
    <w:rsid w:val="00FF53E1"/>
    <w:rsid w:val="00FF607D"/>
    <w:rsid w:val="00FF64CA"/>
    <w:rsid w:val="00FF6514"/>
    <w:rsid w:val="00FF66B4"/>
    <w:rsid w:val="00FF7026"/>
    <w:rsid w:val="00FF7A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9873">
      <o:colormru v:ext="edit" colors="#0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uiPriority="99"/>
    <w:lsdException w:name="caption" w:locked="1" w:uiPriority="35"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Plain Text" w:uiPriority="99"/>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7B5"/>
    <w:pPr>
      <w:spacing w:after="90" w:line="220" w:lineRule="atLeast"/>
      <w:jc w:val="both"/>
    </w:pPr>
    <w:rPr>
      <w:rFonts w:ascii="Arial" w:hAnsi="Arial"/>
      <w:sz w:val="19"/>
      <w:szCs w:val="24"/>
      <w:lang w:eastAsia="en-US"/>
    </w:rPr>
  </w:style>
  <w:style w:type="paragraph" w:styleId="Heading1">
    <w:name w:val="heading 1"/>
    <w:basedOn w:val="ReportTitle"/>
    <w:next w:val="Normal"/>
    <w:link w:val="Heading1Char"/>
    <w:qFormat/>
    <w:rsid w:val="00A9260A"/>
    <w:pPr>
      <w:jc w:val="left"/>
      <w:outlineLvl w:val="0"/>
    </w:pPr>
    <w:rPr>
      <w:color w:val="76923C" w:themeColor="accent3" w:themeShade="BF"/>
    </w:rPr>
  </w:style>
  <w:style w:type="paragraph" w:styleId="Heading2">
    <w:name w:val="heading 2"/>
    <w:basedOn w:val="Normal"/>
    <w:next w:val="Normal"/>
    <w:link w:val="Heading2Char1"/>
    <w:qFormat/>
    <w:rsid w:val="00A9260A"/>
    <w:pPr>
      <w:keepNext/>
      <w:spacing w:before="430" w:after="60" w:line="240" w:lineRule="auto"/>
      <w:outlineLvl w:val="1"/>
    </w:pPr>
    <w:rPr>
      <w:rFonts w:cs="Arial"/>
      <w:bCs/>
      <w:iCs/>
      <w:color w:val="76923C" w:themeColor="accent3" w:themeShade="BF"/>
      <w:sz w:val="28"/>
      <w:szCs w:val="28"/>
    </w:rPr>
  </w:style>
  <w:style w:type="paragraph" w:styleId="Heading3">
    <w:name w:val="heading 3"/>
    <w:basedOn w:val="Normal"/>
    <w:next w:val="Normal"/>
    <w:link w:val="Heading3Char"/>
    <w:qFormat/>
    <w:rsid w:val="00A9260A"/>
    <w:pPr>
      <w:keepNext/>
      <w:spacing w:before="70" w:after="80"/>
      <w:outlineLvl w:val="2"/>
    </w:pPr>
    <w:rPr>
      <w:rFonts w:cs="Arial"/>
      <w:b/>
      <w:bCs/>
      <w:color w:val="76923C" w:themeColor="accent3" w:themeShade="BF"/>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60A"/>
    <w:rPr>
      <w:rFonts w:ascii="Arial" w:hAnsi="Arial"/>
      <w:color w:val="76923C" w:themeColor="accent3" w:themeShade="BF"/>
      <w:spacing w:val="-12"/>
      <w:sz w:val="46"/>
      <w:szCs w:val="46"/>
      <w:lang w:eastAsia="en-US"/>
    </w:rPr>
  </w:style>
  <w:style w:type="character" w:customStyle="1" w:styleId="Heading2Char1">
    <w:name w:val="Heading 2 Char1"/>
    <w:link w:val="Heading2"/>
    <w:locked/>
    <w:rsid w:val="00A9260A"/>
    <w:rPr>
      <w:rFonts w:ascii="Arial" w:hAnsi="Arial" w:cs="Arial"/>
      <w:bCs/>
      <w:iCs/>
      <w:color w:val="76923C" w:themeColor="accent3" w:themeShade="BF"/>
      <w:sz w:val="28"/>
      <w:szCs w:val="28"/>
      <w:lang w:eastAsia="en-US"/>
    </w:rPr>
  </w:style>
  <w:style w:type="character" w:customStyle="1" w:styleId="Heading3Char">
    <w:name w:val="Heading 3 Char"/>
    <w:link w:val="Heading3"/>
    <w:locked/>
    <w:rsid w:val="00A9260A"/>
    <w:rPr>
      <w:rFonts w:ascii="Arial" w:hAnsi="Arial" w:cs="Arial"/>
      <w:b/>
      <w:bCs/>
      <w:color w:val="76923C" w:themeColor="accent3" w:themeShade="BF"/>
      <w:sz w:val="19"/>
      <w:szCs w:val="19"/>
      <w:lang w:eastAsia="en-US"/>
    </w:rPr>
  </w:style>
  <w:style w:type="paragraph" w:styleId="BalloonText">
    <w:name w:val="Balloon Text"/>
    <w:basedOn w:val="Normal"/>
    <w:link w:val="BalloonTextChar"/>
    <w:rsid w:val="008736F2"/>
    <w:pPr>
      <w:spacing w:after="0" w:line="240" w:lineRule="auto"/>
    </w:pPr>
    <w:rPr>
      <w:rFonts w:ascii="Tahoma" w:hAnsi="Tahoma"/>
      <w:sz w:val="16"/>
      <w:szCs w:val="16"/>
    </w:rPr>
  </w:style>
  <w:style w:type="character" w:customStyle="1" w:styleId="BalloonTextChar">
    <w:name w:val="Balloon Text Char"/>
    <w:link w:val="BalloonText"/>
    <w:locked/>
    <w:rsid w:val="008736F2"/>
    <w:rPr>
      <w:rFonts w:ascii="Tahoma" w:hAnsi="Tahoma" w:cs="Times New Roman"/>
      <w:color w:val="747378"/>
      <w:sz w:val="16"/>
      <w:szCs w:val="16"/>
      <w:lang w:val="x-none" w:eastAsia="en-US"/>
    </w:rPr>
  </w:style>
  <w:style w:type="paragraph" w:styleId="Header">
    <w:name w:val="header"/>
    <w:basedOn w:val="Normal"/>
    <w:link w:val="HeaderChar"/>
    <w:rsid w:val="00385DBA"/>
    <w:pPr>
      <w:tabs>
        <w:tab w:val="center" w:pos="4320"/>
        <w:tab w:val="right" w:pos="8640"/>
      </w:tabs>
    </w:pPr>
    <w:rPr>
      <w:sz w:val="18"/>
    </w:rPr>
  </w:style>
  <w:style w:type="character" w:customStyle="1" w:styleId="HeaderChar">
    <w:name w:val="Header Char"/>
    <w:link w:val="Header"/>
    <w:locked/>
    <w:rsid w:val="002A163D"/>
    <w:rPr>
      <w:rFonts w:ascii="Arial" w:hAnsi="Arial" w:cs="Times New Roman"/>
      <w:sz w:val="24"/>
      <w:lang w:val="en-AU" w:eastAsia="en-US"/>
    </w:rPr>
  </w:style>
  <w:style w:type="paragraph" w:styleId="Footer">
    <w:name w:val="footer"/>
    <w:basedOn w:val="Normal"/>
    <w:link w:val="FooterChar"/>
    <w:uiPriority w:val="99"/>
    <w:rsid w:val="00010F3E"/>
    <w:pPr>
      <w:tabs>
        <w:tab w:val="center" w:pos="4536"/>
        <w:tab w:val="right" w:pos="9072"/>
      </w:tabs>
      <w:spacing w:after="0" w:line="240" w:lineRule="auto"/>
      <w:ind w:right="57"/>
      <w:jc w:val="right"/>
    </w:pPr>
    <w:rPr>
      <w:b/>
      <w:spacing w:val="-1"/>
      <w:sz w:val="16"/>
      <w:szCs w:val="14"/>
    </w:rPr>
  </w:style>
  <w:style w:type="character" w:customStyle="1" w:styleId="FooterChar">
    <w:name w:val="Footer Char"/>
    <w:link w:val="Footer"/>
    <w:uiPriority w:val="99"/>
    <w:locked/>
    <w:rsid w:val="00010F3E"/>
    <w:rPr>
      <w:rFonts w:ascii="Arial" w:hAnsi="Arial"/>
      <w:b/>
      <w:color w:val="747378"/>
      <w:spacing w:val="-1"/>
      <w:sz w:val="16"/>
      <w:szCs w:val="14"/>
      <w:lang w:eastAsia="en-US"/>
    </w:rPr>
  </w:style>
  <w:style w:type="paragraph" w:customStyle="1" w:styleId="ReportTitle">
    <w:name w:val="Report Title"/>
    <w:basedOn w:val="Normal"/>
    <w:rsid w:val="00BB6565"/>
    <w:pPr>
      <w:spacing w:after="35" w:line="480" w:lineRule="exact"/>
    </w:pPr>
    <w:rPr>
      <w:color w:val="286EB4"/>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286EB4"/>
      <w:sz w:val="36"/>
      <w:szCs w:val="20"/>
      <w:lang w:val="x-none"/>
    </w:rPr>
  </w:style>
  <w:style w:type="character" w:customStyle="1" w:styleId="TOCTitleChar">
    <w:name w:val="TOC Title Char"/>
    <w:link w:val="TOCTitle"/>
    <w:locked/>
    <w:rsid w:val="0002637D"/>
    <w:rPr>
      <w:rFonts w:ascii="Arial" w:hAnsi="Arial"/>
      <w:color w:val="286EB4"/>
      <w:sz w:val="36"/>
      <w:lang w:val="x-none" w:eastAsia="en-US"/>
    </w:rPr>
  </w:style>
  <w:style w:type="table" w:styleId="TableGrid">
    <w:name w:val="Table Grid"/>
    <w:basedOn w:val="TableNormal"/>
    <w:uiPriority w:val="59"/>
    <w:rsid w:val="00E72C99"/>
    <w:pPr>
      <w:spacing w:after="90" w:line="220" w:lineRule="atLeast"/>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3778A9"/>
    <w:pPr>
      <w:tabs>
        <w:tab w:val="right" w:pos="6698"/>
      </w:tabs>
      <w:spacing w:after="120" w:line="240" w:lineRule="auto"/>
      <w:jc w:val="left"/>
    </w:pPr>
    <w:rPr>
      <w:rFonts w:asciiTheme="majorHAnsi" w:hAnsiTheme="majorHAnsi" w:cs="Arial"/>
      <w:b/>
      <w:bCs/>
      <w:caps/>
      <w:noProof/>
      <w:sz w:val="24"/>
    </w:rPr>
  </w:style>
  <w:style w:type="character" w:styleId="PageNumber">
    <w:name w:val="page number"/>
    <w:rsid w:val="00BB6565"/>
    <w:rPr>
      <w:rFonts w:cs="Times New Roman"/>
    </w:rPr>
  </w:style>
  <w:style w:type="paragraph" w:styleId="ListBullet">
    <w:name w:val="List Bullet"/>
    <w:basedOn w:val="Normal"/>
    <w:rsid w:val="0099614A"/>
    <w:pPr>
      <w:numPr>
        <w:numId w:val="2"/>
      </w:numPr>
      <w:spacing w:after="84"/>
    </w:pPr>
  </w:style>
  <w:style w:type="paragraph" w:styleId="TOC3">
    <w:name w:val="toc 3"/>
    <w:basedOn w:val="Normal"/>
    <w:next w:val="Normal"/>
    <w:autoRedefine/>
    <w:uiPriority w:val="39"/>
    <w:rsid w:val="00AF50E2"/>
    <w:pPr>
      <w:spacing w:after="0"/>
      <w:ind w:left="190"/>
      <w:jc w:val="left"/>
    </w:pPr>
    <w:rPr>
      <w:rFonts w:asciiTheme="minorHAnsi" w:hAnsiTheme="minorHAnsi"/>
      <w:sz w:val="20"/>
      <w:szCs w:val="20"/>
    </w:rPr>
  </w:style>
  <w:style w:type="paragraph" w:styleId="TOC2">
    <w:name w:val="toc 2"/>
    <w:basedOn w:val="Normal"/>
    <w:next w:val="Normal"/>
    <w:uiPriority w:val="39"/>
    <w:rsid w:val="009367C5"/>
    <w:pPr>
      <w:spacing w:before="240" w:after="0"/>
      <w:jc w:val="left"/>
    </w:pPr>
    <w:rPr>
      <w:rFonts w:asciiTheme="minorHAnsi" w:hAnsiTheme="minorHAnsi"/>
      <w:b/>
      <w:bCs/>
      <w:sz w:val="20"/>
      <w:szCs w:val="20"/>
    </w:rPr>
  </w:style>
  <w:style w:type="paragraph" w:styleId="Quote">
    <w:name w:val="Quote"/>
    <w:basedOn w:val="Normal"/>
    <w:link w:val="QuoteChar"/>
    <w:qFormat/>
    <w:rsid w:val="00B345E6"/>
    <w:rPr>
      <w:b/>
      <w:color w:val="286EB4"/>
      <w:szCs w:val="19"/>
    </w:rPr>
  </w:style>
  <w:style w:type="character" w:customStyle="1" w:styleId="QuoteChar">
    <w:name w:val="Quote Char"/>
    <w:link w:val="Quote"/>
    <w:locked/>
    <w:rsid w:val="008736F2"/>
    <w:rPr>
      <w:rFonts w:ascii="Arial" w:hAnsi="Arial" w:cs="Times New Roman"/>
      <w:b/>
      <w:color w:val="286EB4"/>
      <w:sz w:val="19"/>
      <w:szCs w:val="19"/>
      <w:lang w:val="x-none"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25400C"/>
    <w:rPr>
      <w:b/>
      <w:bCs/>
      <w:color w:val="76923C" w:themeColor="accent3" w:themeShade="BF"/>
      <w:sz w:val="18"/>
      <w:szCs w:val="16"/>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uiPriority w:val="99"/>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tabs>
        <w:tab w:val="num" w:pos="340"/>
      </w:tabs>
      <w:spacing w:after="0"/>
      <w:ind w:left="340" w:hanging="170"/>
    </w:pPr>
  </w:style>
  <w:style w:type="paragraph" w:styleId="FootnoteText">
    <w:name w:val="footnote text"/>
    <w:basedOn w:val="Normal"/>
    <w:link w:val="FootnoteTextChar"/>
    <w:uiPriority w:val="99"/>
    <w:rsid w:val="008736F2"/>
    <w:rPr>
      <w:sz w:val="20"/>
      <w:szCs w:val="20"/>
    </w:rPr>
  </w:style>
  <w:style w:type="character" w:customStyle="1" w:styleId="FootnoteTextChar">
    <w:name w:val="Footnote Text Char"/>
    <w:link w:val="FootnoteText"/>
    <w:uiPriority w:val="99"/>
    <w:locked/>
    <w:rsid w:val="008736F2"/>
    <w:rPr>
      <w:rFonts w:ascii="Arial" w:hAnsi="Arial" w:cs="Times New Roman"/>
      <w:color w:val="747378"/>
      <w:lang w:val="x-none" w:eastAsia="en-US"/>
    </w:rPr>
  </w:style>
  <w:style w:type="character" w:styleId="FootnoteReference">
    <w:name w:val="footnote reference"/>
    <w:uiPriority w:val="99"/>
    <w:rsid w:val="008736F2"/>
    <w:rPr>
      <w:rFonts w:cs="Times New Roman"/>
      <w:vertAlign w:val="superscript"/>
    </w:rPr>
  </w:style>
  <w:style w:type="character" w:styleId="CommentReference">
    <w:name w:val="annotation reference"/>
    <w:rsid w:val="008736F2"/>
    <w:rPr>
      <w:rFonts w:cs="Times New Roman"/>
      <w:sz w:val="16"/>
      <w:szCs w:val="16"/>
    </w:rPr>
  </w:style>
  <w:style w:type="paragraph" w:styleId="CommentText">
    <w:name w:val="annotation text"/>
    <w:basedOn w:val="Normal"/>
    <w:link w:val="CommentTextChar"/>
    <w:rsid w:val="008736F2"/>
    <w:rPr>
      <w:sz w:val="20"/>
      <w:szCs w:val="20"/>
    </w:rPr>
  </w:style>
  <w:style w:type="character" w:customStyle="1" w:styleId="CommentTextChar">
    <w:name w:val="Comment Text Char"/>
    <w:link w:val="CommentText"/>
    <w:locked/>
    <w:rsid w:val="008736F2"/>
    <w:rPr>
      <w:rFonts w:ascii="Arial" w:hAnsi="Arial" w:cs="Times New Roman"/>
      <w:color w:val="747378"/>
      <w:lang w:val="x-none" w:eastAsia="en-US"/>
    </w:rPr>
  </w:style>
  <w:style w:type="paragraph" w:styleId="CommentSubject">
    <w:name w:val="annotation subject"/>
    <w:basedOn w:val="CommentText"/>
    <w:next w:val="CommentText"/>
    <w:link w:val="CommentSubjectChar"/>
    <w:rsid w:val="008736F2"/>
    <w:rPr>
      <w:b/>
      <w:bCs/>
    </w:rPr>
  </w:style>
  <w:style w:type="character" w:customStyle="1" w:styleId="CommentSubjectChar">
    <w:name w:val="Comment Subject Char"/>
    <w:link w:val="CommentSubject"/>
    <w:locked/>
    <w:rsid w:val="008736F2"/>
    <w:rPr>
      <w:rFonts w:ascii="Arial" w:hAnsi="Arial" w:cs="Times New Roman"/>
      <w:b/>
      <w:bCs/>
      <w:color w:val="747378"/>
      <w:lang w:val="x-none" w:eastAsia="en-US"/>
    </w:rPr>
  </w:style>
  <w:style w:type="paragraph" w:customStyle="1" w:styleId="Bulletlist">
    <w:name w:val="Bullet list"/>
    <w:basedOn w:val="Normal"/>
    <w:rsid w:val="008736F2"/>
    <w:pPr>
      <w:numPr>
        <w:numId w:val="3"/>
      </w:numPr>
      <w:autoSpaceDE w:val="0"/>
      <w:autoSpaceDN w:val="0"/>
      <w:adjustRightInd w:val="0"/>
      <w:spacing w:before="60" w:after="60" w:line="240" w:lineRule="auto"/>
    </w:pPr>
    <w:rPr>
      <w:rFonts w:cs="Arial"/>
      <w:color w:val="000000"/>
      <w:sz w:val="22"/>
      <w:szCs w:val="22"/>
      <w:lang w:eastAsia="en-AU"/>
    </w:rPr>
  </w:style>
  <w:style w:type="character" w:styleId="Hyperlink">
    <w:name w:val="Hyperlink"/>
    <w:rsid w:val="008736F2"/>
    <w:rPr>
      <w:rFonts w:cs="Times New Roman"/>
      <w:color w:val="0000FF"/>
      <w:u w:val="single"/>
    </w:rPr>
  </w:style>
  <w:style w:type="character" w:styleId="FollowedHyperlink">
    <w:name w:val="FollowedHyperlink"/>
    <w:rsid w:val="00E61FA4"/>
    <w:rPr>
      <w:rFonts w:cs="Times New Roman"/>
      <w:color w:val="800080"/>
      <w:u w:val="single"/>
    </w:rPr>
  </w:style>
  <w:style w:type="table" w:customStyle="1" w:styleId="LightShading-Accent11">
    <w:name w:val="Light Shading - Accent 11"/>
    <w:rsid w:val="00E61FA4"/>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636FAF"/>
    <w:pPr>
      <w:spacing w:after="200" w:line="276" w:lineRule="auto"/>
      <w:ind w:left="720"/>
      <w:jc w:val="left"/>
    </w:pPr>
    <w:rPr>
      <w:rFonts w:ascii="Calibri" w:hAnsi="Calibri"/>
      <w:sz w:val="22"/>
      <w:szCs w:val="22"/>
    </w:rPr>
  </w:style>
  <w:style w:type="paragraph" w:styleId="TOC4">
    <w:name w:val="toc 4"/>
    <w:basedOn w:val="Normal"/>
    <w:next w:val="Normal"/>
    <w:autoRedefine/>
    <w:uiPriority w:val="39"/>
    <w:locked/>
    <w:rsid w:val="00082ACB"/>
    <w:pPr>
      <w:spacing w:after="0"/>
      <w:ind w:left="380"/>
      <w:jc w:val="left"/>
    </w:pPr>
    <w:rPr>
      <w:rFonts w:asciiTheme="minorHAnsi" w:hAnsiTheme="minorHAnsi"/>
      <w:sz w:val="20"/>
      <w:szCs w:val="20"/>
    </w:rPr>
  </w:style>
  <w:style w:type="paragraph" w:styleId="TOC5">
    <w:name w:val="toc 5"/>
    <w:basedOn w:val="Normal"/>
    <w:next w:val="Normal"/>
    <w:autoRedefine/>
    <w:uiPriority w:val="39"/>
    <w:locked/>
    <w:rsid w:val="00082ACB"/>
    <w:pPr>
      <w:spacing w:after="0"/>
      <w:ind w:left="570"/>
      <w:jc w:val="left"/>
    </w:pPr>
    <w:rPr>
      <w:rFonts w:asciiTheme="minorHAnsi" w:hAnsiTheme="minorHAnsi"/>
      <w:sz w:val="20"/>
      <w:szCs w:val="20"/>
    </w:rPr>
  </w:style>
  <w:style w:type="paragraph" w:styleId="TOC6">
    <w:name w:val="toc 6"/>
    <w:basedOn w:val="Normal"/>
    <w:next w:val="Normal"/>
    <w:autoRedefine/>
    <w:uiPriority w:val="39"/>
    <w:locked/>
    <w:rsid w:val="00082ACB"/>
    <w:pPr>
      <w:spacing w:after="0"/>
      <w:ind w:left="760"/>
      <w:jc w:val="left"/>
    </w:pPr>
    <w:rPr>
      <w:rFonts w:asciiTheme="minorHAnsi" w:hAnsiTheme="minorHAnsi"/>
      <w:sz w:val="20"/>
      <w:szCs w:val="20"/>
    </w:rPr>
  </w:style>
  <w:style w:type="paragraph" w:styleId="TOC7">
    <w:name w:val="toc 7"/>
    <w:basedOn w:val="Normal"/>
    <w:next w:val="Normal"/>
    <w:autoRedefine/>
    <w:uiPriority w:val="39"/>
    <w:locked/>
    <w:rsid w:val="00082ACB"/>
    <w:pPr>
      <w:spacing w:after="0"/>
      <w:ind w:left="950"/>
      <w:jc w:val="left"/>
    </w:pPr>
    <w:rPr>
      <w:rFonts w:asciiTheme="minorHAnsi" w:hAnsiTheme="minorHAnsi"/>
      <w:sz w:val="20"/>
      <w:szCs w:val="20"/>
    </w:rPr>
  </w:style>
  <w:style w:type="paragraph" w:styleId="TOC8">
    <w:name w:val="toc 8"/>
    <w:basedOn w:val="Normal"/>
    <w:next w:val="Normal"/>
    <w:autoRedefine/>
    <w:uiPriority w:val="39"/>
    <w:locked/>
    <w:rsid w:val="00082ACB"/>
    <w:pPr>
      <w:spacing w:after="0"/>
      <w:ind w:left="1140"/>
      <w:jc w:val="left"/>
    </w:pPr>
    <w:rPr>
      <w:rFonts w:asciiTheme="minorHAnsi" w:hAnsiTheme="minorHAnsi"/>
      <w:sz w:val="20"/>
      <w:szCs w:val="20"/>
    </w:rPr>
  </w:style>
  <w:style w:type="paragraph" w:styleId="TOC9">
    <w:name w:val="toc 9"/>
    <w:basedOn w:val="Normal"/>
    <w:next w:val="Normal"/>
    <w:autoRedefine/>
    <w:uiPriority w:val="39"/>
    <w:locked/>
    <w:rsid w:val="00082ACB"/>
    <w:pPr>
      <w:spacing w:after="0"/>
      <w:ind w:left="1330"/>
      <w:jc w:val="left"/>
    </w:pPr>
    <w:rPr>
      <w:rFonts w:asciiTheme="minorHAnsi" w:hAnsiTheme="minorHAnsi"/>
      <w:sz w:val="20"/>
      <w:szCs w:val="20"/>
    </w:rPr>
  </w:style>
  <w:style w:type="table" w:customStyle="1" w:styleId="LightShading-Accent12">
    <w:name w:val="Light Shading - Accent 12"/>
    <w:rsid w:val="00397AF4"/>
    <w:rPr>
      <w:color w:val="365F91"/>
      <w:lang w:eastAsia="ko-K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BoldWhiteAfter0ptLinespacingsingle">
    <w:name w:val="Style Bold White After:  0 pt Line spacing:  single"/>
    <w:basedOn w:val="Normal"/>
    <w:rsid w:val="00397AF4"/>
    <w:pPr>
      <w:spacing w:after="0" w:line="240" w:lineRule="auto"/>
      <w:jc w:val="left"/>
    </w:pPr>
    <w:rPr>
      <w:b/>
      <w:bCs/>
      <w:color w:val="286EB4"/>
      <w:szCs w:val="20"/>
    </w:rPr>
  </w:style>
  <w:style w:type="paragraph" w:styleId="ListNumber">
    <w:name w:val="List Number"/>
    <w:basedOn w:val="Normal"/>
    <w:locked/>
    <w:rsid w:val="00CD3E5E"/>
    <w:pPr>
      <w:numPr>
        <w:numId w:val="1"/>
      </w:numPr>
      <w:spacing w:after="0" w:line="240" w:lineRule="auto"/>
      <w:jc w:val="left"/>
    </w:pPr>
    <w:rPr>
      <w:rFonts w:cs="Arial"/>
      <w:sz w:val="24"/>
      <w:lang w:eastAsia="en-AU"/>
    </w:rPr>
  </w:style>
  <w:style w:type="paragraph" w:styleId="BodyText">
    <w:name w:val="Body Text"/>
    <w:basedOn w:val="ListNumber"/>
    <w:link w:val="BodyTextChar"/>
    <w:rsid w:val="000D002C"/>
    <w:pPr>
      <w:numPr>
        <w:numId w:val="0"/>
      </w:numPr>
      <w:tabs>
        <w:tab w:val="num" w:pos="680"/>
      </w:tabs>
      <w:spacing w:after="120"/>
    </w:pPr>
    <w:rPr>
      <w:lang w:eastAsia="en-US"/>
    </w:rPr>
  </w:style>
  <w:style w:type="character" w:customStyle="1" w:styleId="BodyTextChar">
    <w:name w:val="Body Text Char"/>
    <w:link w:val="BodyText"/>
    <w:locked/>
    <w:rsid w:val="008E0FFA"/>
    <w:rPr>
      <w:rFonts w:ascii="Arial" w:hAnsi="Arial" w:cs="Times New Roman"/>
      <w:color w:val="747378"/>
      <w:sz w:val="24"/>
      <w:szCs w:val="24"/>
      <w:lang w:val="x-none" w:eastAsia="en-US"/>
    </w:rPr>
  </w:style>
  <w:style w:type="character" w:customStyle="1" w:styleId="st1">
    <w:name w:val="st1"/>
    <w:basedOn w:val="DefaultParagraphFont"/>
    <w:rsid w:val="00FF6514"/>
  </w:style>
  <w:style w:type="character" w:customStyle="1" w:styleId="Heading2Char">
    <w:name w:val="Heading 2 Char"/>
    <w:locked/>
    <w:rsid w:val="00441483"/>
    <w:rPr>
      <w:rFonts w:ascii="Arial" w:hAnsi="Arial" w:cs="Arial"/>
      <w:bCs/>
      <w:iCs/>
      <w:color w:val="286EB4"/>
      <w:sz w:val="28"/>
      <w:szCs w:val="28"/>
      <w:lang w:val="en-AU" w:eastAsia="en-US" w:bidi="ar-SA"/>
    </w:rPr>
  </w:style>
  <w:style w:type="paragraph" w:customStyle="1" w:styleId="BriefDocParagraph">
    <w:name w:val="BriefDoc Paragraph"/>
    <w:basedOn w:val="Normal"/>
    <w:rsid w:val="00BA4D7A"/>
    <w:pPr>
      <w:numPr>
        <w:numId w:val="4"/>
      </w:numPr>
      <w:spacing w:after="0" w:line="240" w:lineRule="auto"/>
      <w:jc w:val="left"/>
    </w:pPr>
    <w:rPr>
      <w:rFonts w:ascii="Times New Roman" w:hAnsi="Times New Roman"/>
      <w:sz w:val="24"/>
      <w:szCs w:val="20"/>
    </w:rPr>
  </w:style>
  <w:style w:type="paragraph" w:customStyle="1" w:styleId="BoxText1">
    <w:name w:val="Box Text+1"/>
    <w:basedOn w:val="Default"/>
    <w:next w:val="Default"/>
    <w:uiPriority w:val="99"/>
    <w:rsid w:val="00F46CB4"/>
    <w:pPr>
      <w:widowControl/>
    </w:pPr>
    <w:rPr>
      <w:rFonts w:ascii="Garamond" w:eastAsia="Calibri" w:hAnsi="Garamond" w:cs="Times New Roman"/>
      <w:color w:val="auto"/>
      <w:lang w:val="en-AU"/>
    </w:rPr>
  </w:style>
  <w:style w:type="character" w:styleId="Strong">
    <w:name w:val="Strong"/>
    <w:basedOn w:val="DefaultParagraphFont"/>
    <w:qFormat/>
    <w:locked/>
    <w:rsid w:val="00651032"/>
    <w:rPr>
      <w:b/>
      <w:bCs/>
    </w:rPr>
  </w:style>
  <w:style w:type="character" w:styleId="Emphasis">
    <w:name w:val="Emphasis"/>
    <w:basedOn w:val="DefaultParagraphFont"/>
    <w:qFormat/>
    <w:locked/>
    <w:rsid w:val="00903D11"/>
    <w:rPr>
      <w:i/>
      <w:iCs/>
    </w:rPr>
  </w:style>
  <w:style w:type="numbering" w:customStyle="1" w:styleId="NoList1">
    <w:name w:val="No List1"/>
    <w:next w:val="NoList"/>
    <w:uiPriority w:val="99"/>
    <w:semiHidden/>
    <w:unhideWhenUsed/>
    <w:rsid w:val="00D758F5"/>
  </w:style>
  <w:style w:type="paragraph" w:styleId="NormalWeb">
    <w:name w:val="Normal (Web)"/>
    <w:basedOn w:val="Normal"/>
    <w:uiPriority w:val="99"/>
    <w:unhideWhenUsed/>
    <w:rsid w:val="00FE2839"/>
    <w:pPr>
      <w:spacing w:before="100" w:beforeAutospacing="1" w:after="100" w:afterAutospacing="1" w:line="240" w:lineRule="auto"/>
      <w:jc w:val="left"/>
    </w:pPr>
    <w:rPr>
      <w:rFonts w:ascii="Times New Roman" w:hAnsi="Times New Roman"/>
      <w:sz w:val="24"/>
      <w:lang w:eastAsia="en-AU"/>
    </w:rPr>
  </w:style>
  <w:style w:type="paragraph" w:styleId="PlainText">
    <w:name w:val="Plain Text"/>
    <w:basedOn w:val="Normal"/>
    <w:link w:val="PlainTextChar"/>
    <w:uiPriority w:val="99"/>
    <w:unhideWhenUsed/>
    <w:rsid w:val="005B1665"/>
    <w:pPr>
      <w:spacing w:after="0" w:line="240" w:lineRule="auto"/>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B1665"/>
    <w:rPr>
      <w:rFonts w:ascii="Calibri" w:eastAsiaTheme="minorHAnsi" w:hAnsi="Calibri"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uiPriority="99"/>
    <w:lsdException w:name="caption" w:locked="1" w:uiPriority="35"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Plain Text" w:uiPriority="99"/>
    <w:lsdException w:name="Normal (Web)" w:uiPriority="99"/>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7B5"/>
    <w:pPr>
      <w:spacing w:after="90" w:line="220" w:lineRule="atLeast"/>
      <w:jc w:val="both"/>
    </w:pPr>
    <w:rPr>
      <w:rFonts w:ascii="Arial" w:hAnsi="Arial"/>
      <w:sz w:val="19"/>
      <w:szCs w:val="24"/>
      <w:lang w:eastAsia="en-US"/>
    </w:rPr>
  </w:style>
  <w:style w:type="paragraph" w:styleId="Heading1">
    <w:name w:val="heading 1"/>
    <w:basedOn w:val="ReportTitle"/>
    <w:next w:val="Normal"/>
    <w:link w:val="Heading1Char"/>
    <w:qFormat/>
    <w:rsid w:val="00A9260A"/>
    <w:pPr>
      <w:jc w:val="left"/>
      <w:outlineLvl w:val="0"/>
    </w:pPr>
    <w:rPr>
      <w:color w:val="76923C" w:themeColor="accent3" w:themeShade="BF"/>
    </w:rPr>
  </w:style>
  <w:style w:type="paragraph" w:styleId="Heading2">
    <w:name w:val="heading 2"/>
    <w:basedOn w:val="Normal"/>
    <w:next w:val="Normal"/>
    <w:link w:val="Heading2Char1"/>
    <w:qFormat/>
    <w:rsid w:val="00A9260A"/>
    <w:pPr>
      <w:keepNext/>
      <w:spacing w:before="430" w:after="60" w:line="240" w:lineRule="auto"/>
      <w:outlineLvl w:val="1"/>
    </w:pPr>
    <w:rPr>
      <w:rFonts w:cs="Arial"/>
      <w:bCs/>
      <w:iCs/>
      <w:color w:val="76923C" w:themeColor="accent3" w:themeShade="BF"/>
      <w:sz w:val="28"/>
      <w:szCs w:val="28"/>
    </w:rPr>
  </w:style>
  <w:style w:type="paragraph" w:styleId="Heading3">
    <w:name w:val="heading 3"/>
    <w:basedOn w:val="Normal"/>
    <w:next w:val="Normal"/>
    <w:link w:val="Heading3Char"/>
    <w:qFormat/>
    <w:rsid w:val="00A9260A"/>
    <w:pPr>
      <w:keepNext/>
      <w:spacing w:before="70" w:after="80"/>
      <w:outlineLvl w:val="2"/>
    </w:pPr>
    <w:rPr>
      <w:rFonts w:cs="Arial"/>
      <w:b/>
      <w:bCs/>
      <w:color w:val="76923C" w:themeColor="accent3" w:themeShade="BF"/>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260A"/>
    <w:rPr>
      <w:rFonts w:ascii="Arial" w:hAnsi="Arial"/>
      <w:color w:val="76923C" w:themeColor="accent3" w:themeShade="BF"/>
      <w:spacing w:val="-12"/>
      <w:sz w:val="46"/>
      <w:szCs w:val="46"/>
      <w:lang w:eastAsia="en-US"/>
    </w:rPr>
  </w:style>
  <w:style w:type="character" w:customStyle="1" w:styleId="Heading2Char1">
    <w:name w:val="Heading 2 Char1"/>
    <w:link w:val="Heading2"/>
    <w:locked/>
    <w:rsid w:val="00A9260A"/>
    <w:rPr>
      <w:rFonts w:ascii="Arial" w:hAnsi="Arial" w:cs="Arial"/>
      <w:bCs/>
      <w:iCs/>
      <w:color w:val="76923C" w:themeColor="accent3" w:themeShade="BF"/>
      <w:sz w:val="28"/>
      <w:szCs w:val="28"/>
      <w:lang w:eastAsia="en-US"/>
    </w:rPr>
  </w:style>
  <w:style w:type="character" w:customStyle="1" w:styleId="Heading3Char">
    <w:name w:val="Heading 3 Char"/>
    <w:link w:val="Heading3"/>
    <w:locked/>
    <w:rsid w:val="00A9260A"/>
    <w:rPr>
      <w:rFonts w:ascii="Arial" w:hAnsi="Arial" w:cs="Arial"/>
      <w:b/>
      <w:bCs/>
      <w:color w:val="76923C" w:themeColor="accent3" w:themeShade="BF"/>
      <w:sz w:val="19"/>
      <w:szCs w:val="19"/>
      <w:lang w:eastAsia="en-US"/>
    </w:rPr>
  </w:style>
  <w:style w:type="paragraph" w:styleId="BalloonText">
    <w:name w:val="Balloon Text"/>
    <w:basedOn w:val="Normal"/>
    <w:link w:val="BalloonTextChar"/>
    <w:rsid w:val="008736F2"/>
    <w:pPr>
      <w:spacing w:after="0" w:line="240" w:lineRule="auto"/>
    </w:pPr>
    <w:rPr>
      <w:rFonts w:ascii="Tahoma" w:hAnsi="Tahoma"/>
      <w:sz w:val="16"/>
      <w:szCs w:val="16"/>
    </w:rPr>
  </w:style>
  <w:style w:type="character" w:customStyle="1" w:styleId="BalloonTextChar">
    <w:name w:val="Balloon Text Char"/>
    <w:link w:val="BalloonText"/>
    <w:locked/>
    <w:rsid w:val="008736F2"/>
    <w:rPr>
      <w:rFonts w:ascii="Tahoma" w:hAnsi="Tahoma" w:cs="Times New Roman"/>
      <w:color w:val="747378"/>
      <w:sz w:val="16"/>
      <w:szCs w:val="16"/>
      <w:lang w:val="x-none" w:eastAsia="en-US"/>
    </w:rPr>
  </w:style>
  <w:style w:type="paragraph" w:styleId="Header">
    <w:name w:val="header"/>
    <w:basedOn w:val="Normal"/>
    <w:link w:val="HeaderChar"/>
    <w:rsid w:val="00385DBA"/>
    <w:pPr>
      <w:tabs>
        <w:tab w:val="center" w:pos="4320"/>
        <w:tab w:val="right" w:pos="8640"/>
      </w:tabs>
    </w:pPr>
    <w:rPr>
      <w:sz w:val="18"/>
    </w:rPr>
  </w:style>
  <w:style w:type="character" w:customStyle="1" w:styleId="HeaderChar">
    <w:name w:val="Header Char"/>
    <w:link w:val="Header"/>
    <w:locked/>
    <w:rsid w:val="002A163D"/>
    <w:rPr>
      <w:rFonts w:ascii="Arial" w:hAnsi="Arial" w:cs="Times New Roman"/>
      <w:sz w:val="24"/>
      <w:lang w:val="en-AU" w:eastAsia="en-US"/>
    </w:rPr>
  </w:style>
  <w:style w:type="paragraph" w:styleId="Footer">
    <w:name w:val="footer"/>
    <w:basedOn w:val="Normal"/>
    <w:link w:val="FooterChar"/>
    <w:uiPriority w:val="99"/>
    <w:rsid w:val="00010F3E"/>
    <w:pPr>
      <w:tabs>
        <w:tab w:val="center" w:pos="4536"/>
        <w:tab w:val="right" w:pos="9072"/>
      </w:tabs>
      <w:spacing w:after="0" w:line="240" w:lineRule="auto"/>
      <w:ind w:right="57"/>
      <w:jc w:val="right"/>
    </w:pPr>
    <w:rPr>
      <w:b/>
      <w:spacing w:val="-1"/>
      <w:sz w:val="16"/>
      <w:szCs w:val="14"/>
    </w:rPr>
  </w:style>
  <w:style w:type="character" w:customStyle="1" w:styleId="FooterChar">
    <w:name w:val="Footer Char"/>
    <w:link w:val="Footer"/>
    <w:uiPriority w:val="99"/>
    <w:locked/>
    <w:rsid w:val="00010F3E"/>
    <w:rPr>
      <w:rFonts w:ascii="Arial" w:hAnsi="Arial"/>
      <w:b/>
      <w:color w:val="747378"/>
      <w:spacing w:val="-1"/>
      <w:sz w:val="16"/>
      <w:szCs w:val="14"/>
      <w:lang w:eastAsia="en-US"/>
    </w:rPr>
  </w:style>
  <w:style w:type="paragraph" w:customStyle="1" w:styleId="ReportTitle">
    <w:name w:val="Report Title"/>
    <w:basedOn w:val="Normal"/>
    <w:rsid w:val="00BB6565"/>
    <w:pPr>
      <w:spacing w:after="35" w:line="480" w:lineRule="exact"/>
    </w:pPr>
    <w:rPr>
      <w:color w:val="286EB4"/>
      <w:spacing w:val="-12"/>
      <w:sz w:val="46"/>
      <w:szCs w:val="46"/>
    </w:rPr>
  </w:style>
  <w:style w:type="paragraph" w:customStyle="1" w:styleId="ReportSub-Title">
    <w:name w:val="Report Sub-Title"/>
    <w:basedOn w:val="Normal"/>
    <w:rsid w:val="00927968"/>
    <w:pPr>
      <w:spacing w:line="330" w:lineRule="exact"/>
    </w:pPr>
    <w:rPr>
      <w:color w:val="808080"/>
      <w:spacing w:val="-6"/>
      <w:sz w:val="28"/>
      <w:szCs w:val="28"/>
    </w:rPr>
  </w:style>
  <w:style w:type="paragraph" w:customStyle="1" w:styleId="CopyrightDetailsBold">
    <w:name w:val="Copyright Details Bold"/>
    <w:basedOn w:val="Normal"/>
    <w:rsid w:val="00F015D8"/>
    <w:pPr>
      <w:spacing w:after="0" w:line="260" w:lineRule="exact"/>
    </w:pPr>
    <w:rPr>
      <w:b/>
    </w:rPr>
  </w:style>
  <w:style w:type="paragraph" w:customStyle="1" w:styleId="CopyrightDetails">
    <w:name w:val="Copyright Details"/>
    <w:basedOn w:val="Normal"/>
    <w:rsid w:val="00F015D8"/>
    <w:pPr>
      <w:spacing w:after="0" w:line="260" w:lineRule="exact"/>
    </w:pPr>
  </w:style>
  <w:style w:type="paragraph" w:customStyle="1" w:styleId="CopyrightDetails-Logo">
    <w:name w:val="Copyright Details - Logo"/>
    <w:basedOn w:val="CopyrightDetails"/>
    <w:next w:val="CopyrightDetails"/>
    <w:rsid w:val="00AA11E9"/>
    <w:pPr>
      <w:spacing w:before="56" w:after="136" w:line="240" w:lineRule="auto"/>
    </w:pPr>
  </w:style>
  <w:style w:type="paragraph" w:customStyle="1" w:styleId="TOCTitle">
    <w:name w:val="TOC Title"/>
    <w:basedOn w:val="Header"/>
    <w:link w:val="TOCTitleChar"/>
    <w:rsid w:val="0002637D"/>
    <w:pPr>
      <w:ind w:left="-336"/>
    </w:pPr>
    <w:rPr>
      <w:color w:val="286EB4"/>
      <w:sz w:val="36"/>
      <w:szCs w:val="20"/>
      <w:lang w:val="x-none"/>
    </w:rPr>
  </w:style>
  <w:style w:type="character" w:customStyle="1" w:styleId="TOCTitleChar">
    <w:name w:val="TOC Title Char"/>
    <w:link w:val="TOCTitle"/>
    <w:locked/>
    <w:rsid w:val="0002637D"/>
    <w:rPr>
      <w:rFonts w:ascii="Arial" w:hAnsi="Arial"/>
      <w:color w:val="286EB4"/>
      <w:sz w:val="36"/>
      <w:lang w:val="x-none" w:eastAsia="en-US"/>
    </w:rPr>
  </w:style>
  <w:style w:type="table" w:styleId="TableGrid">
    <w:name w:val="Table Grid"/>
    <w:basedOn w:val="TableNormal"/>
    <w:uiPriority w:val="59"/>
    <w:rsid w:val="00E72C99"/>
    <w:pPr>
      <w:spacing w:after="90" w:line="220" w:lineRule="atLeast"/>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rsid w:val="003778A9"/>
    <w:pPr>
      <w:tabs>
        <w:tab w:val="right" w:pos="6698"/>
      </w:tabs>
      <w:spacing w:after="120" w:line="240" w:lineRule="auto"/>
      <w:jc w:val="left"/>
    </w:pPr>
    <w:rPr>
      <w:rFonts w:asciiTheme="majorHAnsi" w:hAnsiTheme="majorHAnsi" w:cs="Arial"/>
      <w:b/>
      <w:bCs/>
      <w:caps/>
      <w:noProof/>
      <w:sz w:val="24"/>
    </w:rPr>
  </w:style>
  <w:style w:type="character" w:styleId="PageNumber">
    <w:name w:val="page number"/>
    <w:rsid w:val="00BB6565"/>
    <w:rPr>
      <w:rFonts w:cs="Times New Roman"/>
    </w:rPr>
  </w:style>
  <w:style w:type="paragraph" w:styleId="ListBullet">
    <w:name w:val="List Bullet"/>
    <w:basedOn w:val="Normal"/>
    <w:rsid w:val="0099614A"/>
    <w:pPr>
      <w:numPr>
        <w:numId w:val="2"/>
      </w:numPr>
      <w:spacing w:after="84"/>
    </w:pPr>
  </w:style>
  <w:style w:type="paragraph" w:styleId="TOC3">
    <w:name w:val="toc 3"/>
    <w:basedOn w:val="Normal"/>
    <w:next w:val="Normal"/>
    <w:autoRedefine/>
    <w:uiPriority w:val="39"/>
    <w:rsid w:val="00AF50E2"/>
    <w:pPr>
      <w:spacing w:after="0"/>
      <w:ind w:left="190"/>
      <w:jc w:val="left"/>
    </w:pPr>
    <w:rPr>
      <w:rFonts w:asciiTheme="minorHAnsi" w:hAnsiTheme="minorHAnsi"/>
      <w:sz w:val="20"/>
      <w:szCs w:val="20"/>
    </w:rPr>
  </w:style>
  <w:style w:type="paragraph" w:styleId="TOC2">
    <w:name w:val="toc 2"/>
    <w:basedOn w:val="Normal"/>
    <w:next w:val="Normal"/>
    <w:uiPriority w:val="39"/>
    <w:rsid w:val="009367C5"/>
    <w:pPr>
      <w:spacing w:before="240" w:after="0"/>
      <w:jc w:val="left"/>
    </w:pPr>
    <w:rPr>
      <w:rFonts w:asciiTheme="minorHAnsi" w:hAnsiTheme="minorHAnsi"/>
      <w:b/>
      <w:bCs/>
      <w:sz w:val="20"/>
      <w:szCs w:val="20"/>
    </w:rPr>
  </w:style>
  <w:style w:type="paragraph" w:styleId="Quote">
    <w:name w:val="Quote"/>
    <w:basedOn w:val="Normal"/>
    <w:link w:val="QuoteChar"/>
    <w:qFormat/>
    <w:rsid w:val="00B345E6"/>
    <w:rPr>
      <w:b/>
      <w:color w:val="286EB4"/>
      <w:szCs w:val="19"/>
    </w:rPr>
  </w:style>
  <w:style w:type="character" w:customStyle="1" w:styleId="QuoteChar">
    <w:name w:val="Quote Char"/>
    <w:link w:val="Quote"/>
    <w:locked/>
    <w:rsid w:val="008736F2"/>
    <w:rPr>
      <w:rFonts w:ascii="Arial" w:hAnsi="Arial" w:cs="Times New Roman"/>
      <w:b/>
      <w:color w:val="286EB4"/>
      <w:sz w:val="19"/>
      <w:szCs w:val="19"/>
      <w:lang w:val="x-none" w:eastAsia="en-US"/>
    </w:rPr>
  </w:style>
  <w:style w:type="paragraph" w:customStyle="1" w:styleId="Default">
    <w:name w:val="Default"/>
    <w:rsid w:val="00A97DF4"/>
    <w:pPr>
      <w:widowControl w:val="0"/>
      <w:autoSpaceDE w:val="0"/>
      <w:autoSpaceDN w:val="0"/>
      <w:adjustRightInd w:val="0"/>
    </w:pPr>
    <w:rPr>
      <w:rFonts w:ascii="Arial" w:hAnsi="Arial" w:cs="Arial"/>
      <w:color w:val="000000"/>
      <w:sz w:val="24"/>
      <w:szCs w:val="24"/>
      <w:lang w:val="en-US" w:eastAsia="en-US"/>
    </w:rPr>
  </w:style>
  <w:style w:type="paragraph" w:customStyle="1" w:styleId="Table-ColumnHeading">
    <w:name w:val="Table - Column Heading"/>
    <w:basedOn w:val="Default"/>
    <w:rsid w:val="00C322E8"/>
    <w:pPr>
      <w:tabs>
        <w:tab w:val="left" w:pos="205"/>
      </w:tabs>
    </w:pPr>
    <w:rPr>
      <w:b/>
      <w:bCs/>
      <w:color w:val="FFFFFF"/>
      <w:sz w:val="18"/>
      <w:szCs w:val="18"/>
    </w:rPr>
  </w:style>
  <w:style w:type="paragraph" w:styleId="Caption">
    <w:name w:val="caption"/>
    <w:basedOn w:val="Normal"/>
    <w:next w:val="Normal"/>
    <w:uiPriority w:val="35"/>
    <w:qFormat/>
    <w:rsid w:val="0025400C"/>
    <w:rPr>
      <w:b/>
      <w:bCs/>
      <w:color w:val="76923C" w:themeColor="accent3" w:themeShade="BF"/>
      <w:sz w:val="18"/>
      <w:szCs w:val="16"/>
    </w:rPr>
  </w:style>
  <w:style w:type="paragraph" w:customStyle="1" w:styleId="Table-Entry">
    <w:name w:val="Table - Entry"/>
    <w:basedOn w:val="Default"/>
    <w:rsid w:val="00C322E8"/>
    <w:pPr>
      <w:tabs>
        <w:tab w:val="left" w:pos="205"/>
      </w:tabs>
    </w:pPr>
    <w:rPr>
      <w:color w:val="737277"/>
      <w:sz w:val="18"/>
      <w:szCs w:val="18"/>
    </w:rPr>
  </w:style>
  <w:style w:type="paragraph" w:customStyle="1" w:styleId="Table-RowHeading">
    <w:name w:val="Table - Row Heading"/>
    <w:basedOn w:val="Default"/>
    <w:rsid w:val="00C322E8"/>
    <w:rPr>
      <w:color w:val="737277"/>
      <w:sz w:val="18"/>
      <w:szCs w:val="18"/>
    </w:rPr>
  </w:style>
  <w:style w:type="paragraph" w:customStyle="1" w:styleId="Source">
    <w:name w:val="Source"/>
    <w:basedOn w:val="Normal"/>
    <w:uiPriority w:val="99"/>
    <w:rsid w:val="007D5EE3"/>
    <w:pPr>
      <w:spacing w:after="0"/>
      <w:ind w:right="-142"/>
    </w:pPr>
    <w:rPr>
      <w:sz w:val="16"/>
      <w:szCs w:val="16"/>
    </w:rPr>
  </w:style>
  <w:style w:type="paragraph" w:customStyle="1" w:styleId="Spacer">
    <w:name w:val="Spacer"/>
    <w:basedOn w:val="Normal"/>
    <w:rsid w:val="005B48EA"/>
    <w:pPr>
      <w:spacing w:after="0" w:line="240" w:lineRule="auto"/>
    </w:pPr>
    <w:rPr>
      <w:sz w:val="6"/>
      <w:szCs w:val="6"/>
    </w:rPr>
  </w:style>
  <w:style w:type="paragraph" w:customStyle="1" w:styleId="TablePhoto">
    <w:name w:val="Table Photo"/>
    <w:basedOn w:val="Normal"/>
    <w:rsid w:val="00DF1B47"/>
    <w:pPr>
      <w:spacing w:after="0" w:line="240" w:lineRule="auto"/>
    </w:pPr>
  </w:style>
  <w:style w:type="paragraph" w:styleId="ListBullet2">
    <w:name w:val="List Bullet 2"/>
    <w:basedOn w:val="Normal"/>
    <w:rsid w:val="00D27344"/>
    <w:pPr>
      <w:tabs>
        <w:tab w:val="num" w:pos="340"/>
      </w:tabs>
      <w:spacing w:after="0"/>
      <w:ind w:left="340" w:hanging="170"/>
    </w:pPr>
  </w:style>
  <w:style w:type="paragraph" w:styleId="FootnoteText">
    <w:name w:val="footnote text"/>
    <w:basedOn w:val="Normal"/>
    <w:link w:val="FootnoteTextChar"/>
    <w:uiPriority w:val="99"/>
    <w:rsid w:val="008736F2"/>
    <w:rPr>
      <w:sz w:val="20"/>
      <w:szCs w:val="20"/>
    </w:rPr>
  </w:style>
  <w:style w:type="character" w:customStyle="1" w:styleId="FootnoteTextChar">
    <w:name w:val="Footnote Text Char"/>
    <w:link w:val="FootnoteText"/>
    <w:uiPriority w:val="99"/>
    <w:locked/>
    <w:rsid w:val="008736F2"/>
    <w:rPr>
      <w:rFonts w:ascii="Arial" w:hAnsi="Arial" w:cs="Times New Roman"/>
      <w:color w:val="747378"/>
      <w:lang w:val="x-none" w:eastAsia="en-US"/>
    </w:rPr>
  </w:style>
  <w:style w:type="character" w:styleId="FootnoteReference">
    <w:name w:val="footnote reference"/>
    <w:uiPriority w:val="99"/>
    <w:rsid w:val="008736F2"/>
    <w:rPr>
      <w:rFonts w:cs="Times New Roman"/>
      <w:vertAlign w:val="superscript"/>
    </w:rPr>
  </w:style>
  <w:style w:type="character" w:styleId="CommentReference">
    <w:name w:val="annotation reference"/>
    <w:rsid w:val="008736F2"/>
    <w:rPr>
      <w:rFonts w:cs="Times New Roman"/>
      <w:sz w:val="16"/>
      <w:szCs w:val="16"/>
    </w:rPr>
  </w:style>
  <w:style w:type="paragraph" w:styleId="CommentText">
    <w:name w:val="annotation text"/>
    <w:basedOn w:val="Normal"/>
    <w:link w:val="CommentTextChar"/>
    <w:rsid w:val="008736F2"/>
    <w:rPr>
      <w:sz w:val="20"/>
      <w:szCs w:val="20"/>
    </w:rPr>
  </w:style>
  <w:style w:type="character" w:customStyle="1" w:styleId="CommentTextChar">
    <w:name w:val="Comment Text Char"/>
    <w:link w:val="CommentText"/>
    <w:locked/>
    <w:rsid w:val="008736F2"/>
    <w:rPr>
      <w:rFonts w:ascii="Arial" w:hAnsi="Arial" w:cs="Times New Roman"/>
      <w:color w:val="747378"/>
      <w:lang w:val="x-none" w:eastAsia="en-US"/>
    </w:rPr>
  </w:style>
  <w:style w:type="paragraph" w:styleId="CommentSubject">
    <w:name w:val="annotation subject"/>
    <w:basedOn w:val="CommentText"/>
    <w:next w:val="CommentText"/>
    <w:link w:val="CommentSubjectChar"/>
    <w:rsid w:val="008736F2"/>
    <w:rPr>
      <w:b/>
      <w:bCs/>
    </w:rPr>
  </w:style>
  <w:style w:type="character" w:customStyle="1" w:styleId="CommentSubjectChar">
    <w:name w:val="Comment Subject Char"/>
    <w:link w:val="CommentSubject"/>
    <w:locked/>
    <w:rsid w:val="008736F2"/>
    <w:rPr>
      <w:rFonts w:ascii="Arial" w:hAnsi="Arial" w:cs="Times New Roman"/>
      <w:b/>
      <w:bCs/>
      <w:color w:val="747378"/>
      <w:lang w:val="x-none" w:eastAsia="en-US"/>
    </w:rPr>
  </w:style>
  <w:style w:type="paragraph" w:customStyle="1" w:styleId="Bulletlist">
    <w:name w:val="Bullet list"/>
    <w:basedOn w:val="Normal"/>
    <w:rsid w:val="008736F2"/>
    <w:pPr>
      <w:numPr>
        <w:numId w:val="3"/>
      </w:numPr>
      <w:autoSpaceDE w:val="0"/>
      <w:autoSpaceDN w:val="0"/>
      <w:adjustRightInd w:val="0"/>
      <w:spacing w:before="60" w:after="60" w:line="240" w:lineRule="auto"/>
    </w:pPr>
    <w:rPr>
      <w:rFonts w:cs="Arial"/>
      <w:color w:val="000000"/>
      <w:sz w:val="22"/>
      <w:szCs w:val="22"/>
      <w:lang w:eastAsia="en-AU"/>
    </w:rPr>
  </w:style>
  <w:style w:type="character" w:styleId="Hyperlink">
    <w:name w:val="Hyperlink"/>
    <w:rsid w:val="008736F2"/>
    <w:rPr>
      <w:rFonts w:cs="Times New Roman"/>
      <w:color w:val="0000FF"/>
      <w:u w:val="single"/>
    </w:rPr>
  </w:style>
  <w:style w:type="character" w:styleId="FollowedHyperlink">
    <w:name w:val="FollowedHyperlink"/>
    <w:rsid w:val="00E61FA4"/>
    <w:rPr>
      <w:rFonts w:cs="Times New Roman"/>
      <w:color w:val="800080"/>
      <w:u w:val="single"/>
    </w:rPr>
  </w:style>
  <w:style w:type="table" w:customStyle="1" w:styleId="LightShading-Accent11">
    <w:name w:val="Light Shading - Accent 11"/>
    <w:rsid w:val="00E61FA4"/>
    <w:rPr>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ListParagraph">
    <w:name w:val="List Paragraph"/>
    <w:basedOn w:val="Normal"/>
    <w:uiPriority w:val="34"/>
    <w:qFormat/>
    <w:rsid w:val="00636FAF"/>
    <w:pPr>
      <w:spacing w:after="200" w:line="276" w:lineRule="auto"/>
      <w:ind w:left="720"/>
      <w:jc w:val="left"/>
    </w:pPr>
    <w:rPr>
      <w:rFonts w:ascii="Calibri" w:hAnsi="Calibri"/>
      <w:sz w:val="22"/>
      <w:szCs w:val="22"/>
    </w:rPr>
  </w:style>
  <w:style w:type="paragraph" w:styleId="TOC4">
    <w:name w:val="toc 4"/>
    <w:basedOn w:val="Normal"/>
    <w:next w:val="Normal"/>
    <w:autoRedefine/>
    <w:uiPriority w:val="39"/>
    <w:locked/>
    <w:rsid w:val="00082ACB"/>
    <w:pPr>
      <w:spacing w:after="0"/>
      <w:ind w:left="380"/>
      <w:jc w:val="left"/>
    </w:pPr>
    <w:rPr>
      <w:rFonts w:asciiTheme="minorHAnsi" w:hAnsiTheme="minorHAnsi"/>
      <w:sz w:val="20"/>
      <w:szCs w:val="20"/>
    </w:rPr>
  </w:style>
  <w:style w:type="paragraph" w:styleId="TOC5">
    <w:name w:val="toc 5"/>
    <w:basedOn w:val="Normal"/>
    <w:next w:val="Normal"/>
    <w:autoRedefine/>
    <w:uiPriority w:val="39"/>
    <w:locked/>
    <w:rsid w:val="00082ACB"/>
    <w:pPr>
      <w:spacing w:after="0"/>
      <w:ind w:left="570"/>
      <w:jc w:val="left"/>
    </w:pPr>
    <w:rPr>
      <w:rFonts w:asciiTheme="minorHAnsi" w:hAnsiTheme="minorHAnsi"/>
      <w:sz w:val="20"/>
      <w:szCs w:val="20"/>
    </w:rPr>
  </w:style>
  <w:style w:type="paragraph" w:styleId="TOC6">
    <w:name w:val="toc 6"/>
    <w:basedOn w:val="Normal"/>
    <w:next w:val="Normal"/>
    <w:autoRedefine/>
    <w:uiPriority w:val="39"/>
    <w:locked/>
    <w:rsid w:val="00082ACB"/>
    <w:pPr>
      <w:spacing w:after="0"/>
      <w:ind w:left="760"/>
      <w:jc w:val="left"/>
    </w:pPr>
    <w:rPr>
      <w:rFonts w:asciiTheme="minorHAnsi" w:hAnsiTheme="minorHAnsi"/>
      <w:sz w:val="20"/>
      <w:szCs w:val="20"/>
    </w:rPr>
  </w:style>
  <w:style w:type="paragraph" w:styleId="TOC7">
    <w:name w:val="toc 7"/>
    <w:basedOn w:val="Normal"/>
    <w:next w:val="Normal"/>
    <w:autoRedefine/>
    <w:uiPriority w:val="39"/>
    <w:locked/>
    <w:rsid w:val="00082ACB"/>
    <w:pPr>
      <w:spacing w:after="0"/>
      <w:ind w:left="950"/>
      <w:jc w:val="left"/>
    </w:pPr>
    <w:rPr>
      <w:rFonts w:asciiTheme="minorHAnsi" w:hAnsiTheme="minorHAnsi"/>
      <w:sz w:val="20"/>
      <w:szCs w:val="20"/>
    </w:rPr>
  </w:style>
  <w:style w:type="paragraph" w:styleId="TOC8">
    <w:name w:val="toc 8"/>
    <w:basedOn w:val="Normal"/>
    <w:next w:val="Normal"/>
    <w:autoRedefine/>
    <w:uiPriority w:val="39"/>
    <w:locked/>
    <w:rsid w:val="00082ACB"/>
    <w:pPr>
      <w:spacing w:after="0"/>
      <w:ind w:left="1140"/>
      <w:jc w:val="left"/>
    </w:pPr>
    <w:rPr>
      <w:rFonts w:asciiTheme="minorHAnsi" w:hAnsiTheme="minorHAnsi"/>
      <w:sz w:val="20"/>
      <w:szCs w:val="20"/>
    </w:rPr>
  </w:style>
  <w:style w:type="paragraph" w:styleId="TOC9">
    <w:name w:val="toc 9"/>
    <w:basedOn w:val="Normal"/>
    <w:next w:val="Normal"/>
    <w:autoRedefine/>
    <w:uiPriority w:val="39"/>
    <w:locked/>
    <w:rsid w:val="00082ACB"/>
    <w:pPr>
      <w:spacing w:after="0"/>
      <w:ind w:left="1330"/>
      <w:jc w:val="left"/>
    </w:pPr>
    <w:rPr>
      <w:rFonts w:asciiTheme="minorHAnsi" w:hAnsiTheme="minorHAnsi"/>
      <w:sz w:val="20"/>
      <w:szCs w:val="20"/>
    </w:rPr>
  </w:style>
  <w:style w:type="table" w:customStyle="1" w:styleId="LightShading-Accent12">
    <w:name w:val="Light Shading - Accent 12"/>
    <w:rsid w:val="00397AF4"/>
    <w:rPr>
      <w:color w:val="365F91"/>
      <w:lang w:eastAsia="ko-K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eBoldWhiteAfter0ptLinespacingsingle">
    <w:name w:val="Style Bold White After:  0 pt Line spacing:  single"/>
    <w:basedOn w:val="Normal"/>
    <w:rsid w:val="00397AF4"/>
    <w:pPr>
      <w:spacing w:after="0" w:line="240" w:lineRule="auto"/>
      <w:jc w:val="left"/>
    </w:pPr>
    <w:rPr>
      <w:b/>
      <w:bCs/>
      <w:color w:val="286EB4"/>
      <w:szCs w:val="20"/>
    </w:rPr>
  </w:style>
  <w:style w:type="paragraph" w:styleId="ListNumber">
    <w:name w:val="List Number"/>
    <w:basedOn w:val="Normal"/>
    <w:locked/>
    <w:rsid w:val="00CD3E5E"/>
    <w:pPr>
      <w:numPr>
        <w:numId w:val="1"/>
      </w:numPr>
      <w:spacing w:after="0" w:line="240" w:lineRule="auto"/>
      <w:jc w:val="left"/>
    </w:pPr>
    <w:rPr>
      <w:rFonts w:cs="Arial"/>
      <w:sz w:val="24"/>
      <w:lang w:eastAsia="en-AU"/>
    </w:rPr>
  </w:style>
  <w:style w:type="paragraph" w:styleId="BodyText">
    <w:name w:val="Body Text"/>
    <w:basedOn w:val="ListNumber"/>
    <w:link w:val="BodyTextChar"/>
    <w:rsid w:val="000D002C"/>
    <w:pPr>
      <w:numPr>
        <w:numId w:val="0"/>
      </w:numPr>
      <w:tabs>
        <w:tab w:val="num" w:pos="680"/>
      </w:tabs>
      <w:spacing w:after="120"/>
    </w:pPr>
    <w:rPr>
      <w:lang w:eastAsia="en-US"/>
    </w:rPr>
  </w:style>
  <w:style w:type="character" w:customStyle="1" w:styleId="BodyTextChar">
    <w:name w:val="Body Text Char"/>
    <w:link w:val="BodyText"/>
    <w:locked/>
    <w:rsid w:val="008E0FFA"/>
    <w:rPr>
      <w:rFonts w:ascii="Arial" w:hAnsi="Arial" w:cs="Times New Roman"/>
      <w:color w:val="747378"/>
      <w:sz w:val="24"/>
      <w:szCs w:val="24"/>
      <w:lang w:val="x-none" w:eastAsia="en-US"/>
    </w:rPr>
  </w:style>
  <w:style w:type="character" w:customStyle="1" w:styleId="st1">
    <w:name w:val="st1"/>
    <w:basedOn w:val="DefaultParagraphFont"/>
    <w:rsid w:val="00FF6514"/>
  </w:style>
  <w:style w:type="character" w:customStyle="1" w:styleId="Heading2Char">
    <w:name w:val="Heading 2 Char"/>
    <w:locked/>
    <w:rsid w:val="00441483"/>
    <w:rPr>
      <w:rFonts w:ascii="Arial" w:hAnsi="Arial" w:cs="Arial"/>
      <w:bCs/>
      <w:iCs/>
      <w:color w:val="286EB4"/>
      <w:sz w:val="28"/>
      <w:szCs w:val="28"/>
      <w:lang w:val="en-AU" w:eastAsia="en-US" w:bidi="ar-SA"/>
    </w:rPr>
  </w:style>
  <w:style w:type="paragraph" w:customStyle="1" w:styleId="BriefDocParagraph">
    <w:name w:val="BriefDoc Paragraph"/>
    <w:basedOn w:val="Normal"/>
    <w:rsid w:val="00BA4D7A"/>
    <w:pPr>
      <w:numPr>
        <w:numId w:val="4"/>
      </w:numPr>
      <w:spacing w:after="0" w:line="240" w:lineRule="auto"/>
      <w:jc w:val="left"/>
    </w:pPr>
    <w:rPr>
      <w:rFonts w:ascii="Times New Roman" w:hAnsi="Times New Roman"/>
      <w:sz w:val="24"/>
      <w:szCs w:val="20"/>
    </w:rPr>
  </w:style>
  <w:style w:type="paragraph" w:customStyle="1" w:styleId="BoxText1">
    <w:name w:val="Box Text+1"/>
    <w:basedOn w:val="Default"/>
    <w:next w:val="Default"/>
    <w:uiPriority w:val="99"/>
    <w:rsid w:val="00F46CB4"/>
    <w:pPr>
      <w:widowControl/>
    </w:pPr>
    <w:rPr>
      <w:rFonts w:ascii="Garamond" w:eastAsia="Calibri" w:hAnsi="Garamond" w:cs="Times New Roman"/>
      <w:color w:val="auto"/>
      <w:lang w:val="en-AU"/>
    </w:rPr>
  </w:style>
  <w:style w:type="character" w:styleId="Strong">
    <w:name w:val="Strong"/>
    <w:basedOn w:val="DefaultParagraphFont"/>
    <w:qFormat/>
    <w:locked/>
    <w:rsid w:val="00651032"/>
    <w:rPr>
      <w:b/>
      <w:bCs/>
    </w:rPr>
  </w:style>
  <w:style w:type="character" w:styleId="Emphasis">
    <w:name w:val="Emphasis"/>
    <w:basedOn w:val="DefaultParagraphFont"/>
    <w:qFormat/>
    <w:locked/>
    <w:rsid w:val="00903D11"/>
    <w:rPr>
      <w:i/>
      <w:iCs/>
    </w:rPr>
  </w:style>
  <w:style w:type="numbering" w:customStyle="1" w:styleId="NoList1">
    <w:name w:val="No List1"/>
    <w:next w:val="NoList"/>
    <w:uiPriority w:val="99"/>
    <w:semiHidden/>
    <w:unhideWhenUsed/>
    <w:rsid w:val="00D758F5"/>
  </w:style>
  <w:style w:type="paragraph" w:styleId="NormalWeb">
    <w:name w:val="Normal (Web)"/>
    <w:basedOn w:val="Normal"/>
    <w:uiPriority w:val="99"/>
    <w:unhideWhenUsed/>
    <w:rsid w:val="00FE2839"/>
    <w:pPr>
      <w:spacing w:before="100" w:beforeAutospacing="1" w:after="100" w:afterAutospacing="1" w:line="240" w:lineRule="auto"/>
      <w:jc w:val="left"/>
    </w:pPr>
    <w:rPr>
      <w:rFonts w:ascii="Times New Roman" w:hAnsi="Times New Roman"/>
      <w:sz w:val="24"/>
      <w:lang w:eastAsia="en-AU"/>
    </w:rPr>
  </w:style>
  <w:style w:type="paragraph" w:styleId="PlainText">
    <w:name w:val="Plain Text"/>
    <w:basedOn w:val="Normal"/>
    <w:link w:val="PlainTextChar"/>
    <w:uiPriority w:val="99"/>
    <w:unhideWhenUsed/>
    <w:rsid w:val="005B1665"/>
    <w:pPr>
      <w:spacing w:after="0" w:line="240" w:lineRule="auto"/>
      <w:jc w:val="left"/>
    </w:pPr>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B1665"/>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21904404">
      <w:bodyDiv w:val="1"/>
      <w:marLeft w:val="0"/>
      <w:marRight w:val="0"/>
      <w:marTop w:val="0"/>
      <w:marBottom w:val="0"/>
      <w:divBdr>
        <w:top w:val="none" w:sz="0" w:space="0" w:color="auto"/>
        <w:left w:val="none" w:sz="0" w:space="0" w:color="auto"/>
        <w:bottom w:val="none" w:sz="0" w:space="0" w:color="auto"/>
        <w:right w:val="none" w:sz="0" w:space="0" w:color="auto"/>
      </w:divBdr>
    </w:div>
    <w:div w:id="26570624">
      <w:bodyDiv w:val="1"/>
      <w:marLeft w:val="0"/>
      <w:marRight w:val="0"/>
      <w:marTop w:val="0"/>
      <w:marBottom w:val="0"/>
      <w:divBdr>
        <w:top w:val="none" w:sz="0" w:space="0" w:color="auto"/>
        <w:left w:val="none" w:sz="0" w:space="0" w:color="auto"/>
        <w:bottom w:val="none" w:sz="0" w:space="0" w:color="auto"/>
        <w:right w:val="none" w:sz="0" w:space="0" w:color="auto"/>
      </w:divBdr>
    </w:div>
    <w:div w:id="27730252">
      <w:bodyDiv w:val="1"/>
      <w:marLeft w:val="0"/>
      <w:marRight w:val="0"/>
      <w:marTop w:val="0"/>
      <w:marBottom w:val="0"/>
      <w:divBdr>
        <w:top w:val="none" w:sz="0" w:space="0" w:color="auto"/>
        <w:left w:val="none" w:sz="0" w:space="0" w:color="auto"/>
        <w:bottom w:val="none" w:sz="0" w:space="0" w:color="auto"/>
        <w:right w:val="none" w:sz="0" w:space="0" w:color="auto"/>
      </w:divBdr>
    </w:div>
    <w:div w:id="36438446">
      <w:bodyDiv w:val="1"/>
      <w:marLeft w:val="0"/>
      <w:marRight w:val="0"/>
      <w:marTop w:val="0"/>
      <w:marBottom w:val="0"/>
      <w:divBdr>
        <w:top w:val="none" w:sz="0" w:space="0" w:color="auto"/>
        <w:left w:val="none" w:sz="0" w:space="0" w:color="auto"/>
        <w:bottom w:val="none" w:sz="0" w:space="0" w:color="auto"/>
        <w:right w:val="none" w:sz="0" w:space="0" w:color="auto"/>
      </w:divBdr>
    </w:div>
    <w:div w:id="42827368">
      <w:bodyDiv w:val="1"/>
      <w:marLeft w:val="0"/>
      <w:marRight w:val="0"/>
      <w:marTop w:val="0"/>
      <w:marBottom w:val="0"/>
      <w:divBdr>
        <w:top w:val="none" w:sz="0" w:space="0" w:color="auto"/>
        <w:left w:val="none" w:sz="0" w:space="0" w:color="auto"/>
        <w:bottom w:val="none" w:sz="0" w:space="0" w:color="auto"/>
        <w:right w:val="none" w:sz="0" w:space="0" w:color="auto"/>
      </w:divBdr>
    </w:div>
    <w:div w:id="49235849">
      <w:bodyDiv w:val="1"/>
      <w:marLeft w:val="0"/>
      <w:marRight w:val="0"/>
      <w:marTop w:val="0"/>
      <w:marBottom w:val="0"/>
      <w:divBdr>
        <w:top w:val="none" w:sz="0" w:space="0" w:color="auto"/>
        <w:left w:val="none" w:sz="0" w:space="0" w:color="auto"/>
        <w:bottom w:val="none" w:sz="0" w:space="0" w:color="auto"/>
        <w:right w:val="none" w:sz="0" w:space="0" w:color="auto"/>
      </w:divBdr>
    </w:div>
    <w:div w:id="50807158">
      <w:bodyDiv w:val="1"/>
      <w:marLeft w:val="0"/>
      <w:marRight w:val="0"/>
      <w:marTop w:val="0"/>
      <w:marBottom w:val="0"/>
      <w:divBdr>
        <w:top w:val="none" w:sz="0" w:space="0" w:color="auto"/>
        <w:left w:val="none" w:sz="0" w:space="0" w:color="auto"/>
        <w:bottom w:val="none" w:sz="0" w:space="0" w:color="auto"/>
        <w:right w:val="none" w:sz="0" w:space="0" w:color="auto"/>
      </w:divBdr>
    </w:div>
    <w:div w:id="55204213">
      <w:bodyDiv w:val="1"/>
      <w:marLeft w:val="0"/>
      <w:marRight w:val="0"/>
      <w:marTop w:val="0"/>
      <w:marBottom w:val="0"/>
      <w:divBdr>
        <w:top w:val="none" w:sz="0" w:space="0" w:color="auto"/>
        <w:left w:val="none" w:sz="0" w:space="0" w:color="auto"/>
        <w:bottom w:val="none" w:sz="0" w:space="0" w:color="auto"/>
        <w:right w:val="none" w:sz="0" w:space="0" w:color="auto"/>
      </w:divBdr>
    </w:div>
    <w:div w:id="56392931">
      <w:bodyDiv w:val="1"/>
      <w:marLeft w:val="0"/>
      <w:marRight w:val="0"/>
      <w:marTop w:val="0"/>
      <w:marBottom w:val="0"/>
      <w:divBdr>
        <w:top w:val="none" w:sz="0" w:space="0" w:color="auto"/>
        <w:left w:val="none" w:sz="0" w:space="0" w:color="auto"/>
        <w:bottom w:val="none" w:sz="0" w:space="0" w:color="auto"/>
        <w:right w:val="none" w:sz="0" w:space="0" w:color="auto"/>
      </w:divBdr>
    </w:div>
    <w:div w:id="91318267">
      <w:bodyDiv w:val="1"/>
      <w:marLeft w:val="0"/>
      <w:marRight w:val="0"/>
      <w:marTop w:val="0"/>
      <w:marBottom w:val="0"/>
      <w:divBdr>
        <w:top w:val="none" w:sz="0" w:space="0" w:color="auto"/>
        <w:left w:val="none" w:sz="0" w:space="0" w:color="auto"/>
        <w:bottom w:val="none" w:sz="0" w:space="0" w:color="auto"/>
        <w:right w:val="none" w:sz="0" w:space="0" w:color="auto"/>
      </w:divBdr>
    </w:div>
    <w:div w:id="92627430">
      <w:bodyDiv w:val="1"/>
      <w:marLeft w:val="0"/>
      <w:marRight w:val="0"/>
      <w:marTop w:val="0"/>
      <w:marBottom w:val="0"/>
      <w:divBdr>
        <w:top w:val="none" w:sz="0" w:space="0" w:color="auto"/>
        <w:left w:val="none" w:sz="0" w:space="0" w:color="auto"/>
        <w:bottom w:val="none" w:sz="0" w:space="0" w:color="auto"/>
        <w:right w:val="none" w:sz="0" w:space="0" w:color="auto"/>
      </w:divBdr>
      <w:divsChild>
        <w:div w:id="109709226">
          <w:marLeft w:val="1267"/>
          <w:marRight w:val="0"/>
          <w:marTop w:val="0"/>
          <w:marBottom w:val="0"/>
          <w:divBdr>
            <w:top w:val="none" w:sz="0" w:space="0" w:color="auto"/>
            <w:left w:val="none" w:sz="0" w:space="0" w:color="auto"/>
            <w:bottom w:val="none" w:sz="0" w:space="0" w:color="auto"/>
            <w:right w:val="none" w:sz="0" w:space="0" w:color="auto"/>
          </w:divBdr>
        </w:div>
      </w:divsChild>
    </w:div>
    <w:div w:id="110326984">
      <w:bodyDiv w:val="1"/>
      <w:marLeft w:val="0"/>
      <w:marRight w:val="0"/>
      <w:marTop w:val="0"/>
      <w:marBottom w:val="0"/>
      <w:divBdr>
        <w:top w:val="none" w:sz="0" w:space="0" w:color="auto"/>
        <w:left w:val="none" w:sz="0" w:space="0" w:color="auto"/>
        <w:bottom w:val="none" w:sz="0" w:space="0" w:color="auto"/>
        <w:right w:val="none" w:sz="0" w:space="0" w:color="auto"/>
      </w:divBdr>
    </w:div>
    <w:div w:id="129203174">
      <w:bodyDiv w:val="1"/>
      <w:marLeft w:val="0"/>
      <w:marRight w:val="0"/>
      <w:marTop w:val="0"/>
      <w:marBottom w:val="0"/>
      <w:divBdr>
        <w:top w:val="none" w:sz="0" w:space="0" w:color="auto"/>
        <w:left w:val="none" w:sz="0" w:space="0" w:color="auto"/>
        <w:bottom w:val="none" w:sz="0" w:space="0" w:color="auto"/>
        <w:right w:val="none" w:sz="0" w:space="0" w:color="auto"/>
      </w:divBdr>
    </w:div>
    <w:div w:id="138151111">
      <w:bodyDiv w:val="1"/>
      <w:marLeft w:val="0"/>
      <w:marRight w:val="0"/>
      <w:marTop w:val="0"/>
      <w:marBottom w:val="0"/>
      <w:divBdr>
        <w:top w:val="none" w:sz="0" w:space="0" w:color="auto"/>
        <w:left w:val="none" w:sz="0" w:space="0" w:color="auto"/>
        <w:bottom w:val="none" w:sz="0" w:space="0" w:color="auto"/>
        <w:right w:val="none" w:sz="0" w:space="0" w:color="auto"/>
      </w:divBdr>
    </w:div>
    <w:div w:id="149097227">
      <w:bodyDiv w:val="1"/>
      <w:marLeft w:val="0"/>
      <w:marRight w:val="0"/>
      <w:marTop w:val="0"/>
      <w:marBottom w:val="0"/>
      <w:divBdr>
        <w:top w:val="none" w:sz="0" w:space="0" w:color="auto"/>
        <w:left w:val="none" w:sz="0" w:space="0" w:color="auto"/>
        <w:bottom w:val="none" w:sz="0" w:space="0" w:color="auto"/>
        <w:right w:val="none" w:sz="0" w:space="0" w:color="auto"/>
      </w:divBdr>
    </w:div>
    <w:div w:id="170217169">
      <w:bodyDiv w:val="1"/>
      <w:marLeft w:val="0"/>
      <w:marRight w:val="0"/>
      <w:marTop w:val="0"/>
      <w:marBottom w:val="0"/>
      <w:divBdr>
        <w:top w:val="none" w:sz="0" w:space="0" w:color="auto"/>
        <w:left w:val="none" w:sz="0" w:space="0" w:color="auto"/>
        <w:bottom w:val="none" w:sz="0" w:space="0" w:color="auto"/>
        <w:right w:val="none" w:sz="0" w:space="0" w:color="auto"/>
      </w:divBdr>
    </w:div>
    <w:div w:id="171183019">
      <w:bodyDiv w:val="1"/>
      <w:marLeft w:val="0"/>
      <w:marRight w:val="0"/>
      <w:marTop w:val="0"/>
      <w:marBottom w:val="0"/>
      <w:divBdr>
        <w:top w:val="none" w:sz="0" w:space="0" w:color="auto"/>
        <w:left w:val="none" w:sz="0" w:space="0" w:color="auto"/>
        <w:bottom w:val="none" w:sz="0" w:space="0" w:color="auto"/>
        <w:right w:val="none" w:sz="0" w:space="0" w:color="auto"/>
      </w:divBdr>
    </w:div>
    <w:div w:id="174535627">
      <w:bodyDiv w:val="1"/>
      <w:marLeft w:val="0"/>
      <w:marRight w:val="0"/>
      <w:marTop w:val="0"/>
      <w:marBottom w:val="0"/>
      <w:divBdr>
        <w:top w:val="none" w:sz="0" w:space="0" w:color="auto"/>
        <w:left w:val="none" w:sz="0" w:space="0" w:color="auto"/>
        <w:bottom w:val="none" w:sz="0" w:space="0" w:color="auto"/>
        <w:right w:val="none" w:sz="0" w:space="0" w:color="auto"/>
      </w:divBdr>
    </w:div>
    <w:div w:id="177013797">
      <w:bodyDiv w:val="1"/>
      <w:marLeft w:val="0"/>
      <w:marRight w:val="0"/>
      <w:marTop w:val="0"/>
      <w:marBottom w:val="0"/>
      <w:divBdr>
        <w:top w:val="none" w:sz="0" w:space="0" w:color="auto"/>
        <w:left w:val="none" w:sz="0" w:space="0" w:color="auto"/>
        <w:bottom w:val="none" w:sz="0" w:space="0" w:color="auto"/>
        <w:right w:val="none" w:sz="0" w:space="0" w:color="auto"/>
      </w:divBdr>
    </w:div>
    <w:div w:id="183324215">
      <w:bodyDiv w:val="1"/>
      <w:marLeft w:val="0"/>
      <w:marRight w:val="0"/>
      <w:marTop w:val="0"/>
      <w:marBottom w:val="0"/>
      <w:divBdr>
        <w:top w:val="none" w:sz="0" w:space="0" w:color="auto"/>
        <w:left w:val="none" w:sz="0" w:space="0" w:color="auto"/>
        <w:bottom w:val="none" w:sz="0" w:space="0" w:color="auto"/>
        <w:right w:val="none" w:sz="0" w:space="0" w:color="auto"/>
      </w:divBdr>
    </w:div>
    <w:div w:id="197403017">
      <w:bodyDiv w:val="1"/>
      <w:marLeft w:val="0"/>
      <w:marRight w:val="0"/>
      <w:marTop w:val="0"/>
      <w:marBottom w:val="0"/>
      <w:divBdr>
        <w:top w:val="none" w:sz="0" w:space="0" w:color="auto"/>
        <w:left w:val="none" w:sz="0" w:space="0" w:color="auto"/>
        <w:bottom w:val="none" w:sz="0" w:space="0" w:color="auto"/>
        <w:right w:val="none" w:sz="0" w:space="0" w:color="auto"/>
      </w:divBdr>
    </w:div>
    <w:div w:id="203565357">
      <w:bodyDiv w:val="1"/>
      <w:marLeft w:val="0"/>
      <w:marRight w:val="0"/>
      <w:marTop w:val="0"/>
      <w:marBottom w:val="0"/>
      <w:divBdr>
        <w:top w:val="none" w:sz="0" w:space="0" w:color="auto"/>
        <w:left w:val="none" w:sz="0" w:space="0" w:color="auto"/>
        <w:bottom w:val="none" w:sz="0" w:space="0" w:color="auto"/>
        <w:right w:val="none" w:sz="0" w:space="0" w:color="auto"/>
      </w:divBdr>
    </w:div>
    <w:div w:id="217743070">
      <w:bodyDiv w:val="1"/>
      <w:marLeft w:val="0"/>
      <w:marRight w:val="0"/>
      <w:marTop w:val="0"/>
      <w:marBottom w:val="0"/>
      <w:divBdr>
        <w:top w:val="none" w:sz="0" w:space="0" w:color="auto"/>
        <w:left w:val="none" w:sz="0" w:space="0" w:color="auto"/>
        <w:bottom w:val="none" w:sz="0" w:space="0" w:color="auto"/>
        <w:right w:val="none" w:sz="0" w:space="0" w:color="auto"/>
      </w:divBdr>
    </w:div>
    <w:div w:id="218057435">
      <w:bodyDiv w:val="1"/>
      <w:marLeft w:val="0"/>
      <w:marRight w:val="0"/>
      <w:marTop w:val="0"/>
      <w:marBottom w:val="0"/>
      <w:divBdr>
        <w:top w:val="none" w:sz="0" w:space="0" w:color="auto"/>
        <w:left w:val="none" w:sz="0" w:space="0" w:color="auto"/>
        <w:bottom w:val="none" w:sz="0" w:space="0" w:color="auto"/>
        <w:right w:val="none" w:sz="0" w:space="0" w:color="auto"/>
      </w:divBdr>
    </w:div>
    <w:div w:id="219707477">
      <w:bodyDiv w:val="1"/>
      <w:marLeft w:val="0"/>
      <w:marRight w:val="0"/>
      <w:marTop w:val="0"/>
      <w:marBottom w:val="0"/>
      <w:divBdr>
        <w:top w:val="none" w:sz="0" w:space="0" w:color="auto"/>
        <w:left w:val="none" w:sz="0" w:space="0" w:color="auto"/>
        <w:bottom w:val="none" w:sz="0" w:space="0" w:color="auto"/>
        <w:right w:val="none" w:sz="0" w:space="0" w:color="auto"/>
      </w:divBdr>
      <w:divsChild>
        <w:div w:id="1226797114">
          <w:marLeft w:val="446"/>
          <w:marRight w:val="0"/>
          <w:marTop w:val="0"/>
          <w:marBottom w:val="0"/>
          <w:divBdr>
            <w:top w:val="none" w:sz="0" w:space="0" w:color="auto"/>
            <w:left w:val="none" w:sz="0" w:space="0" w:color="auto"/>
            <w:bottom w:val="none" w:sz="0" w:space="0" w:color="auto"/>
            <w:right w:val="none" w:sz="0" w:space="0" w:color="auto"/>
          </w:divBdr>
        </w:div>
        <w:div w:id="1218584735">
          <w:marLeft w:val="446"/>
          <w:marRight w:val="0"/>
          <w:marTop w:val="0"/>
          <w:marBottom w:val="0"/>
          <w:divBdr>
            <w:top w:val="none" w:sz="0" w:space="0" w:color="auto"/>
            <w:left w:val="none" w:sz="0" w:space="0" w:color="auto"/>
            <w:bottom w:val="none" w:sz="0" w:space="0" w:color="auto"/>
            <w:right w:val="none" w:sz="0" w:space="0" w:color="auto"/>
          </w:divBdr>
        </w:div>
      </w:divsChild>
    </w:div>
    <w:div w:id="222375310">
      <w:bodyDiv w:val="1"/>
      <w:marLeft w:val="0"/>
      <w:marRight w:val="0"/>
      <w:marTop w:val="0"/>
      <w:marBottom w:val="0"/>
      <w:divBdr>
        <w:top w:val="none" w:sz="0" w:space="0" w:color="auto"/>
        <w:left w:val="none" w:sz="0" w:space="0" w:color="auto"/>
        <w:bottom w:val="none" w:sz="0" w:space="0" w:color="auto"/>
        <w:right w:val="none" w:sz="0" w:space="0" w:color="auto"/>
      </w:divBdr>
    </w:div>
    <w:div w:id="233274282">
      <w:bodyDiv w:val="1"/>
      <w:marLeft w:val="0"/>
      <w:marRight w:val="0"/>
      <w:marTop w:val="0"/>
      <w:marBottom w:val="0"/>
      <w:divBdr>
        <w:top w:val="none" w:sz="0" w:space="0" w:color="auto"/>
        <w:left w:val="none" w:sz="0" w:space="0" w:color="auto"/>
        <w:bottom w:val="none" w:sz="0" w:space="0" w:color="auto"/>
        <w:right w:val="none" w:sz="0" w:space="0" w:color="auto"/>
      </w:divBdr>
    </w:div>
    <w:div w:id="236521437">
      <w:bodyDiv w:val="1"/>
      <w:marLeft w:val="0"/>
      <w:marRight w:val="0"/>
      <w:marTop w:val="0"/>
      <w:marBottom w:val="0"/>
      <w:divBdr>
        <w:top w:val="none" w:sz="0" w:space="0" w:color="auto"/>
        <w:left w:val="none" w:sz="0" w:space="0" w:color="auto"/>
        <w:bottom w:val="none" w:sz="0" w:space="0" w:color="auto"/>
        <w:right w:val="none" w:sz="0" w:space="0" w:color="auto"/>
      </w:divBdr>
    </w:div>
    <w:div w:id="259222998">
      <w:bodyDiv w:val="1"/>
      <w:marLeft w:val="0"/>
      <w:marRight w:val="0"/>
      <w:marTop w:val="0"/>
      <w:marBottom w:val="0"/>
      <w:divBdr>
        <w:top w:val="none" w:sz="0" w:space="0" w:color="auto"/>
        <w:left w:val="none" w:sz="0" w:space="0" w:color="auto"/>
        <w:bottom w:val="none" w:sz="0" w:space="0" w:color="auto"/>
        <w:right w:val="none" w:sz="0" w:space="0" w:color="auto"/>
      </w:divBdr>
    </w:div>
    <w:div w:id="269287667">
      <w:bodyDiv w:val="1"/>
      <w:marLeft w:val="0"/>
      <w:marRight w:val="0"/>
      <w:marTop w:val="0"/>
      <w:marBottom w:val="0"/>
      <w:divBdr>
        <w:top w:val="none" w:sz="0" w:space="0" w:color="auto"/>
        <w:left w:val="none" w:sz="0" w:space="0" w:color="auto"/>
        <w:bottom w:val="none" w:sz="0" w:space="0" w:color="auto"/>
        <w:right w:val="none" w:sz="0" w:space="0" w:color="auto"/>
      </w:divBdr>
    </w:div>
    <w:div w:id="276527857">
      <w:bodyDiv w:val="1"/>
      <w:marLeft w:val="0"/>
      <w:marRight w:val="0"/>
      <w:marTop w:val="0"/>
      <w:marBottom w:val="0"/>
      <w:divBdr>
        <w:top w:val="none" w:sz="0" w:space="0" w:color="auto"/>
        <w:left w:val="none" w:sz="0" w:space="0" w:color="auto"/>
        <w:bottom w:val="none" w:sz="0" w:space="0" w:color="auto"/>
        <w:right w:val="none" w:sz="0" w:space="0" w:color="auto"/>
      </w:divBdr>
    </w:div>
    <w:div w:id="299265708">
      <w:bodyDiv w:val="1"/>
      <w:marLeft w:val="0"/>
      <w:marRight w:val="0"/>
      <w:marTop w:val="0"/>
      <w:marBottom w:val="0"/>
      <w:divBdr>
        <w:top w:val="none" w:sz="0" w:space="0" w:color="auto"/>
        <w:left w:val="none" w:sz="0" w:space="0" w:color="auto"/>
        <w:bottom w:val="none" w:sz="0" w:space="0" w:color="auto"/>
        <w:right w:val="none" w:sz="0" w:space="0" w:color="auto"/>
      </w:divBdr>
    </w:div>
    <w:div w:id="315113224">
      <w:bodyDiv w:val="1"/>
      <w:marLeft w:val="0"/>
      <w:marRight w:val="0"/>
      <w:marTop w:val="0"/>
      <w:marBottom w:val="0"/>
      <w:divBdr>
        <w:top w:val="none" w:sz="0" w:space="0" w:color="auto"/>
        <w:left w:val="none" w:sz="0" w:space="0" w:color="auto"/>
        <w:bottom w:val="none" w:sz="0" w:space="0" w:color="auto"/>
        <w:right w:val="none" w:sz="0" w:space="0" w:color="auto"/>
      </w:divBdr>
    </w:div>
    <w:div w:id="348602351">
      <w:bodyDiv w:val="1"/>
      <w:marLeft w:val="0"/>
      <w:marRight w:val="0"/>
      <w:marTop w:val="0"/>
      <w:marBottom w:val="0"/>
      <w:divBdr>
        <w:top w:val="none" w:sz="0" w:space="0" w:color="auto"/>
        <w:left w:val="none" w:sz="0" w:space="0" w:color="auto"/>
        <w:bottom w:val="none" w:sz="0" w:space="0" w:color="auto"/>
        <w:right w:val="none" w:sz="0" w:space="0" w:color="auto"/>
      </w:divBdr>
    </w:div>
    <w:div w:id="353265717">
      <w:bodyDiv w:val="1"/>
      <w:marLeft w:val="0"/>
      <w:marRight w:val="0"/>
      <w:marTop w:val="0"/>
      <w:marBottom w:val="0"/>
      <w:divBdr>
        <w:top w:val="none" w:sz="0" w:space="0" w:color="auto"/>
        <w:left w:val="none" w:sz="0" w:space="0" w:color="auto"/>
        <w:bottom w:val="none" w:sz="0" w:space="0" w:color="auto"/>
        <w:right w:val="none" w:sz="0" w:space="0" w:color="auto"/>
      </w:divBdr>
    </w:div>
    <w:div w:id="368994135">
      <w:bodyDiv w:val="1"/>
      <w:marLeft w:val="0"/>
      <w:marRight w:val="0"/>
      <w:marTop w:val="0"/>
      <w:marBottom w:val="0"/>
      <w:divBdr>
        <w:top w:val="none" w:sz="0" w:space="0" w:color="auto"/>
        <w:left w:val="none" w:sz="0" w:space="0" w:color="auto"/>
        <w:bottom w:val="none" w:sz="0" w:space="0" w:color="auto"/>
        <w:right w:val="none" w:sz="0" w:space="0" w:color="auto"/>
      </w:divBdr>
    </w:div>
    <w:div w:id="386801642">
      <w:bodyDiv w:val="1"/>
      <w:marLeft w:val="0"/>
      <w:marRight w:val="0"/>
      <w:marTop w:val="0"/>
      <w:marBottom w:val="0"/>
      <w:divBdr>
        <w:top w:val="none" w:sz="0" w:space="0" w:color="auto"/>
        <w:left w:val="none" w:sz="0" w:space="0" w:color="auto"/>
        <w:bottom w:val="none" w:sz="0" w:space="0" w:color="auto"/>
        <w:right w:val="none" w:sz="0" w:space="0" w:color="auto"/>
      </w:divBdr>
    </w:div>
    <w:div w:id="393508241">
      <w:bodyDiv w:val="1"/>
      <w:marLeft w:val="0"/>
      <w:marRight w:val="0"/>
      <w:marTop w:val="0"/>
      <w:marBottom w:val="0"/>
      <w:divBdr>
        <w:top w:val="none" w:sz="0" w:space="0" w:color="auto"/>
        <w:left w:val="none" w:sz="0" w:space="0" w:color="auto"/>
        <w:bottom w:val="none" w:sz="0" w:space="0" w:color="auto"/>
        <w:right w:val="none" w:sz="0" w:space="0" w:color="auto"/>
      </w:divBdr>
    </w:div>
    <w:div w:id="394163375">
      <w:bodyDiv w:val="1"/>
      <w:marLeft w:val="0"/>
      <w:marRight w:val="0"/>
      <w:marTop w:val="0"/>
      <w:marBottom w:val="0"/>
      <w:divBdr>
        <w:top w:val="none" w:sz="0" w:space="0" w:color="auto"/>
        <w:left w:val="none" w:sz="0" w:space="0" w:color="auto"/>
        <w:bottom w:val="none" w:sz="0" w:space="0" w:color="auto"/>
        <w:right w:val="none" w:sz="0" w:space="0" w:color="auto"/>
      </w:divBdr>
    </w:div>
    <w:div w:id="409273470">
      <w:bodyDiv w:val="1"/>
      <w:marLeft w:val="0"/>
      <w:marRight w:val="0"/>
      <w:marTop w:val="0"/>
      <w:marBottom w:val="0"/>
      <w:divBdr>
        <w:top w:val="none" w:sz="0" w:space="0" w:color="auto"/>
        <w:left w:val="none" w:sz="0" w:space="0" w:color="auto"/>
        <w:bottom w:val="none" w:sz="0" w:space="0" w:color="auto"/>
        <w:right w:val="none" w:sz="0" w:space="0" w:color="auto"/>
      </w:divBdr>
    </w:div>
    <w:div w:id="409424578">
      <w:bodyDiv w:val="1"/>
      <w:marLeft w:val="0"/>
      <w:marRight w:val="0"/>
      <w:marTop w:val="0"/>
      <w:marBottom w:val="0"/>
      <w:divBdr>
        <w:top w:val="none" w:sz="0" w:space="0" w:color="auto"/>
        <w:left w:val="none" w:sz="0" w:space="0" w:color="auto"/>
        <w:bottom w:val="none" w:sz="0" w:space="0" w:color="auto"/>
        <w:right w:val="none" w:sz="0" w:space="0" w:color="auto"/>
      </w:divBdr>
    </w:div>
    <w:div w:id="424309034">
      <w:bodyDiv w:val="1"/>
      <w:marLeft w:val="0"/>
      <w:marRight w:val="0"/>
      <w:marTop w:val="0"/>
      <w:marBottom w:val="0"/>
      <w:divBdr>
        <w:top w:val="none" w:sz="0" w:space="0" w:color="auto"/>
        <w:left w:val="none" w:sz="0" w:space="0" w:color="auto"/>
        <w:bottom w:val="none" w:sz="0" w:space="0" w:color="auto"/>
        <w:right w:val="none" w:sz="0" w:space="0" w:color="auto"/>
      </w:divBdr>
    </w:div>
    <w:div w:id="440760507">
      <w:bodyDiv w:val="1"/>
      <w:marLeft w:val="0"/>
      <w:marRight w:val="0"/>
      <w:marTop w:val="0"/>
      <w:marBottom w:val="0"/>
      <w:divBdr>
        <w:top w:val="none" w:sz="0" w:space="0" w:color="auto"/>
        <w:left w:val="none" w:sz="0" w:space="0" w:color="auto"/>
        <w:bottom w:val="none" w:sz="0" w:space="0" w:color="auto"/>
        <w:right w:val="none" w:sz="0" w:space="0" w:color="auto"/>
      </w:divBdr>
    </w:div>
    <w:div w:id="472063878">
      <w:bodyDiv w:val="1"/>
      <w:marLeft w:val="0"/>
      <w:marRight w:val="0"/>
      <w:marTop w:val="0"/>
      <w:marBottom w:val="0"/>
      <w:divBdr>
        <w:top w:val="none" w:sz="0" w:space="0" w:color="auto"/>
        <w:left w:val="none" w:sz="0" w:space="0" w:color="auto"/>
        <w:bottom w:val="none" w:sz="0" w:space="0" w:color="auto"/>
        <w:right w:val="none" w:sz="0" w:space="0" w:color="auto"/>
      </w:divBdr>
    </w:div>
    <w:div w:id="495464738">
      <w:bodyDiv w:val="1"/>
      <w:marLeft w:val="0"/>
      <w:marRight w:val="0"/>
      <w:marTop w:val="0"/>
      <w:marBottom w:val="0"/>
      <w:divBdr>
        <w:top w:val="none" w:sz="0" w:space="0" w:color="auto"/>
        <w:left w:val="none" w:sz="0" w:space="0" w:color="auto"/>
        <w:bottom w:val="none" w:sz="0" w:space="0" w:color="auto"/>
        <w:right w:val="none" w:sz="0" w:space="0" w:color="auto"/>
      </w:divBdr>
    </w:div>
    <w:div w:id="502744800">
      <w:bodyDiv w:val="1"/>
      <w:marLeft w:val="0"/>
      <w:marRight w:val="0"/>
      <w:marTop w:val="0"/>
      <w:marBottom w:val="0"/>
      <w:divBdr>
        <w:top w:val="none" w:sz="0" w:space="0" w:color="auto"/>
        <w:left w:val="none" w:sz="0" w:space="0" w:color="auto"/>
        <w:bottom w:val="none" w:sz="0" w:space="0" w:color="auto"/>
        <w:right w:val="none" w:sz="0" w:space="0" w:color="auto"/>
      </w:divBdr>
    </w:div>
    <w:div w:id="521867757">
      <w:bodyDiv w:val="1"/>
      <w:marLeft w:val="0"/>
      <w:marRight w:val="0"/>
      <w:marTop w:val="0"/>
      <w:marBottom w:val="0"/>
      <w:divBdr>
        <w:top w:val="none" w:sz="0" w:space="0" w:color="auto"/>
        <w:left w:val="none" w:sz="0" w:space="0" w:color="auto"/>
        <w:bottom w:val="none" w:sz="0" w:space="0" w:color="auto"/>
        <w:right w:val="none" w:sz="0" w:space="0" w:color="auto"/>
      </w:divBdr>
    </w:div>
    <w:div w:id="552156090">
      <w:bodyDiv w:val="1"/>
      <w:marLeft w:val="0"/>
      <w:marRight w:val="0"/>
      <w:marTop w:val="0"/>
      <w:marBottom w:val="0"/>
      <w:divBdr>
        <w:top w:val="none" w:sz="0" w:space="0" w:color="auto"/>
        <w:left w:val="none" w:sz="0" w:space="0" w:color="auto"/>
        <w:bottom w:val="none" w:sz="0" w:space="0" w:color="auto"/>
        <w:right w:val="none" w:sz="0" w:space="0" w:color="auto"/>
      </w:divBdr>
    </w:div>
    <w:div w:id="556167868">
      <w:bodyDiv w:val="1"/>
      <w:marLeft w:val="0"/>
      <w:marRight w:val="0"/>
      <w:marTop w:val="0"/>
      <w:marBottom w:val="0"/>
      <w:divBdr>
        <w:top w:val="none" w:sz="0" w:space="0" w:color="auto"/>
        <w:left w:val="none" w:sz="0" w:space="0" w:color="auto"/>
        <w:bottom w:val="none" w:sz="0" w:space="0" w:color="auto"/>
        <w:right w:val="none" w:sz="0" w:space="0" w:color="auto"/>
      </w:divBdr>
    </w:div>
    <w:div w:id="580019016">
      <w:bodyDiv w:val="1"/>
      <w:marLeft w:val="0"/>
      <w:marRight w:val="0"/>
      <w:marTop w:val="0"/>
      <w:marBottom w:val="0"/>
      <w:divBdr>
        <w:top w:val="none" w:sz="0" w:space="0" w:color="auto"/>
        <w:left w:val="none" w:sz="0" w:space="0" w:color="auto"/>
        <w:bottom w:val="none" w:sz="0" w:space="0" w:color="auto"/>
        <w:right w:val="none" w:sz="0" w:space="0" w:color="auto"/>
      </w:divBdr>
    </w:div>
    <w:div w:id="595985880">
      <w:bodyDiv w:val="1"/>
      <w:marLeft w:val="0"/>
      <w:marRight w:val="0"/>
      <w:marTop w:val="0"/>
      <w:marBottom w:val="0"/>
      <w:divBdr>
        <w:top w:val="none" w:sz="0" w:space="0" w:color="auto"/>
        <w:left w:val="none" w:sz="0" w:space="0" w:color="auto"/>
        <w:bottom w:val="none" w:sz="0" w:space="0" w:color="auto"/>
        <w:right w:val="none" w:sz="0" w:space="0" w:color="auto"/>
      </w:divBdr>
    </w:div>
    <w:div w:id="599140166">
      <w:bodyDiv w:val="1"/>
      <w:marLeft w:val="0"/>
      <w:marRight w:val="0"/>
      <w:marTop w:val="0"/>
      <w:marBottom w:val="0"/>
      <w:divBdr>
        <w:top w:val="none" w:sz="0" w:space="0" w:color="auto"/>
        <w:left w:val="none" w:sz="0" w:space="0" w:color="auto"/>
        <w:bottom w:val="none" w:sz="0" w:space="0" w:color="auto"/>
        <w:right w:val="none" w:sz="0" w:space="0" w:color="auto"/>
      </w:divBdr>
    </w:div>
    <w:div w:id="602231731">
      <w:bodyDiv w:val="1"/>
      <w:marLeft w:val="0"/>
      <w:marRight w:val="0"/>
      <w:marTop w:val="0"/>
      <w:marBottom w:val="0"/>
      <w:divBdr>
        <w:top w:val="none" w:sz="0" w:space="0" w:color="auto"/>
        <w:left w:val="none" w:sz="0" w:space="0" w:color="auto"/>
        <w:bottom w:val="none" w:sz="0" w:space="0" w:color="auto"/>
        <w:right w:val="none" w:sz="0" w:space="0" w:color="auto"/>
      </w:divBdr>
    </w:div>
    <w:div w:id="604191723">
      <w:bodyDiv w:val="1"/>
      <w:marLeft w:val="0"/>
      <w:marRight w:val="0"/>
      <w:marTop w:val="0"/>
      <w:marBottom w:val="0"/>
      <w:divBdr>
        <w:top w:val="none" w:sz="0" w:space="0" w:color="auto"/>
        <w:left w:val="none" w:sz="0" w:space="0" w:color="auto"/>
        <w:bottom w:val="none" w:sz="0" w:space="0" w:color="auto"/>
        <w:right w:val="none" w:sz="0" w:space="0" w:color="auto"/>
      </w:divBdr>
    </w:div>
    <w:div w:id="606499992">
      <w:bodyDiv w:val="1"/>
      <w:marLeft w:val="0"/>
      <w:marRight w:val="0"/>
      <w:marTop w:val="0"/>
      <w:marBottom w:val="0"/>
      <w:divBdr>
        <w:top w:val="none" w:sz="0" w:space="0" w:color="auto"/>
        <w:left w:val="none" w:sz="0" w:space="0" w:color="auto"/>
        <w:bottom w:val="none" w:sz="0" w:space="0" w:color="auto"/>
        <w:right w:val="none" w:sz="0" w:space="0" w:color="auto"/>
      </w:divBdr>
      <w:divsChild>
        <w:div w:id="515123521">
          <w:marLeft w:val="446"/>
          <w:marRight w:val="0"/>
          <w:marTop w:val="0"/>
          <w:marBottom w:val="0"/>
          <w:divBdr>
            <w:top w:val="none" w:sz="0" w:space="0" w:color="auto"/>
            <w:left w:val="none" w:sz="0" w:space="0" w:color="auto"/>
            <w:bottom w:val="none" w:sz="0" w:space="0" w:color="auto"/>
            <w:right w:val="none" w:sz="0" w:space="0" w:color="auto"/>
          </w:divBdr>
        </w:div>
        <w:div w:id="1236936774">
          <w:marLeft w:val="446"/>
          <w:marRight w:val="0"/>
          <w:marTop w:val="0"/>
          <w:marBottom w:val="0"/>
          <w:divBdr>
            <w:top w:val="none" w:sz="0" w:space="0" w:color="auto"/>
            <w:left w:val="none" w:sz="0" w:space="0" w:color="auto"/>
            <w:bottom w:val="none" w:sz="0" w:space="0" w:color="auto"/>
            <w:right w:val="none" w:sz="0" w:space="0" w:color="auto"/>
          </w:divBdr>
        </w:div>
      </w:divsChild>
    </w:div>
    <w:div w:id="637954967">
      <w:bodyDiv w:val="1"/>
      <w:marLeft w:val="0"/>
      <w:marRight w:val="0"/>
      <w:marTop w:val="0"/>
      <w:marBottom w:val="0"/>
      <w:divBdr>
        <w:top w:val="none" w:sz="0" w:space="0" w:color="auto"/>
        <w:left w:val="none" w:sz="0" w:space="0" w:color="auto"/>
        <w:bottom w:val="none" w:sz="0" w:space="0" w:color="auto"/>
        <w:right w:val="none" w:sz="0" w:space="0" w:color="auto"/>
      </w:divBdr>
    </w:div>
    <w:div w:id="640577684">
      <w:bodyDiv w:val="1"/>
      <w:marLeft w:val="0"/>
      <w:marRight w:val="0"/>
      <w:marTop w:val="0"/>
      <w:marBottom w:val="0"/>
      <w:divBdr>
        <w:top w:val="none" w:sz="0" w:space="0" w:color="auto"/>
        <w:left w:val="none" w:sz="0" w:space="0" w:color="auto"/>
        <w:bottom w:val="none" w:sz="0" w:space="0" w:color="auto"/>
        <w:right w:val="none" w:sz="0" w:space="0" w:color="auto"/>
      </w:divBdr>
    </w:div>
    <w:div w:id="644504840">
      <w:bodyDiv w:val="1"/>
      <w:marLeft w:val="0"/>
      <w:marRight w:val="0"/>
      <w:marTop w:val="0"/>
      <w:marBottom w:val="0"/>
      <w:divBdr>
        <w:top w:val="none" w:sz="0" w:space="0" w:color="auto"/>
        <w:left w:val="none" w:sz="0" w:space="0" w:color="auto"/>
        <w:bottom w:val="none" w:sz="0" w:space="0" w:color="auto"/>
        <w:right w:val="none" w:sz="0" w:space="0" w:color="auto"/>
      </w:divBdr>
    </w:div>
    <w:div w:id="645471501">
      <w:bodyDiv w:val="1"/>
      <w:marLeft w:val="0"/>
      <w:marRight w:val="0"/>
      <w:marTop w:val="0"/>
      <w:marBottom w:val="0"/>
      <w:divBdr>
        <w:top w:val="none" w:sz="0" w:space="0" w:color="auto"/>
        <w:left w:val="none" w:sz="0" w:space="0" w:color="auto"/>
        <w:bottom w:val="none" w:sz="0" w:space="0" w:color="auto"/>
        <w:right w:val="none" w:sz="0" w:space="0" w:color="auto"/>
      </w:divBdr>
    </w:div>
    <w:div w:id="649017042">
      <w:bodyDiv w:val="1"/>
      <w:marLeft w:val="0"/>
      <w:marRight w:val="0"/>
      <w:marTop w:val="0"/>
      <w:marBottom w:val="0"/>
      <w:divBdr>
        <w:top w:val="none" w:sz="0" w:space="0" w:color="auto"/>
        <w:left w:val="none" w:sz="0" w:space="0" w:color="auto"/>
        <w:bottom w:val="none" w:sz="0" w:space="0" w:color="auto"/>
        <w:right w:val="none" w:sz="0" w:space="0" w:color="auto"/>
      </w:divBdr>
    </w:div>
    <w:div w:id="651831700">
      <w:bodyDiv w:val="1"/>
      <w:marLeft w:val="0"/>
      <w:marRight w:val="0"/>
      <w:marTop w:val="0"/>
      <w:marBottom w:val="0"/>
      <w:divBdr>
        <w:top w:val="none" w:sz="0" w:space="0" w:color="auto"/>
        <w:left w:val="none" w:sz="0" w:space="0" w:color="auto"/>
        <w:bottom w:val="none" w:sz="0" w:space="0" w:color="auto"/>
        <w:right w:val="none" w:sz="0" w:space="0" w:color="auto"/>
      </w:divBdr>
    </w:div>
    <w:div w:id="653874746">
      <w:bodyDiv w:val="1"/>
      <w:marLeft w:val="0"/>
      <w:marRight w:val="0"/>
      <w:marTop w:val="0"/>
      <w:marBottom w:val="0"/>
      <w:divBdr>
        <w:top w:val="none" w:sz="0" w:space="0" w:color="auto"/>
        <w:left w:val="none" w:sz="0" w:space="0" w:color="auto"/>
        <w:bottom w:val="none" w:sz="0" w:space="0" w:color="auto"/>
        <w:right w:val="none" w:sz="0" w:space="0" w:color="auto"/>
      </w:divBdr>
    </w:div>
    <w:div w:id="659038782">
      <w:bodyDiv w:val="1"/>
      <w:marLeft w:val="0"/>
      <w:marRight w:val="0"/>
      <w:marTop w:val="0"/>
      <w:marBottom w:val="0"/>
      <w:divBdr>
        <w:top w:val="none" w:sz="0" w:space="0" w:color="auto"/>
        <w:left w:val="none" w:sz="0" w:space="0" w:color="auto"/>
        <w:bottom w:val="none" w:sz="0" w:space="0" w:color="auto"/>
        <w:right w:val="none" w:sz="0" w:space="0" w:color="auto"/>
      </w:divBdr>
    </w:div>
    <w:div w:id="662246970">
      <w:bodyDiv w:val="1"/>
      <w:marLeft w:val="0"/>
      <w:marRight w:val="0"/>
      <w:marTop w:val="0"/>
      <w:marBottom w:val="0"/>
      <w:divBdr>
        <w:top w:val="none" w:sz="0" w:space="0" w:color="auto"/>
        <w:left w:val="none" w:sz="0" w:space="0" w:color="auto"/>
        <w:bottom w:val="none" w:sz="0" w:space="0" w:color="auto"/>
        <w:right w:val="none" w:sz="0" w:space="0" w:color="auto"/>
      </w:divBdr>
    </w:div>
    <w:div w:id="673610285">
      <w:bodyDiv w:val="1"/>
      <w:marLeft w:val="0"/>
      <w:marRight w:val="0"/>
      <w:marTop w:val="0"/>
      <w:marBottom w:val="0"/>
      <w:divBdr>
        <w:top w:val="none" w:sz="0" w:space="0" w:color="auto"/>
        <w:left w:val="none" w:sz="0" w:space="0" w:color="auto"/>
        <w:bottom w:val="none" w:sz="0" w:space="0" w:color="auto"/>
        <w:right w:val="none" w:sz="0" w:space="0" w:color="auto"/>
      </w:divBdr>
    </w:div>
    <w:div w:id="676155423">
      <w:bodyDiv w:val="1"/>
      <w:marLeft w:val="0"/>
      <w:marRight w:val="0"/>
      <w:marTop w:val="0"/>
      <w:marBottom w:val="0"/>
      <w:divBdr>
        <w:top w:val="none" w:sz="0" w:space="0" w:color="auto"/>
        <w:left w:val="none" w:sz="0" w:space="0" w:color="auto"/>
        <w:bottom w:val="none" w:sz="0" w:space="0" w:color="auto"/>
        <w:right w:val="none" w:sz="0" w:space="0" w:color="auto"/>
      </w:divBdr>
    </w:div>
    <w:div w:id="676271076">
      <w:bodyDiv w:val="1"/>
      <w:marLeft w:val="0"/>
      <w:marRight w:val="0"/>
      <w:marTop w:val="0"/>
      <w:marBottom w:val="0"/>
      <w:divBdr>
        <w:top w:val="none" w:sz="0" w:space="0" w:color="auto"/>
        <w:left w:val="none" w:sz="0" w:space="0" w:color="auto"/>
        <w:bottom w:val="none" w:sz="0" w:space="0" w:color="auto"/>
        <w:right w:val="none" w:sz="0" w:space="0" w:color="auto"/>
      </w:divBdr>
    </w:div>
    <w:div w:id="692077260">
      <w:bodyDiv w:val="1"/>
      <w:marLeft w:val="0"/>
      <w:marRight w:val="0"/>
      <w:marTop w:val="0"/>
      <w:marBottom w:val="0"/>
      <w:divBdr>
        <w:top w:val="none" w:sz="0" w:space="0" w:color="auto"/>
        <w:left w:val="none" w:sz="0" w:space="0" w:color="auto"/>
        <w:bottom w:val="none" w:sz="0" w:space="0" w:color="auto"/>
        <w:right w:val="none" w:sz="0" w:space="0" w:color="auto"/>
      </w:divBdr>
    </w:div>
    <w:div w:id="722212742">
      <w:bodyDiv w:val="1"/>
      <w:marLeft w:val="0"/>
      <w:marRight w:val="0"/>
      <w:marTop w:val="0"/>
      <w:marBottom w:val="0"/>
      <w:divBdr>
        <w:top w:val="none" w:sz="0" w:space="0" w:color="auto"/>
        <w:left w:val="none" w:sz="0" w:space="0" w:color="auto"/>
        <w:bottom w:val="none" w:sz="0" w:space="0" w:color="auto"/>
        <w:right w:val="none" w:sz="0" w:space="0" w:color="auto"/>
      </w:divBdr>
    </w:div>
    <w:div w:id="727220100">
      <w:bodyDiv w:val="1"/>
      <w:marLeft w:val="0"/>
      <w:marRight w:val="0"/>
      <w:marTop w:val="0"/>
      <w:marBottom w:val="0"/>
      <w:divBdr>
        <w:top w:val="none" w:sz="0" w:space="0" w:color="auto"/>
        <w:left w:val="none" w:sz="0" w:space="0" w:color="auto"/>
        <w:bottom w:val="none" w:sz="0" w:space="0" w:color="auto"/>
        <w:right w:val="none" w:sz="0" w:space="0" w:color="auto"/>
      </w:divBdr>
    </w:div>
    <w:div w:id="739644716">
      <w:bodyDiv w:val="1"/>
      <w:marLeft w:val="0"/>
      <w:marRight w:val="0"/>
      <w:marTop w:val="0"/>
      <w:marBottom w:val="0"/>
      <w:divBdr>
        <w:top w:val="none" w:sz="0" w:space="0" w:color="auto"/>
        <w:left w:val="none" w:sz="0" w:space="0" w:color="auto"/>
        <w:bottom w:val="none" w:sz="0" w:space="0" w:color="auto"/>
        <w:right w:val="none" w:sz="0" w:space="0" w:color="auto"/>
      </w:divBdr>
    </w:div>
    <w:div w:id="750392587">
      <w:bodyDiv w:val="1"/>
      <w:marLeft w:val="0"/>
      <w:marRight w:val="0"/>
      <w:marTop w:val="0"/>
      <w:marBottom w:val="0"/>
      <w:divBdr>
        <w:top w:val="none" w:sz="0" w:space="0" w:color="auto"/>
        <w:left w:val="none" w:sz="0" w:space="0" w:color="auto"/>
        <w:bottom w:val="none" w:sz="0" w:space="0" w:color="auto"/>
        <w:right w:val="none" w:sz="0" w:space="0" w:color="auto"/>
      </w:divBdr>
    </w:div>
    <w:div w:id="753824108">
      <w:bodyDiv w:val="1"/>
      <w:marLeft w:val="0"/>
      <w:marRight w:val="0"/>
      <w:marTop w:val="0"/>
      <w:marBottom w:val="0"/>
      <w:divBdr>
        <w:top w:val="none" w:sz="0" w:space="0" w:color="auto"/>
        <w:left w:val="none" w:sz="0" w:space="0" w:color="auto"/>
        <w:bottom w:val="none" w:sz="0" w:space="0" w:color="auto"/>
        <w:right w:val="none" w:sz="0" w:space="0" w:color="auto"/>
      </w:divBdr>
    </w:div>
    <w:div w:id="756632768">
      <w:bodyDiv w:val="1"/>
      <w:marLeft w:val="0"/>
      <w:marRight w:val="0"/>
      <w:marTop w:val="0"/>
      <w:marBottom w:val="0"/>
      <w:divBdr>
        <w:top w:val="none" w:sz="0" w:space="0" w:color="auto"/>
        <w:left w:val="none" w:sz="0" w:space="0" w:color="auto"/>
        <w:bottom w:val="none" w:sz="0" w:space="0" w:color="auto"/>
        <w:right w:val="none" w:sz="0" w:space="0" w:color="auto"/>
      </w:divBdr>
    </w:div>
    <w:div w:id="756708944">
      <w:bodyDiv w:val="1"/>
      <w:marLeft w:val="0"/>
      <w:marRight w:val="0"/>
      <w:marTop w:val="0"/>
      <w:marBottom w:val="0"/>
      <w:divBdr>
        <w:top w:val="none" w:sz="0" w:space="0" w:color="auto"/>
        <w:left w:val="none" w:sz="0" w:space="0" w:color="auto"/>
        <w:bottom w:val="none" w:sz="0" w:space="0" w:color="auto"/>
        <w:right w:val="none" w:sz="0" w:space="0" w:color="auto"/>
      </w:divBdr>
    </w:div>
    <w:div w:id="766192232">
      <w:bodyDiv w:val="1"/>
      <w:marLeft w:val="0"/>
      <w:marRight w:val="0"/>
      <w:marTop w:val="0"/>
      <w:marBottom w:val="0"/>
      <w:divBdr>
        <w:top w:val="none" w:sz="0" w:space="0" w:color="auto"/>
        <w:left w:val="none" w:sz="0" w:space="0" w:color="auto"/>
        <w:bottom w:val="none" w:sz="0" w:space="0" w:color="auto"/>
        <w:right w:val="none" w:sz="0" w:space="0" w:color="auto"/>
      </w:divBdr>
    </w:div>
    <w:div w:id="787311020">
      <w:bodyDiv w:val="1"/>
      <w:marLeft w:val="0"/>
      <w:marRight w:val="0"/>
      <w:marTop w:val="0"/>
      <w:marBottom w:val="0"/>
      <w:divBdr>
        <w:top w:val="none" w:sz="0" w:space="0" w:color="auto"/>
        <w:left w:val="none" w:sz="0" w:space="0" w:color="auto"/>
        <w:bottom w:val="none" w:sz="0" w:space="0" w:color="auto"/>
        <w:right w:val="none" w:sz="0" w:space="0" w:color="auto"/>
      </w:divBdr>
    </w:div>
    <w:div w:id="801772528">
      <w:bodyDiv w:val="1"/>
      <w:marLeft w:val="0"/>
      <w:marRight w:val="0"/>
      <w:marTop w:val="0"/>
      <w:marBottom w:val="0"/>
      <w:divBdr>
        <w:top w:val="none" w:sz="0" w:space="0" w:color="auto"/>
        <w:left w:val="none" w:sz="0" w:space="0" w:color="auto"/>
        <w:bottom w:val="none" w:sz="0" w:space="0" w:color="auto"/>
        <w:right w:val="none" w:sz="0" w:space="0" w:color="auto"/>
      </w:divBdr>
    </w:div>
    <w:div w:id="833494912">
      <w:bodyDiv w:val="1"/>
      <w:marLeft w:val="0"/>
      <w:marRight w:val="0"/>
      <w:marTop w:val="0"/>
      <w:marBottom w:val="0"/>
      <w:divBdr>
        <w:top w:val="none" w:sz="0" w:space="0" w:color="auto"/>
        <w:left w:val="none" w:sz="0" w:space="0" w:color="auto"/>
        <w:bottom w:val="none" w:sz="0" w:space="0" w:color="auto"/>
        <w:right w:val="none" w:sz="0" w:space="0" w:color="auto"/>
      </w:divBdr>
    </w:div>
    <w:div w:id="868103619">
      <w:bodyDiv w:val="1"/>
      <w:marLeft w:val="0"/>
      <w:marRight w:val="0"/>
      <w:marTop w:val="0"/>
      <w:marBottom w:val="0"/>
      <w:divBdr>
        <w:top w:val="none" w:sz="0" w:space="0" w:color="auto"/>
        <w:left w:val="none" w:sz="0" w:space="0" w:color="auto"/>
        <w:bottom w:val="none" w:sz="0" w:space="0" w:color="auto"/>
        <w:right w:val="none" w:sz="0" w:space="0" w:color="auto"/>
      </w:divBdr>
    </w:div>
    <w:div w:id="874385238">
      <w:bodyDiv w:val="1"/>
      <w:marLeft w:val="0"/>
      <w:marRight w:val="0"/>
      <w:marTop w:val="0"/>
      <w:marBottom w:val="0"/>
      <w:divBdr>
        <w:top w:val="none" w:sz="0" w:space="0" w:color="auto"/>
        <w:left w:val="none" w:sz="0" w:space="0" w:color="auto"/>
        <w:bottom w:val="none" w:sz="0" w:space="0" w:color="auto"/>
        <w:right w:val="none" w:sz="0" w:space="0" w:color="auto"/>
      </w:divBdr>
    </w:div>
    <w:div w:id="878131765">
      <w:bodyDiv w:val="1"/>
      <w:marLeft w:val="0"/>
      <w:marRight w:val="0"/>
      <w:marTop w:val="0"/>
      <w:marBottom w:val="0"/>
      <w:divBdr>
        <w:top w:val="none" w:sz="0" w:space="0" w:color="auto"/>
        <w:left w:val="none" w:sz="0" w:space="0" w:color="auto"/>
        <w:bottom w:val="none" w:sz="0" w:space="0" w:color="auto"/>
        <w:right w:val="none" w:sz="0" w:space="0" w:color="auto"/>
      </w:divBdr>
    </w:div>
    <w:div w:id="880482552">
      <w:bodyDiv w:val="1"/>
      <w:marLeft w:val="0"/>
      <w:marRight w:val="0"/>
      <w:marTop w:val="0"/>
      <w:marBottom w:val="0"/>
      <w:divBdr>
        <w:top w:val="none" w:sz="0" w:space="0" w:color="auto"/>
        <w:left w:val="none" w:sz="0" w:space="0" w:color="auto"/>
        <w:bottom w:val="none" w:sz="0" w:space="0" w:color="auto"/>
        <w:right w:val="none" w:sz="0" w:space="0" w:color="auto"/>
      </w:divBdr>
    </w:div>
    <w:div w:id="885292793">
      <w:bodyDiv w:val="1"/>
      <w:marLeft w:val="0"/>
      <w:marRight w:val="0"/>
      <w:marTop w:val="0"/>
      <w:marBottom w:val="0"/>
      <w:divBdr>
        <w:top w:val="none" w:sz="0" w:space="0" w:color="auto"/>
        <w:left w:val="none" w:sz="0" w:space="0" w:color="auto"/>
        <w:bottom w:val="none" w:sz="0" w:space="0" w:color="auto"/>
        <w:right w:val="none" w:sz="0" w:space="0" w:color="auto"/>
      </w:divBdr>
    </w:div>
    <w:div w:id="894199350">
      <w:bodyDiv w:val="1"/>
      <w:marLeft w:val="0"/>
      <w:marRight w:val="0"/>
      <w:marTop w:val="0"/>
      <w:marBottom w:val="0"/>
      <w:divBdr>
        <w:top w:val="none" w:sz="0" w:space="0" w:color="auto"/>
        <w:left w:val="none" w:sz="0" w:space="0" w:color="auto"/>
        <w:bottom w:val="none" w:sz="0" w:space="0" w:color="auto"/>
        <w:right w:val="none" w:sz="0" w:space="0" w:color="auto"/>
      </w:divBdr>
    </w:div>
    <w:div w:id="900486687">
      <w:bodyDiv w:val="1"/>
      <w:marLeft w:val="0"/>
      <w:marRight w:val="0"/>
      <w:marTop w:val="0"/>
      <w:marBottom w:val="0"/>
      <w:divBdr>
        <w:top w:val="none" w:sz="0" w:space="0" w:color="auto"/>
        <w:left w:val="none" w:sz="0" w:space="0" w:color="auto"/>
        <w:bottom w:val="none" w:sz="0" w:space="0" w:color="auto"/>
        <w:right w:val="none" w:sz="0" w:space="0" w:color="auto"/>
      </w:divBdr>
    </w:div>
    <w:div w:id="907227551">
      <w:bodyDiv w:val="1"/>
      <w:marLeft w:val="0"/>
      <w:marRight w:val="0"/>
      <w:marTop w:val="0"/>
      <w:marBottom w:val="0"/>
      <w:divBdr>
        <w:top w:val="none" w:sz="0" w:space="0" w:color="auto"/>
        <w:left w:val="none" w:sz="0" w:space="0" w:color="auto"/>
        <w:bottom w:val="none" w:sz="0" w:space="0" w:color="auto"/>
        <w:right w:val="none" w:sz="0" w:space="0" w:color="auto"/>
      </w:divBdr>
    </w:div>
    <w:div w:id="932396997">
      <w:bodyDiv w:val="1"/>
      <w:marLeft w:val="0"/>
      <w:marRight w:val="0"/>
      <w:marTop w:val="0"/>
      <w:marBottom w:val="0"/>
      <w:divBdr>
        <w:top w:val="none" w:sz="0" w:space="0" w:color="auto"/>
        <w:left w:val="none" w:sz="0" w:space="0" w:color="auto"/>
        <w:bottom w:val="none" w:sz="0" w:space="0" w:color="auto"/>
        <w:right w:val="none" w:sz="0" w:space="0" w:color="auto"/>
      </w:divBdr>
    </w:div>
    <w:div w:id="939072476">
      <w:bodyDiv w:val="1"/>
      <w:marLeft w:val="0"/>
      <w:marRight w:val="0"/>
      <w:marTop w:val="0"/>
      <w:marBottom w:val="0"/>
      <w:divBdr>
        <w:top w:val="none" w:sz="0" w:space="0" w:color="auto"/>
        <w:left w:val="none" w:sz="0" w:space="0" w:color="auto"/>
        <w:bottom w:val="none" w:sz="0" w:space="0" w:color="auto"/>
        <w:right w:val="none" w:sz="0" w:space="0" w:color="auto"/>
      </w:divBdr>
    </w:div>
    <w:div w:id="961620341">
      <w:bodyDiv w:val="1"/>
      <w:marLeft w:val="0"/>
      <w:marRight w:val="0"/>
      <w:marTop w:val="0"/>
      <w:marBottom w:val="0"/>
      <w:divBdr>
        <w:top w:val="none" w:sz="0" w:space="0" w:color="auto"/>
        <w:left w:val="none" w:sz="0" w:space="0" w:color="auto"/>
        <w:bottom w:val="none" w:sz="0" w:space="0" w:color="auto"/>
        <w:right w:val="none" w:sz="0" w:space="0" w:color="auto"/>
      </w:divBdr>
    </w:div>
    <w:div w:id="1002701468">
      <w:bodyDiv w:val="1"/>
      <w:marLeft w:val="0"/>
      <w:marRight w:val="0"/>
      <w:marTop w:val="0"/>
      <w:marBottom w:val="0"/>
      <w:divBdr>
        <w:top w:val="none" w:sz="0" w:space="0" w:color="auto"/>
        <w:left w:val="none" w:sz="0" w:space="0" w:color="auto"/>
        <w:bottom w:val="none" w:sz="0" w:space="0" w:color="auto"/>
        <w:right w:val="none" w:sz="0" w:space="0" w:color="auto"/>
      </w:divBdr>
    </w:div>
    <w:div w:id="1009256202">
      <w:bodyDiv w:val="1"/>
      <w:marLeft w:val="0"/>
      <w:marRight w:val="0"/>
      <w:marTop w:val="0"/>
      <w:marBottom w:val="0"/>
      <w:divBdr>
        <w:top w:val="none" w:sz="0" w:space="0" w:color="auto"/>
        <w:left w:val="none" w:sz="0" w:space="0" w:color="auto"/>
        <w:bottom w:val="none" w:sz="0" w:space="0" w:color="auto"/>
        <w:right w:val="none" w:sz="0" w:space="0" w:color="auto"/>
      </w:divBdr>
    </w:div>
    <w:div w:id="1020160554">
      <w:bodyDiv w:val="1"/>
      <w:marLeft w:val="0"/>
      <w:marRight w:val="0"/>
      <w:marTop w:val="0"/>
      <w:marBottom w:val="0"/>
      <w:divBdr>
        <w:top w:val="none" w:sz="0" w:space="0" w:color="auto"/>
        <w:left w:val="none" w:sz="0" w:space="0" w:color="auto"/>
        <w:bottom w:val="none" w:sz="0" w:space="0" w:color="auto"/>
        <w:right w:val="none" w:sz="0" w:space="0" w:color="auto"/>
      </w:divBdr>
    </w:div>
    <w:div w:id="1029338716">
      <w:bodyDiv w:val="1"/>
      <w:marLeft w:val="0"/>
      <w:marRight w:val="0"/>
      <w:marTop w:val="0"/>
      <w:marBottom w:val="0"/>
      <w:divBdr>
        <w:top w:val="none" w:sz="0" w:space="0" w:color="auto"/>
        <w:left w:val="none" w:sz="0" w:space="0" w:color="auto"/>
        <w:bottom w:val="none" w:sz="0" w:space="0" w:color="auto"/>
        <w:right w:val="none" w:sz="0" w:space="0" w:color="auto"/>
      </w:divBdr>
    </w:div>
    <w:div w:id="1031225651">
      <w:bodyDiv w:val="1"/>
      <w:marLeft w:val="0"/>
      <w:marRight w:val="0"/>
      <w:marTop w:val="0"/>
      <w:marBottom w:val="0"/>
      <w:divBdr>
        <w:top w:val="none" w:sz="0" w:space="0" w:color="auto"/>
        <w:left w:val="none" w:sz="0" w:space="0" w:color="auto"/>
        <w:bottom w:val="none" w:sz="0" w:space="0" w:color="auto"/>
        <w:right w:val="none" w:sz="0" w:space="0" w:color="auto"/>
      </w:divBdr>
    </w:div>
    <w:div w:id="1032653327">
      <w:bodyDiv w:val="1"/>
      <w:marLeft w:val="0"/>
      <w:marRight w:val="0"/>
      <w:marTop w:val="0"/>
      <w:marBottom w:val="0"/>
      <w:divBdr>
        <w:top w:val="none" w:sz="0" w:space="0" w:color="auto"/>
        <w:left w:val="none" w:sz="0" w:space="0" w:color="auto"/>
        <w:bottom w:val="none" w:sz="0" w:space="0" w:color="auto"/>
        <w:right w:val="none" w:sz="0" w:space="0" w:color="auto"/>
      </w:divBdr>
    </w:div>
    <w:div w:id="1042436277">
      <w:bodyDiv w:val="1"/>
      <w:marLeft w:val="0"/>
      <w:marRight w:val="0"/>
      <w:marTop w:val="0"/>
      <w:marBottom w:val="0"/>
      <w:divBdr>
        <w:top w:val="none" w:sz="0" w:space="0" w:color="auto"/>
        <w:left w:val="none" w:sz="0" w:space="0" w:color="auto"/>
        <w:bottom w:val="none" w:sz="0" w:space="0" w:color="auto"/>
        <w:right w:val="none" w:sz="0" w:space="0" w:color="auto"/>
      </w:divBdr>
    </w:div>
    <w:div w:id="1072003114">
      <w:bodyDiv w:val="1"/>
      <w:marLeft w:val="0"/>
      <w:marRight w:val="0"/>
      <w:marTop w:val="0"/>
      <w:marBottom w:val="0"/>
      <w:divBdr>
        <w:top w:val="none" w:sz="0" w:space="0" w:color="auto"/>
        <w:left w:val="none" w:sz="0" w:space="0" w:color="auto"/>
        <w:bottom w:val="none" w:sz="0" w:space="0" w:color="auto"/>
        <w:right w:val="none" w:sz="0" w:space="0" w:color="auto"/>
      </w:divBdr>
    </w:div>
    <w:div w:id="1076055241">
      <w:bodyDiv w:val="1"/>
      <w:marLeft w:val="0"/>
      <w:marRight w:val="0"/>
      <w:marTop w:val="0"/>
      <w:marBottom w:val="0"/>
      <w:divBdr>
        <w:top w:val="none" w:sz="0" w:space="0" w:color="auto"/>
        <w:left w:val="none" w:sz="0" w:space="0" w:color="auto"/>
        <w:bottom w:val="none" w:sz="0" w:space="0" w:color="auto"/>
        <w:right w:val="none" w:sz="0" w:space="0" w:color="auto"/>
      </w:divBdr>
    </w:div>
    <w:div w:id="1076131018">
      <w:bodyDiv w:val="1"/>
      <w:marLeft w:val="0"/>
      <w:marRight w:val="0"/>
      <w:marTop w:val="0"/>
      <w:marBottom w:val="0"/>
      <w:divBdr>
        <w:top w:val="none" w:sz="0" w:space="0" w:color="auto"/>
        <w:left w:val="none" w:sz="0" w:space="0" w:color="auto"/>
        <w:bottom w:val="none" w:sz="0" w:space="0" w:color="auto"/>
        <w:right w:val="none" w:sz="0" w:space="0" w:color="auto"/>
      </w:divBdr>
    </w:div>
    <w:div w:id="1087733749">
      <w:bodyDiv w:val="1"/>
      <w:marLeft w:val="0"/>
      <w:marRight w:val="0"/>
      <w:marTop w:val="0"/>
      <w:marBottom w:val="0"/>
      <w:divBdr>
        <w:top w:val="none" w:sz="0" w:space="0" w:color="auto"/>
        <w:left w:val="none" w:sz="0" w:space="0" w:color="auto"/>
        <w:bottom w:val="none" w:sz="0" w:space="0" w:color="auto"/>
        <w:right w:val="none" w:sz="0" w:space="0" w:color="auto"/>
      </w:divBdr>
    </w:div>
    <w:div w:id="1094740375">
      <w:bodyDiv w:val="1"/>
      <w:marLeft w:val="0"/>
      <w:marRight w:val="0"/>
      <w:marTop w:val="0"/>
      <w:marBottom w:val="0"/>
      <w:divBdr>
        <w:top w:val="none" w:sz="0" w:space="0" w:color="auto"/>
        <w:left w:val="none" w:sz="0" w:space="0" w:color="auto"/>
        <w:bottom w:val="none" w:sz="0" w:space="0" w:color="auto"/>
        <w:right w:val="none" w:sz="0" w:space="0" w:color="auto"/>
      </w:divBdr>
      <w:divsChild>
        <w:div w:id="890076274">
          <w:marLeft w:val="446"/>
          <w:marRight w:val="0"/>
          <w:marTop w:val="0"/>
          <w:marBottom w:val="0"/>
          <w:divBdr>
            <w:top w:val="none" w:sz="0" w:space="0" w:color="auto"/>
            <w:left w:val="none" w:sz="0" w:space="0" w:color="auto"/>
            <w:bottom w:val="none" w:sz="0" w:space="0" w:color="auto"/>
            <w:right w:val="none" w:sz="0" w:space="0" w:color="auto"/>
          </w:divBdr>
        </w:div>
      </w:divsChild>
    </w:div>
    <w:div w:id="1110277891">
      <w:bodyDiv w:val="1"/>
      <w:marLeft w:val="0"/>
      <w:marRight w:val="0"/>
      <w:marTop w:val="0"/>
      <w:marBottom w:val="0"/>
      <w:divBdr>
        <w:top w:val="none" w:sz="0" w:space="0" w:color="auto"/>
        <w:left w:val="none" w:sz="0" w:space="0" w:color="auto"/>
        <w:bottom w:val="none" w:sz="0" w:space="0" w:color="auto"/>
        <w:right w:val="none" w:sz="0" w:space="0" w:color="auto"/>
      </w:divBdr>
    </w:div>
    <w:div w:id="1126124166">
      <w:bodyDiv w:val="1"/>
      <w:marLeft w:val="0"/>
      <w:marRight w:val="0"/>
      <w:marTop w:val="0"/>
      <w:marBottom w:val="0"/>
      <w:divBdr>
        <w:top w:val="none" w:sz="0" w:space="0" w:color="auto"/>
        <w:left w:val="none" w:sz="0" w:space="0" w:color="auto"/>
        <w:bottom w:val="none" w:sz="0" w:space="0" w:color="auto"/>
        <w:right w:val="none" w:sz="0" w:space="0" w:color="auto"/>
      </w:divBdr>
    </w:div>
    <w:div w:id="1143699625">
      <w:bodyDiv w:val="1"/>
      <w:marLeft w:val="0"/>
      <w:marRight w:val="0"/>
      <w:marTop w:val="0"/>
      <w:marBottom w:val="0"/>
      <w:divBdr>
        <w:top w:val="none" w:sz="0" w:space="0" w:color="auto"/>
        <w:left w:val="none" w:sz="0" w:space="0" w:color="auto"/>
        <w:bottom w:val="none" w:sz="0" w:space="0" w:color="auto"/>
        <w:right w:val="none" w:sz="0" w:space="0" w:color="auto"/>
      </w:divBdr>
    </w:div>
    <w:div w:id="1162550648">
      <w:bodyDiv w:val="1"/>
      <w:marLeft w:val="0"/>
      <w:marRight w:val="0"/>
      <w:marTop w:val="0"/>
      <w:marBottom w:val="0"/>
      <w:divBdr>
        <w:top w:val="none" w:sz="0" w:space="0" w:color="auto"/>
        <w:left w:val="none" w:sz="0" w:space="0" w:color="auto"/>
        <w:bottom w:val="none" w:sz="0" w:space="0" w:color="auto"/>
        <w:right w:val="none" w:sz="0" w:space="0" w:color="auto"/>
      </w:divBdr>
    </w:div>
    <w:div w:id="1166095474">
      <w:bodyDiv w:val="1"/>
      <w:marLeft w:val="0"/>
      <w:marRight w:val="0"/>
      <w:marTop w:val="0"/>
      <w:marBottom w:val="0"/>
      <w:divBdr>
        <w:top w:val="none" w:sz="0" w:space="0" w:color="auto"/>
        <w:left w:val="none" w:sz="0" w:space="0" w:color="auto"/>
        <w:bottom w:val="none" w:sz="0" w:space="0" w:color="auto"/>
        <w:right w:val="none" w:sz="0" w:space="0" w:color="auto"/>
      </w:divBdr>
    </w:div>
    <w:div w:id="1170757009">
      <w:bodyDiv w:val="1"/>
      <w:marLeft w:val="0"/>
      <w:marRight w:val="0"/>
      <w:marTop w:val="0"/>
      <w:marBottom w:val="0"/>
      <w:divBdr>
        <w:top w:val="none" w:sz="0" w:space="0" w:color="auto"/>
        <w:left w:val="none" w:sz="0" w:space="0" w:color="auto"/>
        <w:bottom w:val="none" w:sz="0" w:space="0" w:color="auto"/>
        <w:right w:val="none" w:sz="0" w:space="0" w:color="auto"/>
      </w:divBdr>
    </w:div>
    <w:div w:id="1172792957">
      <w:bodyDiv w:val="1"/>
      <w:marLeft w:val="0"/>
      <w:marRight w:val="0"/>
      <w:marTop w:val="0"/>
      <w:marBottom w:val="0"/>
      <w:divBdr>
        <w:top w:val="none" w:sz="0" w:space="0" w:color="auto"/>
        <w:left w:val="none" w:sz="0" w:space="0" w:color="auto"/>
        <w:bottom w:val="none" w:sz="0" w:space="0" w:color="auto"/>
        <w:right w:val="none" w:sz="0" w:space="0" w:color="auto"/>
      </w:divBdr>
    </w:div>
    <w:div w:id="1174958540">
      <w:bodyDiv w:val="1"/>
      <w:marLeft w:val="0"/>
      <w:marRight w:val="0"/>
      <w:marTop w:val="0"/>
      <w:marBottom w:val="0"/>
      <w:divBdr>
        <w:top w:val="none" w:sz="0" w:space="0" w:color="auto"/>
        <w:left w:val="none" w:sz="0" w:space="0" w:color="auto"/>
        <w:bottom w:val="none" w:sz="0" w:space="0" w:color="auto"/>
        <w:right w:val="none" w:sz="0" w:space="0" w:color="auto"/>
      </w:divBdr>
    </w:div>
    <w:div w:id="1178349048">
      <w:bodyDiv w:val="1"/>
      <w:marLeft w:val="0"/>
      <w:marRight w:val="0"/>
      <w:marTop w:val="0"/>
      <w:marBottom w:val="0"/>
      <w:divBdr>
        <w:top w:val="none" w:sz="0" w:space="0" w:color="auto"/>
        <w:left w:val="none" w:sz="0" w:space="0" w:color="auto"/>
        <w:bottom w:val="none" w:sz="0" w:space="0" w:color="auto"/>
        <w:right w:val="none" w:sz="0" w:space="0" w:color="auto"/>
      </w:divBdr>
    </w:div>
    <w:div w:id="1181165302">
      <w:bodyDiv w:val="1"/>
      <w:marLeft w:val="0"/>
      <w:marRight w:val="0"/>
      <w:marTop w:val="0"/>
      <w:marBottom w:val="0"/>
      <w:divBdr>
        <w:top w:val="none" w:sz="0" w:space="0" w:color="auto"/>
        <w:left w:val="none" w:sz="0" w:space="0" w:color="auto"/>
        <w:bottom w:val="none" w:sz="0" w:space="0" w:color="auto"/>
        <w:right w:val="none" w:sz="0" w:space="0" w:color="auto"/>
      </w:divBdr>
    </w:div>
    <w:div w:id="1202589987">
      <w:bodyDiv w:val="1"/>
      <w:marLeft w:val="0"/>
      <w:marRight w:val="0"/>
      <w:marTop w:val="0"/>
      <w:marBottom w:val="0"/>
      <w:divBdr>
        <w:top w:val="none" w:sz="0" w:space="0" w:color="auto"/>
        <w:left w:val="none" w:sz="0" w:space="0" w:color="auto"/>
        <w:bottom w:val="none" w:sz="0" w:space="0" w:color="auto"/>
        <w:right w:val="none" w:sz="0" w:space="0" w:color="auto"/>
      </w:divBdr>
    </w:div>
    <w:div w:id="1204951459">
      <w:bodyDiv w:val="1"/>
      <w:marLeft w:val="0"/>
      <w:marRight w:val="0"/>
      <w:marTop w:val="0"/>
      <w:marBottom w:val="0"/>
      <w:divBdr>
        <w:top w:val="none" w:sz="0" w:space="0" w:color="auto"/>
        <w:left w:val="none" w:sz="0" w:space="0" w:color="auto"/>
        <w:bottom w:val="none" w:sz="0" w:space="0" w:color="auto"/>
        <w:right w:val="none" w:sz="0" w:space="0" w:color="auto"/>
      </w:divBdr>
    </w:div>
    <w:div w:id="1214344389">
      <w:bodyDiv w:val="1"/>
      <w:marLeft w:val="0"/>
      <w:marRight w:val="0"/>
      <w:marTop w:val="0"/>
      <w:marBottom w:val="0"/>
      <w:divBdr>
        <w:top w:val="none" w:sz="0" w:space="0" w:color="auto"/>
        <w:left w:val="none" w:sz="0" w:space="0" w:color="auto"/>
        <w:bottom w:val="none" w:sz="0" w:space="0" w:color="auto"/>
        <w:right w:val="none" w:sz="0" w:space="0" w:color="auto"/>
      </w:divBdr>
    </w:div>
    <w:div w:id="1224635251">
      <w:bodyDiv w:val="1"/>
      <w:marLeft w:val="0"/>
      <w:marRight w:val="0"/>
      <w:marTop w:val="0"/>
      <w:marBottom w:val="0"/>
      <w:divBdr>
        <w:top w:val="none" w:sz="0" w:space="0" w:color="auto"/>
        <w:left w:val="none" w:sz="0" w:space="0" w:color="auto"/>
        <w:bottom w:val="none" w:sz="0" w:space="0" w:color="auto"/>
        <w:right w:val="none" w:sz="0" w:space="0" w:color="auto"/>
      </w:divBdr>
    </w:div>
    <w:div w:id="1225529033">
      <w:bodyDiv w:val="1"/>
      <w:marLeft w:val="0"/>
      <w:marRight w:val="0"/>
      <w:marTop w:val="0"/>
      <w:marBottom w:val="0"/>
      <w:divBdr>
        <w:top w:val="none" w:sz="0" w:space="0" w:color="auto"/>
        <w:left w:val="none" w:sz="0" w:space="0" w:color="auto"/>
        <w:bottom w:val="none" w:sz="0" w:space="0" w:color="auto"/>
        <w:right w:val="none" w:sz="0" w:space="0" w:color="auto"/>
      </w:divBdr>
    </w:div>
    <w:div w:id="1230918737">
      <w:bodyDiv w:val="1"/>
      <w:marLeft w:val="0"/>
      <w:marRight w:val="0"/>
      <w:marTop w:val="0"/>
      <w:marBottom w:val="0"/>
      <w:divBdr>
        <w:top w:val="none" w:sz="0" w:space="0" w:color="auto"/>
        <w:left w:val="none" w:sz="0" w:space="0" w:color="auto"/>
        <w:bottom w:val="none" w:sz="0" w:space="0" w:color="auto"/>
        <w:right w:val="none" w:sz="0" w:space="0" w:color="auto"/>
      </w:divBdr>
    </w:div>
    <w:div w:id="1236940534">
      <w:bodyDiv w:val="1"/>
      <w:marLeft w:val="0"/>
      <w:marRight w:val="0"/>
      <w:marTop w:val="0"/>
      <w:marBottom w:val="0"/>
      <w:divBdr>
        <w:top w:val="none" w:sz="0" w:space="0" w:color="auto"/>
        <w:left w:val="none" w:sz="0" w:space="0" w:color="auto"/>
        <w:bottom w:val="none" w:sz="0" w:space="0" w:color="auto"/>
        <w:right w:val="none" w:sz="0" w:space="0" w:color="auto"/>
      </w:divBdr>
    </w:div>
    <w:div w:id="1264534448">
      <w:bodyDiv w:val="1"/>
      <w:marLeft w:val="0"/>
      <w:marRight w:val="0"/>
      <w:marTop w:val="0"/>
      <w:marBottom w:val="0"/>
      <w:divBdr>
        <w:top w:val="none" w:sz="0" w:space="0" w:color="auto"/>
        <w:left w:val="none" w:sz="0" w:space="0" w:color="auto"/>
        <w:bottom w:val="none" w:sz="0" w:space="0" w:color="auto"/>
        <w:right w:val="none" w:sz="0" w:space="0" w:color="auto"/>
      </w:divBdr>
    </w:div>
    <w:div w:id="1284310513">
      <w:bodyDiv w:val="1"/>
      <w:marLeft w:val="0"/>
      <w:marRight w:val="0"/>
      <w:marTop w:val="0"/>
      <w:marBottom w:val="0"/>
      <w:divBdr>
        <w:top w:val="none" w:sz="0" w:space="0" w:color="auto"/>
        <w:left w:val="none" w:sz="0" w:space="0" w:color="auto"/>
        <w:bottom w:val="none" w:sz="0" w:space="0" w:color="auto"/>
        <w:right w:val="none" w:sz="0" w:space="0" w:color="auto"/>
      </w:divBdr>
    </w:div>
    <w:div w:id="1302153045">
      <w:bodyDiv w:val="1"/>
      <w:marLeft w:val="0"/>
      <w:marRight w:val="0"/>
      <w:marTop w:val="0"/>
      <w:marBottom w:val="0"/>
      <w:divBdr>
        <w:top w:val="none" w:sz="0" w:space="0" w:color="auto"/>
        <w:left w:val="none" w:sz="0" w:space="0" w:color="auto"/>
        <w:bottom w:val="none" w:sz="0" w:space="0" w:color="auto"/>
        <w:right w:val="none" w:sz="0" w:space="0" w:color="auto"/>
      </w:divBdr>
    </w:div>
    <w:div w:id="1321156344">
      <w:bodyDiv w:val="1"/>
      <w:marLeft w:val="0"/>
      <w:marRight w:val="0"/>
      <w:marTop w:val="0"/>
      <w:marBottom w:val="0"/>
      <w:divBdr>
        <w:top w:val="none" w:sz="0" w:space="0" w:color="auto"/>
        <w:left w:val="none" w:sz="0" w:space="0" w:color="auto"/>
        <w:bottom w:val="none" w:sz="0" w:space="0" w:color="auto"/>
        <w:right w:val="none" w:sz="0" w:space="0" w:color="auto"/>
      </w:divBdr>
    </w:div>
    <w:div w:id="1322198415">
      <w:bodyDiv w:val="1"/>
      <w:marLeft w:val="0"/>
      <w:marRight w:val="0"/>
      <w:marTop w:val="0"/>
      <w:marBottom w:val="0"/>
      <w:divBdr>
        <w:top w:val="none" w:sz="0" w:space="0" w:color="auto"/>
        <w:left w:val="none" w:sz="0" w:space="0" w:color="auto"/>
        <w:bottom w:val="none" w:sz="0" w:space="0" w:color="auto"/>
        <w:right w:val="none" w:sz="0" w:space="0" w:color="auto"/>
      </w:divBdr>
    </w:div>
    <w:div w:id="1323046280">
      <w:bodyDiv w:val="1"/>
      <w:marLeft w:val="0"/>
      <w:marRight w:val="0"/>
      <w:marTop w:val="0"/>
      <w:marBottom w:val="0"/>
      <w:divBdr>
        <w:top w:val="none" w:sz="0" w:space="0" w:color="auto"/>
        <w:left w:val="none" w:sz="0" w:space="0" w:color="auto"/>
        <w:bottom w:val="none" w:sz="0" w:space="0" w:color="auto"/>
        <w:right w:val="none" w:sz="0" w:space="0" w:color="auto"/>
      </w:divBdr>
    </w:div>
    <w:div w:id="1332561304">
      <w:bodyDiv w:val="1"/>
      <w:marLeft w:val="0"/>
      <w:marRight w:val="0"/>
      <w:marTop w:val="0"/>
      <w:marBottom w:val="0"/>
      <w:divBdr>
        <w:top w:val="none" w:sz="0" w:space="0" w:color="auto"/>
        <w:left w:val="none" w:sz="0" w:space="0" w:color="auto"/>
        <w:bottom w:val="none" w:sz="0" w:space="0" w:color="auto"/>
        <w:right w:val="none" w:sz="0" w:space="0" w:color="auto"/>
      </w:divBdr>
    </w:div>
    <w:div w:id="1334408463">
      <w:bodyDiv w:val="1"/>
      <w:marLeft w:val="0"/>
      <w:marRight w:val="0"/>
      <w:marTop w:val="0"/>
      <w:marBottom w:val="0"/>
      <w:divBdr>
        <w:top w:val="none" w:sz="0" w:space="0" w:color="auto"/>
        <w:left w:val="none" w:sz="0" w:space="0" w:color="auto"/>
        <w:bottom w:val="none" w:sz="0" w:space="0" w:color="auto"/>
        <w:right w:val="none" w:sz="0" w:space="0" w:color="auto"/>
      </w:divBdr>
    </w:div>
    <w:div w:id="1363937202">
      <w:bodyDiv w:val="1"/>
      <w:marLeft w:val="0"/>
      <w:marRight w:val="0"/>
      <w:marTop w:val="0"/>
      <w:marBottom w:val="0"/>
      <w:divBdr>
        <w:top w:val="none" w:sz="0" w:space="0" w:color="auto"/>
        <w:left w:val="none" w:sz="0" w:space="0" w:color="auto"/>
        <w:bottom w:val="none" w:sz="0" w:space="0" w:color="auto"/>
        <w:right w:val="none" w:sz="0" w:space="0" w:color="auto"/>
      </w:divBdr>
    </w:div>
    <w:div w:id="1373769670">
      <w:bodyDiv w:val="1"/>
      <w:marLeft w:val="0"/>
      <w:marRight w:val="0"/>
      <w:marTop w:val="0"/>
      <w:marBottom w:val="0"/>
      <w:divBdr>
        <w:top w:val="none" w:sz="0" w:space="0" w:color="auto"/>
        <w:left w:val="none" w:sz="0" w:space="0" w:color="auto"/>
        <w:bottom w:val="none" w:sz="0" w:space="0" w:color="auto"/>
        <w:right w:val="none" w:sz="0" w:space="0" w:color="auto"/>
      </w:divBdr>
    </w:div>
    <w:div w:id="1384524644">
      <w:bodyDiv w:val="1"/>
      <w:marLeft w:val="0"/>
      <w:marRight w:val="0"/>
      <w:marTop w:val="0"/>
      <w:marBottom w:val="0"/>
      <w:divBdr>
        <w:top w:val="none" w:sz="0" w:space="0" w:color="auto"/>
        <w:left w:val="none" w:sz="0" w:space="0" w:color="auto"/>
        <w:bottom w:val="none" w:sz="0" w:space="0" w:color="auto"/>
        <w:right w:val="none" w:sz="0" w:space="0" w:color="auto"/>
      </w:divBdr>
    </w:div>
    <w:div w:id="1387027669">
      <w:bodyDiv w:val="1"/>
      <w:marLeft w:val="0"/>
      <w:marRight w:val="0"/>
      <w:marTop w:val="0"/>
      <w:marBottom w:val="0"/>
      <w:divBdr>
        <w:top w:val="none" w:sz="0" w:space="0" w:color="auto"/>
        <w:left w:val="none" w:sz="0" w:space="0" w:color="auto"/>
        <w:bottom w:val="none" w:sz="0" w:space="0" w:color="auto"/>
        <w:right w:val="none" w:sz="0" w:space="0" w:color="auto"/>
      </w:divBdr>
    </w:div>
    <w:div w:id="1391416762">
      <w:bodyDiv w:val="1"/>
      <w:marLeft w:val="0"/>
      <w:marRight w:val="0"/>
      <w:marTop w:val="0"/>
      <w:marBottom w:val="0"/>
      <w:divBdr>
        <w:top w:val="none" w:sz="0" w:space="0" w:color="auto"/>
        <w:left w:val="none" w:sz="0" w:space="0" w:color="auto"/>
        <w:bottom w:val="none" w:sz="0" w:space="0" w:color="auto"/>
        <w:right w:val="none" w:sz="0" w:space="0" w:color="auto"/>
      </w:divBdr>
    </w:div>
    <w:div w:id="1406151928">
      <w:bodyDiv w:val="1"/>
      <w:marLeft w:val="0"/>
      <w:marRight w:val="0"/>
      <w:marTop w:val="0"/>
      <w:marBottom w:val="0"/>
      <w:divBdr>
        <w:top w:val="none" w:sz="0" w:space="0" w:color="auto"/>
        <w:left w:val="none" w:sz="0" w:space="0" w:color="auto"/>
        <w:bottom w:val="none" w:sz="0" w:space="0" w:color="auto"/>
        <w:right w:val="none" w:sz="0" w:space="0" w:color="auto"/>
      </w:divBdr>
    </w:div>
    <w:div w:id="1413509484">
      <w:bodyDiv w:val="1"/>
      <w:marLeft w:val="0"/>
      <w:marRight w:val="0"/>
      <w:marTop w:val="0"/>
      <w:marBottom w:val="0"/>
      <w:divBdr>
        <w:top w:val="none" w:sz="0" w:space="0" w:color="auto"/>
        <w:left w:val="none" w:sz="0" w:space="0" w:color="auto"/>
        <w:bottom w:val="none" w:sz="0" w:space="0" w:color="auto"/>
        <w:right w:val="none" w:sz="0" w:space="0" w:color="auto"/>
      </w:divBdr>
    </w:div>
    <w:div w:id="1416973984">
      <w:bodyDiv w:val="1"/>
      <w:marLeft w:val="0"/>
      <w:marRight w:val="0"/>
      <w:marTop w:val="0"/>
      <w:marBottom w:val="0"/>
      <w:divBdr>
        <w:top w:val="none" w:sz="0" w:space="0" w:color="auto"/>
        <w:left w:val="none" w:sz="0" w:space="0" w:color="auto"/>
        <w:bottom w:val="none" w:sz="0" w:space="0" w:color="auto"/>
        <w:right w:val="none" w:sz="0" w:space="0" w:color="auto"/>
      </w:divBdr>
    </w:div>
    <w:div w:id="1417364504">
      <w:bodyDiv w:val="1"/>
      <w:marLeft w:val="0"/>
      <w:marRight w:val="0"/>
      <w:marTop w:val="0"/>
      <w:marBottom w:val="0"/>
      <w:divBdr>
        <w:top w:val="none" w:sz="0" w:space="0" w:color="auto"/>
        <w:left w:val="none" w:sz="0" w:space="0" w:color="auto"/>
        <w:bottom w:val="none" w:sz="0" w:space="0" w:color="auto"/>
        <w:right w:val="none" w:sz="0" w:space="0" w:color="auto"/>
      </w:divBdr>
    </w:div>
    <w:div w:id="1421372913">
      <w:bodyDiv w:val="1"/>
      <w:marLeft w:val="0"/>
      <w:marRight w:val="0"/>
      <w:marTop w:val="0"/>
      <w:marBottom w:val="0"/>
      <w:divBdr>
        <w:top w:val="none" w:sz="0" w:space="0" w:color="auto"/>
        <w:left w:val="none" w:sz="0" w:space="0" w:color="auto"/>
        <w:bottom w:val="none" w:sz="0" w:space="0" w:color="auto"/>
        <w:right w:val="none" w:sz="0" w:space="0" w:color="auto"/>
      </w:divBdr>
    </w:div>
    <w:div w:id="1425490806">
      <w:bodyDiv w:val="1"/>
      <w:marLeft w:val="0"/>
      <w:marRight w:val="0"/>
      <w:marTop w:val="0"/>
      <w:marBottom w:val="0"/>
      <w:divBdr>
        <w:top w:val="none" w:sz="0" w:space="0" w:color="auto"/>
        <w:left w:val="none" w:sz="0" w:space="0" w:color="auto"/>
        <w:bottom w:val="none" w:sz="0" w:space="0" w:color="auto"/>
        <w:right w:val="none" w:sz="0" w:space="0" w:color="auto"/>
      </w:divBdr>
      <w:divsChild>
        <w:div w:id="1472359931">
          <w:marLeft w:val="0"/>
          <w:marRight w:val="0"/>
          <w:marTop w:val="0"/>
          <w:marBottom w:val="0"/>
          <w:divBdr>
            <w:top w:val="none" w:sz="0" w:space="0" w:color="auto"/>
            <w:left w:val="none" w:sz="0" w:space="0" w:color="auto"/>
            <w:bottom w:val="none" w:sz="0" w:space="0" w:color="auto"/>
            <w:right w:val="none" w:sz="0" w:space="0" w:color="auto"/>
          </w:divBdr>
          <w:divsChild>
            <w:div w:id="604532022">
              <w:marLeft w:val="0"/>
              <w:marRight w:val="0"/>
              <w:marTop w:val="0"/>
              <w:marBottom w:val="0"/>
              <w:divBdr>
                <w:top w:val="none" w:sz="0" w:space="0" w:color="auto"/>
                <w:left w:val="none" w:sz="0" w:space="0" w:color="auto"/>
                <w:bottom w:val="none" w:sz="0" w:space="0" w:color="auto"/>
                <w:right w:val="none" w:sz="0" w:space="0" w:color="auto"/>
              </w:divBdr>
              <w:divsChild>
                <w:div w:id="566263648">
                  <w:marLeft w:val="0"/>
                  <w:marRight w:val="0"/>
                  <w:marTop w:val="0"/>
                  <w:marBottom w:val="0"/>
                  <w:divBdr>
                    <w:top w:val="none" w:sz="0" w:space="0" w:color="auto"/>
                    <w:left w:val="none" w:sz="0" w:space="0" w:color="auto"/>
                    <w:bottom w:val="none" w:sz="0" w:space="0" w:color="auto"/>
                    <w:right w:val="none" w:sz="0" w:space="0" w:color="auto"/>
                  </w:divBdr>
                  <w:divsChild>
                    <w:div w:id="630134239">
                      <w:marLeft w:val="0"/>
                      <w:marRight w:val="0"/>
                      <w:marTop w:val="0"/>
                      <w:marBottom w:val="0"/>
                      <w:divBdr>
                        <w:top w:val="none" w:sz="0" w:space="0" w:color="auto"/>
                        <w:left w:val="none" w:sz="0" w:space="0" w:color="auto"/>
                        <w:bottom w:val="none" w:sz="0" w:space="0" w:color="auto"/>
                        <w:right w:val="none" w:sz="0" w:space="0" w:color="auto"/>
                      </w:divBdr>
                      <w:divsChild>
                        <w:div w:id="13263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3327">
      <w:bodyDiv w:val="1"/>
      <w:marLeft w:val="0"/>
      <w:marRight w:val="0"/>
      <w:marTop w:val="0"/>
      <w:marBottom w:val="0"/>
      <w:divBdr>
        <w:top w:val="none" w:sz="0" w:space="0" w:color="auto"/>
        <w:left w:val="none" w:sz="0" w:space="0" w:color="auto"/>
        <w:bottom w:val="none" w:sz="0" w:space="0" w:color="auto"/>
        <w:right w:val="none" w:sz="0" w:space="0" w:color="auto"/>
      </w:divBdr>
    </w:div>
    <w:div w:id="1443963935">
      <w:bodyDiv w:val="1"/>
      <w:marLeft w:val="0"/>
      <w:marRight w:val="0"/>
      <w:marTop w:val="0"/>
      <w:marBottom w:val="0"/>
      <w:divBdr>
        <w:top w:val="none" w:sz="0" w:space="0" w:color="auto"/>
        <w:left w:val="none" w:sz="0" w:space="0" w:color="auto"/>
        <w:bottom w:val="none" w:sz="0" w:space="0" w:color="auto"/>
        <w:right w:val="none" w:sz="0" w:space="0" w:color="auto"/>
      </w:divBdr>
    </w:div>
    <w:div w:id="1455828419">
      <w:bodyDiv w:val="1"/>
      <w:marLeft w:val="0"/>
      <w:marRight w:val="0"/>
      <w:marTop w:val="0"/>
      <w:marBottom w:val="0"/>
      <w:divBdr>
        <w:top w:val="none" w:sz="0" w:space="0" w:color="auto"/>
        <w:left w:val="none" w:sz="0" w:space="0" w:color="auto"/>
        <w:bottom w:val="none" w:sz="0" w:space="0" w:color="auto"/>
        <w:right w:val="none" w:sz="0" w:space="0" w:color="auto"/>
      </w:divBdr>
    </w:div>
    <w:div w:id="1465349613">
      <w:bodyDiv w:val="1"/>
      <w:marLeft w:val="0"/>
      <w:marRight w:val="0"/>
      <w:marTop w:val="0"/>
      <w:marBottom w:val="0"/>
      <w:divBdr>
        <w:top w:val="none" w:sz="0" w:space="0" w:color="auto"/>
        <w:left w:val="none" w:sz="0" w:space="0" w:color="auto"/>
        <w:bottom w:val="none" w:sz="0" w:space="0" w:color="auto"/>
        <w:right w:val="none" w:sz="0" w:space="0" w:color="auto"/>
      </w:divBdr>
    </w:div>
    <w:div w:id="1470317051">
      <w:bodyDiv w:val="1"/>
      <w:marLeft w:val="0"/>
      <w:marRight w:val="0"/>
      <w:marTop w:val="0"/>
      <w:marBottom w:val="0"/>
      <w:divBdr>
        <w:top w:val="none" w:sz="0" w:space="0" w:color="auto"/>
        <w:left w:val="none" w:sz="0" w:space="0" w:color="auto"/>
        <w:bottom w:val="none" w:sz="0" w:space="0" w:color="auto"/>
        <w:right w:val="none" w:sz="0" w:space="0" w:color="auto"/>
      </w:divBdr>
    </w:div>
    <w:div w:id="1477145293">
      <w:bodyDiv w:val="1"/>
      <w:marLeft w:val="0"/>
      <w:marRight w:val="0"/>
      <w:marTop w:val="0"/>
      <w:marBottom w:val="0"/>
      <w:divBdr>
        <w:top w:val="none" w:sz="0" w:space="0" w:color="auto"/>
        <w:left w:val="none" w:sz="0" w:space="0" w:color="auto"/>
        <w:bottom w:val="none" w:sz="0" w:space="0" w:color="auto"/>
        <w:right w:val="none" w:sz="0" w:space="0" w:color="auto"/>
      </w:divBdr>
    </w:div>
    <w:div w:id="1477647801">
      <w:bodyDiv w:val="1"/>
      <w:marLeft w:val="0"/>
      <w:marRight w:val="0"/>
      <w:marTop w:val="0"/>
      <w:marBottom w:val="0"/>
      <w:divBdr>
        <w:top w:val="none" w:sz="0" w:space="0" w:color="auto"/>
        <w:left w:val="none" w:sz="0" w:space="0" w:color="auto"/>
        <w:bottom w:val="none" w:sz="0" w:space="0" w:color="auto"/>
        <w:right w:val="none" w:sz="0" w:space="0" w:color="auto"/>
      </w:divBdr>
    </w:div>
    <w:div w:id="1480726324">
      <w:bodyDiv w:val="1"/>
      <w:marLeft w:val="0"/>
      <w:marRight w:val="0"/>
      <w:marTop w:val="0"/>
      <w:marBottom w:val="0"/>
      <w:divBdr>
        <w:top w:val="none" w:sz="0" w:space="0" w:color="auto"/>
        <w:left w:val="none" w:sz="0" w:space="0" w:color="auto"/>
        <w:bottom w:val="none" w:sz="0" w:space="0" w:color="auto"/>
        <w:right w:val="none" w:sz="0" w:space="0" w:color="auto"/>
      </w:divBdr>
    </w:div>
    <w:div w:id="1480999231">
      <w:bodyDiv w:val="1"/>
      <w:marLeft w:val="0"/>
      <w:marRight w:val="0"/>
      <w:marTop w:val="0"/>
      <w:marBottom w:val="0"/>
      <w:divBdr>
        <w:top w:val="none" w:sz="0" w:space="0" w:color="auto"/>
        <w:left w:val="none" w:sz="0" w:space="0" w:color="auto"/>
        <w:bottom w:val="none" w:sz="0" w:space="0" w:color="auto"/>
        <w:right w:val="none" w:sz="0" w:space="0" w:color="auto"/>
      </w:divBdr>
    </w:div>
    <w:div w:id="1506356716">
      <w:bodyDiv w:val="1"/>
      <w:marLeft w:val="0"/>
      <w:marRight w:val="0"/>
      <w:marTop w:val="0"/>
      <w:marBottom w:val="0"/>
      <w:divBdr>
        <w:top w:val="none" w:sz="0" w:space="0" w:color="auto"/>
        <w:left w:val="none" w:sz="0" w:space="0" w:color="auto"/>
        <w:bottom w:val="none" w:sz="0" w:space="0" w:color="auto"/>
        <w:right w:val="none" w:sz="0" w:space="0" w:color="auto"/>
      </w:divBdr>
    </w:div>
    <w:div w:id="1509056509">
      <w:bodyDiv w:val="1"/>
      <w:marLeft w:val="0"/>
      <w:marRight w:val="0"/>
      <w:marTop w:val="0"/>
      <w:marBottom w:val="0"/>
      <w:divBdr>
        <w:top w:val="none" w:sz="0" w:space="0" w:color="auto"/>
        <w:left w:val="none" w:sz="0" w:space="0" w:color="auto"/>
        <w:bottom w:val="none" w:sz="0" w:space="0" w:color="auto"/>
        <w:right w:val="none" w:sz="0" w:space="0" w:color="auto"/>
      </w:divBdr>
    </w:div>
    <w:div w:id="1544100927">
      <w:bodyDiv w:val="1"/>
      <w:marLeft w:val="0"/>
      <w:marRight w:val="0"/>
      <w:marTop w:val="0"/>
      <w:marBottom w:val="0"/>
      <w:divBdr>
        <w:top w:val="none" w:sz="0" w:space="0" w:color="auto"/>
        <w:left w:val="none" w:sz="0" w:space="0" w:color="auto"/>
        <w:bottom w:val="none" w:sz="0" w:space="0" w:color="auto"/>
        <w:right w:val="none" w:sz="0" w:space="0" w:color="auto"/>
      </w:divBdr>
    </w:div>
    <w:div w:id="1555003383">
      <w:bodyDiv w:val="1"/>
      <w:marLeft w:val="0"/>
      <w:marRight w:val="0"/>
      <w:marTop w:val="0"/>
      <w:marBottom w:val="0"/>
      <w:divBdr>
        <w:top w:val="none" w:sz="0" w:space="0" w:color="auto"/>
        <w:left w:val="none" w:sz="0" w:space="0" w:color="auto"/>
        <w:bottom w:val="none" w:sz="0" w:space="0" w:color="auto"/>
        <w:right w:val="none" w:sz="0" w:space="0" w:color="auto"/>
      </w:divBdr>
    </w:div>
    <w:div w:id="1570115054">
      <w:bodyDiv w:val="1"/>
      <w:marLeft w:val="0"/>
      <w:marRight w:val="0"/>
      <w:marTop w:val="0"/>
      <w:marBottom w:val="0"/>
      <w:divBdr>
        <w:top w:val="none" w:sz="0" w:space="0" w:color="auto"/>
        <w:left w:val="none" w:sz="0" w:space="0" w:color="auto"/>
        <w:bottom w:val="none" w:sz="0" w:space="0" w:color="auto"/>
        <w:right w:val="none" w:sz="0" w:space="0" w:color="auto"/>
      </w:divBdr>
    </w:div>
    <w:div w:id="1574118518">
      <w:bodyDiv w:val="1"/>
      <w:marLeft w:val="0"/>
      <w:marRight w:val="0"/>
      <w:marTop w:val="0"/>
      <w:marBottom w:val="0"/>
      <w:divBdr>
        <w:top w:val="none" w:sz="0" w:space="0" w:color="auto"/>
        <w:left w:val="none" w:sz="0" w:space="0" w:color="auto"/>
        <w:bottom w:val="none" w:sz="0" w:space="0" w:color="auto"/>
        <w:right w:val="none" w:sz="0" w:space="0" w:color="auto"/>
      </w:divBdr>
    </w:div>
    <w:div w:id="1598636696">
      <w:bodyDiv w:val="1"/>
      <w:marLeft w:val="0"/>
      <w:marRight w:val="0"/>
      <w:marTop w:val="0"/>
      <w:marBottom w:val="0"/>
      <w:divBdr>
        <w:top w:val="none" w:sz="0" w:space="0" w:color="auto"/>
        <w:left w:val="none" w:sz="0" w:space="0" w:color="auto"/>
        <w:bottom w:val="none" w:sz="0" w:space="0" w:color="auto"/>
        <w:right w:val="none" w:sz="0" w:space="0" w:color="auto"/>
      </w:divBdr>
    </w:div>
    <w:div w:id="1639531775">
      <w:bodyDiv w:val="1"/>
      <w:marLeft w:val="0"/>
      <w:marRight w:val="0"/>
      <w:marTop w:val="0"/>
      <w:marBottom w:val="0"/>
      <w:divBdr>
        <w:top w:val="none" w:sz="0" w:space="0" w:color="auto"/>
        <w:left w:val="none" w:sz="0" w:space="0" w:color="auto"/>
        <w:bottom w:val="none" w:sz="0" w:space="0" w:color="auto"/>
        <w:right w:val="none" w:sz="0" w:space="0" w:color="auto"/>
      </w:divBdr>
    </w:div>
    <w:div w:id="1653943552">
      <w:bodyDiv w:val="1"/>
      <w:marLeft w:val="0"/>
      <w:marRight w:val="0"/>
      <w:marTop w:val="0"/>
      <w:marBottom w:val="0"/>
      <w:divBdr>
        <w:top w:val="none" w:sz="0" w:space="0" w:color="auto"/>
        <w:left w:val="none" w:sz="0" w:space="0" w:color="auto"/>
        <w:bottom w:val="none" w:sz="0" w:space="0" w:color="auto"/>
        <w:right w:val="none" w:sz="0" w:space="0" w:color="auto"/>
      </w:divBdr>
    </w:div>
    <w:div w:id="1658806079">
      <w:bodyDiv w:val="1"/>
      <w:marLeft w:val="0"/>
      <w:marRight w:val="0"/>
      <w:marTop w:val="0"/>
      <w:marBottom w:val="0"/>
      <w:divBdr>
        <w:top w:val="none" w:sz="0" w:space="0" w:color="auto"/>
        <w:left w:val="none" w:sz="0" w:space="0" w:color="auto"/>
        <w:bottom w:val="none" w:sz="0" w:space="0" w:color="auto"/>
        <w:right w:val="none" w:sz="0" w:space="0" w:color="auto"/>
      </w:divBdr>
    </w:div>
    <w:div w:id="1660307197">
      <w:bodyDiv w:val="1"/>
      <w:marLeft w:val="0"/>
      <w:marRight w:val="0"/>
      <w:marTop w:val="0"/>
      <w:marBottom w:val="0"/>
      <w:divBdr>
        <w:top w:val="none" w:sz="0" w:space="0" w:color="auto"/>
        <w:left w:val="none" w:sz="0" w:space="0" w:color="auto"/>
        <w:bottom w:val="none" w:sz="0" w:space="0" w:color="auto"/>
        <w:right w:val="none" w:sz="0" w:space="0" w:color="auto"/>
      </w:divBdr>
    </w:div>
    <w:div w:id="1666007092">
      <w:bodyDiv w:val="1"/>
      <w:marLeft w:val="0"/>
      <w:marRight w:val="0"/>
      <w:marTop w:val="0"/>
      <w:marBottom w:val="0"/>
      <w:divBdr>
        <w:top w:val="none" w:sz="0" w:space="0" w:color="auto"/>
        <w:left w:val="none" w:sz="0" w:space="0" w:color="auto"/>
        <w:bottom w:val="none" w:sz="0" w:space="0" w:color="auto"/>
        <w:right w:val="none" w:sz="0" w:space="0" w:color="auto"/>
      </w:divBdr>
    </w:div>
    <w:div w:id="1672639601">
      <w:bodyDiv w:val="1"/>
      <w:marLeft w:val="0"/>
      <w:marRight w:val="0"/>
      <w:marTop w:val="0"/>
      <w:marBottom w:val="0"/>
      <w:divBdr>
        <w:top w:val="none" w:sz="0" w:space="0" w:color="auto"/>
        <w:left w:val="none" w:sz="0" w:space="0" w:color="auto"/>
        <w:bottom w:val="none" w:sz="0" w:space="0" w:color="auto"/>
        <w:right w:val="none" w:sz="0" w:space="0" w:color="auto"/>
      </w:divBdr>
    </w:div>
    <w:div w:id="1676877725">
      <w:bodyDiv w:val="1"/>
      <w:marLeft w:val="0"/>
      <w:marRight w:val="0"/>
      <w:marTop w:val="0"/>
      <w:marBottom w:val="0"/>
      <w:divBdr>
        <w:top w:val="none" w:sz="0" w:space="0" w:color="auto"/>
        <w:left w:val="none" w:sz="0" w:space="0" w:color="auto"/>
        <w:bottom w:val="none" w:sz="0" w:space="0" w:color="auto"/>
        <w:right w:val="none" w:sz="0" w:space="0" w:color="auto"/>
      </w:divBdr>
    </w:div>
    <w:div w:id="1682780702">
      <w:bodyDiv w:val="1"/>
      <w:marLeft w:val="0"/>
      <w:marRight w:val="0"/>
      <w:marTop w:val="0"/>
      <w:marBottom w:val="0"/>
      <w:divBdr>
        <w:top w:val="none" w:sz="0" w:space="0" w:color="auto"/>
        <w:left w:val="none" w:sz="0" w:space="0" w:color="auto"/>
        <w:bottom w:val="none" w:sz="0" w:space="0" w:color="auto"/>
        <w:right w:val="none" w:sz="0" w:space="0" w:color="auto"/>
      </w:divBdr>
    </w:div>
    <w:div w:id="1684933771">
      <w:bodyDiv w:val="1"/>
      <w:marLeft w:val="0"/>
      <w:marRight w:val="0"/>
      <w:marTop w:val="0"/>
      <w:marBottom w:val="0"/>
      <w:divBdr>
        <w:top w:val="none" w:sz="0" w:space="0" w:color="auto"/>
        <w:left w:val="none" w:sz="0" w:space="0" w:color="auto"/>
        <w:bottom w:val="none" w:sz="0" w:space="0" w:color="auto"/>
        <w:right w:val="none" w:sz="0" w:space="0" w:color="auto"/>
      </w:divBdr>
    </w:div>
    <w:div w:id="1686515779">
      <w:bodyDiv w:val="1"/>
      <w:marLeft w:val="0"/>
      <w:marRight w:val="0"/>
      <w:marTop w:val="0"/>
      <w:marBottom w:val="0"/>
      <w:divBdr>
        <w:top w:val="none" w:sz="0" w:space="0" w:color="auto"/>
        <w:left w:val="none" w:sz="0" w:space="0" w:color="auto"/>
        <w:bottom w:val="none" w:sz="0" w:space="0" w:color="auto"/>
        <w:right w:val="none" w:sz="0" w:space="0" w:color="auto"/>
      </w:divBdr>
    </w:div>
    <w:div w:id="1696271946">
      <w:bodyDiv w:val="1"/>
      <w:marLeft w:val="0"/>
      <w:marRight w:val="0"/>
      <w:marTop w:val="0"/>
      <w:marBottom w:val="0"/>
      <w:divBdr>
        <w:top w:val="none" w:sz="0" w:space="0" w:color="auto"/>
        <w:left w:val="none" w:sz="0" w:space="0" w:color="auto"/>
        <w:bottom w:val="none" w:sz="0" w:space="0" w:color="auto"/>
        <w:right w:val="none" w:sz="0" w:space="0" w:color="auto"/>
      </w:divBdr>
    </w:div>
    <w:div w:id="1701274399">
      <w:bodyDiv w:val="1"/>
      <w:marLeft w:val="0"/>
      <w:marRight w:val="0"/>
      <w:marTop w:val="0"/>
      <w:marBottom w:val="0"/>
      <w:divBdr>
        <w:top w:val="none" w:sz="0" w:space="0" w:color="auto"/>
        <w:left w:val="none" w:sz="0" w:space="0" w:color="auto"/>
        <w:bottom w:val="none" w:sz="0" w:space="0" w:color="auto"/>
        <w:right w:val="none" w:sz="0" w:space="0" w:color="auto"/>
      </w:divBdr>
    </w:div>
    <w:div w:id="1726098101">
      <w:bodyDiv w:val="1"/>
      <w:marLeft w:val="0"/>
      <w:marRight w:val="0"/>
      <w:marTop w:val="0"/>
      <w:marBottom w:val="0"/>
      <w:divBdr>
        <w:top w:val="none" w:sz="0" w:space="0" w:color="auto"/>
        <w:left w:val="none" w:sz="0" w:space="0" w:color="auto"/>
        <w:bottom w:val="none" w:sz="0" w:space="0" w:color="auto"/>
        <w:right w:val="none" w:sz="0" w:space="0" w:color="auto"/>
      </w:divBdr>
    </w:div>
    <w:div w:id="1728651055">
      <w:bodyDiv w:val="1"/>
      <w:marLeft w:val="0"/>
      <w:marRight w:val="0"/>
      <w:marTop w:val="0"/>
      <w:marBottom w:val="0"/>
      <w:divBdr>
        <w:top w:val="none" w:sz="0" w:space="0" w:color="auto"/>
        <w:left w:val="none" w:sz="0" w:space="0" w:color="auto"/>
        <w:bottom w:val="none" w:sz="0" w:space="0" w:color="auto"/>
        <w:right w:val="none" w:sz="0" w:space="0" w:color="auto"/>
      </w:divBdr>
    </w:div>
    <w:div w:id="1730031274">
      <w:bodyDiv w:val="1"/>
      <w:marLeft w:val="0"/>
      <w:marRight w:val="0"/>
      <w:marTop w:val="0"/>
      <w:marBottom w:val="0"/>
      <w:divBdr>
        <w:top w:val="none" w:sz="0" w:space="0" w:color="auto"/>
        <w:left w:val="none" w:sz="0" w:space="0" w:color="auto"/>
        <w:bottom w:val="none" w:sz="0" w:space="0" w:color="auto"/>
        <w:right w:val="none" w:sz="0" w:space="0" w:color="auto"/>
      </w:divBdr>
    </w:div>
    <w:div w:id="1733112151">
      <w:bodyDiv w:val="1"/>
      <w:marLeft w:val="0"/>
      <w:marRight w:val="0"/>
      <w:marTop w:val="0"/>
      <w:marBottom w:val="0"/>
      <w:divBdr>
        <w:top w:val="none" w:sz="0" w:space="0" w:color="auto"/>
        <w:left w:val="none" w:sz="0" w:space="0" w:color="auto"/>
        <w:bottom w:val="none" w:sz="0" w:space="0" w:color="auto"/>
        <w:right w:val="none" w:sz="0" w:space="0" w:color="auto"/>
      </w:divBdr>
    </w:div>
    <w:div w:id="1738436401">
      <w:bodyDiv w:val="1"/>
      <w:marLeft w:val="0"/>
      <w:marRight w:val="0"/>
      <w:marTop w:val="0"/>
      <w:marBottom w:val="0"/>
      <w:divBdr>
        <w:top w:val="none" w:sz="0" w:space="0" w:color="auto"/>
        <w:left w:val="none" w:sz="0" w:space="0" w:color="auto"/>
        <w:bottom w:val="none" w:sz="0" w:space="0" w:color="auto"/>
        <w:right w:val="none" w:sz="0" w:space="0" w:color="auto"/>
      </w:divBdr>
    </w:div>
    <w:div w:id="1740209223">
      <w:bodyDiv w:val="1"/>
      <w:marLeft w:val="0"/>
      <w:marRight w:val="0"/>
      <w:marTop w:val="0"/>
      <w:marBottom w:val="0"/>
      <w:divBdr>
        <w:top w:val="none" w:sz="0" w:space="0" w:color="auto"/>
        <w:left w:val="none" w:sz="0" w:space="0" w:color="auto"/>
        <w:bottom w:val="none" w:sz="0" w:space="0" w:color="auto"/>
        <w:right w:val="none" w:sz="0" w:space="0" w:color="auto"/>
      </w:divBdr>
    </w:div>
    <w:div w:id="1792892975">
      <w:bodyDiv w:val="1"/>
      <w:marLeft w:val="0"/>
      <w:marRight w:val="0"/>
      <w:marTop w:val="0"/>
      <w:marBottom w:val="0"/>
      <w:divBdr>
        <w:top w:val="none" w:sz="0" w:space="0" w:color="auto"/>
        <w:left w:val="none" w:sz="0" w:space="0" w:color="auto"/>
        <w:bottom w:val="none" w:sz="0" w:space="0" w:color="auto"/>
        <w:right w:val="none" w:sz="0" w:space="0" w:color="auto"/>
      </w:divBdr>
    </w:div>
    <w:div w:id="1797599497">
      <w:bodyDiv w:val="1"/>
      <w:marLeft w:val="0"/>
      <w:marRight w:val="0"/>
      <w:marTop w:val="0"/>
      <w:marBottom w:val="0"/>
      <w:divBdr>
        <w:top w:val="none" w:sz="0" w:space="0" w:color="auto"/>
        <w:left w:val="none" w:sz="0" w:space="0" w:color="auto"/>
        <w:bottom w:val="none" w:sz="0" w:space="0" w:color="auto"/>
        <w:right w:val="none" w:sz="0" w:space="0" w:color="auto"/>
      </w:divBdr>
    </w:div>
    <w:div w:id="1802266774">
      <w:bodyDiv w:val="1"/>
      <w:marLeft w:val="0"/>
      <w:marRight w:val="0"/>
      <w:marTop w:val="0"/>
      <w:marBottom w:val="0"/>
      <w:divBdr>
        <w:top w:val="none" w:sz="0" w:space="0" w:color="auto"/>
        <w:left w:val="none" w:sz="0" w:space="0" w:color="auto"/>
        <w:bottom w:val="none" w:sz="0" w:space="0" w:color="auto"/>
        <w:right w:val="none" w:sz="0" w:space="0" w:color="auto"/>
      </w:divBdr>
    </w:div>
    <w:div w:id="1808432616">
      <w:bodyDiv w:val="1"/>
      <w:marLeft w:val="0"/>
      <w:marRight w:val="0"/>
      <w:marTop w:val="0"/>
      <w:marBottom w:val="0"/>
      <w:divBdr>
        <w:top w:val="none" w:sz="0" w:space="0" w:color="auto"/>
        <w:left w:val="none" w:sz="0" w:space="0" w:color="auto"/>
        <w:bottom w:val="none" w:sz="0" w:space="0" w:color="auto"/>
        <w:right w:val="none" w:sz="0" w:space="0" w:color="auto"/>
      </w:divBdr>
    </w:div>
    <w:div w:id="1811708260">
      <w:bodyDiv w:val="1"/>
      <w:marLeft w:val="0"/>
      <w:marRight w:val="0"/>
      <w:marTop w:val="0"/>
      <w:marBottom w:val="0"/>
      <w:divBdr>
        <w:top w:val="none" w:sz="0" w:space="0" w:color="auto"/>
        <w:left w:val="none" w:sz="0" w:space="0" w:color="auto"/>
        <w:bottom w:val="none" w:sz="0" w:space="0" w:color="auto"/>
        <w:right w:val="none" w:sz="0" w:space="0" w:color="auto"/>
      </w:divBdr>
    </w:div>
    <w:div w:id="1842045350">
      <w:bodyDiv w:val="1"/>
      <w:marLeft w:val="0"/>
      <w:marRight w:val="0"/>
      <w:marTop w:val="0"/>
      <w:marBottom w:val="0"/>
      <w:divBdr>
        <w:top w:val="none" w:sz="0" w:space="0" w:color="auto"/>
        <w:left w:val="none" w:sz="0" w:space="0" w:color="auto"/>
        <w:bottom w:val="none" w:sz="0" w:space="0" w:color="auto"/>
        <w:right w:val="none" w:sz="0" w:space="0" w:color="auto"/>
      </w:divBdr>
    </w:div>
    <w:div w:id="1853106015">
      <w:bodyDiv w:val="1"/>
      <w:marLeft w:val="0"/>
      <w:marRight w:val="0"/>
      <w:marTop w:val="0"/>
      <w:marBottom w:val="0"/>
      <w:divBdr>
        <w:top w:val="none" w:sz="0" w:space="0" w:color="auto"/>
        <w:left w:val="none" w:sz="0" w:space="0" w:color="auto"/>
        <w:bottom w:val="none" w:sz="0" w:space="0" w:color="auto"/>
        <w:right w:val="none" w:sz="0" w:space="0" w:color="auto"/>
      </w:divBdr>
    </w:div>
    <w:div w:id="1858810856">
      <w:bodyDiv w:val="1"/>
      <w:marLeft w:val="0"/>
      <w:marRight w:val="0"/>
      <w:marTop w:val="0"/>
      <w:marBottom w:val="0"/>
      <w:divBdr>
        <w:top w:val="none" w:sz="0" w:space="0" w:color="auto"/>
        <w:left w:val="none" w:sz="0" w:space="0" w:color="auto"/>
        <w:bottom w:val="none" w:sz="0" w:space="0" w:color="auto"/>
        <w:right w:val="none" w:sz="0" w:space="0" w:color="auto"/>
      </w:divBdr>
    </w:div>
    <w:div w:id="1863349841">
      <w:bodyDiv w:val="1"/>
      <w:marLeft w:val="0"/>
      <w:marRight w:val="0"/>
      <w:marTop w:val="0"/>
      <w:marBottom w:val="0"/>
      <w:divBdr>
        <w:top w:val="none" w:sz="0" w:space="0" w:color="auto"/>
        <w:left w:val="none" w:sz="0" w:space="0" w:color="auto"/>
        <w:bottom w:val="none" w:sz="0" w:space="0" w:color="auto"/>
        <w:right w:val="none" w:sz="0" w:space="0" w:color="auto"/>
      </w:divBdr>
    </w:div>
    <w:div w:id="1863397981">
      <w:bodyDiv w:val="1"/>
      <w:marLeft w:val="0"/>
      <w:marRight w:val="0"/>
      <w:marTop w:val="0"/>
      <w:marBottom w:val="0"/>
      <w:divBdr>
        <w:top w:val="none" w:sz="0" w:space="0" w:color="auto"/>
        <w:left w:val="none" w:sz="0" w:space="0" w:color="auto"/>
        <w:bottom w:val="none" w:sz="0" w:space="0" w:color="auto"/>
        <w:right w:val="none" w:sz="0" w:space="0" w:color="auto"/>
      </w:divBdr>
    </w:div>
    <w:div w:id="1877505507">
      <w:bodyDiv w:val="1"/>
      <w:marLeft w:val="0"/>
      <w:marRight w:val="0"/>
      <w:marTop w:val="0"/>
      <w:marBottom w:val="0"/>
      <w:divBdr>
        <w:top w:val="none" w:sz="0" w:space="0" w:color="auto"/>
        <w:left w:val="none" w:sz="0" w:space="0" w:color="auto"/>
        <w:bottom w:val="none" w:sz="0" w:space="0" w:color="auto"/>
        <w:right w:val="none" w:sz="0" w:space="0" w:color="auto"/>
      </w:divBdr>
    </w:div>
    <w:div w:id="1880556703">
      <w:bodyDiv w:val="1"/>
      <w:marLeft w:val="0"/>
      <w:marRight w:val="0"/>
      <w:marTop w:val="0"/>
      <w:marBottom w:val="0"/>
      <w:divBdr>
        <w:top w:val="none" w:sz="0" w:space="0" w:color="auto"/>
        <w:left w:val="none" w:sz="0" w:space="0" w:color="auto"/>
        <w:bottom w:val="none" w:sz="0" w:space="0" w:color="auto"/>
        <w:right w:val="none" w:sz="0" w:space="0" w:color="auto"/>
      </w:divBdr>
    </w:div>
    <w:div w:id="1901362025">
      <w:bodyDiv w:val="1"/>
      <w:marLeft w:val="0"/>
      <w:marRight w:val="0"/>
      <w:marTop w:val="0"/>
      <w:marBottom w:val="0"/>
      <w:divBdr>
        <w:top w:val="none" w:sz="0" w:space="0" w:color="auto"/>
        <w:left w:val="none" w:sz="0" w:space="0" w:color="auto"/>
        <w:bottom w:val="none" w:sz="0" w:space="0" w:color="auto"/>
        <w:right w:val="none" w:sz="0" w:space="0" w:color="auto"/>
      </w:divBdr>
    </w:div>
    <w:div w:id="1921596395">
      <w:bodyDiv w:val="1"/>
      <w:marLeft w:val="0"/>
      <w:marRight w:val="0"/>
      <w:marTop w:val="0"/>
      <w:marBottom w:val="0"/>
      <w:divBdr>
        <w:top w:val="none" w:sz="0" w:space="0" w:color="auto"/>
        <w:left w:val="none" w:sz="0" w:space="0" w:color="auto"/>
        <w:bottom w:val="none" w:sz="0" w:space="0" w:color="auto"/>
        <w:right w:val="none" w:sz="0" w:space="0" w:color="auto"/>
      </w:divBdr>
    </w:div>
    <w:div w:id="1923951290">
      <w:bodyDiv w:val="1"/>
      <w:marLeft w:val="0"/>
      <w:marRight w:val="0"/>
      <w:marTop w:val="0"/>
      <w:marBottom w:val="0"/>
      <w:divBdr>
        <w:top w:val="none" w:sz="0" w:space="0" w:color="auto"/>
        <w:left w:val="none" w:sz="0" w:space="0" w:color="auto"/>
        <w:bottom w:val="none" w:sz="0" w:space="0" w:color="auto"/>
        <w:right w:val="none" w:sz="0" w:space="0" w:color="auto"/>
      </w:divBdr>
    </w:div>
    <w:div w:id="1930121128">
      <w:bodyDiv w:val="1"/>
      <w:marLeft w:val="0"/>
      <w:marRight w:val="0"/>
      <w:marTop w:val="0"/>
      <w:marBottom w:val="0"/>
      <w:divBdr>
        <w:top w:val="none" w:sz="0" w:space="0" w:color="auto"/>
        <w:left w:val="none" w:sz="0" w:space="0" w:color="auto"/>
        <w:bottom w:val="none" w:sz="0" w:space="0" w:color="auto"/>
        <w:right w:val="none" w:sz="0" w:space="0" w:color="auto"/>
      </w:divBdr>
    </w:div>
    <w:div w:id="1939409237">
      <w:bodyDiv w:val="1"/>
      <w:marLeft w:val="0"/>
      <w:marRight w:val="0"/>
      <w:marTop w:val="0"/>
      <w:marBottom w:val="0"/>
      <w:divBdr>
        <w:top w:val="none" w:sz="0" w:space="0" w:color="auto"/>
        <w:left w:val="none" w:sz="0" w:space="0" w:color="auto"/>
        <w:bottom w:val="none" w:sz="0" w:space="0" w:color="auto"/>
        <w:right w:val="none" w:sz="0" w:space="0" w:color="auto"/>
      </w:divBdr>
    </w:div>
    <w:div w:id="1943876135">
      <w:bodyDiv w:val="1"/>
      <w:marLeft w:val="0"/>
      <w:marRight w:val="0"/>
      <w:marTop w:val="0"/>
      <w:marBottom w:val="0"/>
      <w:divBdr>
        <w:top w:val="none" w:sz="0" w:space="0" w:color="auto"/>
        <w:left w:val="none" w:sz="0" w:space="0" w:color="auto"/>
        <w:bottom w:val="none" w:sz="0" w:space="0" w:color="auto"/>
        <w:right w:val="none" w:sz="0" w:space="0" w:color="auto"/>
      </w:divBdr>
    </w:div>
    <w:div w:id="1977681954">
      <w:bodyDiv w:val="1"/>
      <w:marLeft w:val="0"/>
      <w:marRight w:val="0"/>
      <w:marTop w:val="0"/>
      <w:marBottom w:val="0"/>
      <w:divBdr>
        <w:top w:val="none" w:sz="0" w:space="0" w:color="auto"/>
        <w:left w:val="none" w:sz="0" w:space="0" w:color="auto"/>
        <w:bottom w:val="none" w:sz="0" w:space="0" w:color="auto"/>
        <w:right w:val="none" w:sz="0" w:space="0" w:color="auto"/>
      </w:divBdr>
    </w:div>
    <w:div w:id="1978875781">
      <w:bodyDiv w:val="1"/>
      <w:marLeft w:val="0"/>
      <w:marRight w:val="0"/>
      <w:marTop w:val="0"/>
      <w:marBottom w:val="0"/>
      <w:divBdr>
        <w:top w:val="none" w:sz="0" w:space="0" w:color="auto"/>
        <w:left w:val="none" w:sz="0" w:space="0" w:color="auto"/>
        <w:bottom w:val="none" w:sz="0" w:space="0" w:color="auto"/>
        <w:right w:val="none" w:sz="0" w:space="0" w:color="auto"/>
      </w:divBdr>
    </w:div>
    <w:div w:id="1988775788">
      <w:bodyDiv w:val="1"/>
      <w:marLeft w:val="0"/>
      <w:marRight w:val="0"/>
      <w:marTop w:val="0"/>
      <w:marBottom w:val="0"/>
      <w:divBdr>
        <w:top w:val="none" w:sz="0" w:space="0" w:color="auto"/>
        <w:left w:val="none" w:sz="0" w:space="0" w:color="auto"/>
        <w:bottom w:val="none" w:sz="0" w:space="0" w:color="auto"/>
        <w:right w:val="none" w:sz="0" w:space="0" w:color="auto"/>
      </w:divBdr>
    </w:div>
    <w:div w:id="1992827532">
      <w:bodyDiv w:val="1"/>
      <w:marLeft w:val="0"/>
      <w:marRight w:val="0"/>
      <w:marTop w:val="0"/>
      <w:marBottom w:val="0"/>
      <w:divBdr>
        <w:top w:val="none" w:sz="0" w:space="0" w:color="auto"/>
        <w:left w:val="none" w:sz="0" w:space="0" w:color="auto"/>
        <w:bottom w:val="none" w:sz="0" w:space="0" w:color="auto"/>
        <w:right w:val="none" w:sz="0" w:space="0" w:color="auto"/>
      </w:divBdr>
    </w:div>
    <w:div w:id="2004968216">
      <w:bodyDiv w:val="1"/>
      <w:marLeft w:val="0"/>
      <w:marRight w:val="0"/>
      <w:marTop w:val="0"/>
      <w:marBottom w:val="0"/>
      <w:divBdr>
        <w:top w:val="none" w:sz="0" w:space="0" w:color="auto"/>
        <w:left w:val="none" w:sz="0" w:space="0" w:color="auto"/>
        <w:bottom w:val="none" w:sz="0" w:space="0" w:color="auto"/>
        <w:right w:val="none" w:sz="0" w:space="0" w:color="auto"/>
      </w:divBdr>
    </w:div>
    <w:div w:id="2005237710">
      <w:bodyDiv w:val="1"/>
      <w:marLeft w:val="0"/>
      <w:marRight w:val="0"/>
      <w:marTop w:val="0"/>
      <w:marBottom w:val="0"/>
      <w:divBdr>
        <w:top w:val="none" w:sz="0" w:space="0" w:color="auto"/>
        <w:left w:val="none" w:sz="0" w:space="0" w:color="auto"/>
        <w:bottom w:val="none" w:sz="0" w:space="0" w:color="auto"/>
        <w:right w:val="none" w:sz="0" w:space="0" w:color="auto"/>
      </w:divBdr>
    </w:div>
    <w:div w:id="2011253436">
      <w:bodyDiv w:val="1"/>
      <w:marLeft w:val="0"/>
      <w:marRight w:val="0"/>
      <w:marTop w:val="0"/>
      <w:marBottom w:val="0"/>
      <w:divBdr>
        <w:top w:val="none" w:sz="0" w:space="0" w:color="auto"/>
        <w:left w:val="none" w:sz="0" w:space="0" w:color="auto"/>
        <w:bottom w:val="none" w:sz="0" w:space="0" w:color="auto"/>
        <w:right w:val="none" w:sz="0" w:space="0" w:color="auto"/>
      </w:divBdr>
    </w:div>
    <w:div w:id="2022470374">
      <w:bodyDiv w:val="1"/>
      <w:marLeft w:val="0"/>
      <w:marRight w:val="0"/>
      <w:marTop w:val="0"/>
      <w:marBottom w:val="0"/>
      <w:divBdr>
        <w:top w:val="none" w:sz="0" w:space="0" w:color="auto"/>
        <w:left w:val="none" w:sz="0" w:space="0" w:color="auto"/>
        <w:bottom w:val="none" w:sz="0" w:space="0" w:color="auto"/>
        <w:right w:val="none" w:sz="0" w:space="0" w:color="auto"/>
      </w:divBdr>
    </w:div>
    <w:div w:id="2029788340">
      <w:bodyDiv w:val="1"/>
      <w:marLeft w:val="0"/>
      <w:marRight w:val="0"/>
      <w:marTop w:val="0"/>
      <w:marBottom w:val="0"/>
      <w:divBdr>
        <w:top w:val="none" w:sz="0" w:space="0" w:color="auto"/>
        <w:left w:val="none" w:sz="0" w:space="0" w:color="auto"/>
        <w:bottom w:val="none" w:sz="0" w:space="0" w:color="auto"/>
        <w:right w:val="none" w:sz="0" w:space="0" w:color="auto"/>
      </w:divBdr>
    </w:div>
    <w:div w:id="2030522079">
      <w:bodyDiv w:val="1"/>
      <w:marLeft w:val="0"/>
      <w:marRight w:val="0"/>
      <w:marTop w:val="0"/>
      <w:marBottom w:val="0"/>
      <w:divBdr>
        <w:top w:val="none" w:sz="0" w:space="0" w:color="auto"/>
        <w:left w:val="none" w:sz="0" w:space="0" w:color="auto"/>
        <w:bottom w:val="none" w:sz="0" w:space="0" w:color="auto"/>
        <w:right w:val="none" w:sz="0" w:space="0" w:color="auto"/>
      </w:divBdr>
    </w:div>
    <w:div w:id="2035381541">
      <w:bodyDiv w:val="1"/>
      <w:marLeft w:val="0"/>
      <w:marRight w:val="0"/>
      <w:marTop w:val="0"/>
      <w:marBottom w:val="0"/>
      <w:divBdr>
        <w:top w:val="none" w:sz="0" w:space="0" w:color="auto"/>
        <w:left w:val="none" w:sz="0" w:space="0" w:color="auto"/>
        <w:bottom w:val="none" w:sz="0" w:space="0" w:color="auto"/>
        <w:right w:val="none" w:sz="0" w:space="0" w:color="auto"/>
      </w:divBdr>
    </w:div>
    <w:div w:id="2043625307">
      <w:bodyDiv w:val="1"/>
      <w:marLeft w:val="0"/>
      <w:marRight w:val="0"/>
      <w:marTop w:val="0"/>
      <w:marBottom w:val="0"/>
      <w:divBdr>
        <w:top w:val="none" w:sz="0" w:space="0" w:color="auto"/>
        <w:left w:val="none" w:sz="0" w:space="0" w:color="auto"/>
        <w:bottom w:val="none" w:sz="0" w:space="0" w:color="auto"/>
        <w:right w:val="none" w:sz="0" w:space="0" w:color="auto"/>
      </w:divBdr>
    </w:div>
    <w:div w:id="2054887814">
      <w:bodyDiv w:val="1"/>
      <w:marLeft w:val="0"/>
      <w:marRight w:val="0"/>
      <w:marTop w:val="0"/>
      <w:marBottom w:val="0"/>
      <w:divBdr>
        <w:top w:val="none" w:sz="0" w:space="0" w:color="auto"/>
        <w:left w:val="none" w:sz="0" w:space="0" w:color="auto"/>
        <w:bottom w:val="none" w:sz="0" w:space="0" w:color="auto"/>
        <w:right w:val="none" w:sz="0" w:space="0" w:color="auto"/>
      </w:divBdr>
    </w:div>
    <w:div w:id="2055344419">
      <w:bodyDiv w:val="1"/>
      <w:marLeft w:val="0"/>
      <w:marRight w:val="0"/>
      <w:marTop w:val="0"/>
      <w:marBottom w:val="0"/>
      <w:divBdr>
        <w:top w:val="none" w:sz="0" w:space="0" w:color="auto"/>
        <w:left w:val="none" w:sz="0" w:space="0" w:color="auto"/>
        <w:bottom w:val="none" w:sz="0" w:space="0" w:color="auto"/>
        <w:right w:val="none" w:sz="0" w:space="0" w:color="auto"/>
      </w:divBdr>
    </w:div>
    <w:div w:id="2071421848">
      <w:bodyDiv w:val="1"/>
      <w:marLeft w:val="0"/>
      <w:marRight w:val="0"/>
      <w:marTop w:val="0"/>
      <w:marBottom w:val="0"/>
      <w:divBdr>
        <w:top w:val="none" w:sz="0" w:space="0" w:color="auto"/>
        <w:left w:val="none" w:sz="0" w:space="0" w:color="auto"/>
        <w:bottom w:val="none" w:sz="0" w:space="0" w:color="auto"/>
        <w:right w:val="none" w:sz="0" w:space="0" w:color="auto"/>
      </w:divBdr>
    </w:div>
    <w:div w:id="2071927452">
      <w:bodyDiv w:val="1"/>
      <w:marLeft w:val="0"/>
      <w:marRight w:val="0"/>
      <w:marTop w:val="0"/>
      <w:marBottom w:val="0"/>
      <w:divBdr>
        <w:top w:val="none" w:sz="0" w:space="0" w:color="auto"/>
        <w:left w:val="none" w:sz="0" w:space="0" w:color="auto"/>
        <w:bottom w:val="none" w:sz="0" w:space="0" w:color="auto"/>
        <w:right w:val="none" w:sz="0" w:space="0" w:color="auto"/>
      </w:divBdr>
    </w:div>
    <w:div w:id="2092893514">
      <w:bodyDiv w:val="1"/>
      <w:marLeft w:val="0"/>
      <w:marRight w:val="0"/>
      <w:marTop w:val="0"/>
      <w:marBottom w:val="0"/>
      <w:divBdr>
        <w:top w:val="none" w:sz="0" w:space="0" w:color="auto"/>
        <w:left w:val="none" w:sz="0" w:space="0" w:color="auto"/>
        <w:bottom w:val="none" w:sz="0" w:space="0" w:color="auto"/>
        <w:right w:val="none" w:sz="0" w:space="0" w:color="auto"/>
      </w:divBdr>
    </w:div>
    <w:div w:id="2113547437">
      <w:bodyDiv w:val="1"/>
      <w:marLeft w:val="0"/>
      <w:marRight w:val="0"/>
      <w:marTop w:val="0"/>
      <w:marBottom w:val="0"/>
      <w:divBdr>
        <w:top w:val="none" w:sz="0" w:space="0" w:color="auto"/>
        <w:left w:val="none" w:sz="0" w:space="0" w:color="auto"/>
        <w:bottom w:val="none" w:sz="0" w:space="0" w:color="auto"/>
        <w:right w:val="none" w:sz="0" w:space="0" w:color="auto"/>
      </w:divBdr>
    </w:div>
    <w:div w:id="2129740544">
      <w:bodyDiv w:val="1"/>
      <w:marLeft w:val="0"/>
      <w:marRight w:val="0"/>
      <w:marTop w:val="0"/>
      <w:marBottom w:val="0"/>
      <w:divBdr>
        <w:top w:val="none" w:sz="0" w:space="0" w:color="auto"/>
        <w:left w:val="none" w:sz="0" w:space="0" w:color="auto"/>
        <w:bottom w:val="none" w:sz="0" w:space="0" w:color="auto"/>
        <w:right w:val="none" w:sz="0" w:space="0" w:color="auto"/>
      </w:divBdr>
    </w:div>
    <w:div w:id="2133472207">
      <w:bodyDiv w:val="1"/>
      <w:marLeft w:val="0"/>
      <w:marRight w:val="0"/>
      <w:marTop w:val="0"/>
      <w:marBottom w:val="0"/>
      <w:divBdr>
        <w:top w:val="none" w:sz="0" w:space="0" w:color="auto"/>
        <w:left w:val="none" w:sz="0" w:space="0" w:color="auto"/>
        <w:bottom w:val="none" w:sz="0" w:space="0" w:color="auto"/>
        <w:right w:val="none" w:sz="0" w:space="0" w:color="auto"/>
      </w:divBdr>
    </w:div>
    <w:div w:id="214253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www.education.vic.gov.au/training/learners/learnlocal/pages/default.aspx" TargetMode="External"/><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hyperlink" Target="http://www.education.vic.gov.au/Documents/about/research/acfepublications/hardtoreachlearn.pdf" TargetMode="External"/><Relationship Id="rId42" Type="http://schemas.openxmlformats.org/officeDocument/2006/relationships/image" Target="media/image21.emf"/><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emf"/><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www.ames.net.au/" TargetMode="External"/><Relationship Id="rId36" Type="http://schemas.openxmlformats.org/officeDocument/2006/relationships/image" Target="media/image15.emf"/><Relationship Id="rId49"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education.vic.gov.au/Documents/about/research/acfepublications/hardtoreachlearn.pdf" TargetMode="Externa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www.cae.edu.au/" TargetMode="External"/><Relationship Id="rId30" Type="http://schemas.openxmlformats.org/officeDocument/2006/relationships/hyperlink" Target="http://www.education.vic.gov.au/Documents/about/research/acfepublications/hardtoreachlearn.pdf"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yperlink" Target="http://www.education.vic.gov.au/Documents/about/research/acfepublications/hardtoreachlearn.pdf" TargetMode="External"/><Relationship Id="rId38" Type="http://schemas.openxmlformats.org/officeDocument/2006/relationships/image" Target="media/image17.emf"/><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vic.gov.au/Documents/about/research/acfepublications/hardtoreachlear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76b566cd-adb9-46c2-964b-22eba181fd0b" xsi:nil="true"/>
    <DEECD_Publisher xmlns="http://schemas.microsoft.com/sharepoint/v3">Department of Education and early Childhood Development</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f1e22bdf-3d18-4ee3-a232-8974cf02f396</TermId>
        </TermInfo>
      </Terms>
    </a319977fc8504e09982f090ae1d7c602>
    <TaxCatchAll xmlns="cb9114c1-daad-44dd-acad-30f4246641f2">
      <Value>94</Value>
      <Value>107</Value>
      <Value>128</Value>
    </TaxCatchAll>
    <DEECD_Expired xmlns="http://schemas.microsoft.com/sharepoint/v3">false</DEECD_Expired>
    <DEECD_Keywords xmlns="http://schemas.microsoft.com/sharepoint/v3">Training Market, industry skills needs, industry participation</DEECD_Keywords>
    <DEECD_Description xmlns="http://schemas.microsoft.com/sharepoint/v3">The Quarter 3 Victorian Training Market Report is the latest in an on-going series of reports aimed at providing a summary of Victorian training market performance following the introduction of the student entitlement system. </DEECD_Description>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Training Providers</TermName>
          <TermId xmlns="http://schemas.microsoft.com/office/infopath/2007/PartnerControls">4678ec9c-7948-40c9-b14d-b0149fe9985e</TermId>
        </TermInfo>
      </Terms>
    </b1688cb4a3a940449dc8286705012a42>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AE48FF2D-449D-43D4-8CDC-5E82005A575A}"/>
</file>

<file path=customXml/itemProps2.xml><?xml version="1.0" encoding="utf-8"?>
<ds:datastoreItem xmlns:ds="http://schemas.openxmlformats.org/officeDocument/2006/customXml" ds:itemID="{5EF8C8E7-DE65-4575-8E6A-A664F6BBEB0A}"/>
</file>

<file path=customXml/itemProps3.xml><?xml version="1.0" encoding="utf-8"?>
<ds:datastoreItem xmlns:ds="http://schemas.openxmlformats.org/officeDocument/2006/customXml" ds:itemID="{E487D022-C347-4907-A82E-0CC8BCFE19B1}"/>
</file>

<file path=customXml/itemProps4.xml><?xml version="1.0" encoding="utf-8"?>
<ds:datastoreItem xmlns:ds="http://schemas.openxmlformats.org/officeDocument/2006/customXml" ds:itemID="{2BAE7186-0A60-47C6-A2EF-C2BEE61000B7}"/>
</file>

<file path=docProps/app.xml><?xml version="1.0" encoding="utf-8"?>
<Properties xmlns="http://schemas.openxmlformats.org/officeDocument/2006/extended-properties" xmlns:vt="http://schemas.openxmlformats.org/officeDocument/2006/docPropsVTypes">
  <Template>Normal.dotm</Template>
  <TotalTime>0</TotalTime>
  <Pages>63</Pages>
  <Words>16452</Words>
  <Characters>92402</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Report</vt:lpstr>
    </vt:vector>
  </TitlesOfParts>
  <Company>DEECD</Company>
  <LinksUpToDate>false</LinksUpToDate>
  <CharactersWithSpaces>108637</CharactersWithSpaces>
  <SharedDoc>false</SharedDoc>
  <HyperlinkBase>http://www.education.vic.gov.au/training/providers/market/Pages/reports.aspx</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Training Market Quaterly Report - Q3 2013</dc:title>
  <dc:creator>DEECD</dc:creator>
  <cp:lastModifiedBy>Miller, Peter A</cp:lastModifiedBy>
  <cp:revision>2</cp:revision>
  <cp:lastPrinted>2013-11-25T23:12:00Z</cp:lastPrinted>
  <dcterms:created xsi:type="dcterms:W3CDTF">2013-11-28T02:10:00Z</dcterms:created>
  <dcterms:modified xsi:type="dcterms:W3CDTF">2013-11-28T02:10:00Z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 ver">
    <vt:lpwstr>19</vt:lpwstr>
  </property>
  <property fmtid="{D5CDD505-2E9C-101B-9397-08002B2CF9AE}" pid="3" name="Word Ver">
    <vt:lpwstr>2003</vt:lpwstr>
  </property>
  <property fmtid="{D5CDD505-2E9C-101B-9397-08002B2CF9AE}" pid="4" name="ContentTypeId">
    <vt:lpwstr>0x0101008840106FE30D4F50BC61A726A7CA6E3800A01D47DD30CBB54F95863B7DC80A2CEC</vt:lpwstr>
  </property>
  <property fmtid="{D5CDD505-2E9C-101B-9397-08002B2CF9AE}" pid="5" name="PublishingExpirationDate">
    <vt:lpwstr/>
  </property>
  <property fmtid="{D5CDD505-2E9C-101B-9397-08002B2CF9AE}" pid="6" name="PublishingStartDate">
    <vt:lpwstr/>
  </property>
  <property fmtid="{D5CDD505-2E9C-101B-9397-08002B2CF9AE}" pid="7" name="Visible">
    <vt:lpwstr>1</vt:lpwstr>
  </property>
  <property fmtid="{D5CDD505-2E9C-101B-9397-08002B2CF9AE}" pid="8" name="FooterText_Name">
    <vt:lpwstr>Victorian Training Market Quarterly Report</vt:lpwstr>
  </property>
  <property fmtid="{D5CDD505-2E9C-101B-9397-08002B2CF9AE}" pid="9" name="FooterText_Period">
    <vt:lpwstr>Q3 2012</vt:lpwstr>
  </property>
  <property fmtid="{D5CDD505-2E9C-101B-9397-08002B2CF9AE}" pid="10" name="DEECD_Author">
    <vt:lpwstr>94;#Education|5232e41c-5101-41fe-b638-7d41d1371531</vt:lpwstr>
  </property>
  <property fmtid="{D5CDD505-2E9C-101B-9397-08002B2CF9AE}" pid="11" name="DEECD_ItemType">
    <vt:lpwstr>107;#Report|f1e22bdf-3d18-4ee3-a232-8974cf02f396</vt:lpwstr>
  </property>
  <property fmtid="{D5CDD505-2E9C-101B-9397-08002B2CF9AE}" pid="12" name="DEECD_SubjectCategory">
    <vt:lpwstr/>
  </property>
  <property fmtid="{D5CDD505-2E9C-101B-9397-08002B2CF9AE}" pid="13" name="DEECD_Audience">
    <vt:lpwstr>128;#Training Providers|4678ec9c-7948-40c9-b14d-b0149fe9985e</vt:lpwstr>
  </property>
</Properties>
</file>