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23FF5" w:rsidRDefault="00F23FF5" w:rsidP="00772A0C">
      <w:pPr>
        <w:rPr>
          <w:b/>
          <w:sz w:val="28"/>
          <w:szCs w:val="28"/>
        </w:rPr>
      </w:pPr>
      <w:r w:rsidRPr="001E15D0">
        <w:rPr>
          <w:b/>
          <w:noProof/>
          <w:sz w:val="28"/>
          <w:szCs w:val="28"/>
          <w:lang w:eastAsia="en-AU"/>
        </w:rPr>
        <mc:AlternateContent>
          <mc:Choice Requires="wps">
            <w:drawing>
              <wp:anchor distT="0" distB="0" distL="114300" distR="114300" simplePos="0" relativeHeight="251659264" behindDoc="0" locked="0" layoutInCell="1" allowOverlap="1" wp14:anchorId="3969BD16" wp14:editId="2887BF79">
                <wp:simplePos x="0" y="0"/>
                <wp:positionH relativeFrom="column">
                  <wp:posOffset>4929643</wp:posOffset>
                </wp:positionH>
                <wp:positionV relativeFrom="paragraph">
                  <wp:posOffset>-367665</wp:posOffset>
                </wp:positionV>
                <wp:extent cx="1160890" cy="970059"/>
                <wp:effectExtent l="0" t="0" r="127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890" cy="970059"/>
                        </a:xfrm>
                        <a:prstGeom prst="rect">
                          <a:avLst/>
                        </a:prstGeom>
                        <a:solidFill>
                          <a:srgbClr val="FFFFFF"/>
                        </a:solidFill>
                        <a:ln w="9525">
                          <a:noFill/>
                          <a:miter lim="800000"/>
                          <a:headEnd/>
                          <a:tailEnd/>
                        </a:ln>
                      </wps:spPr>
                      <wps:txbx>
                        <w:txbxContent>
                          <w:p w:rsidR="00772A0C" w:rsidRDefault="00772A0C" w:rsidP="00F23FF5">
                            <w:r>
                              <w:rPr>
                                <w:b/>
                                <w:noProof/>
                                <w:sz w:val="28"/>
                                <w:szCs w:val="28"/>
                                <w:lang w:eastAsia="en-AU"/>
                              </w:rPr>
                              <w:drawing>
                                <wp:inline distT="0" distB="0" distL="0" distR="0" wp14:anchorId="492652C7" wp14:editId="5E427143">
                                  <wp:extent cx="1065365" cy="99611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e_logo_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5365" cy="99611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69BD16" id="_x0000_t202" coordsize="21600,21600" o:spt="202" path="m,l,21600r21600,l21600,xe">
                <v:stroke joinstyle="miter"/>
                <v:path gradientshapeok="t" o:connecttype="rect"/>
              </v:shapetype>
              <v:shape id="Text Box 2" o:spid="_x0000_s1026" type="#_x0000_t202" style="position:absolute;margin-left:388.15pt;margin-top:-28.95pt;width:91.4pt;height: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" stroked="f">
                <v:textbox>
                  <w:txbxContent>
                    <w:p w:rsidR="00772A0C" w:rsidRDefault="00772A0C" w:rsidP="00F23FF5">
                      <w:r>
                        <w:rPr>
                          <w:b/>
                          <w:noProof/>
                          <w:sz w:val="28"/>
                          <w:szCs w:val="28"/>
                          <w:lang w:eastAsia="en-AU"/>
                        </w:rPr>
                        <w:drawing>
                          <wp:inline distT="0" distB="0" distL="0" distR="0" wp14:anchorId="492652C7" wp14:editId="5E427143">
                            <wp:extent cx="1065365" cy="99611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e_logo_blac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5365" cy="996116"/>
                                    </a:xfrm>
                                    <a:prstGeom prst="rect">
                                      <a:avLst/>
                                    </a:prstGeom>
                                  </pic:spPr>
                                </pic:pic>
                              </a:graphicData>
                            </a:graphic>
                          </wp:inline>
                        </w:drawing>
                      </w:r>
                    </w:p>
                  </w:txbxContent>
                </v:textbox>
              </v:shape>
            </w:pict>
          </mc:Fallback>
        </mc:AlternateContent>
      </w:r>
      <w:r>
        <w:rPr>
          <w:b/>
          <w:sz w:val="28"/>
          <w:szCs w:val="28"/>
        </w:rPr>
        <w:t xml:space="preserve">Advice to providers to support targeting pre-accredited delivery </w:t>
      </w:r>
      <w:r>
        <w:rPr>
          <w:b/>
          <w:sz w:val="28"/>
          <w:szCs w:val="28"/>
        </w:rPr>
        <w:br/>
        <w:t>to priority learner groups</w:t>
      </w:r>
    </w:p>
    <w:p w:rsidR="00F23FF5" w:rsidRDefault="00F23FF5" w:rsidP="00F23FF5">
      <w:pPr>
        <w:rPr>
          <w:b/>
          <w:sz w:val="28"/>
          <w:szCs w:val="28"/>
        </w:rPr>
      </w:pPr>
      <w:r>
        <w:rPr>
          <w:b/>
          <w:sz w:val="28"/>
          <w:szCs w:val="28"/>
        </w:rPr>
        <w:t>Hume</w:t>
      </w:r>
      <w:r w:rsidRPr="00EE3BC1">
        <w:rPr>
          <w:b/>
          <w:sz w:val="28"/>
          <w:szCs w:val="28"/>
        </w:rPr>
        <w:t xml:space="preserve"> Regional Council</w:t>
      </w:r>
      <w:r>
        <w:rPr>
          <w:b/>
          <w:sz w:val="28"/>
          <w:szCs w:val="28"/>
        </w:rPr>
        <w:t xml:space="preserve"> area</w:t>
      </w:r>
    </w:p>
    <w:tbl>
      <w:tblPr>
        <w:tblStyle w:val="TableGrid"/>
        <w:tblW w:w="0" w:type="auto"/>
        <w:tblLook w:val="04A0" w:firstRow="1" w:lastRow="0" w:firstColumn="1" w:lastColumn="0" w:noHBand="0" w:noVBand="1"/>
      </w:tblPr>
      <w:tblGrid>
        <w:gridCol w:w="8682"/>
      </w:tblGrid>
      <w:tr w:rsidR="00F23FF5" w:rsidTr="00F23FF5">
        <w:tc>
          <w:tcPr>
            <w:tcW w:w="8682" w:type="dxa"/>
            <w:shd w:val="clear" w:color="auto" w:fill="000000" w:themeFill="text1"/>
          </w:tcPr>
          <w:p w:rsidR="00F23FF5" w:rsidRPr="00EB5D28" w:rsidRDefault="00F23FF5" w:rsidP="00F23FF5">
            <w:pPr>
              <w:jc w:val="both"/>
              <w:rPr>
                <w:b/>
              </w:rPr>
            </w:pPr>
            <w:r w:rsidRPr="00EB5D28">
              <w:rPr>
                <w:b/>
              </w:rPr>
              <w:t>REGIONAL CONTEXT</w:t>
            </w:r>
          </w:p>
        </w:tc>
      </w:tr>
      <w:tr w:rsidR="00E34BF8" w:rsidTr="00E34BF8">
        <w:tc>
          <w:tcPr>
            <w:tcW w:w="8682" w:type="dxa"/>
          </w:tcPr>
          <w:p w:rsidR="006305DC" w:rsidRPr="00751A55" w:rsidRDefault="00E34BF8" w:rsidP="00772A0C">
            <w:pPr>
              <w:spacing w:after="120"/>
              <w:rPr>
                <w:rFonts w:eastAsiaTheme="minorEastAsia"/>
                <w:lang w:val="en-US" w:eastAsia="ja-JP"/>
              </w:rPr>
            </w:pPr>
            <w:r w:rsidRPr="00751A55">
              <w:rPr>
                <w:rFonts w:eastAsiaTheme="minorEastAsia"/>
                <w:lang w:val="en-US" w:eastAsia="ja-JP"/>
              </w:rPr>
              <w:t xml:space="preserve">There are a number of </w:t>
            </w:r>
            <w:r w:rsidRPr="00751A55">
              <w:rPr>
                <w:rFonts w:eastAsiaTheme="minorEastAsia"/>
                <w:b/>
                <w:lang w:val="en-US" w:eastAsia="ja-JP"/>
              </w:rPr>
              <w:t xml:space="preserve">key </w:t>
            </w:r>
            <w:r>
              <w:rPr>
                <w:rFonts w:eastAsiaTheme="minorEastAsia"/>
                <w:b/>
                <w:lang w:val="en-US" w:eastAsia="ja-JP"/>
              </w:rPr>
              <w:t xml:space="preserve">change drivers </w:t>
            </w:r>
            <w:r w:rsidRPr="00751A55">
              <w:rPr>
                <w:rFonts w:eastAsiaTheme="minorEastAsia"/>
                <w:lang w:val="en-US" w:eastAsia="ja-JP"/>
              </w:rPr>
              <w:t>that ar</w:t>
            </w:r>
            <w:r>
              <w:rPr>
                <w:rFonts w:eastAsiaTheme="minorEastAsia"/>
                <w:lang w:val="en-US" w:eastAsia="ja-JP"/>
              </w:rPr>
              <w:t>e relevant to the provision of pre-accredited progra</w:t>
            </w:r>
            <w:r w:rsidR="006305DC">
              <w:rPr>
                <w:rFonts w:eastAsiaTheme="minorEastAsia"/>
                <w:lang w:val="en-US" w:eastAsia="ja-JP"/>
              </w:rPr>
              <w:t>ms in the Hume Region</w:t>
            </w:r>
            <w:r w:rsidR="00BE11C0">
              <w:rPr>
                <w:rFonts w:eastAsiaTheme="minorEastAsia"/>
                <w:lang w:val="en-US" w:eastAsia="ja-JP"/>
              </w:rPr>
              <w:t>.</w:t>
            </w:r>
          </w:p>
          <w:p w:rsidR="00E34BF8" w:rsidRPr="00751A55" w:rsidRDefault="00E34BF8" w:rsidP="00772A0C">
            <w:pPr>
              <w:spacing w:after="120"/>
              <w:rPr>
                <w:rFonts w:eastAsiaTheme="minorEastAsia"/>
                <w:lang w:val="en-US" w:eastAsia="ja-JP"/>
              </w:rPr>
            </w:pPr>
            <w:r w:rsidRPr="00751A55">
              <w:rPr>
                <w:rFonts w:eastAsiaTheme="minorEastAsia"/>
                <w:b/>
                <w:lang w:val="en-US" w:eastAsia="ja-JP"/>
              </w:rPr>
              <w:t xml:space="preserve">Hume Strategy for Sustainable Communities 2010-2020 </w:t>
            </w:r>
            <w:r w:rsidRPr="00751A55">
              <w:rPr>
                <w:rFonts w:eastAsiaTheme="minorEastAsia"/>
                <w:lang w:val="en-US" w:eastAsia="ja-JP"/>
              </w:rPr>
              <w:t>articulates</w:t>
            </w:r>
            <w:r>
              <w:rPr>
                <w:rFonts w:eastAsiaTheme="minorEastAsia"/>
                <w:lang w:val="en-US" w:eastAsia="ja-JP"/>
              </w:rPr>
              <w:t xml:space="preserve"> the vision for the Hume region as resilient, diverse and thriving. </w:t>
            </w:r>
            <w:r w:rsidR="00F23FF5">
              <w:rPr>
                <w:rFonts w:eastAsiaTheme="minorEastAsia"/>
                <w:lang w:val="en-US" w:eastAsia="ja-JP"/>
              </w:rPr>
              <w:t>I</w:t>
            </w:r>
            <w:r>
              <w:rPr>
                <w:rFonts w:eastAsiaTheme="minorEastAsia"/>
                <w:lang w:val="en-US" w:eastAsia="ja-JP"/>
              </w:rPr>
              <w:t>t</w:t>
            </w:r>
            <w:r w:rsidRPr="00751A55">
              <w:rPr>
                <w:rFonts w:eastAsiaTheme="minorEastAsia"/>
                <w:lang w:val="en-US" w:eastAsia="ja-JP"/>
              </w:rPr>
              <w:t xml:space="preserve"> identifies five themes Environment, Communities, Economy, Transport and Land Use</w:t>
            </w:r>
            <w:r w:rsidR="00772A0C">
              <w:rPr>
                <w:rFonts w:eastAsiaTheme="minorEastAsia"/>
                <w:lang w:val="en-US" w:eastAsia="ja-JP"/>
              </w:rPr>
              <w:t>. The</w:t>
            </w:r>
            <w:r w:rsidRPr="00751A55">
              <w:rPr>
                <w:rFonts w:eastAsiaTheme="minorEastAsia"/>
                <w:lang w:val="en-US" w:eastAsia="ja-JP"/>
              </w:rPr>
              <w:t xml:space="preserve"> most applicable key directions</w:t>
            </w:r>
            <w:r w:rsidR="00C26F64">
              <w:rPr>
                <w:rFonts w:eastAsiaTheme="minorEastAsia"/>
                <w:lang w:val="en-US" w:eastAsia="ja-JP"/>
              </w:rPr>
              <w:t xml:space="preserve"> to Learn Locals are</w:t>
            </w:r>
            <w:r w:rsidRPr="00751A55">
              <w:rPr>
                <w:rFonts w:eastAsiaTheme="minorEastAsia"/>
                <w:lang w:val="en-US" w:eastAsia="ja-JP"/>
              </w:rPr>
              <w:t>:</w:t>
            </w:r>
          </w:p>
          <w:p w:rsidR="00E34BF8" w:rsidRPr="00751A55" w:rsidRDefault="00E34BF8" w:rsidP="00772A0C">
            <w:pPr>
              <w:tabs>
                <w:tab w:val="left" w:pos="765"/>
                <w:tab w:val="left" w:pos="1020"/>
              </w:tabs>
              <w:spacing w:after="120"/>
              <w:ind w:firstLine="22"/>
              <w:rPr>
                <w:rFonts w:eastAsiaTheme="minorEastAsia"/>
                <w:b/>
                <w:lang w:val="en-US" w:eastAsia="ja-JP"/>
              </w:rPr>
            </w:pPr>
            <w:r w:rsidRPr="00751A55">
              <w:rPr>
                <w:rFonts w:eastAsiaTheme="minorEastAsia"/>
                <w:b/>
                <w:lang w:val="en-US" w:eastAsia="ja-JP"/>
              </w:rPr>
              <w:t>Communities</w:t>
            </w:r>
          </w:p>
          <w:p w:rsidR="00E34BF8" w:rsidRPr="00772A0C" w:rsidRDefault="00E34BF8" w:rsidP="00772A0C">
            <w:pPr>
              <w:pStyle w:val="ListParagraph"/>
              <w:numPr>
                <w:ilvl w:val="0"/>
                <w:numId w:val="18"/>
              </w:numPr>
              <w:tabs>
                <w:tab w:val="left" w:pos="765"/>
                <w:tab w:val="left" w:pos="1020"/>
              </w:tabs>
              <w:spacing w:after="120"/>
              <w:rPr>
                <w:rFonts w:eastAsiaTheme="minorEastAsia"/>
                <w:i/>
                <w:lang w:val="en-US" w:eastAsia="ja-JP"/>
              </w:rPr>
            </w:pPr>
            <w:r w:rsidRPr="00772A0C">
              <w:rPr>
                <w:rFonts w:eastAsiaTheme="minorEastAsia"/>
                <w:i/>
                <w:lang w:val="en-US" w:eastAsia="ja-JP"/>
              </w:rPr>
              <w:t>Embracing Lea</w:t>
            </w:r>
            <w:r w:rsidR="00772A0C" w:rsidRPr="00772A0C">
              <w:rPr>
                <w:rFonts w:eastAsiaTheme="minorEastAsia"/>
                <w:i/>
                <w:lang w:val="en-US" w:eastAsia="ja-JP"/>
              </w:rPr>
              <w:t>r</w:t>
            </w:r>
            <w:r w:rsidRPr="00772A0C">
              <w:rPr>
                <w:rFonts w:eastAsiaTheme="minorEastAsia"/>
                <w:i/>
                <w:lang w:val="en-US" w:eastAsia="ja-JP"/>
              </w:rPr>
              <w:t>ning for life</w:t>
            </w:r>
          </w:p>
          <w:p w:rsidR="00E34BF8" w:rsidRPr="00772A0C" w:rsidRDefault="00E34BF8" w:rsidP="00772A0C">
            <w:pPr>
              <w:pStyle w:val="ListParagraph"/>
              <w:numPr>
                <w:ilvl w:val="0"/>
                <w:numId w:val="18"/>
              </w:numPr>
              <w:tabs>
                <w:tab w:val="left" w:pos="765"/>
                <w:tab w:val="left" w:pos="1020"/>
              </w:tabs>
              <w:spacing w:after="120"/>
              <w:rPr>
                <w:rFonts w:eastAsiaTheme="minorEastAsia"/>
                <w:i/>
                <w:lang w:val="en-US" w:eastAsia="ja-JP"/>
              </w:rPr>
            </w:pPr>
            <w:r w:rsidRPr="00772A0C">
              <w:rPr>
                <w:rFonts w:eastAsiaTheme="minorEastAsia"/>
                <w:i/>
                <w:lang w:val="en-US" w:eastAsia="ja-JP"/>
              </w:rPr>
              <w:t>Developing innovative and flexible service delivery models</w:t>
            </w:r>
          </w:p>
          <w:p w:rsidR="00E34BF8" w:rsidRPr="00772A0C" w:rsidRDefault="00E34BF8" w:rsidP="00772A0C">
            <w:pPr>
              <w:pStyle w:val="ListParagraph"/>
              <w:numPr>
                <w:ilvl w:val="0"/>
                <w:numId w:val="18"/>
              </w:numPr>
              <w:tabs>
                <w:tab w:val="left" w:pos="765"/>
                <w:tab w:val="left" w:pos="1020"/>
              </w:tabs>
              <w:spacing w:after="120"/>
              <w:rPr>
                <w:rFonts w:eastAsiaTheme="minorEastAsia"/>
                <w:i/>
                <w:lang w:val="en-US" w:eastAsia="ja-JP"/>
              </w:rPr>
            </w:pPr>
            <w:r w:rsidRPr="00772A0C">
              <w:rPr>
                <w:rFonts w:eastAsiaTheme="minorEastAsia"/>
                <w:i/>
                <w:lang w:val="en-US" w:eastAsia="ja-JP"/>
              </w:rPr>
              <w:t>Strengthening</w:t>
            </w:r>
            <w:r w:rsidRPr="00772A0C">
              <w:rPr>
                <w:rFonts w:eastAsiaTheme="minorEastAsia"/>
                <w:lang w:val="en-US" w:eastAsia="ja-JP"/>
              </w:rPr>
              <w:t xml:space="preserve"> </w:t>
            </w:r>
            <w:r w:rsidRPr="00772A0C">
              <w:rPr>
                <w:rFonts w:eastAsiaTheme="minorEastAsia"/>
                <w:i/>
                <w:lang w:val="en-US" w:eastAsia="ja-JP"/>
              </w:rPr>
              <w:t>communities, increasing resilience and enhancing livability</w:t>
            </w:r>
          </w:p>
          <w:p w:rsidR="00E34BF8" w:rsidRPr="00751A55" w:rsidRDefault="00E34BF8" w:rsidP="00772A0C">
            <w:pPr>
              <w:tabs>
                <w:tab w:val="left" w:pos="765"/>
                <w:tab w:val="left" w:pos="1020"/>
              </w:tabs>
              <w:spacing w:after="120"/>
              <w:ind w:firstLine="22"/>
              <w:rPr>
                <w:rFonts w:eastAsiaTheme="minorEastAsia"/>
                <w:b/>
                <w:lang w:val="en-US" w:eastAsia="ja-JP"/>
              </w:rPr>
            </w:pPr>
            <w:r w:rsidRPr="00751A55">
              <w:rPr>
                <w:rFonts w:eastAsiaTheme="minorEastAsia"/>
                <w:b/>
                <w:lang w:val="en-US" w:eastAsia="ja-JP"/>
              </w:rPr>
              <w:t>Economy</w:t>
            </w:r>
          </w:p>
          <w:p w:rsidR="00E34BF8" w:rsidRPr="00751A55" w:rsidRDefault="00E34BF8" w:rsidP="00772A0C">
            <w:pPr>
              <w:numPr>
                <w:ilvl w:val="0"/>
                <w:numId w:val="20"/>
              </w:numPr>
              <w:tabs>
                <w:tab w:val="left" w:pos="765"/>
                <w:tab w:val="left" w:pos="1020"/>
              </w:tabs>
              <w:spacing w:after="120"/>
              <w:contextualSpacing/>
              <w:rPr>
                <w:rFonts w:eastAsiaTheme="minorEastAsia"/>
                <w:i/>
                <w:lang w:val="en-US" w:eastAsia="ja-JP"/>
              </w:rPr>
            </w:pPr>
            <w:r w:rsidRPr="00751A55">
              <w:rPr>
                <w:rFonts w:eastAsiaTheme="minorEastAsia"/>
                <w:i/>
                <w:lang w:val="en-US" w:eastAsia="ja-JP"/>
              </w:rPr>
              <w:t>Strengthening a capable workforce</w:t>
            </w:r>
          </w:p>
          <w:p w:rsidR="00E34BF8" w:rsidRPr="00751A55" w:rsidRDefault="00E34BF8" w:rsidP="00772A0C">
            <w:pPr>
              <w:numPr>
                <w:ilvl w:val="0"/>
                <w:numId w:val="20"/>
              </w:numPr>
              <w:tabs>
                <w:tab w:val="left" w:pos="765"/>
                <w:tab w:val="left" w:pos="1020"/>
              </w:tabs>
              <w:spacing w:after="120"/>
              <w:contextualSpacing/>
              <w:rPr>
                <w:rFonts w:eastAsiaTheme="minorEastAsia"/>
                <w:i/>
                <w:lang w:val="en-US" w:eastAsia="ja-JP"/>
              </w:rPr>
            </w:pPr>
            <w:r w:rsidRPr="00751A55">
              <w:rPr>
                <w:rFonts w:eastAsiaTheme="minorEastAsia"/>
                <w:i/>
                <w:lang w:val="en-US" w:eastAsia="ja-JP"/>
              </w:rPr>
              <w:t>Adapting and diversifying agriculture in an environment of change</w:t>
            </w:r>
          </w:p>
          <w:p w:rsidR="00E34BF8" w:rsidRPr="00BE11C0" w:rsidRDefault="00E34BF8" w:rsidP="00C26F64">
            <w:pPr>
              <w:numPr>
                <w:ilvl w:val="0"/>
                <w:numId w:val="20"/>
              </w:numPr>
              <w:tabs>
                <w:tab w:val="left" w:pos="765"/>
                <w:tab w:val="left" w:pos="1020"/>
              </w:tabs>
              <w:spacing w:after="120"/>
              <w:ind w:left="380" w:hanging="357"/>
              <w:rPr>
                <w:rFonts w:eastAsiaTheme="minorEastAsia"/>
                <w:i/>
                <w:lang w:val="en-US" w:eastAsia="ja-JP"/>
              </w:rPr>
            </w:pPr>
            <w:r w:rsidRPr="00751A55">
              <w:rPr>
                <w:rFonts w:eastAsiaTheme="minorEastAsia"/>
                <w:i/>
                <w:lang w:val="en-US" w:eastAsia="ja-JP"/>
              </w:rPr>
              <w:t>Facilitating research and innovation in tourism, manufacturing an industry to encourage new and evolving business</w:t>
            </w:r>
          </w:p>
          <w:p w:rsidR="00E34BF8" w:rsidRDefault="00E34BF8" w:rsidP="00772A0C">
            <w:pPr>
              <w:spacing w:after="120"/>
              <w:rPr>
                <w:rFonts w:eastAsiaTheme="minorEastAsia"/>
                <w:lang w:val="en-US" w:eastAsia="ja-JP"/>
              </w:rPr>
            </w:pPr>
            <w:r w:rsidRPr="00751A55">
              <w:rPr>
                <w:rFonts w:eastAsiaTheme="minorEastAsia"/>
                <w:b/>
                <w:lang w:val="en-US" w:eastAsia="ja-JP"/>
              </w:rPr>
              <w:t>Hume Region Workforce Development Plan 2015-18</w:t>
            </w:r>
            <w:r w:rsidRPr="00751A55">
              <w:rPr>
                <w:rFonts w:eastAsiaTheme="minorEastAsia"/>
                <w:lang w:val="en-US" w:eastAsia="ja-JP"/>
              </w:rPr>
              <w:t xml:space="preserve"> aim is to</w:t>
            </w:r>
            <w:r w:rsidRPr="00751A55">
              <w:rPr>
                <w:rFonts w:eastAsiaTheme="minorEastAsia"/>
                <w:b/>
                <w:lang w:val="en-US" w:eastAsia="ja-JP"/>
              </w:rPr>
              <w:t xml:space="preserve"> </w:t>
            </w:r>
            <w:r w:rsidRPr="00751A55">
              <w:rPr>
                <w:rFonts w:eastAsiaTheme="minorEastAsia"/>
                <w:i/>
                <w:lang w:val="en-US" w:eastAsia="ja-JP"/>
              </w:rPr>
              <w:t xml:space="preserve">better align regional skills with current and future industry workforce needs across the state </w:t>
            </w:r>
            <w:r w:rsidRPr="00751A55">
              <w:rPr>
                <w:rFonts w:eastAsiaTheme="minorEastAsia"/>
                <w:lang w:val="en-US" w:eastAsia="ja-JP"/>
              </w:rPr>
              <w:t>for</w:t>
            </w:r>
            <w:r>
              <w:rPr>
                <w:rFonts w:eastAsiaTheme="minorEastAsia"/>
                <w:lang w:val="en-US" w:eastAsia="ja-JP"/>
              </w:rPr>
              <w:t xml:space="preserve"> a number of sectors including agriculture, h</w:t>
            </w:r>
            <w:r w:rsidRPr="00751A55">
              <w:rPr>
                <w:rFonts w:eastAsiaTheme="minorEastAsia"/>
                <w:lang w:val="en-US" w:eastAsia="ja-JP"/>
              </w:rPr>
              <w:t>ealth, age</w:t>
            </w:r>
            <w:r>
              <w:rPr>
                <w:rFonts w:eastAsiaTheme="minorEastAsia"/>
                <w:lang w:val="en-US" w:eastAsia="ja-JP"/>
              </w:rPr>
              <w:t>d care and community services, manufacturing and t</w:t>
            </w:r>
            <w:r w:rsidRPr="00751A55">
              <w:rPr>
                <w:rFonts w:eastAsiaTheme="minorEastAsia"/>
                <w:lang w:val="en-US" w:eastAsia="ja-JP"/>
              </w:rPr>
              <w:t>ransport, warehousing and logistics</w:t>
            </w:r>
            <w:r>
              <w:rPr>
                <w:rFonts w:eastAsiaTheme="minorEastAsia"/>
                <w:lang w:val="en-US" w:eastAsia="ja-JP"/>
              </w:rPr>
              <w:t>.</w:t>
            </w:r>
          </w:p>
          <w:p w:rsidR="003538FB" w:rsidRPr="00751A55" w:rsidRDefault="00E34BF8" w:rsidP="00772A0C">
            <w:pPr>
              <w:spacing w:after="120"/>
              <w:rPr>
                <w:rFonts w:eastAsiaTheme="minorEastAsia"/>
                <w:lang w:val="en-US" w:eastAsia="ja-JP"/>
              </w:rPr>
            </w:pPr>
            <w:r w:rsidRPr="00751A55">
              <w:rPr>
                <w:rFonts w:eastAsiaTheme="minorEastAsia"/>
                <w:lang w:val="en-US" w:eastAsia="ja-JP"/>
              </w:rPr>
              <w:t xml:space="preserve">A key anticipated outcome of the Plan is that there will be </w:t>
            </w:r>
            <w:r w:rsidRPr="00751A55">
              <w:rPr>
                <w:rFonts w:eastAsiaTheme="minorEastAsia"/>
                <w:i/>
                <w:lang w:val="en-US" w:eastAsia="ja-JP"/>
              </w:rPr>
              <w:t>defined pathways to employment (and re-employment) for school leavers, disadvantaged communities and older workers</w:t>
            </w:r>
            <w:r w:rsidRPr="00751A55">
              <w:rPr>
                <w:rFonts w:eastAsiaTheme="minorEastAsia"/>
                <w:lang w:val="en-US" w:eastAsia="ja-JP"/>
              </w:rPr>
              <w:t xml:space="preserve">. </w:t>
            </w:r>
            <w:r w:rsidR="003538FB" w:rsidRPr="00751A55">
              <w:rPr>
                <w:rFonts w:eastAsiaTheme="minorEastAsia"/>
                <w:lang w:val="en-US" w:eastAsia="ja-JP"/>
              </w:rPr>
              <w:t xml:space="preserve">There are many opportunities for LLOs to be involved in the implementation of this Plan, to build and </w:t>
            </w:r>
            <w:r w:rsidR="003538FB" w:rsidRPr="0020374B">
              <w:rPr>
                <w:rFonts w:eastAsiaTheme="minorEastAsia"/>
                <w:lang w:val="en-US" w:eastAsia="ja-JP"/>
              </w:rPr>
              <w:t>stimulate effective workforce development and planning through regional partnerships and collaborations.</w:t>
            </w:r>
            <w:r w:rsidR="003538FB">
              <w:rPr>
                <w:rFonts w:eastAsiaTheme="minorEastAsia"/>
                <w:lang w:val="en-US" w:eastAsia="ja-JP"/>
              </w:rPr>
              <w:t xml:space="preserve"> </w:t>
            </w:r>
          </w:p>
          <w:p w:rsidR="00E34BF8" w:rsidRPr="00751A55" w:rsidRDefault="00E34BF8" w:rsidP="00772A0C">
            <w:pPr>
              <w:spacing w:after="120"/>
              <w:rPr>
                <w:rFonts w:eastAsiaTheme="minorEastAsia"/>
                <w:lang w:val="en-US" w:eastAsia="ja-JP"/>
              </w:rPr>
            </w:pPr>
            <w:r w:rsidRPr="00751A55">
              <w:rPr>
                <w:rFonts w:eastAsiaTheme="minorEastAsia"/>
                <w:lang w:val="en-US" w:eastAsia="ja-JP"/>
              </w:rPr>
              <w:t>The Hume RDA developed the</w:t>
            </w:r>
            <w:r w:rsidRPr="00751A55">
              <w:rPr>
                <w:rFonts w:eastAsiaTheme="minorEastAsia"/>
                <w:b/>
                <w:lang w:val="en-US" w:eastAsia="ja-JP"/>
              </w:rPr>
              <w:t xml:space="preserve"> Hume Region Investment Prospectus </w:t>
            </w:r>
            <w:r w:rsidRPr="00751A55">
              <w:rPr>
                <w:rFonts w:eastAsiaTheme="minorEastAsia"/>
                <w:lang w:val="en-US" w:eastAsia="ja-JP"/>
              </w:rPr>
              <w:t>to promote investment opportunities and</w:t>
            </w:r>
            <w:r w:rsidR="008112A5">
              <w:rPr>
                <w:rFonts w:eastAsiaTheme="minorEastAsia"/>
                <w:lang w:val="en-US" w:eastAsia="ja-JP"/>
              </w:rPr>
              <w:t xml:space="preserve"> growth in the </w:t>
            </w:r>
            <w:r w:rsidR="00F23FF5">
              <w:rPr>
                <w:rFonts w:eastAsiaTheme="minorEastAsia"/>
                <w:lang w:val="en-US" w:eastAsia="ja-JP"/>
              </w:rPr>
              <w:t>r</w:t>
            </w:r>
            <w:r w:rsidR="008112A5">
              <w:rPr>
                <w:rFonts w:eastAsiaTheme="minorEastAsia"/>
                <w:lang w:val="en-US" w:eastAsia="ja-JP"/>
              </w:rPr>
              <w:t>egion. The</w:t>
            </w:r>
            <w:r w:rsidRPr="00751A55">
              <w:rPr>
                <w:rFonts w:eastAsiaTheme="minorEastAsia"/>
                <w:lang w:val="en-US" w:eastAsia="ja-JP"/>
              </w:rPr>
              <w:t xml:space="preserve"> document provides a snapshot of business and economic opportunities</w:t>
            </w:r>
            <w:r w:rsidR="00F23FF5">
              <w:rPr>
                <w:rFonts w:eastAsiaTheme="minorEastAsia"/>
                <w:lang w:val="en-US" w:eastAsia="ja-JP"/>
              </w:rPr>
              <w:t xml:space="preserve">. </w:t>
            </w:r>
            <w:r w:rsidRPr="00751A55">
              <w:rPr>
                <w:rFonts w:eastAsiaTheme="minorEastAsia"/>
                <w:lang w:val="en-US" w:eastAsia="ja-JP"/>
              </w:rPr>
              <w:t xml:space="preserve">LLOs </w:t>
            </w:r>
            <w:r w:rsidR="003538FB">
              <w:rPr>
                <w:rFonts w:eastAsiaTheme="minorEastAsia"/>
                <w:lang w:val="en-US" w:eastAsia="ja-JP"/>
              </w:rPr>
              <w:t>can</w:t>
            </w:r>
            <w:r w:rsidRPr="00751A55">
              <w:rPr>
                <w:rFonts w:eastAsiaTheme="minorEastAsia"/>
                <w:lang w:val="en-US" w:eastAsia="ja-JP"/>
              </w:rPr>
              <w:t xml:space="preserve"> strategically align training needs with these identified growing Hume industries and build </w:t>
            </w:r>
            <w:r w:rsidR="00F23FF5">
              <w:rPr>
                <w:rFonts w:eastAsiaTheme="minorEastAsia"/>
                <w:lang w:val="en-US" w:eastAsia="ja-JP"/>
              </w:rPr>
              <w:t xml:space="preserve">a </w:t>
            </w:r>
            <w:r w:rsidRPr="00751A55">
              <w:rPr>
                <w:rFonts w:eastAsiaTheme="minorEastAsia"/>
                <w:lang w:val="en-US" w:eastAsia="ja-JP"/>
              </w:rPr>
              <w:t xml:space="preserve">locally skilled workforces. </w:t>
            </w:r>
          </w:p>
          <w:p w:rsidR="00E34BF8" w:rsidRPr="00772A0C" w:rsidRDefault="00E34BF8" w:rsidP="00772A0C">
            <w:pPr>
              <w:spacing w:after="120"/>
              <w:rPr>
                <w:rFonts w:eastAsiaTheme="minorEastAsia"/>
                <w:lang w:val="en-US" w:eastAsia="ja-JP"/>
              </w:rPr>
            </w:pPr>
            <w:r w:rsidRPr="00772A0C">
              <w:rPr>
                <w:rFonts w:eastAsiaTheme="minorEastAsia"/>
                <w:b/>
                <w:lang w:val="en-US" w:eastAsia="ja-JP"/>
              </w:rPr>
              <w:t>Regional Partnerships</w:t>
            </w:r>
            <w:r w:rsidR="00772A0C" w:rsidRPr="00772A0C">
              <w:rPr>
                <w:rFonts w:eastAsiaTheme="minorEastAsia"/>
                <w:lang w:val="en-US" w:eastAsia="ja-JP"/>
              </w:rPr>
              <w:t xml:space="preserve">, </w:t>
            </w:r>
            <w:r w:rsidR="003538FB" w:rsidRPr="00772A0C">
              <w:rPr>
                <w:rFonts w:eastAsiaTheme="minorEastAsia"/>
                <w:lang w:val="en-US" w:eastAsia="ja-JP"/>
              </w:rPr>
              <w:t>set up</w:t>
            </w:r>
            <w:r w:rsidRPr="00772A0C">
              <w:rPr>
                <w:rFonts w:eastAsiaTheme="minorEastAsia"/>
                <w:lang w:val="en-US" w:eastAsia="ja-JP"/>
              </w:rPr>
              <w:t xml:space="preserve"> in response to the State Government’s </w:t>
            </w:r>
            <w:r w:rsidR="00772A0C" w:rsidRPr="00772A0C">
              <w:rPr>
                <w:rFonts w:eastAsiaTheme="minorEastAsia"/>
                <w:lang w:val="en-US" w:eastAsia="ja-JP"/>
              </w:rPr>
              <w:t xml:space="preserve">Victoria’s Regional Statement, focus on </w:t>
            </w:r>
            <w:r w:rsidRPr="00772A0C">
              <w:rPr>
                <w:rFonts w:eastAsiaTheme="minorEastAsia"/>
                <w:lang w:val="en-US" w:eastAsia="ja-JP"/>
              </w:rPr>
              <w:t>creating jobs, providing a better start for young people, and supporting a brighter future for families an</w:t>
            </w:r>
            <w:r w:rsidR="00D90394" w:rsidRPr="00772A0C">
              <w:rPr>
                <w:rFonts w:eastAsiaTheme="minorEastAsia"/>
                <w:lang w:val="en-US" w:eastAsia="ja-JP"/>
              </w:rPr>
              <w:t>d communities</w:t>
            </w:r>
            <w:r w:rsidR="00772A0C" w:rsidRPr="00772A0C">
              <w:rPr>
                <w:rFonts w:eastAsiaTheme="minorEastAsia"/>
                <w:lang w:val="en-US" w:eastAsia="ja-JP"/>
              </w:rPr>
              <w:t xml:space="preserve"> by increasing collaboration between communities, industry, businesses and government to address the most important challenges and opportunities in each region</w:t>
            </w:r>
            <w:r w:rsidR="00D90394" w:rsidRPr="00772A0C">
              <w:rPr>
                <w:rFonts w:eastAsiaTheme="minorEastAsia"/>
                <w:lang w:val="en-US" w:eastAsia="ja-JP"/>
              </w:rPr>
              <w:t>. Within Hume R</w:t>
            </w:r>
            <w:r w:rsidRPr="00772A0C">
              <w:rPr>
                <w:rFonts w:eastAsiaTheme="minorEastAsia"/>
                <w:lang w:val="en-US" w:eastAsia="ja-JP"/>
              </w:rPr>
              <w:t xml:space="preserve">egion there are two Regional Partnerships- Goulburn and Ovens Murray. </w:t>
            </w:r>
          </w:p>
          <w:p w:rsidR="00E34BF8" w:rsidRDefault="00E34BF8" w:rsidP="00C26F64">
            <w:pPr>
              <w:spacing w:after="120"/>
            </w:pPr>
            <w:r w:rsidRPr="00291475">
              <w:rPr>
                <w:rFonts w:eastAsiaTheme="minorEastAsia"/>
                <w:lang w:val="en-US" w:eastAsia="ja-JP"/>
              </w:rPr>
              <w:t xml:space="preserve">The </w:t>
            </w:r>
            <w:r w:rsidRPr="00291475">
              <w:rPr>
                <w:rFonts w:eastAsiaTheme="minorEastAsia"/>
                <w:b/>
                <w:lang w:val="en-US" w:eastAsia="ja-JP"/>
              </w:rPr>
              <w:t>Regional Skills Fund</w:t>
            </w:r>
            <w:r w:rsidRPr="00291475">
              <w:rPr>
                <w:rFonts w:eastAsiaTheme="minorEastAsia"/>
                <w:lang w:val="en-US" w:eastAsia="ja-JP"/>
              </w:rPr>
              <w:t xml:space="preserve"> </w:t>
            </w:r>
            <w:r>
              <w:rPr>
                <w:rFonts w:eastAsiaTheme="minorEastAsia"/>
                <w:lang w:val="en-US" w:eastAsia="ja-JP"/>
              </w:rPr>
              <w:t xml:space="preserve">is a </w:t>
            </w:r>
            <w:r w:rsidRPr="00291475">
              <w:rPr>
                <w:rFonts w:eastAsiaTheme="minorEastAsia"/>
                <w:lang w:val="en-US" w:eastAsia="ja-JP"/>
              </w:rPr>
              <w:t>place-based regional skills grants program driven by industry in partnership with the tertiary sector, working to build local capacity, resilience and support jobs creation.</w:t>
            </w:r>
            <w:r>
              <w:rPr>
                <w:rFonts w:eastAsiaTheme="minorEastAsia"/>
                <w:lang w:val="en-US" w:eastAsia="ja-JP"/>
              </w:rPr>
              <w:t xml:space="preserve"> Regional Development Victoria administer the Fund and it encourages partnerships across different industries and providers</w:t>
            </w:r>
            <w:r w:rsidR="00C26F64">
              <w:rPr>
                <w:rFonts w:eastAsiaTheme="minorEastAsia"/>
                <w:lang w:val="en-US" w:eastAsia="ja-JP"/>
              </w:rPr>
              <w:t>.</w:t>
            </w:r>
          </w:p>
          <w:p w:rsidR="00E34BF8" w:rsidRPr="00684972" w:rsidRDefault="00E34BF8" w:rsidP="00772A0C">
            <w:pPr>
              <w:spacing w:after="120"/>
              <w:rPr>
                <w:b/>
              </w:rPr>
            </w:pPr>
            <w:r w:rsidRPr="00684972">
              <w:rPr>
                <w:b/>
              </w:rPr>
              <w:t>Economic Status</w:t>
            </w:r>
          </w:p>
          <w:p w:rsidR="00E34BF8" w:rsidRPr="00E34BF8" w:rsidRDefault="00E34BF8" w:rsidP="00772A0C">
            <w:pPr>
              <w:pStyle w:val="Default"/>
              <w:spacing w:after="120"/>
              <w:rPr>
                <w:rFonts w:asciiTheme="minorHAnsi" w:hAnsiTheme="minorHAnsi"/>
                <w:sz w:val="22"/>
                <w:szCs w:val="22"/>
              </w:rPr>
            </w:pPr>
            <w:r w:rsidRPr="00E34BF8">
              <w:rPr>
                <w:rFonts w:asciiTheme="minorHAnsi" w:hAnsiTheme="minorHAnsi"/>
                <w:sz w:val="22"/>
                <w:szCs w:val="22"/>
              </w:rPr>
              <w:t xml:space="preserve">The </w:t>
            </w:r>
            <w:r w:rsidRPr="00E34BF8">
              <w:rPr>
                <w:rFonts w:asciiTheme="minorHAnsi" w:hAnsiTheme="minorHAnsi"/>
                <w:b/>
                <w:bCs/>
                <w:sz w:val="22"/>
                <w:szCs w:val="22"/>
              </w:rPr>
              <w:t xml:space="preserve">unemployment </w:t>
            </w:r>
            <w:r w:rsidRPr="00E34BF8">
              <w:rPr>
                <w:rFonts w:asciiTheme="minorHAnsi" w:hAnsiTheme="minorHAnsi"/>
                <w:sz w:val="22"/>
                <w:szCs w:val="22"/>
              </w:rPr>
              <w:t xml:space="preserve">rate varies across the Hume Region, and in some areas it is higher than average. A higher percentage of the population did not complete Year 12 when compared to the Victorian average, and there is a lower percentage of the population with higher education qualifications than the Victorian average. This varies across each LGA. Indigo has a </w:t>
            </w:r>
            <w:r w:rsidRPr="00E34BF8">
              <w:rPr>
                <w:rFonts w:asciiTheme="minorHAnsi" w:hAnsiTheme="minorHAnsi"/>
                <w:sz w:val="22"/>
                <w:szCs w:val="22"/>
              </w:rPr>
              <w:lastRenderedPageBreak/>
              <w:t xml:space="preserve">relatively high rate of the population with higher education qualifications, whereas Benalla has a much lower rate and has pockets of locational disadvantage. </w:t>
            </w:r>
          </w:p>
          <w:p w:rsidR="00BA730A" w:rsidRDefault="00E34BF8" w:rsidP="00772A0C">
            <w:pPr>
              <w:pStyle w:val="Default"/>
              <w:spacing w:after="120"/>
              <w:rPr>
                <w:rFonts w:asciiTheme="minorHAnsi" w:hAnsiTheme="minorHAnsi"/>
                <w:sz w:val="22"/>
                <w:szCs w:val="22"/>
              </w:rPr>
            </w:pPr>
            <w:r w:rsidRPr="00E34BF8">
              <w:rPr>
                <w:rFonts w:asciiTheme="minorHAnsi" w:hAnsiTheme="minorHAnsi"/>
                <w:sz w:val="22"/>
                <w:szCs w:val="22"/>
              </w:rPr>
              <w:t>Thirteen towns and three regional cities in the region, including Shepparton, Mooroopna, Wodonga,</w:t>
            </w:r>
            <w:r>
              <w:rPr>
                <w:rFonts w:asciiTheme="minorHAnsi" w:hAnsiTheme="minorHAnsi"/>
                <w:sz w:val="22"/>
                <w:szCs w:val="22"/>
              </w:rPr>
              <w:t xml:space="preserve"> Wangaratta, Seymour and Cobram are </w:t>
            </w:r>
            <w:r w:rsidRPr="00E34BF8">
              <w:rPr>
                <w:rFonts w:asciiTheme="minorHAnsi" w:hAnsiTheme="minorHAnsi"/>
                <w:sz w:val="22"/>
                <w:szCs w:val="22"/>
              </w:rPr>
              <w:t xml:space="preserve">amongst the </w:t>
            </w:r>
            <w:r w:rsidRPr="00E34BF8">
              <w:rPr>
                <w:rFonts w:asciiTheme="minorHAnsi" w:hAnsiTheme="minorHAnsi"/>
                <w:b/>
                <w:bCs/>
                <w:sz w:val="22"/>
                <w:szCs w:val="22"/>
              </w:rPr>
              <w:t>most disadvantaged 10% of the population in Australia</w:t>
            </w:r>
            <w:r w:rsidRPr="00E34BF8">
              <w:rPr>
                <w:rFonts w:asciiTheme="minorHAnsi" w:hAnsiTheme="minorHAnsi"/>
                <w:sz w:val="22"/>
                <w:szCs w:val="22"/>
              </w:rPr>
              <w:t xml:space="preserve">. Residents in these areas experience a combination of material deprivation, economic precariousness, labour market disadvantage and exclusion from education, social and civic life.  </w:t>
            </w:r>
          </w:p>
          <w:p w:rsidR="00E34BF8" w:rsidRPr="00E34BF8" w:rsidRDefault="00E34BF8" w:rsidP="00772A0C">
            <w:pPr>
              <w:pStyle w:val="Default"/>
              <w:spacing w:after="120"/>
              <w:rPr>
                <w:rFonts w:asciiTheme="minorHAnsi" w:hAnsiTheme="minorHAnsi"/>
                <w:sz w:val="22"/>
                <w:szCs w:val="22"/>
              </w:rPr>
            </w:pPr>
            <w:r w:rsidRPr="00E34BF8">
              <w:rPr>
                <w:rFonts w:asciiTheme="minorHAnsi" w:hAnsiTheme="minorHAnsi"/>
                <w:sz w:val="22"/>
                <w:szCs w:val="22"/>
              </w:rPr>
              <w:t xml:space="preserve">Key </w:t>
            </w:r>
            <w:r w:rsidR="00772A0C">
              <w:rPr>
                <w:rFonts w:asciiTheme="minorHAnsi" w:hAnsiTheme="minorHAnsi"/>
                <w:sz w:val="22"/>
                <w:szCs w:val="22"/>
              </w:rPr>
              <w:t xml:space="preserve">employment </w:t>
            </w:r>
            <w:r w:rsidRPr="00E34BF8">
              <w:rPr>
                <w:rFonts w:asciiTheme="minorHAnsi" w:hAnsiTheme="minorHAnsi"/>
                <w:sz w:val="22"/>
                <w:szCs w:val="22"/>
              </w:rPr>
              <w:t xml:space="preserve">sectors for the Hume region are: </w:t>
            </w:r>
          </w:p>
          <w:p w:rsidR="00E34BF8" w:rsidRPr="00E34BF8" w:rsidRDefault="00E34BF8" w:rsidP="00772A0C">
            <w:pPr>
              <w:pStyle w:val="Default"/>
              <w:numPr>
                <w:ilvl w:val="0"/>
                <w:numId w:val="14"/>
              </w:numPr>
              <w:spacing w:after="120"/>
              <w:ind w:left="714" w:hanging="357"/>
              <w:contextualSpacing/>
              <w:rPr>
                <w:rFonts w:asciiTheme="minorHAnsi" w:hAnsiTheme="minorHAnsi"/>
                <w:sz w:val="22"/>
                <w:szCs w:val="22"/>
              </w:rPr>
            </w:pPr>
            <w:r w:rsidRPr="00E34BF8">
              <w:rPr>
                <w:rFonts w:asciiTheme="minorHAnsi" w:hAnsiTheme="minorHAnsi"/>
                <w:sz w:val="22"/>
                <w:szCs w:val="22"/>
              </w:rPr>
              <w:t xml:space="preserve">Health, Aged Care and Community Services </w:t>
            </w:r>
          </w:p>
          <w:p w:rsidR="00E34BF8" w:rsidRPr="00E34BF8" w:rsidRDefault="00E34BF8" w:rsidP="00772A0C">
            <w:pPr>
              <w:pStyle w:val="Default"/>
              <w:numPr>
                <w:ilvl w:val="0"/>
                <w:numId w:val="14"/>
              </w:numPr>
              <w:spacing w:after="120"/>
              <w:ind w:left="714" w:hanging="357"/>
              <w:contextualSpacing/>
              <w:rPr>
                <w:rFonts w:asciiTheme="minorHAnsi" w:hAnsiTheme="minorHAnsi"/>
                <w:sz w:val="22"/>
                <w:szCs w:val="22"/>
              </w:rPr>
            </w:pPr>
            <w:r w:rsidRPr="00E34BF8">
              <w:rPr>
                <w:rFonts w:asciiTheme="minorHAnsi" w:hAnsiTheme="minorHAnsi"/>
                <w:sz w:val="22"/>
                <w:szCs w:val="22"/>
              </w:rPr>
              <w:t xml:space="preserve">Transport, Logistics and Warehousing </w:t>
            </w:r>
          </w:p>
          <w:p w:rsidR="00E34BF8" w:rsidRPr="00E34BF8" w:rsidRDefault="00E34BF8" w:rsidP="00772A0C">
            <w:pPr>
              <w:pStyle w:val="Default"/>
              <w:numPr>
                <w:ilvl w:val="0"/>
                <w:numId w:val="14"/>
              </w:numPr>
              <w:spacing w:after="120"/>
              <w:ind w:left="714" w:hanging="357"/>
              <w:contextualSpacing/>
              <w:rPr>
                <w:rFonts w:asciiTheme="minorHAnsi" w:hAnsiTheme="minorHAnsi"/>
                <w:sz w:val="22"/>
                <w:szCs w:val="22"/>
              </w:rPr>
            </w:pPr>
            <w:r w:rsidRPr="00E34BF8">
              <w:rPr>
                <w:rFonts w:asciiTheme="minorHAnsi" w:hAnsiTheme="minorHAnsi"/>
                <w:sz w:val="22"/>
                <w:szCs w:val="22"/>
              </w:rPr>
              <w:t xml:space="preserve">Manufacturing </w:t>
            </w:r>
          </w:p>
          <w:p w:rsidR="00E34BF8" w:rsidRPr="00323557" w:rsidRDefault="00323557" w:rsidP="00772A0C">
            <w:pPr>
              <w:pStyle w:val="Default"/>
              <w:numPr>
                <w:ilvl w:val="0"/>
                <w:numId w:val="14"/>
              </w:numPr>
              <w:spacing w:after="120"/>
              <w:rPr>
                <w:rFonts w:asciiTheme="minorHAnsi" w:hAnsiTheme="minorHAnsi"/>
                <w:sz w:val="22"/>
                <w:szCs w:val="22"/>
              </w:rPr>
            </w:pPr>
            <w:r>
              <w:rPr>
                <w:rFonts w:asciiTheme="minorHAnsi" w:hAnsiTheme="minorHAnsi"/>
                <w:sz w:val="22"/>
                <w:szCs w:val="22"/>
              </w:rPr>
              <w:t>Agriculture</w:t>
            </w:r>
          </w:p>
          <w:p w:rsidR="00772A0C" w:rsidRDefault="00772A0C" w:rsidP="00772A0C">
            <w:pPr>
              <w:pStyle w:val="CommentText"/>
              <w:spacing w:after="120"/>
              <w:rPr>
                <w:rStyle w:val="Emphasis"/>
                <w:b/>
                <w:i w:val="0"/>
                <w:sz w:val="22"/>
                <w:szCs w:val="22"/>
              </w:rPr>
            </w:pPr>
            <w:r>
              <w:rPr>
                <w:rStyle w:val="Emphasis"/>
                <w:b/>
                <w:i w:val="0"/>
                <w:sz w:val="22"/>
                <w:szCs w:val="22"/>
              </w:rPr>
              <w:t>Policy influences</w:t>
            </w:r>
          </w:p>
          <w:p w:rsidR="00323557" w:rsidRDefault="00B02EB2" w:rsidP="00772A0C">
            <w:pPr>
              <w:pStyle w:val="CommentText"/>
              <w:spacing w:after="120"/>
              <w:rPr>
                <w:rStyle w:val="Emphasis"/>
                <w:b/>
                <w:i w:val="0"/>
                <w:sz w:val="22"/>
                <w:szCs w:val="22"/>
              </w:rPr>
            </w:pPr>
            <w:r w:rsidRPr="00165941">
              <w:rPr>
                <w:rStyle w:val="Emphasis"/>
                <w:b/>
                <w:i w:val="0"/>
                <w:sz w:val="22"/>
                <w:szCs w:val="22"/>
              </w:rPr>
              <w:t>Marrung: Aboriginal Education Plan 2016–2026</w:t>
            </w:r>
          </w:p>
          <w:p w:rsidR="00E34BF8" w:rsidRPr="006305DC" w:rsidRDefault="00323557" w:rsidP="00772A0C">
            <w:pPr>
              <w:pStyle w:val="CommentText"/>
              <w:spacing w:after="120"/>
              <w:rPr>
                <w:sz w:val="22"/>
                <w:szCs w:val="22"/>
              </w:rPr>
            </w:pPr>
            <w:r w:rsidRPr="00323557">
              <w:rPr>
                <w:rStyle w:val="Emphasis"/>
                <w:i w:val="0"/>
                <w:sz w:val="22"/>
                <w:szCs w:val="22"/>
              </w:rPr>
              <w:t>Marrung</w:t>
            </w:r>
            <w:r w:rsidR="00B02EB2">
              <w:rPr>
                <w:sz w:val="22"/>
                <w:szCs w:val="22"/>
              </w:rPr>
              <w:t xml:space="preserve"> is a 10- year plan that underpins the delivery of Education State reforms to Koorie Victorians and seeks to ensure that all Koorie people have the opportunity to achieve their learning aspirations across early childhood, schools and further education. </w:t>
            </w:r>
          </w:p>
          <w:p w:rsidR="00B02EB2" w:rsidRPr="00D90394" w:rsidRDefault="00323557" w:rsidP="00772A0C">
            <w:pPr>
              <w:spacing w:after="120"/>
              <w:rPr>
                <w:b/>
              </w:rPr>
            </w:pPr>
            <w:r>
              <w:rPr>
                <w:b/>
              </w:rPr>
              <w:t>Youth Employment Strategy</w:t>
            </w:r>
          </w:p>
          <w:p w:rsidR="00323557" w:rsidRDefault="00B02EB2" w:rsidP="00772A0C">
            <w:pPr>
              <w:spacing w:after="120"/>
            </w:pPr>
            <w:r w:rsidRPr="00D90394">
              <w:t>A $212 million Youth Transition to Work programme will assist young people who have disengaged from work and study and are at risk of long</w:t>
            </w:r>
            <w:r w:rsidRPr="00D90394">
              <w:rPr>
                <w:rFonts w:ascii="Cambria Math" w:eastAsia="MS Gothic" w:hAnsi="Cambria Math" w:cs="Cambria Math"/>
              </w:rPr>
              <w:t>‑</w:t>
            </w:r>
            <w:r w:rsidRPr="00D90394">
              <w:t xml:space="preserve">term welfare dependence. </w:t>
            </w:r>
          </w:p>
          <w:p w:rsidR="00323557" w:rsidRDefault="00B02EB2" w:rsidP="00772A0C">
            <w:pPr>
              <w:spacing w:after="120"/>
              <w:rPr>
                <w:b/>
              </w:rPr>
            </w:pPr>
            <w:r w:rsidRPr="00D90394">
              <w:rPr>
                <w:b/>
              </w:rPr>
              <w:t>Transition to Work</w:t>
            </w:r>
            <w:r w:rsidR="00D90394">
              <w:rPr>
                <w:b/>
              </w:rPr>
              <w:t xml:space="preserve"> </w:t>
            </w:r>
          </w:p>
          <w:p w:rsidR="00BE11C0" w:rsidRDefault="00B02EB2" w:rsidP="00772A0C">
            <w:pPr>
              <w:spacing w:after="120"/>
            </w:pPr>
            <w:r w:rsidRPr="00D90394">
              <w:t xml:space="preserve">As part of the Youth Employment Strategy, Transition to Work provides services to support young people aged 15-21 on their journey to employment. </w:t>
            </w:r>
          </w:p>
          <w:p w:rsidR="00323557" w:rsidRDefault="00B02EB2" w:rsidP="00772A0C">
            <w:pPr>
              <w:spacing w:after="120"/>
              <w:rPr>
                <w:b/>
              </w:rPr>
            </w:pPr>
            <w:r w:rsidRPr="00D90394">
              <w:rPr>
                <w:b/>
              </w:rPr>
              <w:t>Reconnect (2016</w:t>
            </w:r>
            <w:r w:rsidR="00323557">
              <w:rPr>
                <w:b/>
              </w:rPr>
              <w:t xml:space="preserve"> </w:t>
            </w:r>
            <w:r w:rsidRPr="00D90394">
              <w:rPr>
                <w:b/>
              </w:rPr>
              <w:t>-</w:t>
            </w:r>
            <w:r w:rsidR="00323557">
              <w:rPr>
                <w:b/>
              </w:rPr>
              <w:t xml:space="preserve"> 20</w:t>
            </w:r>
            <w:r w:rsidRPr="00D90394">
              <w:rPr>
                <w:b/>
              </w:rPr>
              <w:t>18)</w:t>
            </w:r>
            <w:r w:rsidR="0092468C">
              <w:rPr>
                <w:b/>
              </w:rPr>
              <w:t xml:space="preserve"> </w:t>
            </w:r>
          </w:p>
          <w:p w:rsidR="00BE11C0" w:rsidRPr="00323557" w:rsidRDefault="00323557" w:rsidP="00772A0C">
            <w:pPr>
              <w:spacing w:after="120"/>
            </w:pPr>
            <w:r w:rsidRPr="00323557">
              <w:t>Part of the Back to Work Scheme, the Reconnect</w:t>
            </w:r>
            <w:r>
              <w:rPr>
                <w:b/>
              </w:rPr>
              <w:t xml:space="preserve"> </w:t>
            </w:r>
            <w:r w:rsidR="00201261">
              <w:t>program includes</w:t>
            </w:r>
            <w:r>
              <w:t xml:space="preserve"> $34 million(</w:t>
            </w:r>
            <w:r w:rsidR="00B02EB2" w:rsidRPr="00D90394">
              <w:t>initial $1</w:t>
            </w:r>
            <w:r w:rsidR="00201261">
              <w:t>4m with</w:t>
            </w:r>
            <w:r>
              <w:t xml:space="preserve"> additional</w:t>
            </w:r>
            <w:r w:rsidR="00201261">
              <w:t xml:space="preserve"> $20 mil in 2017</w:t>
            </w:r>
            <w:r>
              <w:t>)</w:t>
            </w:r>
            <w:r w:rsidR="00B02EB2" w:rsidRPr="00D90394">
              <w:t xml:space="preserve"> for programs </w:t>
            </w:r>
            <w:r>
              <w:t xml:space="preserve"> with a focus</w:t>
            </w:r>
            <w:r w:rsidR="00B02EB2" w:rsidRPr="00D90394">
              <w:t xml:space="preserve"> on locating and engaging young people back into education and training</w:t>
            </w:r>
            <w:r w:rsidR="00C46714">
              <w:t xml:space="preserve"> </w:t>
            </w:r>
            <w:r w:rsidR="00B02EB2" w:rsidRPr="00D90394">
              <w:t>through the pr</w:t>
            </w:r>
            <w:r>
              <w:t>ovision of wrap-around supports.</w:t>
            </w:r>
          </w:p>
          <w:p w:rsidR="00B02EB2" w:rsidRPr="00D90394" w:rsidRDefault="00B02EB2" w:rsidP="00772A0C">
            <w:pPr>
              <w:spacing w:after="120"/>
              <w:rPr>
                <w:b/>
              </w:rPr>
            </w:pPr>
            <w:r w:rsidRPr="00D90394">
              <w:rPr>
                <w:b/>
              </w:rPr>
              <w:t>Asylum</w:t>
            </w:r>
            <w:r w:rsidR="00323557">
              <w:rPr>
                <w:b/>
              </w:rPr>
              <w:t xml:space="preserve"> Seeker VET Program</w:t>
            </w:r>
          </w:p>
          <w:p w:rsidR="00323557" w:rsidRPr="008643DA" w:rsidRDefault="00323557" w:rsidP="00772A0C">
            <w:pPr>
              <w:spacing w:after="120"/>
            </w:pPr>
            <w:r w:rsidRPr="008643DA">
              <w:t xml:space="preserve">The Asylum Seeker VET Program has been expanded to provide for eligible asylum seekers to be exempted from legislated citizenship/residency criteria for participating in a </w:t>
            </w:r>
            <w:r>
              <w:t xml:space="preserve">Skills First </w:t>
            </w:r>
            <w:r w:rsidRPr="008643DA">
              <w:t xml:space="preserve">Victorian Training Guarantee course. </w:t>
            </w:r>
            <w:r>
              <w:t xml:space="preserve"> This includes a</w:t>
            </w:r>
            <w:r w:rsidRPr="008643DA">
              <w:t>sylum seekers holding a Bridging Visa C</w:t>
            </w:r>
            <w:r>
              <w:t>lass E (BVE), r</w:t>
            </w:r>
            <w:r w:rsidRPr="008643DA">
              <w:t>efugees with temporary residence who hold Safe Haven Enterprise Visas (SHEV) and Tempor</w:t>
            </w:r>
            <w:r>
              <w:t>ary Protection Visas (TPV).</w:t>
            </w:r>
          </w:p>
          <w:p w:rsidR="00B02EB2" w:rsidRPr="00D90394" w:rsidRDefault="00B02EB2" w:rsidP="00772A0C">
            <w:pPr>
              <w:spacing w:after="120"/>
              <w:rPr>
                <w:b/>
              </w:rPr>
            </w:pPr>
            <w:r w:rsidRPr="00D90394">
              <w:rPr>
                <w:b/>
              </w:rPr>
              <w:t xml:space="preserve">Jobs Victoria Employment Network </w:t>
            </w:r>
            <w:r w:rsidR="00C26F64">
              <w:rPr>
                <w:b/>
              </w:rPr>
              <w:t xml:space="preserve">(JVEN) </w:t>
            </w:r>
            <w:r w:rsidRPr="00D90394">
              <w:rPr>
                <w:b/>
              </w:rPr>
              <w:t>(2016</w:t>
            </w:r>
            <w:r w:rsidR="00323557">
              <w:rPr>
                <w:b/>
              </w:rPr>
              <w:t xml:space="preserve"> </w:t>
            </w:r>
            <w:r w:rsidRPr="00D90394">
              <w:rPr>
                <w:b/>
              </w:rPr>
              <w:t>–</w:t>
            </w:r>
            <w:r w:rsidR="00323557">
              <w:rPr>
                <w:b/>
              </w:rPr>
              <w:t xml:space="preserve"> 20</w:t>
            </w:r>
            <w:r w:rsidRPr="00D90394">
              <w:rPr>
                <w:b/>
              </w:rPr>
              <w:t>17 Budget)</w:t>
            </w:r>
          </w:p>
          <w:p w:rsidR="00323557" w:rsidRPr="008643DA" w:rsidRDefault="00323557" w:rsidP="00772A0C">
            <w:pPr>
              <w:spacing w:after="120"/>
            </w:pPr>
            <w:r w:rsidRPr="008643DA">
              <w:t>With $53 million over four years, J</w:t>
            </w:r>
            <w:r w:rsidR="00C26F64">
              <w:t>VEN</w:t>
            </w:r>
            <w:r w:rsidRPr="008643DA">
              <w:t xml:space="preserve"> will consolidate all Victorian employment services into one system, making it easier for </w:t>
            </w:r>
            <w:r w:rsidR="00C26F64">
              <w:t xml:space="preserve">disadvantaged </w:t>
            </w:r>
            <w:r w:rsidRPr="008643DA">
              <w:t>jobseekers to access the help they need to get work.</w:t>
            </w:r>
          </w:p>
          <w:p w:rsidR="00A4666A" w:rsidRDefault="00B02EB2" w:rsidP="00772A0C">
            <w:pPr>
              <w:tabs>
                <w:tab w:val="left" w:pos="2610"/>
              </w:tabs>
              <w:spacing w:after="120"/>
              <w:rPr>
                <w:b/>
              </w:rPr>
            </w:pPr>
            <w:r w:rsidRPr="00D90394">
              <w:rPr>
                <w:b/>
              </w:rPr>
              <w:t>National Disability In</w:t>
            </w:r>
            <w:r w:rsidR="00772A0C">
              <w:rPr>
                <w:b/>
              </w:rPr>
              <w:t>surance</w:t>
            </w:r>
            <w:r w:rsidRPr="00D90394">
              <w:rPr>
                <w:b/>
              </w:rPr>
              <w:t xml:space="preserve"> Scheme</w:t>
            </w:r>
          </w:p>
          <w:p w:rsidR="00A4666A" w:rsidRDefault="00A4666A" w:rsidP="00772A0C">
            <w:pPr>
              <w:spacing w:after="120"/>
              <w:outlineLvl w:val="1"/>
              <w:rPr>
                <w:rFonts w:eastAsia="Times New Roman" w:cs="Arial"/>
                <w:spacing w:val="-5"/>
                <w:lang w:val="en" w:eastAsia="en-AU"/>
              </w:rPr>
            </w:pPr>
            <w:r w:rsidRPr="008643DA">
              <w:rPr>
                <w:rFonts w:eastAsia="Times New Roman" w:cs="Arial"/>
                <w:bCs/>
                <w:spacing w:val="-5"/>
                <w:lang w:val="en" w:eastAsia="en-AU"/>
              </w:rPr>
              <w:t>The National Disability Insurance Scheme (NDIS) is designed to empower people with disability to work towards achievements, to identify the disability related support they need and to choose where they w</w:t>
            </w:r>
            <w:r>
              <w:rPr>
                <w:rFonts w:eastAsia="Times New Roman" w:cs="Arial"/>
                <w:bCs/>
                <w:spacing w:val="-5"/>
                <w:lang w:val="en" w:eastAsia="en-AU"/>
              </w:rPr>
              <w:t>ould like to buy their supports.</w:t>
            </w:r>
            <w:r w:rsidRPr="008643DA">
              <w:rPr>
                <w:rFonts w:eastAsia="Times New Roman" w:cs="Arial"/>
                <w:spacing w:val="-5"/>
                <w:lang w:val="en" w:eastAsia="en-AU"/>
              </w:rPr>
              <w:t xml:space="preserve"> </w:t>
            </w:r>
          </w:p>
          <w:p w:rsidR="00A4666A" w:rsidRDefault="00A4666A" w:rsidP="00772A0C">
            <w:pPr>
              <w:spacing w:after="120"/>
              <w:rPr>
                <w:rFonts w:eastAsia="Times New Roman" w:cs="Arial"/>
                <w:spacing w:val="-5"/>
                <w:lang w:val="en" w:eastAsia="en-AU"/>
              </w:rPr>
            </w:pPr>
            <w:r w:rsidRPr="008643DA">
              <w:rPr>
                <w:rFonts w:eastAsia="Times New Roman" w:cs="Arial"/>
                <w:spacing w:val="-5"/>
                <w:lang w:val="en" w:eastAsia="en-AU"/>
              </w:rPr>
              <w:t>People, who are eligible work with the NDIS through a planning process, where they can identify their needs and goals, then develop a plan that identifies the disability related support they require.</w:t>
            </w:r>
          </w:p>
          <w:p w:rsidR="00F476A9" w:rsidRPr="003F78EC" w:rsidRDefault="00F476A9" w:rsidP="00C26F64">
            <w:pPr>
              <w:spacing w:after="120"/>
              <w:rPr>
                <w:rFonts w:eastAsia="Times New Roman" w:cs="Arial"/>
                <w:spacing w:val="-5"/>
                <w:lang w:val="en" w:eastAsia="en-AU"/>
              </w:rPr>
            </w:pPr>
            <w:r>
              <w:rPr>
                <w:rFonts w:eastAsia="Times New Roman" w:cs="Arial"/>
                <w:spacing w:val="-5"/>
                <w:lang w:val="en" w:eastAsia="en-AU"/>
              </w:rPr>
              <w:t xml:space="preserve">There are </w:t>
            </w:r>
            <w:r w:rsidR="008F4589">
              <w:rPr>
                <w:rFonts w:eastAsia="Times New Roman" w:cs="Arial"/>
                <w:spacing w:val="-5"/>
                <w:lang w:val="en" w:eastAsia="en-AU"/>
              </w:rPr>
              <w:t xml:space="preserve">a </w:t>
            </w:r>
            <w:r>
              <w:rPr>
                <w:rFonts w:eastAsia="Times New Roman" w:cs="Arial"/>
                <w:spacing w:val="-5"/>
                <w:lang w:val="en" w:eastAsia="en-AU"/>
              </w:rPr>
              <w:t xml:space="preserve">number of funding and partnership opportunities available across the Hume Region. </w:t>
            </w:r>
          </w:p>
        </w:tc>
      </w:tr>
    </w:tbl>
    <w:p w:rsidR="00C26F64" w:rsidRDefault="00C26F64">
      <w:pPr>
        <w:sectPr w:rsidR="00C26F64" w:rsidSect="00743FF3">
          <w:footerReference w:type="default" r:id="rId14"/>
          <w:pgSz w:w="11906" w:h="16838"/>
          <w:pgMar w:top="993" w:right="1440" w:bottom="1134" w:left="1440" w:header="708" w:footer="421" w:gutter="0"/>
          <w:cols w:space="708"/>
          <w:docGrid w:linePitch="360"/>
        </w:sectPr>
      </w:pPr>
    </w:p>
    <w:p w:rsidR="00B76C9D" w:rsidRDefault="00B76C9D" w:rsidP="00B76C9D">
      <w:pPr>
        <w:spacing w:after="160" w:line="259" w:lineRule="auto"/>
      </w:pPr>
      <w:r>
        <w:lastRenderedPageBreak/>
        <w:t>The data below indicates how effectively pre-accredited delivery in 2015 (latest publicly available data) was targeting priority groups</w:t>
      </w:r>
    </w:p>
    <w:p w:rsidR="00B76C9D" w:rsidRDefault="00B76C9D"/>
    <w:p w:rsidR="00B76C9D" w:rsidRDefault="00B76C9D">
      <w:r>
        <w:object w:dxaOrig="12677" w:dyaOrig="4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75pt;height:235.5pt" o:ole="">
            <v:imagedata r:id="rId15" o:title=""/>
          </v:shape>
          <o:OLEObject Type="Embed" ProgID="Excel.Sheet.12" ShapeID="_x0000_i1025" DrawAspect="Content" ObjectID="_1564919068" r:id="rId16"/>
        </w:object>
      </w:r>
    </w:p>
    <w:p w:rsidR="00B76C9D" w:rsidRDefault="00B76C9D">
      <w:r>
        <w:br w:type="page"/>
      </w:r>
    </w:p>
    <w:p w:rsidR="00B76C9D" w:rsidRDefault="00B76C9D"/>
    <w:p w:rsidR="00B76C9D" w:rsidRDefault="00B76C9D">
      <w:r>
        <w:object w:dxaOrig="12677" w:dyaOrig="5006">
          <v:shape id="_x0000_i1026" type="#_x0000_t75" style="width:633.75pt;height:250.5pt" o:ole="">
            <v:imagedata r:id="rId17" o:title=""/>
          </v:shape>
          <o:OLEObject Type="Embed" ProgID="Excel.Sheet.12" ShapeID="_x0000_i1026" DrawAspect="Content" ObjectID="_1564919069" r:id="rId18"/>
        </w:object>
      </w:r>
    </w:p>
    <w:p w:rsidR="00B76C9D" w:rsidRDefault="00B76C9D"/>
    <w:p w:rsidR="00B76C9D" w:rsidRDefault="00B76C9D">
      <w:pPr>
        <w:sectPr w:rsidR="00B76C9D" w:rsidSect="00B76C9D">
          <w:pgSz w:w="16838" w:h="11906" w:orient="landscape"/>
          <w:pgMar w:top="1134" w:right="993" w:bottom="851" w:left="1134" w:header="708" w:footer="421" w:gutter="0"/>
          <w:cols w:space="708"/>
          <w:docGrid w:linePitch="360"/>
        </w:sectPr>
      </w:pPr>
    </w:p>
    <w:p w:rsidR="00B76C9D" w:rsidRPr="0014451A" w:rsidRDefault="00B76C9D" w:rsidP="00B76C9D">
      <w:pPr>
        <w:rPr>
          <w:b/>
          <w:sz w:val="24"/>
        </w:rPr>
      </w:pPr>
      <w:r>
        <w:rPr>
          <w:b/>
          <w:sz w:val="24"/>
        </w:rPr>
        <w:lastRenderedPageBreak/>
        <w:t>Additional i</w:t>
      </w:r>
      <w:r w:rsidRPr="0014451A">
        <w:rPr>
          <w:b/>
          <w:sz w:val="24"/>
        </w:rPr>
        <w:t>nformation on individual priority groups</w:t>
      </w:r>
    </w:p>
    <w:tbl>
      <w:tblPr>
        <w:tblStyle w:val="TableGrid"/>
        <w:tblW w:w="9134" w:type="dxa"/>
        <w:tblInd w:w="108" w:type="dxa"/>
        <w:tblLayout w:type="fixed"/>
        <w:tblLook w:val="04A0" w:firstRow="1" w:lastRow="0" w:firstColumn="1" w:lastColumn="0" w:noHBand="0" w:noVBand="1"/>
      </w:tblPr>
      <w:tblGrid>
        <w:gridCol w:w="9134"/>
      </w:tblGrid>
      <w:tr w:rsidR="00436689" w:rsidRPr="00EB5D28" w:rsidTr="002171C5">
        <w:tc>
          <w:tcPr>
            <w:tcW w:w="9134" w:type="dxa"/>
            <w:shd w:val="clear" w:color="auto" w:fill="000000" w:themeFill="text1"/>
          </w:tcPr>
          <w:p w:rsidR="00436689" w:rsidRPr="00EB5D28" w:rsidRDefault="00B76C9D" w:rsidP="006305DC">
            <w:pPr>
              <w:rPr>
                <w:b/>
              </w:rPr>
            </w:pPr>
            <w:r>
              <w:rPr>
                <w:b/>
              </w:rPr>
              <w:t>YOUNG MOTHERS, WOMEN RETURNING TO WORK AND WOMEN WHO HAVE EXPEREINCED FAMILY VIOLENCE</w:t>
            </w:r>
          </w:p>
        </w:tc>
      </w:tr>
      <w:tr w:rsidR="00436689" w:rsidTr="002171C5">
        <w:tc>
          <w:tcPr>
            <w:tcW w:w="9134" w:type="dxa"/>
          </w:tcPr>
          <w:p w:rsidR="002B70EC" w:rsidRDefault="008E5CF5" w:rsidP="006166CF">
            <w:pPr>
              <w:spacing w:after="120"/>
            </w:pPr>
            <w:r w:rsidRPr="00A4666A">
              <w:t>The w</w:t>
            </w:r>
            <w:r w:rsidR="00662ACE" w:rsidRPr="00A4666A">
              <w:t>omen learners across Hume r</w:t>
            </w:r>
            <w:r w:rsidR="00954D0B" w:rsidRPr="00A4666A">
              <w:t>egion are</w:t>
            </w:r>
            <w:r w:rsidR="00743FF3" w:rsidRPr="00A4666A">
              <w:t xml:space="preserve"> well</w:t>
            </w:r>
            <w:r w:rsidR="00662ACE" w:rsidRPr="00A4666A">
              <w:t xml:space="preserve"> </w:t>
            </w:r>
            <w:r w:rsidR="00954D0B" w:rsidRPr="00A4666A">
              <w:t xml:space="preserve">represented in pre-accredited training except for </w:t>
            </w:r>
            <w:r w:rsidR="00C54619" w:rsidRPr="00A4666A">
              <w:t xml:space="preserve">a </w:t>
            </w:r>
            <w:r w:rsidR="00954D0B" w:rsidRPr="00A4666A">
              <w:t>slight decr</w:t>
            </w:r>
            <w:r w:rsidR="002B70EC">
              <w:t>ease in Mansfield and Benalla.</w:t>
            </w:r>
          </w:p>
          <w:p w:rsidR="00912E41" w:rsidRDefault="00912E41" w:rsidP="006166CF">
            <w:pPr>
              <w:spacing w:after="120"/>
            </w:pPr>
            <w:r>
              <w:t>Specific area based considerations:</w:t>
            </w:r>
          </w:p>
          <w:p w:rsidR="00B558BC" w:rsidRDefault="00B558BC" w:rsidP="006166CF">
            <w:pPr>
              <w:pStyle w:val="ListParagraph"/>
              <w:numPr>
                <w:ilvl w:val="0"/>
                <w:numId w:val="4"/>
              </w:numPr>
              <w:spacing w:after="120"/>
            </w:pPr>
            <w:r>
              <w:t>Wangaratta and Shepparton – possible influx of migrants from Middle East</w:t>
            </w:r>
          </w:p>
          <w:p w:rsidR="00C54619" w:rsidRDefault="00BF3B72" w:rsidP="006166CF">
            <w:pPr>
              <w:pStyle w:val="ListParagraph"/>
              <w:numPr>
                <w:ilvl w:val="1"/>
                <w:numId w:val="4"/>
              </w:numPr>
              <w:spacing w:after="120"/>
              <w:ind w:left="626" w:hanging="284"/>
            </w:pPr>
            <w:r>
              <w:t xml:space="preserve">Need to consider </w:t>
            </w:r>
            <w:r w:rsidR="00B558BC">
              <w:t>spouses that often require significant upskilling and ESL /English for work and setting up a business</w:t>
            </w:r>
          </w:p>
          <w:p w:rsidR="00912E41" w:rsidRDefault="00912E41" w:rsidP="006166CF">
            <w:pPr>
              <w:pStyle w:val="ListParagraph"/>
              <w:numPr>
                <w:ilvl w:val="0"/>
                <w:numId w:val="4"/>
              </w:numPr>
              <w:spacing w:after="120"/>
            </w:pPr>
            <w:r>
              <w:t xml:space="preserve">Benalla – Aged Care facilities </w:t>
            </w:r>
          </w:p>
          <w:p w:rsidR="00C54619" w:rsidRDefault="006166CF" w:rsidP="006166CF">
            <w:pPr>
              <w:pStyle w:val="ListParagraph"/>
              <w:numPr>
                <w:ilvl w:val="1"/>
                <w:numId w:val="4"/>
              </w:numPr>
              <w:spacing w:after="120"/>
              <w:ind w:left="626" w:hanging="284"/>
            </w:pPr>
            <w:r>
              <w:t xml:space="preserve">Expansion in </w:t>
            </w:r>
            <w:r w:rsidR="001A4582">
              <w:t xml:space="preserve">Aged Care </w:t>
            </w:r>
            <w:r>
              <w:t>provision</w:t>
            </w:r>
            <w:r w:rsidR="005D73F7">
              <w:t xml:space="preserve"> within the next 1-2 years </w:t>
            </w:r>
            <w:r w:rsidR="001A4582">
              <w:t>could provide an opportunity for tast</w:t>
            </w:r>
            <w:r>
              <w:t xml:space="preserve">er programs for women and lead </w:t>
            </w:r>
            <w:r w:rsidR="001A4582">
              <w:t>to employment opportunities</w:t>
            </w:r>
          </w:p>
          <w:p w:rsidR="002B70EC" w:rsidRDefault="00501A77" w:rsidP="006166CF">
            <w:pPr>
              <w:pStyle w:val="ListParagraph"/>
              <w:numPr>
                <w:ilvl w:val="0"/>
                <w:numId w:val="4"/>
              </w:numPr>
              <w:spacing w:after="120"/>
            </w:pPr>
            <w:r>
              <w:t>Wodonga</w:t>
            </w:r>
          </w:p>
          <w:p w:rsidR="007D1B20" w:rsidRDefault="00501A77" w:rsidP="006166CF">
            <w:pPr>
              <w:pStyle w:val="ListParagraph"/>
              <w:numPr>
                <w:ilvl w:val="1"/>
                <w:numId w:val="4"/>
              </w:numPr>
              <w:spacing w:after="120"/>
              <w:ind w:left="626" w:hanging="284"/>
            </w:pPr>
            <w:r>
              <w:t xml:space="preserve">Recent settlement of </w:t>
            </w:r>
            <w:r w:rsidR="002B70EC">
              <w:t>m</w:t>
            </w:r>
            <w:r w:rsidR="00BF3B72">
              <w:t xml:space="preserve">igrants </w:t>
            </w:r>
            <w:r w:rsidR="001A4582">
              <w:t>who may need s</w:t>
            </w:r>
            <w:r w:rsidR="006305DC">
              <w:t>pecific</w:t>
            </w:r>
            <w:r w:rsidR="001A4582">
              <w:t xml:space="preserve"> training</w:t>
            </w:r>
          </w:p>
          <w:p w:rsidR="007D1B20" w:rsidRDefault="002B70EC" w:rsidP="006166CF">
            <w:pPr>
              <w:spacing w:after="120"/>
              <w:contextualSpacing/>
            </w:pPr>
            <w:r>
              <w:rPr>
                <w:rFonts w:eastAsia="Times New Roman" w:cs="Helvetica"/>
              </w:rPr>
              <w:t>Consider g</w:t>
            </w:r>
            <w:r w:rsidRPr="004F42C7">
              <w:rPr>
                <w:rFonts w:eastAsia="Times New Roman" w:cs="Helvetica"/>
              </w:rPr>
              <w:t xml:space="preserve">reater use of technology to support those who may be isolated through poor transport links, or are unable to travel for other reasons (e.g. carer responsibilities) This may be through the strategic use of the NBN roll out to provide video conferencing </w:t>
            </w:r>
            <w:r w:rsidR="006166CF">
              <w:rPr>
                <w:rFonts w:eastAsia="Times New Roman" w:cs="Helvetica"/>
              </w:rPr>
              <w:t>etc</w:t>
            </w:r>
            <w:r>
              <w:rPr>
                <w:rFonts w:eastAsia="Times New Roman" w:cs="Helvetica"/>
              </w:rPr>
              <w:t>.</w:t>
            </w:r>
          </w:p>
        </w:tc>
      </w:tr>
    </w:tbl>
    <w:p w:rsidR="00A4666A" w:rsidRDefault="00A4666A"/>
    <w:tbl>
      <w:tblPr>
        <w:tblStyle w:val="TableGrid"/>
        <w:tblW w:w="0" w:type="auto"/>
        <w:tblInd w:w="108" w:type="dxa"/>
        <w:tblLook w:val="04A0" w:firstRow="1" w:lastRow="0" w:firstColumn="1" w:lastColumn="0" w:noHBand="0" w:noVBand="1"/>
      </w:tblPr>
      <w:tblGrid>
        <w:gridCol w:w="8908"/>
      </w:tblGrid>
      <w:tr w:rsidR="00A336FA" w:rsidTr="00C54619">
        <w:tc>
          <w:tcPr>
            <w:tcW w:w="8908" w:type="dxa"/>
            <w:shd w:val="clear" w:color="auto" w:fill="000000" w:themeFill="text1"/>
          </w:tcPr>
          <w:p w:rsidR="00A336FA" w:rsidRPr="00EB5D28" w:rsidRDefault="002B70EC" w:rsidP="006305DC">
            <w:pPr>
              <w:rPr>
                <w:b/>
              </w:rPr>
            </w:pPr>
            <w:r>
              <w:rPr>
                <w:b/>
              </w:rPr>
              <w:t>CULTURALLY AND LINGUISTICALLY DIVERSE LEARNERS</w:t>
            </w:r>
          </w:p>
        </w:tc>
      </w:tr>
      <w:tr w:rsidR="00A336FA" w:rsidTr="00C54619">
        <w:tc>
          <w:tcPr>
            <w:tcW w:w="8908" w:type="dxa"/>
          </w:tcPr>
          <w:p w:rsidR="00665CE4" w:rsidRDefault="00665CE4" w:rsidP="002B70EC">
            <w:pPr>
              <w:spacing w:after="120"/>
            </w:pPr>
            <w:r>
              <w:t>Although the Hume region has pockets of CALD learners dispro</w:t>
            </w:r>
            <w:r w:rsidR="00712D1F">
              <w:t>portionate to the state average</w:t>
            </w:r>
            <w:r>
              <w:t xml:space="preserve"> (Mansfield, Wodonga, Strathbogie and Shepparton) actual numbers engaged in </w:t>
            </w:r>
            <w:r w:rsidR="00487F02">
              <w:t>pre-accredited</w:t>
            </w:r>
            <w:r>
              <w:t xml:space="preserve"> </w:t>
            </w:r>
            <w:r w:rsidR="002B70EC">
              <w:t xml:space="preserve">training </w:t>
            </w:r>
            <w:r>
              <w:t>are a reasonable proportion of population.</w:t>
            </w:r>
            <w:r w:rsidR="00754E7D">
              <w:t xml:space="preserve"> The</w:t>
            </w:r>
            <w:r>
              <w:t xml:space="preserve"> LGAs</w:t>
            </w:r>
            <w:r w:rsidR="00754E7D">
              <w:t xml:space="preserve"> that </w:t>
            </w:r>
            <w:r>
              <w:t xml:space="preserve">have large agriculture and horticulture industries have </w:t>
            </w:r>
            <w:r w:rsidR="00754E7D">
              <w:t xml:space="preserve">targeted </w:t>
            </w:r>
            <w:r>
              <w:t>refugee an</w:t>
            </w:r>
            <w:r w:rsidR="006305DC">
              <w:t>d migration settlement program</w:t>
            </w:r>
            <w:r>
              <w:t>s.</w:t>
            </w:r>
          </w:p>
          <w:p w:rsidR="00665CE4" w:rsidRDefault="00665CE4" w:rsidP="002B70EC">
            <w:pPr>
              <w:spacing w:after="120"/>
            </w:pPr>
            <w:r>
              <w:t xml:space="preserve">This is </w:t>
            </w:r>
            <w:r w:rsidR="00754E7D">
              <w:t>a pattern</w:t>
            </w:r>
            <w:r>
              <w:t xml:space="preserve"> lik</w:t>
            </w:r>
            <w:r w:rsidR="00754E7D">
              <w:t xml:space="preserve">ely to continue into the future. It </w:t>
            </w:r>
            <w:r>
              <w:t xml:space="preserve">will ensure a market for </w:t>
            </w:r>
            <w:r w:rsidR="00487F02">
              <w:t>pre-accredited</w:t>
            </w:r>
            <w:r>
              <w:t xml:space="preserve"> training as a pathway into further, higher and accredited training. As the communities of those with a CALD background continue to develop, the mutual attraction and intra-state movement will see consolidation of numbers in these communities.</w:t>
            </w:r>
          </w:p>
          <w:p w:rsidR="002B70EC" w:rsidRDefault="00665CE4" w:rsidP="002B70EC">
            <w:pPr>
              <w:spacing w:after="120"/>
            </w:pPr>
            <w:r>
              <w:t xml:space="preserve">Access to pre-accredited training within these communities is sufficient at present to supplement the needs identified above, however the contextualisation of the training offer to meet these emerging communities will need </w:t>
            </w:r>
            <w:r w:rsidR="00D9715B">
              <w:t>addressing</w:t>
            </w:r>
            <w:r>
              <w:t xml:space="preserve"> to engage and appeal more widely</w:t>
            </w:r>
            <w:r w:rsidR="00712D1F">
              <w:t>.</w:t>
            </w:r>
            <w:r w:rsidR="002B70EC">
              <w:t xml:space="preserve"> </w:t>
            </w:r>
          </w:p>
          <w:p w:rsidR="00A336FA" w:rsidRDefault="002B70EC" w:rsidP="002B70EC">
            <w:pPr>
              <w:spacing w:after="120"/>
            </w:pPr>
            <w:r>
              <w:t>By definition, this cohort has English as an Additional Language and further opportunities through pre- accredited offering to provide at minimum, conversational English classes would serve to enhance their employment opportunity. Building on language skills could also lead into industry specific entry-level training, aligned to specific businesses or industry sectors</w:t>
            </w:r>
          </w:p>
        </w:tc>
      </w:tr>
    </w:tbl>
    <w:p w:rsidR="002B70EC" w:rsidRDefault="002B70EC"/>
    <w:tbl>
      <w:tblPr>
        <w:tblStyle w:val="TableGrid"/>
        <w:tblW w:w="0" w:type="auto"/>
        <w:tblInd w:w="108" w:type="dxa"/>
        <w:tblLook w:val="04A0" w:firstRow="1" w:lastRow="0" w:firstColumn="1" w:lastColumn="0" w:noHBand="0" w:noVBand="1"/>
      </w:tblPr>
      <w:tblGrid>
        <w:gridCol w:w="8908"/>
      </w:tblGrid>
      <w:tr w:rsidR="00A336FA" w:rsidTr="00C54619">
        <w:tc>
          <w:tcPr>
            <w:tcW w:w="8908" w:type="dxa"/>
            <w:shd w:val="clear" w:color="auto" w:fill="000000" w:themeFill="text1"/>
          </w:tcPr>
          <w:p w:rsidR="00A336FA" w:rsidRPr="00EB5D28" w:rsidRDefault="002B70EC" w:rsidP="008D7FB9">
            <w:pPr>
              <w:rPr>
                <w:b/>
              </w:rPr>
            </w:pPr>
            <w:r>
              <w:rPr>
                <w:b/>
              </w:rPr>
              <w:t>PEOPLE WITH DISABILITY</w:t>
            </w:r>
          </w:p>
        </w:tc>
      </w:tr>
      <w:tr w:rsidR="002B70EC" w:rsidTr="002B70EC">
        <w:tc>
          <w:tcPr>
            <w:tcW w:w="8908" w:type="dxa"/>
          </w:tcPr>
          <w:p w:rsidR="002B70EC" w:rsidRDefault="002B70EC" w:rsidP="002B70EC">
            <w:pPr>
              <w:spacing w:after="120"/>
            </w:pPr>
            <w:r>
              <w:t>The region has numerous disability support services and hosts 15 individual Australian Disability Enterprise sites (ADEs). The sites are in the main centres (Shepparton, Wodonga, Wangaratta, Benalla and Seymour) and account for significant employment of people with a disability. These ADEs are primarily associated with manufacturing, agriculture and horticulture, transport, logistic</w:t>
            </w:r>
            <w:r w:rsidR="006166CF">
              <w:t>s</w:t>
            </w:r>
            <w:r>
              <w:t xml:space="preserve"> and warehousing.</w:t>
            </w:r>
          </w:p>
          <w:p w:rsidR="002B70EC" w:rsidRDefault="002B70EC" w:rsidP="002B70EC">
            <w:pPr>
              <w:spacing w:after="120"/>
            </w:pPr>
            <w:r>
              <w:t>The NDIS will shift the application of funding to one of individual needs and aspiration. Education and employment is one aspect of the NDIS funding package determined by the individual.</w:t>
            </w:r>
          </w:p>
          <w:p w:rsidR="002B70EC" w:rsidRDefault="002B70EC" w:rsidP="006166CF">
            <w:pPr>
              <w:spacing w:after="120"/>
            </w:pPr>
            <w:r>
              <w:t xml:space="preserve">Further connections and partnerships between LLs and </w:t>
            </w:r>
            <w:r w:rsidR="006166CF">
              <w:t>disability services</w:t>
            </w:r>
            <w:r>
              <w:t xml:space="preserve"> could support growth in pre-accredited training for this cohort</w:t>
            </w:r>
            <w:r w:rsidR="006166CF">
              <w:t>.</w:t>
            </w:r>
            <w:r>
              <w:t xml:space="preserve"> Skills directly related to employment in the industries identified as growth sectors in the Hume region would ensure that this cohort has more valuable and relevant learner. </w:t>
            </w:r>
          </w:p>
        </w:tc>
      </w:tr>
    </w:tbl>
    <w:p w:rsidR="002E32DD" w:rsidRDefault="002E32DD">
      <w:pPr>
        <w:rPr>
          <w:sz w:val="16"/>
        </w:rPr>
      </w:pPr>
    </w:p>
    <w:tbl>
      <w:tblPr>
        <w:tblStyle w:val="TableGrid"/>
        <w:tblW w:w="0" w:type="auto"/>
        <w:tblInd w:w="108" w:type="dxa"/>
        <w:tblLook w:val="04A0" w:firstRow="1" w:lastRow="0" w:firstColumn="1" w:lastColumn="0" w:noHBand="0" w:noVBand="1"/>
      </w:tblPr>
      <w:tblGrid>
        <w:gridCol w:w="8908"/>
      </w:tblGrid>
      <w:tr w:rsidR="00597FA2" w:rsidTr="009F5F66">
        <w:tc>
          <w:tcPr>
            <w:tcW w:w="8908" w:type="dxa"/>
            <w:shd w:val="clear" w:color="auto" w:fill="000000" w:themeFill="text1"/>
          </w:tcPr>
          <w:p w:rsidR="00597FA2" w:rsidRPr="00EB5D28" w:rsidRDefault="006166CF" w:rsidP="0082082C">
            <w:pPr>
              <w:rPr>
                <w:b/>
              </w:rPr>
            </w:pPr>
            <w:r>
              <w:rPr>
                <w:b/>
              </w:rPr>
              <w:t>YOUNG PEOPLE (15 -19) DISENGAGED FROM WORK AND/OR SCHOOL</w:t>
            </w:r>
          </w:p>
        </w:tc>
      </w:tr>
      <w:tr w:rsidR="00597FA2" w:rsidTr="009F5F66">
        <w:tc>
          <w:tcPr>
            <w:tcW w:w="8908" w:type="dxa"/>
          </w:tcPr>
          <w:p w:rsidR="006166CF" w:rsidRDefault="006166CF" w:rsidP="003E6389">
            <w:pPr>
              <w:spacing w:after="60"/>
            </w:pPr>
            <w:r>
              <w:t xml:space="preserve">Provision to this cohort varies across the region. </w:t>
            </w:r>
          </w:p>
          <w:p w:rsidR="009D02B8" w:rsidRPr="007D1B20" w:rsidRDefault="000D1A01" w:rsidP="006166CF">
            <w:pPr>
              <w:spacing w:after="60"/>
              <w:rPr>
                <w:rFonts w:ascii="Calibri" w:hAnsi="Calibri"/>
              </w:rPr>
            </w:pPr>
            <w:r w:rsidRPr="007D1B20">
              <w:rPr>
                <w:rFonts w:ascii="Calibri" w:hAnsi="Calibri"/>
              </w:rPr>
              <w:t>Closer analysis of provision in each o</w:t>
            </w:r>
            <w:r w:rsidR="008F4589" w:rsidRPr="007D1B20">
              <w:rPr>
                <w:rFonts w:ascii="Calibri" w:hAnsi="Calibri"/>
              </w:rPr>
              <w:t>f the LGAs across Hume indicates</w:t>
            </w:r>
            <w:r w:rsidRPr="007D1B20">
              <w:rPr>
                <w:rFonts w:ascii="Calibri" w:hAnsi="Calibri"/>
              </w:rPr>
              <w:t xml:space="preserve"> </w:t>
            </w:r>
            <w:r w:rsidR="008F4589" w:rsidRPr="007D1B20">
              <w:rPr>
                <w:rFonts w:ascii="Calibri" w:hAnsi="Calibri"/>
              </w:rPr>
              <w:t>p</w:t>
            </w:r>
            <w:r w:rsidR="008112A5" w:rsidRPr="007D1B20">
              <w:rPr>
                <w:rFonts w:ascii="Calibri" w:hAnsi="Calibri"/>
              </w:rPr>
              <w:t xml:space="preserve">rovision across Ovens Murray </w:t>
            </w:r>
            <w:r w:rsidR="003825D4" w:rsidRPr="007D1B20">
              <w:rPr>
                <w:rFonts w:ascii="Calibri" w:hAnsi="Calibri"/>
              </w:rPr>
              <w:t xml:space="preserve">is adequate with </w:t>
            </w:r>
            <w:r w:rsidR="004A07D2" w:rsidRPr="007D1B20">
              <w:rPr>
                <w:rFonts w:ascii="Calibri" w:hAnsi="Calibri"/>
              </w:rPr>
              <w:t>Wodonga TAFE</w:t>
            </w:r>
            <w:r w:rsidR="003825D4" w:rsidRPr="007D1B20">
              <w:rPr>
                <w:rFonts w:ascii="Calibri" w:hAnsi="Calibri"/>
              </w:rPr>
              <w:t xml:space="preserve">, through </w:t>
            </w:r>
            <w:r w:rsidR="006166CF">
              <w:rPr>
                <w:rFonts w:ascii="Calibri" w:hAnsi="Calibri"/>
              </w:rPr>
              <w:t xml:space="preserve">the </w:t>
            </w:r>
            <w:r w:rsidR="004A07D2" w:rsidRPr="007D1B20">
              <w:rPr>
                <w:rFonts w:ascii="Calibri" w:hAnsi="Calibri"/>
              </w:rPr>
              <w:t>Reconnect</w:t>
            </w:r>
            <w:r w:rsidR="00BE26CE" w:rsidRPr="007D1B20">
              <w:rPr>
                <w:rFonts w:ascii="Calibri" w:hAnsi="Calibri"/>
              </w:rPr>
              <w:t xml:space="preserve"> </w:t>
            </w:r>
            <w:r w:rsidR="003825D4" w:rsidRPr="007D1B20">
              <w:rPr>
                <w:rFonts w:ascii="Calibri" w:hAnsi="Calibri"/>
              </w:rPr>
              <w:t xml:space="preserve">program, creating opportunities </w:t>
            </w:r>
            <w:r w:rsidR="00BE26CE" w:rsidRPr="007D1B20">
              <w:rPr>
                <w:rFonts w:ascii="Calibri" w:hAnsi="Calibri"/>
              </w:rPr>
              <w:t xml:space="preserve">for partnership with </w:t>
            </w:r>
            <w:r w:rsidR="00487F02">
              <w:rPr>
                <w:rFonts w:ascii="Calibri" w:hAnsi="Calibri"/>
              </w:rPr>
              <w:t>pre-accredited</w:t>
            </w:r>
            <w:r w:rsidR="009D02B8" w:rsidRPr="007D1B20">
              <w:rPr>
                <w:rFonts w:ascii="Calibri" w:hAnsi="Calibri"/>
              </w:rPr>
              <w:t xml:space="preserve"> </w:t>
            </w:r>
            <w:r w:rsidR="003825D4" w:rsidRPr="007D1B20">
              <w:rPr>
                <w:rFonts w:ascii="Calibri" w:hAnsi="Calibri"/>
              </w:rPr>
              <w:t>Learn Locals.</w:t>
            </w:r>
            <w:r w:rsidR="009D02B8" w:rsidRPr="007D1B20">
              <w:rPr>
                <w:rFonts w:ascii="Calibri" w:hAnsi="Calibri"/>
              </w:rPr>
              <w:t xml:space="preserve"> </w:t>
            </w:r>
            <w:r w:rsidR="006166CF">
              <w:rPr>
                <w:rFonts w:ascii="Calibri" w:hAnsi="Calibri"/>
              </w:rPr>
              <w:t>F</w:t>
            </w:r>
            <w:r w:rsidR="00EF50E6" w:rsidRPr="007D1B20">
              <w:rPr>
                <w:rFonts w:ascii="Calibri" w:hAnsi="Calibri"/>
              </w:rPr>
              <w:t xml:space="preserve">our secondary schools </w:t>
            </w:r>
            <w:r w:rsidR="009D02B8" w:rsidRPr="007D1B20">
              <w:rPr>
                <w:rFonts w:ascii="Calibri" w:hAnsi="Calibri"/>
              </w:rPr>
              <w:t>plus specia</w:t>
            </w:r>
            <w:r w:rsidR="008F4589" w:rsidRPr="007D1B20">
              <w:rPr>
                <w:rFonts w:ascii="Calibri" w:hAnsi="Calibri"/>
              </w:rPr>
              <w:t>list school offer</w:t>
            </w:r>
            <w:r w:rsidR="00870CEE" w:rsidRPr="007D1B20">
              <w:rPr>
                <w:rFonts w:ascii="Calibri" w:hAnsi="Calibri"/>
              </w:rPr>
              <w:t xml:space="preserve"> </w:t>
            </w:r>
            <w:r w:rsidR="009D02B8" w:rsidRPr="007D1B20">
              <w:rPr>
                <w:rFonts w:ascii="Calibri" w:hAnsi="Calibri"/>
              </w:rPr>
              <w:t xml:space="preserve">programs </w:t>
            </w:r>
            <w:r w:rsidR="00870CEE" w:rsidRPr="007D1B20">
              <w:rPr>
                <w:rFonts w:ascii="Calibri" w:hAnsi="Calibri"/>
              </w:rPr>
              <w:t>including VCAL</w:t>
            </w:r>
            <w:r w:rsidR="003825D4" w:rsidRPr="007D1B20">
              <w:rPr>
                <w:rFonts w:ascii="Calibri" w:hAnsi="Calibri"/>
              </w:rPr>
              <w:t xml:space="preserve">. </w:t>
            </w:r>
            <w:r w:rsidR="00A240CA" w:rsidRPr="007D1B20">
              <w:rPr>
                <w:rFonts w:ascii="Calibri" w:hAnsi="Calibri"/>
              </w:rPr>
              <w:t xml:space="preserve"> Service provision in </w:t>
            </w:r>
            <w:r w:rsidR="006166CF">
              <w:rPr>
                <w:rFonts w:ascii="Calibri" w:hAnsi="Calibri"/>
              </w:rPr>
              <w:t>Towong</w:t>
            </w:r>
            <w:r w:rsidR="003825D4" w:rsidRPr="007D1B20">
              <w:rPr>
                <w:rFonts w:ascii="Calibri" w:hAnsi="Calibri"/>
              </w:rPr>
              <w:t xml:space="preserve"> is limited.</w:t>
            </w:r>
          </w:p>
          <w:p w:rsidR="002E196E" w:rsidRPr="007D1B20" w:rsidRDefault="007E7F23" w:rsidP="003E6389">
            <w:pPr>
              <w:spacing w:after="60"/>
              <w:rPr>
                <w:rFonts w:ascii="Calibri" w:hAnsi="Calibri"/>
              </w:rPr>
            </w:pPr>
            <w:r w:rsidRPr="007D1B20">
              <w:rPr>
                <w:rFonts w:ascii="Calibri" w:hAnsi="Calibri"/>
              </w:rPr>
              <w:t xml:space="preserve">Provision to disengaged youth across </w:t>
            </w:r>
            <w:r w:rsidR="008112A5" w:rsidRPr="007D1B20">
              <w:rPr>
                <w:rFonts w:ascii="Calibri" w:hAnsi="Calibri"/>
              </w:rPr>
              <w:t>Goulburn</w:t>
            </w:r>
            <w:r w:rsidRPr="007D1B20">
              <w:rPr>
                <w:rFonts w:ascii="Calibri" w:hAnsi="Calibri"/>
              </w:rPr>
              <w:t xml:space="preserve"> is varied.</w:t>
            </w:r>
            <w:r w:rsidR="006166CF">
              <w:rPr>
                <w:rFonts w:ascii="Calibri" w:hAnsi="Calibri"/>
              </w:rPr>
              <w:t xml:space="preserve"> </w:t>
            </w:r>
            <w:r w:rsidR="004363FB" w:rsidRPr="007D1B20">
              <w:rPr>
                <w:rFonts w:ascii="Calibri" w:hAnsi="Calibri"/>
              </w:rPr>
              <w:t xml:space="preserve">The </w:t>
            </w:r>
            <w:r w:rsidR="00A240CA" w:rsidRPr="007D1B20">
              <w:rPr>
                <w:rFonts w:ascii="Calibri" w:hAnsi="Calibri"/>
              </w:rPr>
              <w:t>Flex</w:t>
            </w:r>
            <w:r w:rsidR="004363FB" w:rsidRPr="007D1B20">
              <w:rPr>
                <w:rFonts w:ascii="Calibri" w:hAnsi="Calibri"/>
              </w:rPr>
              <w:t>ible Learning Centre in Benalla</w:t>
            </w:r>
            <w:r w:rsidR="00A240CA" w:rsidRPr="007D1B20">
              <w:rPr>
                <w:rFonts w:ascii="Calibri" w:hAnsi="Calibri"/>
              </w:rPr>
              <w:t xml:space="preserve"> </w:t>
            </w:r>
            <w:r w:rsidR="00E801D8" w:rsidRPr="007D1B20">
              <w:rPr>
                <w:rFonts w:ascii="Calibri" w:hAnsi="Calibri"/>
              </w:rPr>
              <w:t xml:space="preserve">offers educational opportunities, </w:t>
            </w:r>
            <w:r w:rsidR="004363FB" w:rsidRPr="007D1B20">
              <w:rPr>
                <w:rFonts w:ascii="Calibri" w:hAnsi="Calibri"/>
              </w:rPr>
              <w:t>engaging with a portion of</w:t>
            </w:r>
            <w:r w:rsidR="002E196E" w:rsidRPr="007D1B20">
              <w:rPr>
                <w:rFonts w:ascii="Calibri" w:hAnsi="Calibri"/>
              </w:rPr>
              <w:t xml:space="preserve"> disengaged youth</w:t>
            </w:r>
            <w:r w:rsidR="008F131F" w:rsidRPr="007D1B20">
              <w:rPr>
                <w:rFonts w:ascii="Calibri" w:hAnsi="Calibri"/>
              </w:rPr>
              <w:t>.</w:t>
            </w:r>
            <w:r w:rsidR="008F4589" w:rsidRPr="007D1B20">
              <w:rPr>
                <w:rFonts w:ascii="Calibri" w:hAnsi="Calibri"/>
              </w:rPr>
              <w:t xml:space="preserve"> </w:t>
            </w:r>
            <w:r w:rsidR="008F131F">
              <w:rPr>
                <w:rFonts w:ascii="Calibri" w:hAnsi="Calibri"/>
              </w:rPr>
              <w:t>A</w:t>
            </w:r>
            <w:r w:rsidR="006A2F1D" w:rsidRPr="007D1B20">
              <w:rPr>
                <w:rFonts w:ascii="Calibri" w:hAnsi="Calibri"/>
              </w:rPr>
              <w:t xml:space="preserve"> </w:t>
            </w:r>
            <w:r w:rsidR="004363FB" w:rsidRPr="007D1B20">
              <w:rPr>
                <w:rFonts w:ascii="Calibri" w:hAnsi="Calibri"/>
              </w:rPr>
              <w:t xml:space="preserve">school in Yea </w:t>
            </w:r>
            <w:r w:rsidR="006166CF">
              <w:rPr>
                <w:rFonts w:ascii="Calibri" w:hAnsi="Calibri"/>
              </w:rPr>
              <w:t xml:space="preserve">is delivering a program </w:t>
            </w:r>
            <w:r w:rsidR="004363FB" w:rsidRPr="007D1B20">
              <w:rPr>
                <w:rFonts w:ascii="Calibri" w:hAnsi="Calibri"/>
              </w:rPr>
              <w:t xml:space="preserve">to students with mental health </w:t>
            </w:r>
            <w:r w:rsidR="006166CF">
              <w:rPr>
                <w:rFonts w:ascii="Calibri" w:hAnsi="Calibri"/>
              </w:rPr>
              <w:t>issue</w:t>
            </w:r>
            <w:r w:rsidR="004363FB" w:rsidRPr="007D1B20">
              <w:rPr>
                <w:rFonts w:ascii="Calibri" w:hAnsi="Calibri"/>
              </w:rPr>
              <w:t xml:space="preserve">s. </w:t>
            </w:r>
          </w:p>
          <w:p w:rsidR="00DD149E" w:rsidRPr="007D1B20" w:rsidRDefault="00832093" w:rsidP="004363FB">
            <w:pPr>
              <w:rPr>
                <w:rFonts w:ascii="Calibri" w:hAnsi="Calibri"/>
              </w:rPr>
            </w:pPr>
            <w:r w:rsidRPr="007D1B20">
              <w:rPr>
                <w:rFonts w:ascii="Calibri" w:hAnsi="Calibri"/>
              </w:rPr>
              <w:t>Mitchell Shire</w:t>
            </w:r>
            <w:r w:rsidR="000D1A01" w:rsidRPr="007D1B20">
              <w:rPr>
                <w:rFonts w:ascii="Calibri" w:hAnsi="Calibri"/>
              </w:rPr>
              <w:t xml:space="preserve"> </w:t>
            </w:r>
            <w:r w:rsidR="004363FB" w:rsidRPr="007D1B20">
              <w:rPr>
                <w:rFonts w:ascii="Calibri" w:hAnsi="Calibri"/>
              </w:rPr>
              <w:t xml:space="preserve">is </w:t>
            </w:r>
            <w:r w:rsidRPr="007D1B20">
              <w:rPr>
                <w:rFonts w:ascii="Calibri" w:hAnsi="Calibri"/>
              </w:rPr>
              <w:t>concerned</w:t>
            </w:r>
            <w:r w:rsidR="000D1A01" w:rsidRPr="007D1B20">
              <w:rPr>
                <w:rFonts w:ascii="Calibri" w:hAnsi="Calibri"/>
              </w:rPr>
              <w:t xml:space="preserve"> with high percentage of disengaged youth </w:t>
            </w:r>
            <w:r w:rsidR="00EF50E6" w:rsidRPr="007D1B20">
              <w:rPr>
                <w:rFonts w:ascii="Calibri" w:hAnsi="Calibri"/>
              </w:rPr>
              <w:t>and limited provision</w:t>
            </w:r>
            <w:r w:rsidRPr="007D1B20">
              <w:rPr>
                <w:rFonts w:ascii="Calibri" w:hAnsi="Calibri"/>
              </w:rPr>
              <w:t xml:space="preserve"> especially with increasing number of indigenous youth moving into Wallan. </w:t>
            </w:r>
            <w:r w:rsidR="008F131F">
              <w:rPr>
                <w:rFonts w:ascii="Calibri" w:hAnsi="Calibri"/>
              </w:rPr>
              <w:t>T</w:t>
            </w:r>
            <w:r w:rsidR="005D73F7" w:rsidRPr="007D1B20">
              <w:rPr>
                <w:rFonts w:ascii="Calibri" w:hAnsi="Calibri"/>
              </w:rPr>
              <w:t xml:space="preserve">he </w:t>
            </w:r>
            <w:r w:rsidR="008F131F">
              <w:rPr>
                <w:rFonts w:ascii="Calibri" w:hAnsi="Calibri"/>
              </w:rPr>
              <w:t>demographic profile of Wallan</w:t>
            </w:r>
            <w:r w:rsidR="005D73F7" w:rsidRPr="007D1B20">
              <w:rPr>
                <w:rFonts w:ascii="Calibri" w:hAnsi="Calibri"/>
              </w:rPr>
              <w:t xml:space="preserve"> has shifted significantly </w:t>
            </w:r>
            <w:r w:rsidR="008F131F">
              <w:rPr>
                <w:rFonts w:ascii="Calibri" w:hAnsi="Calibri"/>
              </w:rPr>
              <w:t xml:space="preserve">recently </w:t>
            </w:r>
            <w:r w:rsidR="005D73F7" w:rsidRPr="007D1B20">
              <w:rPr>
                <w:rFonts w:ascii="Calibri" w:hAnsi="Calibri"/>
              </w:rPr>
              <w:t xml:space="preserve">with population movement out into the peri-urban fringe from outer Melbourne seeking affordable accommodation. Social and community issues have begun to emerge in Wallan that are of concern to Mitchell Shire and other stakeholders. At </w:t>
            </w:r>
            <w:r w:rsidR="00BE11C0" w:rsidRPr="007D1B20">
              <w:rPr>
                <w:rFonts w:ascii="Calibri" w:hAnsi="Calibri"/>
              </w:rPr>
              <w:t>present,</w:t>
            </w:r>
            <w:r w:rsidR="005D73F7" w:rsidRPr="007D1B20">
              <w:rPr>
                <w:rFonts w:ascii="Calibri" w:hAnsi="Calibri"/>
              </w:rPr>
              <w:t xml:space="preserve"> there is no at-risk youth program in Wallan, and some are commuting to Seymour.</w:t>
            </w:r>
          </w:p>
          <w:p w:rsidR="008F4589" w:rsidRPr="007D1B20" w:rsidRDefault="008F4589" w:rsidP="004363FB">
            <w:pPr>
              <w:rPr>
                <w:rFonts w:ascii="Calibri" w:hAnsi="Calibri"/>
              </w:rPr>
            </w:pPr>
            <w:r w:rsidRPr="007D1B20">
              <w:rPr>
                <w:rFonts w:ascii="Calibri" w:hAnsi="Calibri"/>
              </w:rPr>
              <w:t>There is some provision to this cohort in Shepparton predominantly in accredited training.</w:t>
            </w:r>
          </w:p>
          <w:p w:rsidR="007D1B20" w:rsidRPr="007D1B20" w:rsidRDefault="008F131F" w:rsidP="003E6389">
            <w:pPr>
              <w:spacing w:after="240"/>
              <w:rPr>
                <w:rFonts w:ascii="Calibri" w:hAnsi="Calibri"/>
              </w:rPr>
            </w:pPr>
            <w:r>
              <w:rPr>
                <w:rFonts w:ascii="Calibri" w:hAnsi="Calibri"/>
              </w:rPr>
              <w:t>Strathbogie requires a s</w:t>
            </w:r>
            <w:r w:rsidR="004363FB" w:rsidRPr="007D1B20">
              <w:rPr>
                <w:rFonts w:ascii="Calibri" w:hAnsi="Calibri"/>
              </w:rPr>
              <w:t xml:space="preserve">trategy to restore provision in </w:t>
            </w:r>
            <w:r>
              <w:rPr>
                <w:rFonts w:ascii="Calibri" w:hAnsi="Calibri"/>
              </w:rPr>
              <w:t xml:space="preserve">the </w:t>
            </w:r>
            <w:r w:rsidR="004363FB" w:rsidRPr="007D1B20">
              <w:rPr>
                <w:rFonts w:ascii="Calibri" w:hAnsi="Calibri"/>
              </w:rPr>
              <w:t>LGA</w:t>
            </w:r>
            <w:r w:rsidR="008F4589" w:rsidRPr="007D1B20">
              <w:rPr>
                <w:rFonts w:ascii="Calibri" w:hAnsi="Calibri"/>
              </w:rPr>
              <w:t>.</w:t>
            </w:r>
          </w:p>
        </w:tc>
      </w:tr>
    </w:tbl>
    <w:p w:rsidR="007D1B20" w:rsidRDefault="007D1B20"/>
    <w:tbl>
      <w:tblPr>
        <w:tblStyle w:val="TableGrid"/>
        <w:tblW w:w="0" w:type="auto"/>
        <w:tblInd w:w="108" w:type="dxa"/>
        <w:tblLook w:val="04A0" w:firstRow="1" w:lastRow="0" w:firstColumn="1" w:lastColumn="0" w:noHBand="0" w:noVBand="1"/>
      </w:tblPr>
      <w:tblGrid>
        <w:gridCol w:w="8908"/>
      </w:tblGrid>
      <w:tr w:rsidR="00597FA2" w:rsidTr="008F131F">
        <w:tc>
          <w:tcPr>
            <w:tcW w:w="8908" w:type="dxa"/>
            <w:shd w:val="clear" w:color="auto" w:fill="000000" w:themeFill="text1"/>
          </w:tcPr>
          <w:p w:rsidR="00597FA2" w:rsidRPr="00EB5D28" w:rsidRDefault="0032784A" w:rsidP="00FF4956">
            <w:pPr>
              <w:rPr>
                <w:b/>
              </w:rPr>
            </w:pPr>
            <w:r>
              <w:rPr>
                <w:b/>
              </w:rPr>
              <w:t>EARLY SCHOOL LEAVERS</w:t>
            </w:r>
            <w:r w:rsidR="00FF4956">
              <w:rPr>
                <w:b/>
              </w:rPr>
              <w:t xml:space="preserve"> </w:t>
            </w:r>
          </w:p>
        </w:tc>
      </w:tr>
      <w:tr w:rsidR="008F131F" w:rsidTr="008F131F">
        <w:trPr>
          <w:trHeight w:val="3541"/>
        </w:trPr>
        <w:tc>
          <w:tcPr>
            <w:tcW w:w="8908" w:type="dxa"/>
          </w:tcPr>
          <w:p w:rsidR="008F131F" w:rsidRDefault="008F131F" w:rsidP="008F131F">
            <w:pPr>
              <w:spacing w:after="120"/>
            </w:pPr>
            <w:r>
              <w:t>In some of the smaller LGAs sparse populations and the lack of public transport are potential barriers for learners and providers alike.</w:t>
            </w:r>
          </w:p>
          <w:p w:rsidR="008F131F" w:rsidRPr="008F131F" w:rsidRDefault="008F131F" w:rsidP="008F131F">
            <w:pPr>
              <w:spacing w:after="120"/>
              <w:rPr>
                <w:rFonts w:eastAsiaTheme="minorEastAsia"/>
                <w:lang w:val="en-US" w:eastAsia="ja-JP"/>
              </w:rPr>
            </w:pPr>
            <w:r w:rsidRPr="008F131F">
              <w:rPr>
                <w:rFonts w:eastAsiaTheme="minorEastAsia"/>
                <w:lang w:val="en-US" w:eastAsia="ja-JP"/>
              </w:rPr>
              <w:t xml:space="preserve">There are opportunities for LLOs to be involved in the implementation of the Hume Regional Workforce Plan, to build and stimulate effective workforce development and planning through regional partnerships and collaborations. </w:t>
            </w:r>
          </w:p>
          <w:p w:rsidR="008F131F" w:rsidRPr="008F131F" w:rsidRDefault="008F131F" w:rsidP="008F131F">
            <w:pPr>
              <w:spacing w:after="120"/>
              <w:rPr>
                <w:rFonts w:eastAsiaTheme="minorEastAsia"/>
                <w:lang w:val="en-US" w:eastAsia="ja-JP"/>
              </w:rPr>
            </w:pPr>
            <w:r w:rsidRPr="00287985">
              <w:t>Providers</w:t>
            </w:r>
            <w:r>
              <w:t xml:space="preserve"> in smaller LGAs should be encouraged to be part of Hume Regional Partnerships and strengthen communication with their Local Learning and Employment Network (LLENs) who may prove a useful resource to help find solutions to support early school leavers.</w:t>
            </w:r>
          </w:p>
          <w:p w:rsidR="008F131F" w:rsidRDefault="008F131F" w:rsidP="008F131F">
            <w:pPr>
              <w:spacing w:after="120"/>
            </w:pPr>
            <w:r>
              <w:t>Providers would benefit from developing strong relationships with industry and employment stakeholders to provide relevant employment, and LLN skills programs to adults who have low educational attainment.</w:t>
            </w:r>
          </w:p>
        </w:tc>
      </w:tr>
    </w:tbl>
    <w:p w:rsidR="00725BDB" w:rsidRDefault="00725BDB"/>
    <w:tbl>
      <w:tblPr>
        <w:tblStyle w:val="TableGrid"/>
        <w:tblW w:w="0" w:type="auto"/>
        <w:tblInd w:w="108" w:type="dxa"/>
        <w:tblLook w:val="04A0" w:firstRow="1" w:lastRow="0" w:firstColumn="1" w:lastColumn="0" w:noHBand="0" w:noVBand="1"/>
      </w:tblPr>
      <w:tblGrid>
        <w:gridCol w:w="8908"/>
      </w:tblGrid>
      <w:tr w:rsidR="00597FA2" w:rsidTr="008F131F">
        <w:tc>
          <w:tcPr>
            <w:tcW w:w="8908" w:type="dxa"/>
            <w:shd w:val="clear" w:color="auto" w:fill="000000" w:themeFill="text1"/>
          </w:tcPr>
          <w:p w:rsidR="00597FA2" w:rsidRPr="00EB5D28" w:rsidRDefault="0032784A" w:rsidP="00FF4956">
            <w:pPr>
              <w:rPr>
                <w:b/>
              </w:rPr>
            </w:pPr>
            <w:r>
              <w:rPr>
                <w:b/>
              </w:rPr>
              <w:t>INDIGENOUS</w:t>
            </w:r>
            <w:r w:rsidR="00FF4956">
              <w:rPr>
                <w:b/>
              </w:rPr>
              <w:t xml:space="preserve"> </w:t>
            </w:r>
            <w:r w:rsidR="008F131F">
              <w:rPr>
                <w:b/>
              </w:rPr>
              <w:t>LEARNERS</w:t>
            </w:r>
          </w:p>
        </w:tc>
      </w:tr>
      <w:tr w:rsidR="00597FA2" w:rsidTr="008F131F">
        <w:tc>
          <w:tcPr>
            <w:tcW w:w="8908" w:type="dxa"/>
          </w:tcPr>
          <w:p w:rsidR="008F131F" w:rsidRDefault="008F131F" w:rsidP="00201BB1">
            <w:r>
              <w:t>The percentage of people of Aboriginal and Torres Strait origin is highest in Greater Shepparton and Wodonga.</w:t>
            </w:r>
          </w:p>
          <w:p w:rsidR="009C1289" w:rsidRDefault="009C1289" w:rsidP="00201BB1">
            <w:r>
              <w:t>LLOs can provide t</w:t>
            </w:r>
            <w:r w:rsidR="000738DD">
              <w:t>raining opportunities for Koorie</w:t>
            </w:r>
            <w:r>
              <w:t xml:space="preserve"> Youth and adults as initial pathways into acc</w:t>
            </w:r>
            <w:r w:rsidR="00D9473E">
              <w:t>redited training in the region.</w:t>
            </w:r>
          </w:p>
          <w:p w:rsidR="009C1289" w:rsidRDefault="009C1289" w:rsidP="0087720E">
            <w:r>
              <w:t>Programs developed and delivered must align with community values to be successful</w:t>
            </w:r>
            <w:r w:rsidR="00ED5B7C">
              <w:t xml:space="preserve"> and </w:t>
            </w:r>
          </w:p>
          <w:p w:rsidR="0087720E" w:rsidRDefault="0087720E" w:rsidP="0087720E">
            <w:pPr>
              <w:spacing w:before="120" w:after="120"/>
            </w:pPr>
            <w:r>
              <w:t>Involve local community members in co-design of programs for their local context within a cultural framework</w:t>
            </w:r>
            <w:r w:rsidR="00ED5B7C">
              <w:t xml:space="preserve"> to </w:t>
            </w:r>
            <w:r>
              <w:t>utilise local capacity and encourage networking.</w:t>
            </w:r>
          </w:p>
          <w:p w:rsidR="0087720E" w:rsidRPr="00F4687B" w:rsidRDefault="00ED5B7C" w:rsidP="0087720E">
            <w:r>
              <w:t>E</w:t>
            </w:r>
            <w:r w:rsidR="0087720E" w:rsidRPr="00F4687B">
              <w:t xml:space="preserve">ngage with </w:t>
            </w:r>
            <w:r>
              <w:t xml:space="preserve">the </w:t>
            </w:r>
            <w:r w:rsidR="0087720E" w:rsidRPr="00F4687B">
              <w:t>three indigenous networks currently operating in Wangaratta, Benalla and Mansfield.</w:t>
            </w:r>
          </w:p>
          <w:p w:rsidR="009C1289" w:rsidRDefault="0087720E" w:rsidP="00ED5B7C">
            <w:r>
              <w:t>Encourage strategic connections to further learning and employment pathways.</w:t>
            </w:r>
          </w:p>
          <w:p w:rsidR="00ED5B7C" w:rsidRDefault="00ED5B7C" w:rsidP="00ED5B7C"/>
        </w:tc>
      </w:tr>
    </w:tbl>
    <w:p w:rsidR="00581062" w:rsidRDefault="00581062"/>
    <w:tbl>
      <w:tblPr>
        <w:tblStyle w:val="TableGrid"/>
        <w:tblW w:w="9134" w:type="dxa"/>
        <w:tblInd w:w="108" w:type="dxa"/>
        <w:tblLayout w:type="fixed"/>
        <w:tblLook w:val="04A0" w:firstRow="1" w:lastRow="0" w:firstColumn="1" w:lastColumn="0" w:noHBand="0" w:noVBand="1"/>
      </w:tblPr>
      <w:tblGrid>
        <w:gridCol w:w="9134"/>
      </w:tblGrid>
      <w:tr w:rsidR="00597FA2" w:rsidTr="00ED5B7C">
        <w:tc>
          <w:tcPr>
            <w:tcW w:w="9134" w:type="dxa"/>
            <w:shd w:val="clear" w:color="auto" w:fill="000000" w:themeFill="text1"/>
          </w:tcPr>
          <w:p w:rsidR="00597FA2" w:rsidRPr="00EB5D28" w:rsidRDefault="00597FA2" w:rsidP="00FF4956">
            <w:pPr>
              <w:rPr>
                <w:b/>
              </w:rPr>
            </w:pPr>
            <w:r>
              <w:rPr>
                <w:b/>
              </w:rPr>
              <w:lastRenderedPageBreak/>
              <w:t xml:space="preserve">G:  </w:t>
            </w:r>
            <w:r w:rsidR="0032784A">
              <w:rPr>
                <w:b/>
              </w:rPr>
              <w:t xml:space="preserve">PRIORITY COHORT NEEDS </w:t>
            </w:r>
            <w:r w:rsidR="00201BB1">
              <w:rPr>
                <w:b/>
              </w:rPr>
              <w:t>–</w:t>
            </w:r>
            <w:r w:rsidR="0032784A">
              <w:rPr>
                <w:b/>
              </w:rPr>
              <w:t xml:space="preserve"> UNEMPLOYED</w:t>
            </w:r>
            <w:r w:rsidR="00FF4956">
              <w:rPr>
                <w:b/>
              </w:rPr>
              <w:t xml:space="preserve"> </w:t>
            </w:r>
          </w:p>
        </w:tc>
      </w:tr>
      <w:tr w:rsidR="00597FA2" w:rsidTr="00ED5B7C">
        <w:tc>
          <w:tcPr>
            <w:tcW w:w="9134" w:type="dxa"/>
          </w:tcPr>
          <w:p w:rsidR="00A21C80" w:rsidRDefault="00A21C80" w:rsidP="003E6389">
            <w:pPr>
              <w:spacing w:before="120" w:after="120"/>
            </w:pPr>
            <w:r>
              <w:t xml:space="preserve">Drivers of unemployment </w:t>
            </w:r>
            <w:r w:rsidR="00ED5B7C">
              <w:t xml:space="preserve">relevant to pre-accredited training </w:t>
            </w:r>
            <w:r w:rsidR="00A54FE7">
              <w:t xml:space="preserve">across </w:t>
            </w:r>
            <w:r w:rsidR="00ED5B7C">
              <w:t xml:space="preserve">the </w:t>
            </w:r>
            <w:r w:rsidR="00A54FE7">
              <w:t>Hume region include</w:t>
            </w:r>
            <w:r>
              <w:t>:</w:t>
            </w:r>
          </w:p>
          <w:p w:rsidR="00826F62" w:rsidRPr="00AD2DCD" w:rsidRDefault="009D1A0E" w:rsidP="00ED5B7C">
            <w:pPr>
              <w:pStyle w:val="ListParagraph"/>
              <w:numPr>
                <w:ilvl w:val="0"/>
                <w:numId w:val="23"/>
              </w:numPr>
            </w:pPr>
            <w:r w:rsidRPr="00AD2DCD">
              <w:t xml:space="preserve">Jobs in skilled occupations have grown at two and a half times the rate of unskilled jobs </w:t>
            </w:r>
          </w:p>
          <w:p w:rsidR="00826F62" w:rsidRPr="00AD2DCD" w:rsidRDefault="004E2710" w:rsidP="00ED5B7C">
            <w:pPr>
              <w:pStyle w:val="ListParagraph"/>
              <w:numPr>
                <w:ilvl w:val="0"/>
                <w:numId w:val="23"/>
              </w:numPr>
            </w:pPr>
            <w:r>
              <w:rPr>
                <w:lang w:val="en-US"/>
              </w:rPr>
              <w:t>Significant y</w:t>
            </w:r>
            <w:r w:rsidR="009D1A0E" w:rsidRPr="00ED5B7C">
              <w:rPr>
                <w:lang w:val="en-US"/>
              </w:rPr>
              <w:t xml:space="preserve">outh unemployment </w:t>
            </w:r>
            <w:r w:rsidR="00003073" w:rsidRPr="00ED5B7C">
              <w:rPr>
                <w:lang w:val="en-US"/>
              </w:rPr>
              <w:t xml:space="preserve">(including underemployment) </w:t>
            </w:r>
          </w:p>
          <w:p w:rsidR="00826F62" w:rsidRPr="00AD2DCD" w:rsidRDefault="009D1A0E" w:rsidP="004E2710">
            <w:pPr>
              <w:pStyle w:val="ListParagraph"/>
              <w:numPr>
                <w:ilvl w:val="0"/>
                <w:numId w:val="23"/>
              </w:numPr>
            </w:pPr>
            <w:r w:rsidRPr="004E2710">
              <w:rPr>
                <w:lang w:val="en-US"/>
              </w:rPr>
              <w:t>Increasing entrenched disadvantage in some locations</w:t>
            </w:r>
          </w:p>
          <w:p w:rsidR="004008BA" w:rsidRPr="00A16F85" w:rsidRDefault="004E2710" w:rsidP="00ED5B7C">
            <w:pPr>
              <w:pStyle w:val="ListParagraph"/>
              <w:numPr>
                <w:ilvl w:val="0"/>
                <w:numId w:val="23"/>
              </w:numPr>
              <w:spacing w:after="120"/>
            </w:pPr>
            <w:r>
              <w:rPr>
                <w:lang w:val="en-US"/>
              </w:rPr>
              <w:t>Low</w:t>
            </w:r>
            <w:r w:rsidR="009D1A0E" w:rsidRPr="00ED5B7C">
              <w:rPr>
                <w:lang w:val="en-US"/>
              </w:rPr>
              <w:t xml:space="preserve"> secondary school completion rates, and low tertiary achievement</w:t>
            </w:r>
          </w:p>
          <w:p w:rsidR="00940516" w:rsidRDefault="00A16F85" w:rsidP="00A27F7A">
            <w:pPr>
              <w:spacing w:after="120"/>
            </w:pPr>
            <w:r>
              <w:t>Employers report being unable to recruit people with the right skills (including soft skills) to positions – yet there are people who are looking for work and can</w:t>
            </w:r>
            <w:r w:rsidR="00581062">
              <w:t>no</w:t>
            </w:r>
            <w:r>
              <w:t>t meet the needs of employers.</w:t>
            </w:r>
            <w:r w:rsidR="00A21C80">
              <w:t xml:space="preserve"> </w:t>
            </w:r>
          </w:p>
          <w:p w:rsidR="00781B8C" w:rsidRDefault="00BF2114" w:rsidP="003E6389">
            <w:pPr>
              <w:spacing w:after="120"/>
            </w:pPr>
            <w:r>
              <w:t>Generational unemployment</w:t>
            </w:r>
            <w:r w:rsidR="00A21C80">
              <w:t xml:space="preserve"> is an issue. It</w:t>
            </w:r>
            <w:r>
              <w:t xml:space="preserve"> is concentrated in geographically </w:t>
            </w:r>
            <w:r w:rsidR="00F926AC">
              <w:t>specific</w:t>
            </w:r>
            <w:r>
              <w:t xml:space="preserve"> neighbourhoods (e.g. West Benalla, Yarrunga in Wangaratta) experiencing entrenched disadvantage. </w:t>
            </w:r>
          </w:p>
          <w:p w:rsidR="00AD2DCD" w:rsidRPr="00581062" w:rsidRDefault="00AD2DCD" w:rsidP="003E6389">
            <w:pPr>
              <w:pStyle w:val="Heading3"/>
              <w:spacing w:before="120" w:after="120"/>
              <w:outlineLvl w:val="2"/>
              <w:rPr>
                <w:rFonts w:asciiTheme="minorHAnsi" w:eastAsiaTheme="minorHAnsi" w:hAnsiTheme="minorHAnsi" w:cstheme="minorHAnsi"/>
                <w:b w:val="0"/>
                <w:bCs w:val="0"/>
                <w:sz w:val="22"/>
                <w:szCs w:val="20"/>
              </w:rPr>
            </w:pPr>
            <w:r w:rsidRPr="00581062">
              <w:rPr>
                <w:rFonts w:asciiTheme="minorHAnsi" w:eastAsiaTheme="minorHAnsi" w:hAnsiTheme="minorHAnsi" w:cstheme="minorHAnsi"/>
                <w:b w:val="0"/>
                <w:bCs w:val="0"/>
                <w:sz w:val="22"/>
                <w:szCs w:val="20"/>
              </w:rPr>
              <w:t xml:space="preserve">DHHS Health Profiles show that the Local Government Areas of Wangaratta, Benalla, Wodonga and Mitchell </w:t>
            </w:r>
            <w:r w:rsidR="00F926AC">
              <w:rPr>
                <w:rFonts w:asciiTheme="minorHAnsi" w:eastAsiaTheme="minorHAnsi" w:hAnsiTheme="minorHAnsi" w:cstheme="minorHAnsi"/>
                <w:b w:val="0"/>
                <w:bCs w:val="0"/>
                <w:sz w:val="22"/>
                <w:szCs w:val="20"/>
              </w:rPr>
              <w:t>experience</w:t>
            </w:r>
            <w:r w:rsidRPr="00581062">
              <w:rPr>
                <w:rFonts w:asciiTheme="minorHAnsi" w:eastAsiaTheme="minorHAnsi" w:hAnsiTheme="minorHAnsi" w:cstheme="minorHAnsi"/>
                <w:b w:val="0"/>
                <w:bCs w:val="0"/>
                <w:sz w:val="22"/>
                <w:szCs w:val="20"/>
              </w:rPr>
              <w:t xml:space="preserve"> significant issues relating to entrenched disadvantage:</w:t>
            </w:r>
          </w:p>
          <w:p w:rsidR="00AD2DCD" w:rsidRPr="00E54EB4" w:rsidRDefault="00AD2DCD" w:rsidP="00A16F85">
            <w:pPr>
              <w:pStyle w:val="ListParagraph"/>
              <w:numPr>
                <w:ilvl w:val="0"/>
                <w:numId w:val="11"/>
              </w:numPr>
              <w:rPr>
                <w:rFonts w:cstheme="minorHAnsi"/>
              </w:rPr>
            </w:pPr>
            <w:r w:rsidRPr="00E54EB4">
              <w:rPr>
                <w:rFonts w:cstheme="minorHAnsi"/>
              </w:rPr>
              <w:t>Wangaratta is ranked 5</w:t>
            </w:r>
            <w:r w:rsidRPr="00E54EB4">
              <w:rPr>
                <w:rFonts w:cstheme="minorHAnsi"/>
                <w:vertAlign w:val="superscript"/>
              </w:rPr>
              <w:t>th</w:t>
            </w:r>
            <w:r w:rsidRPr="00E54EB4">
              <w:rPr>
                <w:rFonts w:cstheme="minorHAnsi"/>
              </w:rPr>
              <w:t xml:space="preserve"> highest LGA for drug usage and possession offences</w:t>
            </w:r>
          </w:p>
          <w:p w:rsidR="00AD2DCD" w:rsidRPr="00E54EB4" w:rsidRDefault="00AD2DCD" w:rsidP="00A16F85">
            <w:pPr>
              <w:pStyle w:val="ListParagraph"/>
              <w:numPr>
                <w:ilvl w:val="0"/>
                <w:numId w:val="11"/>
              </w:numPr>
              <w:rPr>
                <w:rFonts w:cstheme="minorHAnsi"/>
              </w:rPr>
            </w:pPr>
            <w:r w:rsidRPr="00E54EB4">
              <w:rPr>
                <w:rFonts w:cstheme="minorHAnsi"/>
              </w:rPr>
              <w:t>Benalla is ranked 4</w:t>
            </w:r>
            <w:r w:rsidRPr="00E54EB4">
              <w:rPr>
                <w:rFonts w:cstheme="minorHAnsi"/>
                <w:vertAlign w:val="superscript"/>
              </w:rPr>
              <w:t>th</w:t>
            </w:r>
            <w:r w:rsidRPr="00E54EB4">
              <w:rPr>
                <w:rFonts w:cstheme="minorHAnsi"/>
              </w:rPr>
              <w:t xml:space="preserve"> highest for percentage of registered mental health clients</w:t>
            </w:r>
          </w:p>
          <w:p w:rsidR="00AD2DCD" w:rsidRPr="00E54EB4" w:rsidRDefault="00AD2DCD" w:rsidP="00A16F85">
            <w:pPr>
              <w:pStyle w:val="ListParagraph"/>
              <w:numPr>
                <w:ilvl w:val="0"/>
                <w:numId w:val="11"/>
              </w:numPr>
              <w:rPr>
                <w:rFonts w:cstheme="minorHAnsi"/>
              </w:rPr>
            </w:pPr>
            <w:r w:rsidRPr="00E54EB4">
              <w:rPr>
                <w:rFonts w:cstheme="minorHAnsi"/>
              </w:rPr>
              <w:t>Benalla is ranked 4</w:t>
            </w:r>
            <w:r w:rsidRPr="00E54EB4">
              <w:rPr>
                <w:rFonts w:cstheme="minorHAnsi"/>
                <w:vertAlign w:val="superscript"/>
              </w:rPr>
              <w:t>th</w:t>
            </w:r>
            <w:r w:rsidRPr="00E54EB4">
              <w:rPr>
                <w:rFonts w:cstheme="minorHAnsi"/>
              </w:rPr>
              <w:t xml:space="preserve"> highest for percentage of child protection investigations</w:t>
            </w:r>
          </w:p>
          <w:p w:rsidR="00AD2DCD" w:rsidRDefault="00AD2DCD" w:rsidP="00A16F85">
            <w:pPr>
              <w:pStyle w:val="ListParagraph"/>
              <w:numPr>
                <w:ilvl w:val="0"/>
                <w:numId w:val="11"/>
              </w:numPr>
              <w:rPr>
                <w:rFonts w:cstheme="minorHAnsi"/>
              </w:rPr>
            </w:pPr>
            <w:r w:rsidRPr="00E54EB4">
              <w:rPr>
                <w:rFonts w:cstheme="minorHAnsi"/>
              </w:rPr>
              <w:t>Wodonga is ranked 3</w:t>
            </w:r>
            <w:r w:rsidRPr="00E54EB4">
              <w:rPr>
                <w:rFonts w:cstheme="minorHAnsi"/>
                <w:vertAlign w:val="superscript"/>
              </w:rPr>
              <w:t>rd</w:t>
            </w:r>
            <w:r w:rsidRPr="00E54EB4">
              <w:rPr>
                <w:rFonts w:cstheme="minorHAnsi"/>
              </w:rPr>
              <w:t xml:space="preserve"> for single parent families</w:t>
            </w:r>
          </w:p>
          <w:p w:rsidR="00A21C80" w:rsidRPr="00E54EB4" w:rsidRDefault="00A21C80" w:rsidP="00A16F85">
            <w:pPr>
              <w:pStyle w:val="ListParagraph"/>
              <w:numPr>
                <w:ilvl w:val="0"/>
                <w:numId w:val="11"/>
              </w:numPr>
              <w:rPr>
                <w:rFonts w:cstheme="minorHAnsi"/>
              </w:rPr>
            </w:pPr>
            <w:r>
              <w:rPr>
                <w:rFonts w:cstheme="minorHAnsi"/>
              </w:rPr>
              <w:t>The number of ambulance attendances for illicit drugs is increasing in Mitchell Shire.</w:t>
            </w:r>
          </w:p>
          <w:p w:rsidR="00781B8C" w:rsidRPr="00A27F7A" w:rsidRDefault="00AD2DCD" w:rsidP="00A27F7A">
            <w:pPr>
              <w:pStyle w:val="ListParagraph"/>
              <w:numPr>
                <w:ilvl w:val="0"/>
                <w:numId w:val="11"/>
              </w:numPr>
              <w:spacing w:after="120"/>
              <w:rPr>
                <w:rFonts w:cstheme="minorHAnsi"/>
              </w:rPr>
            </w:pPr>
            <w:r w:rsidRPr="00E54EB4">
              <w:rPr>
                <w:rFonts w:cstheme="minorHAnsi"/>
              </w:rPr>
              <w:t>Mitchell is ranked 8</w:t>
            </w:r>
            <w:r w:rsidRPr="00E54EB4">
              <w:rPr>
                <w:rFonts w:cstheme="minorHAnsi"/>
                <w:vertAlign w:val="superscript"/>
              </w:rPr>
              <w:t>th</w:t>
            </w:r>
            <w:r w:rsidRPr="00E54EB4">
              <w:rPr>
                <w:rFonts w:cstheme="minorHAnsi"/>
              </w:rPr>
              <w:t xml:space="preserve"> for unemployment</w:t>
            </w:r>
          </w:p>
          <w:p w:rsidR="00A336FA" w:rsidRDefault="00781B8C" w:rsidP="00A27F7A">
            <w:pPr>
              <w:spacing w:after="120"/>
            </w:pPr>
            <w:r>
              <w:t>Ice and other illicit drugs, mental health, transience and family dysfunction (particularly domestic violence</w:t>
            </w:r>
            <w:r w:rsidR="00662ACE">
              <w:t xml:space="preserve"> and child protection issues) </w:t>
            </w:r>
            <w:r>
              <w:t xml:space="preserve">significantly </w:t>
            </w:r>
            <w:r w:rsidR="00E3679A">
              <w:t>affect</w:t>
            </w:r>
            <w:r>
              <w:t xml:space="preserve"> communities as</w:t>
            </w:r>
            <w:r w:rsidR="00662ACE">
              <w:t xml:space="preserve"> their</w:t>
            </w:r>
            <w:r>
              <w:t xml:space="preserve"> incidence increases in regional areas, particularly in Wangaratta and Wallan/Seymour. </w:t>
            </w:r>
          </w:p>
          <w:p w:rsidR="00F926AC" w:rsidRDefault="00F926AC" w:rsidP="00A27F7A">
            <w:pPr>
              <w:spacing w:after="120"/>
            </w:pPr>
            <w:r>
              <w:t>Learn Local organisations should consider:</w:t>
            </w:r>
          </w:p>
          <w:p w:rsidR="00F926AC" w:rsidRDefault="00F926AC" w:rsidP="00F926AC">
            <w:pPr>
              <w:pStyle w:val="ListParagraph"/>
              <w:numPr>
                <w:ilvl w:val="0"/>
                <w:numId w:val="24"/>
              </w:numPr>
              <w:spacing w:after="120"/>
            </w:pPr>
            <w:r>
              <w:t>developing pre-accredited courses in consultation with job agencies and actual employers to understand the entry-level worker skills they need</w:t>
            </w:r>
          </w:p>
          <w:p w:rsidR="00F926AC" w:rsidRDefault="00F926AC" w:rsidP="00F926AC">
            <w:pPr>
              <w:pStyle w:val="ListParagraph"/>
              <w:numPr>
                <w:ilvl w:val="0"/>
                <w:numId w:val="24"/>
              </w:numPr>
              <w:spacing w:after="120"/>
            </w:pPr>
            <w:r>
              <w:t>partnering with Jobs Victoria to assist the people who have been affected by the downturn in manufacturing –  agriculture would benefit engagement of this cohort</w:t>
            </w:r>
          </w:p>
        </w:tc>
      </w:tr>
    </w:tbl>
    <w:p w:rsidR="00A717CC" w:rsidRDefault="00A717CC"/>
    <w:tbl>
      <w:tblPr>
        <w:tblStyle w:val="TableGrid"/>
        <w:tblW w:w="0" w:type="auto"/>
        <w:tblInd w:w="108" w:type="dxa"/>
        <w:tblLook w:val="04A0" w:firstRow="1" w:lastRow="0" w:firstColumn="1" w:lastColumn="0" w:noHBand="0" w:noVBand="1"/>
      </w:tblPr>
      <w:tblGrid>
        <w:gridCol w:w="8908"/>
      </w:tblGrid>
      <w:tr w:rsidR="00597FA2" w:rsidTr="00581062">
        <w:tc>
          <w:tcPr>
            <w:tcW w:w="8908" w:type="dxa"/>
            <w:shd w:val="clear" w:color="auto" w:fill="000000" w:themeFill="text1"/>
          </w:tcPr>
          <w:p w:rsidR="00597FA2" w:rsidRPr="00EB5D28" w:rsidRDefault="0032784A" w:rsidP="00484B1F">
            <w:pPr>
              <w:rPr>
                <w:b/>
              </w:rPr>
            </w:pPr>
            <w:r>
              <w:rPr>
                <w:b/>
              </w:rPr>
              <w:t>VULNERABLE WORKERS</w:t>
            </w:r>
            <w:r w:rsidR="00484B1F">
              <w:rPr>
                <w:b/>
              </w:rPr>
              <w:t xml:space="preserve"> </w:t>
            </w:r>
          </w:p>
        </w:tc>
      </w:tr>
      <w:tr w:rsidR="00597FA2" w:rsidTr="00581062">
        <w:tc>
          <w:tcPr>
            <w:tcW w:w="8908" w:type="dxa"/>
          </w:tcPr>
          <w:p w:rsidR="00CA22B1" w:rsidRDefault="00CA22B1" w:rsidP="00F926AC">
            <w:pPr>
              <w:spacing w:after="120"/>
            </w:pPr>
            <w:r>
              <w:t xml:space="preserve">This cohort </w:t>
            </w:r>
            <w:r w:rsidR="006F13C3">
              <w:t xml:space="preserve">is </w:t>
            </w:r>
            <w:r>
              <w:t xml:space="preserve">participating </w:t>
            </w:r>
            <w:r w:rsidR="006F13C3">
              <w:t xml:space="preserve">at reduced percentage </w:t>
            </w:r>
            <w:r>
              <w:t>in pre-accredited programs– particularly in Alpine, Mitchell, Strathbogie, and Wodonga, and to</w:t>
            </w:r>
            <w:r w:rsidR="006F13C3">
              <w:t xml:space="preserve"> a lesser extent in Wangaratta.</w:t>
            </w:r>
          </w:p>
          <w:p w:rsidR="00DE00CD" w:rsidRDefault="00DE00CD" w:rsidP="00F926AC">
            <w:pPr>
              <w:spacing w:after="120"/>
            </w:pPr>
            <w:r>
              <w:t xml:space="preserve">Many of these people </w:t>
            </w:r>
            <w:r w:rsidR="00662ACE">
              <w:t>fall behind</w:t>
            </w:r>
            <w:r>
              <w:t xml:space="preserve"> in relation to developing STEM skills, which are increasingly required (twice the rate of other skills) for workplaces (e.g. manufacturing etc).</w:t>
            </w:r>
          </w:p>
          <w:p w:rsidR="00940516" w:rsidRDefault="00CA22B1" w:rsidP="00F926AC">
            <w:pPr>
              <w:spacing w:after="120"/>
            </w:pPr>
            <w:r>
              <w:t xml:space="preserve">LGAs such as Strathbogie have an ageing population, which may result in higher number of older people </w:t>
            </w:r>
            <w:r w:rsidR="001B196D">
              <w:t>identifying</w:t>
            </w:r>
            <w:r>
              <w:t xml:space="preserve"> as vulnerable, particularly men. </w:t>
            </w:r>
            <w:r w:rsidR="00DE00CD">
              <w:t>Older male workers find it particularly difficult to learn new skills and change to suit new workplace opportunities. This is particularly acute when the training they have received does not include any</w:t>
            </w:r>
            <w:r w:rsidR="001B196D">
              <w:t xml:space="preserve"> transferrable skills.</w:t>
            </w:r>
            <w:r w:rsidR="006F13C3">
              <w:t xml:space="preserve"> </w:t>
            </w:r>
          </w:p>
          <w:p w:rsidR="00A336FA" w:rsidRDefault="00CA22B1" w:rsidP="00F926AC">
            <w:pPr>
              <w:spacing w:after="120"/>
            </w:pPr>
            <w:r>
              <w:t>It is particularly difficult to identify vulnerable workers as they may be in work and therefore not coming through referral sy</w:t>
            </w:r>
            <w:r w:rsidR="001B196D">
              <w:t>stems, but instead need to self-</w:t>
            </w:r>
            <w:r>
              <w:t xml:space="preserve">identify their need. </w:t>
            </w:r>
            <w:r w:rsidR="00885786">
              <w:t xml:space="preserve">They may also have significant barriers to participation, including being time-poor, competing priorities around family needs etc. </w:t>
            </w:r>
            <w:r w:rsidR="00F926AC">
              <w:t xml:space="preserve">Providers </w:t>
            </w:r>
            <w:r>
              <w:t xml:space="preserve">are </w:t>
            </w:r>
            <w:r w:rsidR="00BB20BE">
              <w:t xml:space="preserve">increasingly </w:t>
            </w:r>
            <w:r>
              <w:t>relying on agencies referring lear</w:t>
            </w:r>
            <w:r w:rsidR="001B196D">
              <w:t>ners into programs, such as Job A</w:t>
            </w:r>
            <w:r>
              <w:t>ctives or other partners.</w:t>
            </w:r>
          </w:p>
        </w:tc>
      </w:tr>
    </w:tbl>
    <w:p w:rsidR="00B33944" w:rsidRDefault="00B33944" w:rsidP="00F926AC"/>
    <w:sectPr w:rsidR="00B33944" w:rsidSect="00743FF3">
      <w:pgSz w:w="11906" w:h="16838"/>
      <w:pgMar w:top="993" w:right="1440" w:bottom="1134" w:left="1440"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4BF" w:rsidRDefault="004404BF" w:rsidP="001C54B9">
      <w:pPr>
        <w:spacing w:after="0" w:line="240" w:lineRule="auto"/>
      </w:pPr>
      <w:r>
        <w:separator/>
      </w:r>
    </w:p>
  </w:endnote>
  <w:endnote w:type="continuationSeparator" w:id="0">
    <w:p w:rsidR="004404BF" w:rsidRDefault="004404BF" w:rsidP="001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080341"/>
      <w:docPartObj>
        <w:docPartGallery w:val="Page Numbers (Bottom of Page)"/>
        <w:docPartUnique/>
      </w:docPartObj>
    </w:sdtPr>
    <w:sdtEndPr>
      <w:rPr>
        <w:noProof/>
      </w:rPr>
    </w:sdtEndPr>
    <w:sdtContent>
      <w:p w:rsidR="00772A0C" w:rsidRPr="001C54B9" w:rsidRDefault="00772A0C">
        <w:pPr>
          <w:pStyle w:val="Footer"/>
          <w:jc w:val="right"/>
        </w:pPr>
        <w:r w:rsidRPr="001C54B9">
          <w:fldChar w:fldCharType="begin"/>
        </w:r>
        <w:r w:rsidRPr="001C54B9">
          <w:instrText xml:space="preserve"> PAGE   \* MERGEFORMAT </w:instrText>
        </w:r>
        <w:r w:rsidRPr="001C54B9">
          <w:fldChar w:fldCharType="separate"/>
        </w:r>
        <w:r w:rsidR="00A70F86">
          <w:rPr>
            <w:noProof/>
          </w:rPr>
          <w:t>1</w:t>
        </w:r>
        <w:r w:rsidRPr="001C54B9">
          <w:rPr>
            <w:noProof/>
          </w:rPr>
          <w:fldChar w:fldCharType="end"/>
        </w:r>
      </w:p>
    </w:sdtContent>
  </w:sdt>
  <w:p w:rsidR="00772A0C" w:rsidRDefault="00772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4BF" w:rsidRDefault="004404BF" w:rsidP="001C54B9">
      <w:pPr>
        <w:spacing w:after="0" w:line="240" w:lineRule="auto"/>
      </w:pPr>
      <w:r>
        <w:separator/>
      </w:r>
    </w:p>
  </w:footnote>
  <w:footnote w:type="continuationSeparator" w:id="0">
    <w:p w:rsidR="004404BF" w:rsidRDefault="004404BF" w:rsidP="001C5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E11"/>
    <w:multiLevelType w:val="hybridMultilevel"/>
    <w:tmpl w:val="EC807876"/>
    <w:lvl w:ilvl="0" w:tplc="66E4CBB0">
      <w:numFmt w:val="bullet"/>
      <w:lvlText w:val="•"/>
      <w:lvlJc w:val="left"/>
      <w:pPr>
        <w:ind w:left="382" w:hanging="360"/>
      </w:pPr>
      <w:rPr>
        <w:rFonts w:ascii="Times" w:eastAsia="Times New Roman" w:hAnsi="Times" w:cs="Times" w:hint="default"/>
        <w:sz w:val="20"/>
      </w:rPr>
    </w:lvl>
    <w:lvl w:ilvl="1" w:tplc="0C090005">
      <w:start w:val="1"/>
      <w:numFmt w:val="bullet"/>
      <w:lvlText w:val=""/>
      <w:lvlJc w:val="left"/>
      <w:pPr>
        <w:ind w:left="1102" w:hanging="360"/>
      </w:pPr>
      <w:rPr>
        <w:rFonts w:ascii="Wingdings" w:hAnsi="Wingdings"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1" w15:restartNumberingAfterBreak="0">
    <w:nsid w:val="0A8C4C35"/>
    <w:multiLevelType w:val="hybridMultilevel"/>
    <w:tmpl w:val="D8E67252"/>
    <w:lvl w:ilvl="0" w:tplc="0C09000B">
      <w:start w:val="1"/>
      <w:numFmt w:val="bullet"/>
      <w:lvlText w:val=""/>
      <w:lvlJc w:val="left"/>
      <w:pPr>
        <w:ind w:left="382" w:hanging="360"/>
      </w:pPr>
      <w:rPr>
        <w:rFonts w:ascii="Wingdings" w:hAnsi="Wingdings" w:hint="default"/>
      </w:rPr>
    </w:lvl>
    <w:lvl w:ilvl="1" w:tplc="0C090005">
      <w:start w:val="1"/>
      <w:numFmt w:val="bullet"/>
      <w:lvlText w:val=""/>
      <w:lvlJc w:val="left"/>
      <w:pPr>
        <w:ind w:left="1102" w:hanging="360"/>
      </w:pPr>
      <w:rPr>
        <w:rFonts w:ascii="Wingdings" w:hAnsi="Wingdings"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2" w15:restartNumberingAfterBreak="0">
    <w:nsid w:val="0B1973A1"/>
    <w:multiLevelType w:val="hybridMultilevel"/>
    <w:tmpl w:val="8AB48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1F118C"/>
    <w:multiLevelType w:val="hybridMultilevel"/>
    <w:tmpl w:val="CD2CC798"/>
    <w:lvl w:ilvl="0" w:tplc="66E4CBB0">
      <w:numFmt w:val="bullet"/>
      <w:lvlText w:val="•"/>
      <w:lvlJc w:val="left"/>
      <w:pPr>
        <w:ind w:left="720" w:hanging="360"/>
      </w:pPr>
      <w:rPr>
        <w:rFonts w:ascii="Times" w:eastAsia="Times New Roman" w:hAnsi="Times" w:cs="Times" w:hint="default"/>
        <w:sz w:val="20"/>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131DD0"/>
    <w:multiLevelType w:val="hybridMultilevel"/>
    <w:tmpl w:val="D4042950"/>
    <w:lvl w:ilvl="0" w:tplc="AA783532">
      <w:numFmt w:val="bullet"/>
      <w:lvlText w:val="•"/>
      <w:lvlJc w:val="left"/>
      <w:pPr>
        <w:ind w:left="382" w:hanging="360"/>
      </w:pPr>
      <w:rPr>
        <w:rFonts w:ascii="Calibri" w:eastAsiaTheme="minorHAnsi" w:hAnsi="Calibri" w:cstheme="minorBidi" w:hint="default"/>
        <w:sz w:val="20"/>
      </w:rPr>
    </w:lvl>
    <w:lvl w:ilvl="1" w:tplc="0C090005">
      <w:start w:val="1"/>
      <w:numFmt w:val="bullet"/>
      <w:lvlText w:val=""/>
      <w:lvlJc w:val="left"/>
      <w:pPr>
        <w:ind w:left="1102" w:hanging="360"/>
      </w:pPr>
      <w:rPr>
        <w:rFonts w:ascii="Wingdings" w:hAnsi="Wingdings"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5" w15:restartNumberingAfterBreak="0">
    <w:nsid w:val="1CDA1461"/>
    <w:multiLevelType w:val="hybridMultilevel"/>
    <w:tmpl w:val="1CE6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A407D"/>
    <w:multiLevelType w:val="hybridMultilevel"/>
    <w:tmpl w:val="C396D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F10958"/>
    <w:multiLevelType w:val="hybridMultilevel"/>
    <w:tmpl w:val="4E28B72C"/>
    <w:lvl w:ilvl="0" w:tplc="5258887A">
      <w:start w:val="1"/>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DCC2040"/>
    <w:multiLevelType w:val="hybridMultilevel"/>
    <w:tmpl w:val="CB260C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E27F45"/>
    <w:multiLevelType w:val="hybridMultilevel"/>
    <w:tmpl w:val="95D0B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110BC3"/>
    <w:multiLevelType w:val="hybridMultilevel"/>
    <w:tmpl w:val="F2D0A2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F173E3"/>
    <w:multiLevelType w:val="hybridMultilevel"/>
    <w:tmpl w:val="4080D9C2"/>
    <w:lvl w:ilvl="0" w:tplc="AA783532">
      <w:numFmt w:val="bullet"/>
      <w:lvlText w:val="•"/>
      <w:lvlJc w:val="left"/>
      <w:pPr>
        <w:ind w:left="382" w:hanging="360"/>
      </w:pPr>
      <w:rPr>
        <w:rFonts w:ascii="Calibri" w:eastAsiaTheme="minorHAnsi" w:hAnsi="Calibri" w:cstheme="minorBidi"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12" w15:restartNumberingAfterBreak="0">
    <w:nsid w:val="3CA9714F"/>
    <w:multiLevelType w:val="multilevel"/>
    <w:tmpl w:val="6CC4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F87E2E"/>
    <w:multiLevelType w:val="hybridMultilevel"/>
    <w:tmpl w:val="0B74D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6D3EB0"/>
    <w:multiLevelType w:val="hybridMultilevel"/>
    <w:tmpl w:val="36D87A00"/>
    <w:lvl w:ilvl="0" w:tplc="DA3CB1D8">
      <w:start w:val="1"/>
      <w:numFmt w:val="bullet"/>
      <w:lvlText w:val="•"/>
      <w:lvlJc w:val="left"/>
      <w:pPr>
        <w:tabs>
          <w:tab w:val="num" w:pos="720"/>
        </w:tabs>
        <w:ind w:left="720" w:hanging="360"/>
      </w:pPr>
      <w:rPr>
        <w:rFonts w:ascii="Arial" w:hAnsi="Arial" w:hint="default"/>
      </w:rPr>
    </w:lvl>
    <w:lvl w:ilvl="1" w:tplc="3912E9EA" w:tentative="1">
      <w:start w:val="1"/>
      <w:numFmt w:val="bullet"/>
      <w:lvlText w:val="•"/>
      <w:lvlJc w:val="left"/>
      <w:pPr>
        <w:tabs>
          <w:tab w:val="num" w:pos="1440"/>
        </w:tabs>
        <w:ind w:left="1440" w:hanging="360"/>
      </w:pPr>
      <w:rPr>
        <w:rFonts w:ascii="Arial" w:hAnsi="Arial" w:hint="default"/>
      </w:rPr>
    </w:lvl>
    <w:lvl w:ilvl="2" w:tplc="38C8C98E" w:tentative="1">
      <w:start w:val="1"/>
      <w:numFmt w:val="bullet"/>
      <w:lvlText w:val="•"/>
      <w:lvlJc w:val="left"/>
      <w:pPr>
        <w:tabs>
          <w:tab w:val="num" w:pos="2160"/>
        </w:tabs>
        <w:ind w:left="2160" w:hanging="360"/>
      </w:pPr>
      <w:rPr>
        <w:rFonts w:ascii="Arial" w:hAnsi="Arial" w:hint="default"/>
      </w:rPr>
    </w:lvl>
    <w:lvl w:ilvl="3" w:tplc="DE28645A" w:tentative="1">
      <w:start w:val="1"/>
      <w:numFmt w:val="bullet"/>
      <w:lvlText w:val="•"/>
      <w:lvlJc w:val="left"/>
      <w:pPr>
        <w:tabs>
          <w:tab w:val="num" w:pos="2880"/>
        </w:tabs>
        <w:ind w:left="2880" w:hanging="360"/>
      </w:pPr>
      <w:rPr>
        <w:rFonts w:ascii="Arial" w:hAnsi="Arial" w:hint="default"/>
      </w:rPr>
    </w:lvl>
    <w:lvl w:ilvl="4" w:tplc="3B78E094" w:tentative="1">
      <w:start w:val="1"/>
      <w:numFmt w:val="bullet"/>
      <w:lvlText w:val="•"/>
      <w:lvlJc w:val="left"/>
      <w:pPr>
        <w:tabs>
          <w:tab w:val="num" w:pos="3600"/>
        </w:tabs>
        <w:ind w:left="3600" w:hanging="360"/>
      </w:pPr>
      <w:rPr>
        <w:rFonts w:ascii="Arial" w:hAnsi="Arial" w:hint="default"/>
      </w:rPr>
    </w:lvl>
    <w:lvl w:ilvl="5" w:tplc="24F05B68" w:tentative="1">
      <w:start w:val="1"/>
      <w:numFmt w:val="bullet"/>
      <w:lvlText w:val="•"/>
      <w:lvlJc w:val="left"/>
      <w:pPr>
        <w:tabs>
          <w:tab w:val="num" w:pos="4320"/>
        </w:tabs>
        <w:ind w:left="4320" w:hanging="360"/>
      </w:pPr>
      <w:rPr>
        <w:rFonts w:ascii="Arial" w:hAnsi="Arial" w:hint="default"/>
      </w:rPr>
    </w:lvl>
    <w:lvl w:ilvl="6" w:tplc="2A30E8F0" w:tentative="1">
      <w:start w:val="1"/>
      <w:numFmt w:val="bullet"/>
      <w:lvlText w:val="•"/>
      <w:lvlJc w:val="left"/>
      <w:pPr>
        <w:tabs>
          <w:tab w:val="num" w:pos="5040"/>
        </w:tabs>
        <w:ind w:left="5040" w:hanging="360"/>
      </w:pPr>
      <w:rPr>
        <w:rFonts w:ascii="Arial" w:hAnsi="Arial" w:hint="default"/>
      </w:rPr>
    </w:lvl>
    <w:lvl w:ilvl="7" w:tplc="D3E243FA" w:tentative="1">
      <w:start w:val="1"/>
      <w:numFmt w:val="bullet"/>
      <w:lvlText w:val="•"/>
      <w:lvlJc w:val="left"/>
      <w:pPr>
        <w:tabs>
          <w:tab w:val="num" w:pos="5760"/>
        </w:tabs>
        <w:ind w:left="5760" w:hanging="360"/>
      </w:pPr>
      <w:rPr>
        <w:rFonts w:ascii="Arial" w:hAnsi="Arial" w:hint="default"/>
      </w:rPr>
    </w:lvl>
    <w:lvl w:ilvl="8" w:tplc="2EDC3C0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EB6887"/>
    <w:multiLevelType w:val="hybridMultilevel"/>
    <w:tmpl w:val="2DBE3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1A6FE2"/>
    <w:multiLevelType w:val="hybridMultilevel"/>
    <w:tmpl w:val="1DD4A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1A5974"/>
    <w:multiLevelType w:val="hybridMultilevel"/>
    <w:tmpl w:val="F7A2B640"/>
    <w:lvl w:ilvl="0" w:tplc="66E4CBB0">
      <w:numFmt w:val="bullet"/>
      <w:lvlText w:val="•"/>
      <w:lvlJc w:val="left"/>
      <w:pPr>
        <w:ind w:left="720" w:hanging="360"/>
      </w:pPr>
      <w:rPr>
        <w:rFonts w:ascii="Times" w:eastAsia="Times New Roman" w:hAnsi="Times" w:cs="Times"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F91EFF"/>
    <w:multiLevelType w:val="hybridMultilevel"/>
    <w:tmpl w:val="AF528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881DFF"/>
    <w:multiLevelType w:val="hybridMultilevel"/>
    <w:tmpl w:val="DF8A6A42"/>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0" w15:restartNumberingAfterBreak="0">
    <w:nsid w:val="69C623F4"/>
    <w:multiLevelType w:val="hybridMultilevel"/>
    <w:tmpl w:val="E86E6E44"/>
    <w:lvl w:ilvl="0" w:tplc="4E9C496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D37992"/>
    <w:multiLevelType w:val="hybridMultilevel"/>
    <w:tmpl w:val="70C2324C"/>
    <w:lvl w:ilvl="0" w:tplc="E268473A">
      <w:start w:val="1"/>
      <w:numFmt w:val="bullet"/>
      <w:lvlText w:val="•"/>
      <w:lvlJc w:val="left"/>
      <w:pPr>
        <w:tabs>
          <w:tab w:val="num" w:pos="720"/>
        </w:tabs>
        <w:ind w:left="720" w:hanging="360"/>
      </w:pPr>
      <w:rPr>
        <w:rFonts w:ascii="Arial" w:hAnsi="Arial" w:hint="default"/>
      </w:rPr>
    </w:lvl>
    <w:lvl w:ilvl="1" w:tplc="E12610AA">
      <w:start w:val="265"/>
      <w:numFmt w:val="bullet"/>
      <w:lvlText w:val="–"/>
      <w:lvlJc w:val="left"/>
      <w:pPr>
        <w:tabs>
          <w:tab w:val="num" w:pos="1440"/>
        </w:tabs>
        <w:ind w:left="1440" w:hanging="360"/>
      </w:pPr>
      <w:rPr>
        <w:rFonts w:ascii="Arial" w:hAnsi="Arial" w:hint="default"/>
      </w:rPr>
    </w:lvl>
    <w:lvl w:ilvl="2" w:tplc="CECAA2B6" w:tentative="1">
      <w:start w:val="1"/>
      <w:numFmt w:val="bullet"/>
      <w:lvlText w:val="•"/>
      <w:lvlJc w:val="left"/>
      <w:pPr>
        <w:tabs>
          <w:tab w:val="num" w:pos="2160"/>
        </w:tabs>
        <w:ind w:left="2160" w:hanging="360"/>
      </w:pPr>
      <w:rPr>
        <w:rFonts w:ascii="Arial" w:hAnsi="Arial" w:hint="default"/>
      </w:rPr>
    </w:lvl>
    <w:lvl w:ilvl="3" w:tplc="A724A59E" w:tentative="1">
      <w:start w:val="1"/>
      <w:numFmt w:val="bullet"/>
      <w:lvlText w:val="•"/>
      <w:lvlJc w:val="left"/>
      <w:pPr>
        <w:tabs>
          <w:tab w:val="num" w:pos="2880"/>
        </w:tabs>
        <w:ind w:left="2880" w:hanging="360"/>
      </w:pPr>
      <w:rPr>
        <w:rFonts w:ascii="Arial" w:hAnsi="Arial" w:hint="default"/>
      </w:rPr>
    </w:lvl>
    <w:lvl w:ilvl="4" w:tplc="3C8E8DD4" w:tentative="1">
      <w:start w:val="1"/>
      <w:numFmt w:val="bullet"/>
      <w:lvlText w:val="•"/>
      <w:lvlJc w:val="left"/>
      <w:pPr>
        <w:tabs>
          <w:tab w:val="num" w:pos="3600"/>
        </w:tabs>
        <w:ind w:left="3600" w:hanging="360"/>
      </w:pPr>
      <w:rPr>
        <w:rFonts w:ascii="Arial" w:hAnsi="Arial" w:hint="default"/>
      </w:rPr>
    </w:lvl>
    <w:lvl w:ilvl="5" w:tplc="848A156C" w:tentative="1">
      <w:start w:val="1"/>
      <w:numFmt w:val="bullet"/>
      <w:lvlText w:val="•"/>
      <w:lvlJc w:val="left"/>
      <w:pPr>
        <w:tabs>
          <w:tab w:val="num" w:pos="4320"/>
        </w:tabs>
        <w:ind w:left="4320" w:hanging="360"/>
      </w:pPr>
      <w:rPr>
        <w:rFonts w:ascii="Arial" w:hAnsi="Arial" w:hint="default"/>
      </w:rPr>
    </w:lvl>
    <w:lvl w:ilvl="6" w:tplc="0D4A1FC4" w:tentative="1">
      <w:start w:val="1"/>
      <w:numFmt w:val="bullet"/>
      <w:lvlText w:val="•"/>
      <w:lvlJc w:val="left"/>
      <w:pPr>
        <w:tabs>
          <w:tab w:val="num" w:pos="5040"/>
        </w:tabs>
        <w:ind w:left="5040" w:hanging="360"/>
      </w:pPr>
      <w:rPr>
        <w:rFonts w:ascii="Arial" w:hAnsi="Arial" w:hint="default"/>
      </w:rPr>
    </w:lvl>
    <w:lvl w:ilvl="7" w:tplc="1D1E8372" w:tentative="1">
      <w:start w:val="1"/>
      <w:numFmt w:val="bullet"/>
      <w:lvlText w:val="•"/>
      <w:lvlJc w:val="left"/>
      <w:pPr>
        <w:tabs>
          <w:tab w:val="num" w:pos="5760"/>
        </w:tabs>
        <w:ind w:left="5760" w:hanging="360"/>
      </w:pPr>
      <w:rPr>
        <w:rFonts w:ascii="Arial" w:hAnsi="Arial" w:hint="default"/>
      </w:rPr>
    </w:lvl>
    <w:lvl w:ilvl="8" w:tplc="412C906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3D5755"/>
    <w:multiLevelType w:val="hybridMultilevel"/>
    <w:tmpl w:val="66D0B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3121C0"/>
    <w:multiLevelType w:val="hybridMultilevel"/>
    <w:tmpl w:val="F348D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7"/>
  </w:num>
  <w:num w:numId="5">
    <w:abstractNumId w:val="20"/>
  </w:num>
  <w:num w:numId="6">
    <w:abstractNumId w:val="1"/>
  </w:num>
  <w:num w:numId="7">
    <w:abstractNumId w:val="15"/>
  </w:num>
  <w:num w:numId="8">
    <w:abstractNumId w:val="23"/>
  </w:num>
  <w:num w:numId="9">
    <w:abstractNumId w:val="16"/>
  </w:num>
  <w:num w:numId="10">
    <w:abstractNumId w:val="5"/>
  </w:num>
  <w:num w:numId="11">
    <w:abstractNumId w:val="21"/>
  </w:num>
  <w:num w:numId="12">
    <w:abstractNumId w:val="14"/>
  </w:num>
  <w:num w:numId="13">
    <w:abstractNumId w:val="2"/>
  </w:num>
  <w:num w:numId="14">
    <w:abstractNumId w:val="10"/>
  </w:num>
  <w:num w:numId="15">
    <w:abstractNumId w:val="12"/>
  </w:num>
  <w:num w:numId="16">
    <w:abstractNumId w:val="18"/>
  </w:num>
  <w:num w:numId="17">
    <w:abstractNumId w:val="3"/>
  </w:num>
  <w:num w:numId="18">
    <w:abstractNumId w:val="11"/>
  </w:num>
  <w:num w:numId="19">
    <w:abstractNumId w:val="0"/>
  </w:num>
  <w:num w:numId="20">
    <w:abstractNumId w:val="4"/>
  </w:num>
  <w:num w:numId="21">
    <w:abstractNumId w:val="19"/>
  </w:num>
  <w:num w:numId="22">
    <w:abstractNumId w:val="17"/>
  </w:num>
  <w:num w:numId="23">
    <w:abstractNumId w:val="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28"/>
    <w:rsid w:val="000010BE"/>
    <w:rsid w:val="00003073"/>
    <w:rsid w:val="000131E7"/>
    <w:rsid w:val="00014192"/>
    <w:rsid w:val="00034949"/>
    <w:rsid w:val="00057722"/>
    <w:rsid w:val="000738DD"/>
    <w:rsid w:val="00076B95"/>
    <w:rsid w:val="0009112F"/>
    <w:rsid w:val="00097916"/>
    <w:rsid w:val="000B27B4"/>
    <w:rsid w:val="000B3591"/>
    <w:rsid w:val="000C7321"/>
    <w:rsid w:val="000D1A01"/>
    <w:rsid w:val="000E430A"/>
    <w:rsid w:val="000F18DD"/>
    <w:rsid w:val="00101F07"/>
    <w:rsid w:val="001064CE"/>
    <w:rsid w:val="00113FBF"/>
    <w:rsid w:val="00120CDC"/>
    <w:rsid w:val="00126AB3"/>
    <w:rsid w:val="00141CC1"/>
    <w:rsid w:val="001428A3"/>
    <w:rsid w:val="001470C8"/>
    <w:rsid w:val="00165941"/>
    <w:rsid w:val="00167A41"/>
    <w:rsid w:val="0018362A"/>
    <w:rsid w:val="00197D39"/>
    <w:rsid w:val="001A4582"/>
    <w:rsid w:val="001B196D"/>
    <w:rsid w:val="001C0290"/>
    <w:rsid w:val="001C54B9"/>
    <w:rsid w:val="001E15D0"/>
    <w:rsid w:val="001E198C"/>
    <w:rsid w:val="00201261"/>
    <w:rsid w:val="00201BB1"/>
    <w:rsid w:val="00212941"/>
    <w:rsid w:val="002171C5"/>
    <w:rsid w:val="00232DB8"/>
    <w:rsid w:val="00237064"/>
    <w:rsid w:val="0023734D"/>
    <w:rsid w:val="00237543"/>
    <w:rsid w:val="00257416"/>
    <w:rsid w:val="00257A60"/>
    <w:rsid w:val="00273DEB"/>
    <w:rsid w:val="0028114E"/>
    <w:rsid w:val="0029713D"/>
    <w:rsid w:val="002B70EC"/>
    <w:rsid w:val="002E196E"/>
    <w:rsid w:val="002E32DD"/>
    <w:rsid w:val="00304653"/>
    <w:rsid w:val="00306055"/>
    <w:rsid w:val="00307EBF"/>
    <w:rsid w:val="00314566"/>
    <w:rsid w:val="00323557"/>
    <w:rsid w:val="0032784A"/>
    <w:rsid w:val="00327D9C"/>
    <w:rsid w:val="003538FB"/>
    <w:rsid w:val="003645A1"/>
    <w:rsid w:val="003825D4"/>
    <w:rsid w:val="00390D6C"/>
    <w:rsid w:val="003960D4"/>
    <w:rsid w:val="003A12B9"/>
    <w:rsid w:val="003C39BE"/>
    <w:rsid w:val="003C3D15"/>
    <w:rsid w:val="003C49DB"/>
    <w:rsid w:val="003D0767"/>
    <w:rsid w:val="003D3662"/>
    <w:rsid w:val="003D5100"/>
    <w:rsid w:val="003E24DA"/>
    <w:rsid w:val="003E6389"/>
    <w:rsid w:val="003E699E"/>
    <w:rsid w:val="003F78EC"/>
    <w:rsid w:val="004008BA"/>
    <w:rsid w:val="00420476"/>
    <w:rsid w:val="004363FB"/>
    <w:rsid w:val="00436689"/>
    <w:rsid w:val="0043763C"/>
    <w:rsid w:val="004404BF"/>
    <w:rsid w:val="0047416D"/>
    <w:rsid w:val="00480027"/>
    <w:rsid w:val="00484B1F"/>
    <w:rsid w:val="00487F02"/>
    <w:rsid w:val="004A034B"/>
    <w:rsid w:val="004A07D2"/>
    <w:rsid w:val="004B0C0C"/>
    <w:rsid w:val="004C28BE"/>
    <w:rsid w:val="004E2710"/>
    <w:rsid w:val="004F42C7"/>
    <w:rsid w:val="00501A77"/>
    <w:rsid w:val="00504FD2"/>
    <w:rsid w:val="005351BE"/>
    <w:rsid w:val="00563832"/>
    <w:rsid w:val="00563BE4"/>
    <w:rsid w:val="00581062"/>
    <w:rsid w:val="00587C90"/>
    <w:rsid w:val="00590F2C"/>
    <w:rsid w:val="00597FA2"/>
    <w:rsid w:val="005A6F57"/>
    <w:rsid w:val="005C2498"/>
    <w:rsid w:val="005C4826"/>
    <w:rsid w:val="005D73F7"/>
    <w:rsid w:val="00610A8B"/>
    <w:rsid w:val="00611231"/>
    <w:rsid w:val="0061144F"/>
    <w:rsid w:val="00614D53"/>
    <w:rsid w:val="006166CF"/>
    <w:rsid w:val="00621977"/>
    <w:rsid w:val="00626DFE"/>
    <w:rsid w:val="006305DC"/>
    <w:rsid w:val="006307F2"/>
    <w:rsid w:val="006405C0"/>
    <w:rsid w:val="006451D2"/>
    <w:rsid w:val="00662ACE"/>
    <w:rsid w:val="00665CE4"/>
    <w:rsid w:val="00677695"/>
    <w:rsid w:val="00684972"/>
    <w:rsid w:val="006A05AA"/>
    <w:rsid w:val="006A2F1D"/>
    <w:rsid w:val="006A5F27"/>
    <w:rsid w:val="006C187D"/>
    <w:rsid w:val="006F13C3"/>
    <w:rsid w:val="007028EE"/>
    <w:rsid w:val="00712D1F"/>
    <w:rsid w:val="00725BDB"/>
    <w:rsid w:val="00731A3E"/>
    <w:rsid w:val="00734658"/>
    <w:rsid w:val="007375F6"/>
    <w:rsid w:val="007416AB"/>
    <w:rsid w:val="00743FF3"/>
    <w:rsid w:val="007511EE"/>
    <w:rsid w:val="00751850"/>
    <w:rsid w:val="00754E7D"/>
    <w:rsid w:val="00772A0C"/>
    <w:rsid w:val="00781B8C"/>
    <w:rsid w:val="007A39AA"/>
    <w:rsid w:val="007A4675"/>
    <w:rsid w:val="007A63C7"/>
    <w:rsid w:val="007D1B20"/>
    <w:rsid w:val="007D6EB9"/>
    <w:rsid w:val="007E7F23"/>
    <w:rsid w:val="008112A5"/>
    <w:rsid w:val="008150A8"/>
    <w:rsid w:val="0082082C"/>
    <w:rsid w:val="00826F62"/>
    <w:rsid w:val="00832093"/>
    <w:rsid w:val="00870CEE"/>
    <w:rsid w:val="008757BD"/>
    <w:rsid w:val="0087720E"/>
    <w:rsid w:val="00885786"/>
    <w:rsid w:val="008B1270"/>
    <w:rsid w:val="008C457F"/>
    <w:rsid w:val="008D7FB9"/>
    <w:rsid w:val="008E2F49"/>
    <w:rsid w:val="008E5CF5"/>
    <w:rsid w:val="008F131F"/>
    <w:rsid w:val="008F4589"/>
    <w:rsid w:val="008F7811"/>
    <w:rsid w:val="009008A5"/>
    <w:rsid w:val="0090373B"/>
    <w:rsid w:val="009038D6"/>
    <w:rsid w:val="009055EA"/>
    <w:rsid w:val="00912E41"/>
    <w:rsid w:val="00913616"/>
    <w:rsid w:val="00917AC2"/>
    <w:rsid w:val="00917D3D"/>
    <w:rsid w:val="0092468C"/>
    <w:rsid w:val="00925106"/>
    <w:rsid w:val="00940516"/>
    <w:rsid w:val="00954D0B"/>
    <w:rsid w:val="00970A25"/>
    <w:rsid w:val="0098600D"/>
    <w:rsid w:val="009A353E"/>
    <w:rsid w:val="009B1B29"/>
    <w:rsid w:val="009B4B03"/>
    <w:rsid w:val="009C1289"/>
    <w:rsid w:val="009C19E7"/>
    <w:rsid w:val="009C1EF0"/>
    <w:rsid w:val="009D02B8"/>
    <w:rsid w:val="009D1A0E"/>
    <w:rsid w:val="009D4A7B"/>
    <w:rsid w:val="009F5F66"/>
    <w:rsid w:val="00A16F85"/>
    <w:rsid w:val="00A21C80"/>
    <w:rsid w:val="00A240CA"/>
    <w:rsid w:val="00A2774D"/>
    <w:rsid w:val="00A27F7A"/>
    <w:rsid w:val="00A336FA"/>
    <w:rsid w:val="00A4666A"/>
    <w:rsid w:val="00A54FE7"/>
    <w:rsid w:val="00A61CE0"/>
    <w:rsid w:val="00A70F86"/>
    <w:rsid w:val="00A7138A"/>
    <w:rsid w:val="00A717CC"/>
    <w:rsid w:val="00A85756"/>
    <w:rsid w:val="00A96771"/>
    <w:rsid w:val="00AD2DCD"/>
    <w:rsid w:val="00AD5713"/>
    <w:rsid w:val="00AD68F6"/>
    <w:rsid w:val="00AF191C"/>
    <w:rsid w:val="00AF392B"/>
    <w:rsid w:val="00B02EB2"/>
    <w:rsid w:val="00B03D5D"/>
    <w:rsid w:val="00B07401"/>
    <w:rsid w:val="00B1321C"/>
    <w:rsid w:val="00B15F6C"/>
    <w:rsid w:val="00B16236"/>
    <w:rsid w:val="00B325C0"/>
    <w:rsid w:val="00B33944"/>
    <w:rsid w:val="00B428AD"/>
    <w:rsid w:val="00B558BC"/>
    <w:rsid w:val="00B76C9D"/>
    <w:rsid w:val="00B90125"/>
    <w:rsid w:val="00BA730A"/>
    <w:rsid w:val="00BB0DDD"/>
    <w:rsid w:val="00BB20BE"/>
    <w:rsid w:val="00BB36E6"/>
    <w:rsid w:val="00BC251D"/>
    <w:rsid w:val="00BC2823"/>
    <w:rsid w:val="00BC3C7E"/>
    <w:rsid w:val="00BD315E"/>
    <w:rsid w:val="00BE11C0"/>
    <w:rsid w:val="00BE26CE"/>
    <w:rsid w:val="00BE51B4"/>
    <w:rsid w:val="00BF2114"/>
    <w:rsid w:val="00BF3B72"/>
    <w:rsid w:val="00BF5898"/>
    <w:rsid w:val="00C00FC7"/>
    <w:rsid w:val="00C26F64"/>
    <w:rsid w:val="00C46714"/>
    <w:rsid w:val="00C54619"/>
    <w:rsid w:val="00C60896"/>
    <w:rsid w:val="00C706A6"/>
    <w:rsid w:val="00C746A2"/>
    <w:rsid w:val="00C866DE"/>
    <w:rsid w:val="00CA22B1"/>
    <w:rsid w:val="00CA56AB"/>
    <w:rsid w:val="00CA61CC"/>
    <w:rsid w:val="00CA79F3"/>
    <w:rsid w:val="00CB19EA"/>
    <w:rsid w:val="00CC16A8"/>
    <w:rsid w:val="00CC6A8A"/>
    <w:rsid w:val="00D0755F"/>
    <w:rsid w:val="00D141AE"/>
    <w:rsid w:val="00D162BB"/>
    <w:rsid w:val="00D32F7F"/>
    <w:rsid w:val="00D36E4B"/>
    <w:rsid w:val="00D763CA"/>
    <w:rsid w:val="00D828DB"/>
    <w:rsid w:val="00D90394"/>
    <w:rsid w:val="00D9473E"/>
    <w:rsid w:val="00D9715B"/>
    <w:rsid w:val="00DC27C3"/>
    <w:rsid w:val="00DC6610"/>
    <w:rsid w:val="00DD149E"/>
    <w:rsid w:val="00DE00CD"/>
    <w:rsid w:val="00DF2988"/>
    <w:rsid w:val="00E16869"/>
    <w:rsid w:val="00E34BF8"/>
    <w:rsid w:val="00E3679A"/>
    <w:rsid w:val="00E608E2"/>
    <w:rsid w:val="00E801D8"/>
    <w:rsid w:val="00E84494"/>
    <w:rsid w:val="00E85BB6"/>
    <w:rsid w:val="00EA7F16"/>
    <w:rsid w:val="00EB3A88"/>
    <w:rsid w:val="00EB5D28"/>
    <w:rsid w:val="00ED083C"/>
    <w:rsid w:val="00ED5B7C"/>
    <w:rsid w:val="00EE3BC1"/>
    <w:rsid w:val="00EF50E6"/>
    <w:rsid w:val="00F0765D"/>
    <w:rsid w:val="00F23FF5"/>
    <w:rsid w:val="00F367F5"/>
    <w:rsid w:val="00F4687B"/>
    <w:rsid w:val="00F468B7"/>
    <w:rsid w:val="00F476A9"/>
    <w:rsid w:val="00F926AC"/>
    <w:rsid w:val="00FB2933"/>
    <w:rsid w:val="00FB3B2D"/>
    <w:rsid w:val="00FC2C7C"/>
    <w:rsid w:val="00FF17B7"/>
    <w:rsid w:val="00FF4956"/>
    <w:rsid w:val="00FF5D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876FF-2A82-4B87-AAA9-EB48B29E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02EB2"/>
    <w:pPr>
      <w:keepNext/>
      <w:keepLines/>
      <w:spacing w:before="200" w:after="0" w:line="240" w:lineRule="auto"/>
      <w:outlineLvl w:val="1"/>
    </w:pPr>
    <w:rPr>
      <w:rFonts w:ascii="Arial" w:eastAsia="Arial" w:hAnsi="Arial" w:cs="Arial"/>
      <w:b/>
      <w:bCs/>
      <w:color w:val="76923C" w:themeColor="accent3" w:themeShade="BF"/>
      <w:sz w:val="28"/>
      <w:szCs w:val="28"/>
      <w:lang w:val="en-US"/>
    </w:rPr>
  </w:style>
  <w:style w:type="paragraph" w:styleId="Heading3">
    <w:name w:val="heading 3"/>
    <w:basedOn w:val="Normal"/>
    <w:next w:val="Normal"/>
    <w:link w:val="Heading3Char"/>
    <w:uiPriority w:val="9"/>
    <w:unhideWhenUsed/>
    <w:qFormat/>
    <w:rsid w:val="00AD2DCD"/>
    <w:pPr>
      <w:keepNext/>
      <w:keepLines/>
      <w:spacing w:before="240" w:line="240" w:lineRule="auto"/>
      <w:outlineLvl w:val="2"/>
    </w:pPr>
    <w:rPr>
      <w:rFonts w:asciiTheme="majorHAnsi" w:eastAsiaTheme="majorEastAsia" w:hAnsiTheme="majorHAns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5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4B9"/>
  </w:style>
  <w:style w:type="paragraph" w:styleId="Footer">
    <w:name w:val="footer"/>
    <w:basedOn w:val="Normal"/>
    <w:link w:val="FooterChar"/>
    <w:uiPriority w:val="99"/>
    <w:unhideWhenUsed/>
    <w:rsid w:val="001C5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4B9"/>
  </w:style>
  <w:style w:type="paragraph" w:styleId="BalloonText">
    <w:name w:val="Balloon Text"/>
    <w:basedOn w:val="Normal"/>
    <w:link w:val="BalloonTextChar"/>
    <w:uiPriority w:val="99"/>
    <w:semiHidden/>
    <w:unhideWhenUsed/>
    <w:rsid w:val="001E1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5D0"/>
    <w:rPr>
      <w:rFonts w:ascii="Tahoma" w:hAnsi="Tahoma" w:cs="Tahoma"/>
      <w:sz w:val="16"/>
      <w:szCs w:val="16"/>
    </w:rPr>
  </w:style>
  <w:style w:type="paragraph" w:styleId="ListParagraph">
    <w:name w:val="List Paragraph"/>
    <w:basedOn w:val="Normal"/>
    <w:uiPriority w:val="34"/>
    <w:qFormat/>
    <w:rsid w:val="00201BB1"/>
    <w:pPr>
      <w:ind w:left="720"/>
      <w:contextualSpacing/>
    </w:pPr>
  </w:style>
  <w:style w:type="paragraph" w:styleId="CommentText">
    <w:name w:val="annotation text"/>
    <w:basedOn w:val="Normal"/>
    <w:link w:val="CommentTextChar"/>
    <w:uiPriority w:val="99"/>
    <w:unhideWhenUsed/>
    <w:rsid w:val="00DF2988"/>
    <w:pPr>
      <w:spacing w:line="240" w:lineRule="auto"/>
    </w:pPr>
    <w:rPr>
      <w:sz w:val="20"/>
      <w:szCs w:val="20"/>
    </w:rPr>
  </w:style>
  <w:style w:type="character" w:customStyle="1" w:styleId="CommentTextChar">
    <w:name w:val="Comment Text Char"/>
    <w:basedOn w:val="DefaultParagraphFont"/>
    <w:link w:val="CommentText"/>
    <w:uiPriority w:val="99"/>
    <w:rsid w:val="00DF2988"/>
    <w:rPr>
      <w:sz w:val="20"/>
      <w:szCs w:val="20"/>
    </w:rPr>
  </w:style>
  <w:style w:type="paragraph" w:customStyle="1" w:styleId="Default">
    <w:name w:val="Default"/>
    <w:rsid w:val="00D36E4B"/>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101F07"/>
    <w:rPr>
      <w:i/>
      <w:iCs/>
    </w:rPr>
  </w:style>
  <w:style w:type="character" w:customStyle="1" w:styleId="Heading3Char">
    <w:name w:val="Heading 3 Char"/>
    <w:basedOn w:val="DefaultParagraphFont"/>
    <w:link w:val="Heading3"/>
    <w:uiPriority w:val="9"/>
    <w:rsid w:val="00AD2DCD"/>
    <w:rPr>
      <w:rFonts w:asciiTheme="majorHAnsi" w:eastAsiaTheme="majorEastAsia" w:hAnsiTheme="majorHAnsi" w:cstheme="majorBidi"/>
      <w:b/>
      <w:bCs/>
      <w:sz w:val="24"/>
    </w:rPr>
  </w:style>
  <w:style w:type="character" w:customStyle="1" w:styleId="Heading2Char">
    <w:name w:val="Heading 2 Char"/>
    <w:basedOn w:val="DefaultParagraphFont"/>
    <w:link w:val="Heading2"/>
    <w:uiPriority w:val="9"/>
    <w:rsid w:val="00B02EB2"/>
    <w:rPr>
      <w:rFonts w:ascii="Arial" w:eastAsia="Arial" w:hAnsi="Arial" w:cs="Arial"/>
      <w:b/>
      <w:bCs/>
      <w:color w:val="76923C" w:themeColor="accent3" w:themeShade="BF"/>
      <w:sz w:val="28"/>
      <w:szCs w:val="28"/>
      <w:lang w:val="en-US"/>
    </w:rPr>
  </w:style>
  <w:style w:type="paragraph" w:styleId="NoSpacing">
    <w:name w:val="No Spacing"/>
    <w:link w:val="NoSpacingChar"/>
    <w:uiPriority w:val="1"/>
    <w:qFormat/>
    <w:rsid w:val="00B02EB2"/>
    <w:pPr>
      <w:spacing w:after="0" w:line="240" w:lineRule="auto"/>
    </w:pPr>
    <w:rPr>
      <w:rFonts w:ascii="Arial" w:eastAsia="Times New Roman" w:hAnsi="Arial" w:cs="Times New Roman"/>
      <w:sz w:val="20"/>
    </w:rPr>
  </w:style>
  <w:style w:type="character" w:customStyle="1" w:styleId="NoSpacingChar">
    <w:name w:val="No Spacing Char"/>
    <w:basedOn w:val="DefaultParagraphFont"/>
    <w:link w:val="NoSpacing"/>
    <w:uiPriority w:val="1"/>
    <w:rsid w:val="00B02EB2"/>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553">
      <w:bodyDiv w:val="1"/>
      <w:marLeft w:val="0"/>
      <w:marRight w:val="0"/>
      <w:marTop w:val="0"/>
      <w:marBottom w:val="0"/>
      <w:divBdr>
        <w:top w:val="none" w:sz="0" w:space="0" w:color="auto"/>
        <w:left w:val="none" w:sz="0" w:space="0" w:color="auto"/>
        <w:bottom w:val="none" w:sz="0" w:space="0" w:color="auto"/>
        <w:right w:val="none" w:sz="0" w:space="0" w:color="auto"/>
      </w:divBdr>
    </w:div>
    <w:div w:id="130447378">
      <w:bodyDiv w:val="1"/>
      <w:marLeft w:val="0"/>
      <w:marRight w:val="0"/>
      <w:marTop w:val="0"/>
      <w:marBottom w:val="0"/>
      <w:divBdr>
        <w:top w:val="none" w:sz="0" w:space="0" w:color="auto"/>
        <w:left w:val="none" w:sz="0" w:space="0" w:color="auto"/>
        <w:bottom w:val="none" w:sz="0" w:space="0" w:color="auto"/>
        <w:right w:val="none" w:sz="0" w:space="0" w:color="auto"/>
      </w:divBdr>
    </w:div>
    <w:div w:id="132448763">
      <w:bodyDiv w:val="1"/>
      <w:marLeft w:val="0"/>
      <w:marRight w:val="0"/>
      <w:marTop w:val="0"/>
      <w:marBottom w:val="0"/>
      <w:divBdr>
        <w:top w:val="none" w:sz="0" w:space="0" w:color="auto"/>
        <w:left w:val="none" w:sz="0" w:space="0" w:color="auto"/>
        <w:bottom w:val="none" w:sz="0" w:space="0" w:color="auto"/>
        <w:right w:val="none" w:sz="0" w:space="0" w:color="auto"/>
      </w:divBdr>
    </w:div>
    <w:div w:id="140772210">
      <w:bodyDiv w:val="1"/>
      <w:marLeft w:val="0"/>
      <w:marRight w:val="0"/>
      <w:marTop w:val="0"/>
      <w:marBottom w:val="0"/>
      <w:divBdr>
        <w:top w:val="none" w:sz="0" w:space="0" w:color="auto"/>
        <w:left w:val="none" w:sz="0" w:space="0" w:color="auto"/>
        <w:bottom w:val="none" w:sz="0" w:space="0" w:color="auto"/>
        <w:right w:val="none" w:sz="0" w:space="0" w:color="auto"/>
      </w:divBdr>
    </w:div>
    <w:div w:id="174155941">
      <w:bodyDiv w:val="1"/>
      <w:marLeft w:val="0"/>
      <w:marRight w:val="0"/>
      <w:marTop w:val="0"/>
      <w:marBottom w:val="0"/>
      <w:divBdr>
        <w:top w:val="none" w:sz="0" w:space="0" w:color="auto"/>
        <w:left w:val="none" w:sz="0" w:space="0" w:color="auto"/>
        <w:bottom w:val="none" w:sz="0" w:space="0" w:color="auto"/>
        <w:right w:val="none" w:sz="0" w:space="0" w:color="auto"/>
      </w:divBdr>
    </w:div>
    <w:div w:id="276789907">
      <w:bodyDiv w:val="1"/>
      <w:marLeft w:val="0"/>
      <w:marRight w:val="0"/>
      <w:marTop w:val="0"/>
      <w:marBottom w:val="0"/>
      <w:divBdr>
        <w:top w:val="none" w:sz="0" w:space="0" w:color="auto"/>
        <w:left w:val="none" w:sz="0" w:space="0" w:color="auto"/>
        <w:bottom w:val="none" w:sz="0" w:space="0" w:color="auto"/>
        <w:right w:val="none" w:sz="0" w:space="0" w:color="auto"/>
      </w:divBdr>
    </w:div>
    <w:div w:id="402261524">
      <w:bodyDiv w:val="1"/>
      <w:marLeft w:val="0"/>
      <w:marRight w:val="0"/>
      <w:marTop w:val="0"/>
      <w:marBottom w:val="0"/>
      <w:divBdr>
        <w:top w:val="none" w:sz="0" w:space="0" w:color="auto"/>
        <w:left w:val="none" w:sz="0" w:space="0" w:color="auto"/>
        <w:bottom w:val="none" w:sz="0" w:space="0" w:color="auto"/>
        <w:right w:val="none" w:sz="0" w:space="0" w:color="auto"/>
      </w:divBdr>
    </w:div>
    <w:div w:id="466319261">
      <w:bodyDiv w:val="1"/>
      <w:marLeft w:val="0"/>
      <w:marRight w:val="0"/>
      <w:marTop w:val="0"/>
      <w:marBottom w:val="0"/>
      <w:divBdr>
        <w:top w:val="none" w:sz="0" w:space="0" w:color="auto"/>
        <w:left w:val="none" w:sz="0" w:space="0" w:color="auto"/>
        <w:bottom w:val="none" w:sz="0" w:space="0" w:color="auto"/>
        <w:right w:val="none" w:sz="0" w:space="0" w:color="auto"/>
      </w:divBdr>
    </w:div>
    <w:div w:id="470246787">
      <w:bodyDiv w:val="1"/>
      <w:marLeft w:val="0"/>
      <w:marRight w:val="0"/>
      <w:marTop w:val="0"/>
      <w:marBottom w:val="0"/>
      <w:divBdr>
        <w:top w:val="none" w:sz="0" w:space="0" w:color="auto"/>
        <w:left w:val="none" w:sz="0" w:space="0" w:color="auto"/>
        <w:bottom w:val="none" w:sz="0" w:space="0" w:color="auto"/>
        <w:right w:val="none" w:sz="0" w:space="0" w:color="auto"/>
      </w:divBdr>
    </w:div>
    <w:div w:id="776675235">
      <w:bodyDiv w:val="1"/>
      <w:marLeft w:val="0"/>
      <w:marRight w:val="0"/>
      <w:marTop w:val="0"/>
      <w:marBottom w:val="0"/>
      <w:divBdr>
        <w:top w:val="none" w:sz="0" w:space="0" w:color="auto"/>
        <w:left w:val="none" w:sz="0" w:space="0" w:color="auto"/>
        <w:bottom w:val="none" w:sz="0" w:space="0" w:color="auto"/>
        <w:right w:val="none" w:sz="0" w:space="0" w:color="auto"/>
      </w:divBdr>
    </w:div>
    <w:div w:id="821313004">
      <w:bodyDiv w:val="1"/>
      <w:marLeft w:val="0"/>
      <w:marRight w:val="0"/>
      <w:marTop w:val="0"/>
      <w:marBottom w:val="0"/>
      <w:divBdr>
        <w:top w:val="none" w:sz="0" w:space="0" w:color="auto"/>
        <w:left w:val="none" w:sz="0" w:space="0" w:color="auto"/>
        <w:bottom w:val="none" w:sz="0" w:space="0" w:color="auto"/>
        <w:right w:val="none" w:sz="0" w:space="0" w:color="auto"/>
      </w:divBdr>
    </w:div>
    <w:div w:id="867376516">
      <w:bodyDiv w:val="1"/>
      <w:marLeft w:val="0"/>
      <w:marRight w:val="0"/>
      <w:marTop w:val="0"/>
      <w:marBottom w:val="0"/>
      <w:divBdr>
        <w:top w:val="none" w:sz="0" w:space="0" w:color="auto"/>
        <w:left w:val="none" w:sz="0" w:space="0" w:color="auto"/>
        <w:bottom w:val="none" w:sz="0" w:space="0" w:color="auto"/>
        <w:right w:val="none" w:sz="0" w:space="0" w:color="auto"/>
      </w:divBdr>
    </w:div>
    <w:div w:id="885414664">
      <w:bodyDiv w:val="1"/>
      <w:marLeft w:val="0"/>
      <w:marRight w:val="0"/>
      <w:marTop w:val="0"/>
      <w:marBottom w:val="0"/>
      <w:divBdr>
        <w:top w:val="none" w:sz="0" w:space="0" w:color="auto"/>
        <w:left w:val="none" w:sz="0" w:space="0" w:color="auto"/>
        <w:bottom w:val="none" w:sz="0" w:space="0" w:color="auto"/>
        <w:right w:val="none" w:sz="0" w:space="0" w:color="auto"/>
      </w:divBdr>
    </w:div>
    <w:div w:id="916550710">
      <w:bodyDiv w:val="1"/>
      <w:marLeft w:val="0"/>
      <w:marRight w:val="0"/>
      <w:marTop w:val="0"/>
      <w:marBottom w:val="0"/>
      <w:divBdr>
        <w:top w:val="none" w:sz="0" w:space="0" w:color="auto"/>
        <w:left w:val="none" w:sz="0" w:space="0" w:color="auto"/>
        <w:bottom w:val="none" w:sz="0" w:space="0" w:color="auto"/>
        <w:right w:val="none" w:sz="0" w:space="0" w:color="auto"/>
      </w:divBdr>
      <w:divsChild>
        <w:div w:id="1444767242">
          <w:marLeft w:val="547"/>
          <w:marRight w:val="0"/>
          <w:marTop w:val="86"/>
          <w:marBottom w:val="0"/>
          <w:divBdr>
            <w:top w:val="none" w:sz="0" w:space="0" w:color="auto"/>
            <w:left w:val="none" w:sz="0" w:space="0" w:color="auto"/>
            <w:bottom w:val="none" w:sz="0" w:space="0" w:color="auto"/>
            <w:right w:val="none" w:sz="0" w:space="0" w:color="auto"/>
          </w:divBdr>
        </w:div>
      </w:divsChild>
    </w:div>
    <w:div w:id="934939194">
      <w:bodyDiv w:val="1"/>
      <w:marLeft w:val="0"/>
      <w:marRight w:val="0"/>
      <w:marTop w:val="0"/>
      <w:marBottom w:val="0"/>
      <w:divBdr>
        <w:top w:val="none" w:sz="0" w:space="0" w:color="auto"/>
        <w:left w:val="none" w:sz="0" w:space="0" w:color="auto"/>
        <w:bottom w:val="none" w:sz="0" w:space="0" w:color="auto"/>
        <w:right w:val="none" w:sz="0" w:space="0" w:color="auto"/>
      </w:divBdr>
    </w:div>
    <w:div w:id="972715063">
      <w:bodyDiv w:val="1"/>
      <w:marLeft w:val="0"/>
      <w:marRight w:val="0"/>
      <w:marTop w:val="0"/>
      <w:marBottom w:val="0"/>
      <w:divBdr>
        <w:top w:val="none" w:sz="0" w:space="0" w:color="auto"/>
        <w:left w:val="none" w:sz="0" w:space="0" w:color="auto"/>
        <w:bottom w:val="none" w:sz="0" w:space="0" w:color="auto"/>
        <w:right w:val="none" w:sz="0" w:space="0" w:color="auto"/>
      </w:divBdr>
    </w:div>
    <w:div w:id="1094126253">
      <w:bodyDiv w:val="1"/>
      <w:marLeft w:val="0"/>
      <w:marRight w:val="0"/>
      <w:marTop w:val="0"/>
      <w:marBottom w:val="0"/>
      <w:divBdr>
        <w:top w:val="none" w:sz="0" w:space="0" w:color="auto"/>
        <w:left w:val="none" w:sz="0" w:space="0" w:color="auto"/>
        <w:bottom w:val="none" w:sz="0" w:space="0" w:color="auto"/>
        <w:right w:val="none" w:sz="0" w:space="0" w:color="auto"/>
      </w:divBdr>
    </w:div>
    <w:div w:id="1143230942">
      <w:bodyDiv w:val="1"/>
      <w:marLeft w:val="0"/>
      <w:marRight w:val="0"/>
      <w:marTop w:val="0"/>
      <w:marBottom w:val="0"/>
      <w:divBdr>
        <w:top w:val="none" w:sz="0" w:space="0" w:color="auto"/>
        <w:left w:val="none" w:sz="0" w:space="0" w:color="auto"/>
        <w:bottom w:val="none" w:sz="0" w:space="0" w:color="auto"/>
        <w:right w:val="none" w:sz="0" w:space="0" w:color="auto"/>
      </w:divBdr>
    </w:div>
    <w:div w:id="1288967126">
      <w:bodyDiv w:val="1"/>
      <w:marLeft w:val="0"/>
      <w:marRight w:val="0"/>
      <w:marTop w:val="0"/>
      <w:marBottom w:val="0"/>
      <w:divBdr>
        <w:top w:val="none" w:sz="0" w:space="0" w:color="auto"/>
        <w:left w:val="none" w:sz="0" w:space="0" w:color="auto"/>
        <w:bottom w:val="none" w:sz="0" w:space="0" w:color="auto"/>
        <w:right w:val="none" w:sz="0" w:space="0" w:color="auto"/>
      </w:divBdr>
    </w:div>
    <w:div w:id="1303582852">
      <w:bodyDiv w:val="1"/>
      <w:marLeft w:val="0"/>
      <w:marRight w:val="0"/>
      <w:marTop w:val="0"/>
      <w:marBottom w:val="0"/>
      <w:divBdr>
        <w:top w:val="none" w:sz="0" w:space="0" w:color="auto"/>
        <w:left w:val="none" w:sz="0" w:space="0" w:color="auto"/>
        <w:bottom w:val="none" w:sz="0" w:space="0" w:color="auto"/>
        <w:right w:val="none" w:sz="0" w:space="0" w:color="auto"/>
      </w:divBdr>
    </w:div>
    <w:div w:id="1376002160">
      <w:bodyDiv w:val="1"/>
      <w:marLeft w:val="0"/>
      <w:marRight w:val="0"/>
      <w:marTop w:val="0"/>
      <w:marBottom w:val="0"/>
      <w:divBdr>
        <w:top w:val="none" w:sz="0" w:space="0" w:color="auto"/>
        <w:left w:val="none" w:sz="0" w:space="0" w:color="auto"/>
        <w:bottom w:val="none" w:sz="0" w:space="0" w:color="auto"/>
        <w:right w:val="none" w:sz="0" w:space="0" w:color="auto"/>
      </w:divBdr>
    </w:div>
    <w:div w:id="1379014475">
      <w:bodyDiv w:val="1"/>
      <w:marLeft w:val="0"/>
      <w:marRight w:val="0"/>
      <w:marTop w:val="0"/>
      <w:marBottom w:val="0"/>
      <w:divBdr>
        <w:top w:val="none" w:sz="0" w:space="0" w:color="auto"/>
        <w:left w:val="none" w:sz="0" w:space="0" w:color="auto"/>
        <w:bottom w:val="none" w:sz="0" w:space="0" w:color="auto"/>
        <w:right w:val="none" w:sz="0" w:space="0" w:color="auto"/>
      </w:divBdr>
    </w:div>
    <w:div w:id="1411193354">
      <w:bodyDiv w:val="1"/>
      <w:marLeft w:val="0"/>
      <w:marRight w:val="0"/>
      <w:marTop w:val="0"/>
      <w:marBottom w:val="0"/>
      <w:divBdr>
        <w:top w:val="none" w:sz="0" w:space="0" w:color="auto"/>
        <w:left w:val="none" w:sz="0" w:space="0" w:color="auto"/>
        <w:bottom w:val="none" w:sz="0" w:space="0" w:color="auto"/>
        <w:right w:val="none" w:sz="0" w:space="0" w:color="auto"/>
      </w:divBdr>
    </w:div>
    <w:div w:id="1437941759">
      <w:bodyDiv w:val="1"/>
      <w:marLeft w:val="0"/>
      <w:marRight w:val="0"/>
      <w:marTop w:val="0"/>
      <w:marBottom w:val="0"/>
      <w:divBdr>
        <w:top w:val="none" w:sz="0" w:space="0" w:color="auto"/>
        <w:left w:val="none" w:sz="0" w:space="0" w:color="auto"/>
        <w:bottom w:val="none" w:sz="0" w:space="0" w:color="auto"/>
        <w:right w:val="none" w:sz="0" w:space="0" w:color="auto"/>
      </w:divBdr>
    </w:div>
    <w:div w:id="1511527651">
      <w:bodyDiv w:val="1"/>
      <w:marLeft w:val="0"/>
      <w:marRight w:val="0"/>
      <w:marTop w:val="0"/>
      <w:marBottom w:val="0"/>
      <w:divBdr>
        <w:top w:val="none" w:sz="0" w:space="0" w:color="auto"/>
        <w:left w:val="none" w:sz="0" w:space="0" w:color="auto"/>
        <w:bottom w:val="none" w:sz="0" w:space="0" w:color="auto"/>
        <w:right w:val="none" w:sz="0" w:space="0" w:color="auto"/>
      </w:divBdr>
    </w:div>
    <w:div w:id="1524979103">
      <w:bodyDiv w:val="1"/>
      <w:marLeft w:val="0"/>
      <w:marRight w:val="0"/>
      <w:marTop w:val="0"/>
      <w:marBottom w:val="0"/>
      <w:divBdr>
        <w:top w:val="none" w:sz="0" w:space="0" w:color="auto"/>
        <w:left w:val="none" w:sz="0" w:space="0" w:color="auto"/>
        <w:bottom w:val="none" w:sz="0" w:space="0" w:color="auto"/>
        <w:right w:val="none" w:sz="0" w:space="0" w:color="auto"/>
      </w:divBdr>
      <w:divsChild>
        <w:div w:id="770121767">
          <w:marLeft w:val="547"/>
          <w:marRight w:val="0"/>
          <w:marTop w:val="86"/>
          <w:marBottom w:val="0"/>
          <w:divBdr>
            <w:top w:val="none" w:sz="0" w:space="0" w:color="auto"/>
            <w:left w:val="none" w:sz="0" w:space="0" w:color="auto"/>
            <w:bottom w:val="none" w:sz="0" w:space="0" w:color="auto"/>
            <w:right w:val="none" w:sz="0" w:space="0" w:color="auto"/>
          </w:divBdr>
        </w:div>
        <w:div w:id="1760443383">
          <w:marLeft w:val="547"/>
          <w:marRight w:val="0"/>
          <w:marTop w:val="86"/>
          <w:marBottom w:val="0"/>
          <w:divBdr>
            <w:top w:val="none" w:sz="0" w:space="0" w:color="auto"/>
            <w:left w:val="none" w:sz="0" w:space="0" w:color="auto"/>
            <w:bottom w:val="none" w:sz="0" w:space="0" w:color="auto"/>
            <w:right w:val="none" w:sz="0" w:space="0" w:color="auto"/>
          </w:divBdr>
        </w:div>
        <w:div w:id="1287659687">
          <w:marLeft w:val="547"/>
          <w:marRight w:val="0"/>
          <w:marTop w:val="86"/>
          <w:marBottom w:val="0"/>
          <w:divBdr>
            <w:top w:val="none" w:sz="0" w:space="0" w:color="auto"/>
            <w:left w:val="none" w:sz="0" w:space="0" w:color="auto"/>
            <w:bottom w:val="none" w:sz="0" w:space="0" w:color="auto"/>
            <w:right w:val="none" w:sz="0" w:space="0" w:color="auto"/>
          </w:divBdr>
        </w:div>
        <w:div w:id="1813137615">
          <w:marLeft w:val="547"/>
          <w:marRight w:val="0"/>
          <w:marTop w:val="86"/>
          <w:marBottom w:val="0"/>
          <w:divBdr>
            <w:top w:val="none" w:sz="0" w:space="0" w:color="auto"/>
            <w:left w:val="none" w:sz="0" w:space="0" w:color="auto"/>
            <w:bottom w:val="none" w:sz="0" w:space="0" w:color="auto"/>
            <w:right w:val="none" w:sz="0" w:space="0" w:color="auto"/>
          </w:divBdr>
        </w:div>
        <w:div w:id="329526419">
          <w:marLeft w:val="547"/>
          <w:marRight w:val="0"/>
          <w:marTop w:val="86"/>
          <w:marBottom w:val="0"/>
          <w:divBdr>
            <w:top w:val="none" w:sz="0" w:space="0" w:color="auto"/>
            <w:left w:val="none" w:sz="0" w:space="0" w:color="auto"/>
            <w:bottom w:val="none" w:sz="0" w:space="0" w:color="auto"/>
            <w:right w:val="none" w:sz="0" w:space="0" w:color="auto"/>
          </w:divBdr>
        </w:div>
        <w:div w:id="1440561777">
          <w:marLeft w:val="547"/>
          <w:marRight w:val="0"/>
          <w:marTop w:val="86"/>
          <w:marBottom w:val="0"/>
          <w:divBdr>
            <w:top w:val="none" w:sz="0" w:space="0" w:color="auto"/>
            <w:left w:val="none" w:sz="0" w:space="0" w:color="auto"/>
            <w:bottom w:val="none" w:sz="0" w:space="0" w:color="auto"/>
            <w:right w:val="none" w:sz="0" w:space="0" w:color="auto"/>
          </w:divBdr>
        </w:div>
        <w:div w:id="1473593945">
          <w:marLeft w:val="1166"/>
          <w:marRight w:val="0"/>
          <w:marTop w:val="72"/>
          <w:marBottom w:val="0"/>
          <w:divBdr>
            <w:top w:val="none" w:sz="0" w:space="0" w:color="auto"/>
            <w:left w:val="none" w:sz="0" w:space="0" w:color="auto"/>
            <w:bottom w:val="none" w:sz="0" w:space="0" w:color="auto"/>
            <w:right w:val="none" w:sz="0" w:space="0" w:color="auto"/>
          </w:divBdr>
        </w:div>
        <w:div w:id="2108689692">
          <w:marLeft w:val="1166"/>
          <w:marRight w:val="0"/>
          <w:marTop w:val="72"/>
          <w:marBottom w:val="0"/>
          <w:divBdr>
            <w:top w:val="none" w:sz="0" w:space="0" w:color="auto"/>
            <w:left w:val="none" w:sz="0" w:space="0" w:color="auto"/>
            <w:bottom w:val="none" w:sz="0" w:space="0" w:color="auto"/>
            <w:right w:val="none" w:sz="0" w:space="0" w:color="auto"/>
          </w:divBdr>
        </w:div>
        <w:div w:id="846096543">
          <w:marLeft w:val="1166"/>
          <w:marRight w:val="0"/>
          <w:marTop w:val="72"/>
          <w:marBottom w:val="0"/>
          <w:divBdr>
            <w:top w:val="none" w:sz="0" w:space="0" w:color="auto"/>
            <w:left w:val="none" w:sz="0" w:space="0" w:color="auto"/>
            <w:bottom w:val="none" w:sz="0" w:space="0" w:color="auto"/>
            <w:right w:val="none" w:sz="0" w:space="0" w:color="auto"/>
          </w:divBdr>
        </w:div>
        <w:div w:id="1030108796">
          <w:marLeft w:val="1166"/>
          <w:marRight w:val="0"/>
          <w:marTop w:val="72"/>
          <w:marBottom w:val="0"/>
          <w:divBdr>
            <w:top w:val="none" w:sz="0" w:space="0" w:color="auto"/>
            <w:left w:val="none" w:sz="0" w:space="0" w:color="auto"/>
            <w:bottom w:val="none" w:sz="0" w:space="0" w:color="auto"/>
            <w:right w:val="none" w:sz="0" w:space="0" w:color="auto"/>
          </w:divBdr>
        </w:div>
      </w:divsChild>
    </w:div>
    <w:div w:id="1599099667">
      <w:bodyDiv w:val="1"/>
      <w:marLeft w:val="0"/>
      <w:marRight w:val="0"/>
      <w:marTop w:val="0"/>
      <w:marBottom w:val="0"/>
      <w:divBdr>
        <w:top w:val="none" w:sz="0" w:space="0" w:color="auto"/>
        <w:left w:val="none" w:sz="0" w:space="0" w:color="auto"/>
        <w:bottom w:val="none" w:sz="0" w:space="0" w:color="auto"/>
        <w:right w:val="none" w:sz="0" w:space="0" w:color="auto"/>
      </w:divBdr>
    </w:div>
    <w:div w:id="1599410823">
      <w:bodyDiv w:val="1"/>
      <w:marLeft w:val="0"/>
      <w:marRight w:val="0"/>
      <w:marTop w:val="0"/>
      <w:marBottom w:val="0"/>
      <w:divBdr>
        <w:top w:val="none" w:sz="0" w:space="0" w:color="auto"/>
        <w:left w:val="none" w:sz="0" w:space="0" w:color="auto"/>
        <w:bottom w:val="none" w:sz="0" w:space="0" w:color="auto"/>
        <w:right w:val="none" w:sz="0" w:space="0" w:color="auto"/>
      </w:divBdr>
    </w:div>
    <w:div w:id="1710839996">
      <w:bodyDiv w:val="1"/>
      <w:marLeft w:val="0"/>
      <w:marRight w:val="0"/>
      <w:marTop w:val="0"/>
      <w:marBottom w:val="0"/>
      <w:divBdr>
        <w:top w:val="none" w:sz="0" w:space="0" w:color="auto"/>
        <w:left w:val="none" w:sz="0" w:space="0" w:color="auto"/>
        <w:bottom w:val="none" w:sz="0" w:space="0" w:color="auto"/>
        <w:right w:val="none" w:sz="0" w:space="0" w:color="auto"/>
      </w:divBdr>
    </w:div>
    <w:div w:id="1756509162">
      <w:bodyDiv w:val="1"/>
      <w:marLeft w:val="0"/>
      <w:marRight w:val="0"/>
      <w:marTop w:val="0"/>
      <w:marBottom w:val="0"/>
      <w:divBdr>
        <w:top w:val="none" w:sz="0" w:space="0" w:color="auto"/>
        <w:left w:val="none" w:sz="0" w:space="0" w:color="auto"/>
        <w:bottom w:val="none" w:sz="0" w:space="0" w:color="auto"/>
        <w:right w:val="none" w:sz="0" w:space="0" w:color="auto"/>
      </w:divBdr>
    </w:div>
    <w:div w:id="1863282839">
      <w:bodyDiv w:val="1"/>
      <w:marLeft w:val="0"/>
      <w:marRight w:val="0"/>
      <w:marTop w:val="0"/>
      <w:marBottom w:val="0"/>
      <w:divBdr>
        <w:top w:val="none" w:sz="0" w:space="0" w:color="auto"/>
        <w:left w:val="none" w:sz="0" w:space="0" w:color="auto"/>
        <w:bottom w:val="none" w:sz="0" w:space="0" w:color="auto"/>
        <w:right w:val="none" w:sz="0" w:space="0" w:color="auto"/>
      </w:divBdr>
    </w:div>
    <w:div w:id="1880240030">
      <w:bodyDiv w:val="1"/>
      <w:marLeft w:val="0"/>
      <w:marRight w:val="0"/>
      <w:marTop w:val="0"/>
      <w:marBottom w:val="0"/>
      <w:divBdr>
        <w:top w:val="none" w:sz="0" w:space="0" w:color="auto"/>
        <w:left w:val="none" w:sz="0" w:space="0" w:color="auto"/>
        <w:bottom w:val="none" w:sz="0" w:space="0" w:color="auto"/>
        <w:right w:val="none" w:sz="0" w:space="0" w:color="auto"/>
      </w:divBdr>
    </w:div>
    <w:div w:id="1911039225">
      <w:bodyDiv w:val="1"/>
      <w:marLeft w:val="0"/>
      <w:marRight w:val="0"/>
      <w:marTop w:val="0"/>
      <w:marBottom w:val="0"/>
      <w:divBdr>
        <w:top w:val="none" w:sz="0" w:space="0" w:color="auto"/>
        <w:left w:val="none" w:sz="0" w:space="0" w:color="auto"/>
        <w:bottom w:val="none" w:sz="0" w:space="0" w:color="auto"/>
        <w:right w:val="none" w:sz="0" w:space="0" w:color="auto"/>
      </w:divBdr>
    </w:div>
    <w:div w:id="1936404098">
      <w:bodyDiv w:val="1"/>
      <w:marLeft w:val="0"/>
      <w:marRight w:val="0"/>
      <w:marTop w:val="0"/>
      <w:marBottom w:val="0"/>
      <w:divBdr>
        <w:top w:val="none" w:sz="0" w:space="0" w:color="auto"/>
        <w:left w:val="none" w:sz="0" w:space="0" w:color="auto"/>
        <w:bottom w:val="none" w:sz="0" w:space="0" w:color="auto"/>
        <w:right w:val="none" w:sz="0" w:space="0" w:color="auto"/>
      </w:divBdr>
    </w:div>
    <w:div w:id="1945377684">
      <w:bodyDiv w:val="1"/>
      <w:marLeft w:val="0"/>
      <w:marRight w:val="0"/>
      <w:marTop w:val="0"/>
      <w:marBottom w:val="0"/>
      <w:divBdr>
        <w:top w:val="none" w:sz="0" w:space="0" w:color="auto"/>
        <w:left w:val="none" w:sz="0" w:space="0" w:color="auto"/>
        <w:bottom w:val="none" w:sz="0" w:space="0" w:color="auto"/>
        <w:right w:val="none" w:sz="0" w:space="0" w:color="auto"/>
      </w:divBdr>
    </w:div>
    <w:div w:id="21209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package" Target="embeddings/Microsoft_Excel_Worksheet1.xlsx"/><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x0020_Number xmlns="2448c47a-0c10-4e7b-b9c8-5b12d6d373e0">2016/Development Day</Meeting_x0020_Number>
    <Governance_x0020_Unit xmlns="20b046fe-f5e1-44ee-bae0-94893d287677">ACFE Regional Councils</Governance_x0020_Uni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ocument_x0020_Type xmlns="2448c47a-0c10-4e7b-b9c8-5b12d6d373e0" xsi:nil="true"/>
    <Year xmlns="2448c47a-0c10-4e7b-b9c8-5b12d6d373e0">2015</Year>
    <DET_EDRMS_BusUnitTaxHTField0 xmlns="http://schemas.microsoft.com/Sharepoint/v3">
      <Terms xmlns="http://schemas.microsoft.com/office/infopath/2007/PartnerControls"/>
    </DET_EDRMS_BusUnitTaxHTField0>
    <Provider_x0020_Name xmlns="2448c47a-0c10-4e7b-b9c8-5b12d6d373e0" xsi:nil="true"/>
    <Meeting_x0020_Year xmlns="2448c47a-0c10-4e7b-b9c8-5b12d6d373e0">2016</Meeting_x0020_Year>
    <bqgx xmlns="20b046fe-f5e1-44ee-bae0-94893d287677">
      <UserInfo>
        <DisplayName/>
        <AccountId xsi:nil="true"/>
        <AccountType/>
      </UserInfo>
    </bqgx>
    <Project_x0020_Name xmlns="2448c47a-0c10-4e7b-b9c8-5b12d6d373e0" xsi:nil="true"/>
    <Meeting_x0020_Date xmlns="2448c47a-0c10-4e7b-b9c8-5b12d6d373e0" xsi:nil="true"/>
    <_x0065_st8 xmlns="20b046fe-f5e1-44ee-bae0-94893d287677" xsi:nil="true"/>
    <TaxCatchAll xmlns="1966e606-8b69-4075-9ef8-a409e80aaa70">
      <Value>18</Value>
    </TaxCatchAll>
    <PublishingContactName xmlns="http://schemas.microsoft.com/sharepoint/v3" xsi:nil="true"/>
    <_x006d_719 xmlns="20b046fe-f5e1-44ee-bae0-94893d287677" xsi:nil="true"/>
    <DET_EDRMS_Description xmlns="http://schemas.microsoft.com/Sharepoint/v3" xsi:nil="true"/>
    <Program_x0020_Name xmlns="2448c47a-0c10-4e7b-b9c8-5b12d6d373e0" xsi:nil="true"/>
    <Sector xmlns="2448c47a-0c10-4e7b-b9c8-5b12d6d373e0"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1.7.1 Major Meeting - Strategic Meeting Papers</TermName>
          <TermId xmlns="http://schemas.microsoft.com/office/infopath/2007/PartnerControls">c71bceb4-83e1-4f1f-a34b-17e5c0aad8b7</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39457-E50C-4590-AEF0-4A6EC81B4AE0}"/>
</file>

<file path=customXml/itemProps2.xml><?xml version="1.0" encoding="utf-8"?>
<ds:datastoreItem xmlns:ds="http://schemas.openxmlformats.org/officeDocument/2006/customXml" ds:itemID="{A71A18DB-E385-49B9-BFF0-4FB1A7E16EBD}"/>
</file>

<file path=customXml/itemProps3.xml><?xml version="1.0" encoding="utf-8"?>
<ds:datastoreItem xmlns:ds="http://schemas.openxmlformats.org/officeDocument/2006/customXml" ds:itemID="{CE52555F-5A10-4376-AC54-1B88CCD018DC}"/>
</file>

<file path=customXml/itemProps4.xml><?xml version="1.0" encoding="utf-8"?>
<ds:datastoreItem xmlns:ds="http://schemas.openxmlformats.org/officeDocument/2006/customXml" ds:itemID="{24F39457-E50C-4590-AEF0-4A6EC81B4AE0}">
  <ds:schemaRefs>
    <ds:schemaRef ds:uri="http://schemas.microsoft.com/office/2006/metadata/properties"/>
    <ds:schemaRef ds:uri="http://schemas.microsoft.com/office/infopath/2007/PartnerControls"/>
    <ds:schemaRef ds:uri="2448c47a-0c10-4e7b-b9c8-5b12d6d373e0"/>
    <ds:schemaRef ds:uri="20b046fe-f5e1-44ee-bae0-94893d287677"/>
    <ds:schemaRef ds:uri="http://schemas.microsoft.com/Sharepoint/v3"/>
    <ds:schemaRef ds:uri="http://schemas.microsoft.com/sharepoint/v4"/>
    <ds:schemaRef ds:uri="1966e606-8b69-4075-9ef8-a409e80aaa70"/>
    <ds:schemaRef ds:uri="http://schemas.microsoft.com/sharepoint/v3"/>
  </ds:schemaRefs>
</ds:datastoreItem>
</file>

<file path=customXml/itemProps5.xml><?xml version="1.0" encoding="utf-8"?>
<ds:datastoreItem xmlns:ds="http://schemas.openxmlformats.org/officeDocument/2006/customXml" ds:itemID="{AEE672D9-2FD2-4616-A125-313AB632FD32}"/>
</file>

<file path=docProps/app.xml><?xml version="1.0" encoding="utf-8"?>
<Properties xmlns="http://schemas.openxmlformats.org/officeDocument/2006/extended-properties" xmlns:vt="http://schemas.openxmlformats.org/officeDocument/2006/docPropsVTypes">
  <Template>Normal</Template>
  <TotalTime>0</TotalTime>
  <Pages>7</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Marinucci, Georgie L</dc:creator>
  <cp:lastModifiedBy>Kene, Effie E</cp:lastModifiedBy>
  <cp:revision>2</cp:revision>
  <cp:lastPrinted>2017-04-28T03:44:00Z</cp:lastPrinted>
  <dcterms:created xsi:type="dcterms:W3CDTF">2017-08-22T04:58:00Z</dcterms:created>
  <dcterms:modified xsi:type="dcterms:W3CDTF">2017-08-22T04:58:00Z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18;#1.7.1 Major Meeting - Strategic Meeting Papers|c71bceb4-83e1-4f1f-a34b-17e5c0aad8b7</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SubmissionCompleted">
    <vt:lpwstr>2016-11-03T16:28:52.3995358+11:00</vt:lpwstr>
  </property>
  <property fmtid="{D5CDD505-2E9C-101B-9397-08002B2CF9AE}" pid="8" name="RecordPoint_ActiveItemUniqueId">
    <vt:lpwstr>{5bb38f13-65c9-41c9-a99c-b2103a28c4a8}</vt:lpwstr>
  </property>
  <property fmtid="{D5CDD505-2E9C-101B-9397-08002B2CF9AE}" pid="9" name="RecordPoint_ActiveItemWebId">
    <vt:lpwstr>{2448c47a-0c10-4e7b-b9c8-5b12d6d373e0}</vt:lpwstr>
  </property>
  <property fmtid="{D5CDD505-2E9C-101B-9397-08002B2CF9AE}" pid="10" name="RecordPoint_ActiveItemSiteId">
    <vt:lpwstr>{03dc8113-b288-4f44-a289-6e7ea0196235}</vt:lpwstr>
  </property>
  <property fmtid="{D5CDD505-2E9C-101B-9397-08002B2CF9AE}" pid="11" name="RecordPoint_ActiveItemListId">
    <vt:lpwstr>{20b046fe-f5e1-44ee-bae0-94893d287677}</vt:lpwstr>
  </property>
  <property fmtid="{D5CDD505-2E9C-101B-9397-08002B2CF9AE}" pid="12" name="RecordPoint_RecordNumberSubmitted">
    <vt:lpwstr>R0000527304</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