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02AB" w14:textId="5591BB66" w:rsidR="005456C4" w:rsidRPr="006605A5" w:rsidRDefault="005456C4" w:rsidP="005456C4">
      <w:pPr>
        <w:pStyle w:val="Title"/>
        <w:jc w:val="center"/>
        <w:rPr>
          <w:b/>
          <w:sz w:val="44"/>
          <w:szCs w:val="44"/>
        </w:rPr>
      </w:pPr>
      <w:bookmarkStart w:id="0" w:name="_GoBack"/>
      <w:bookmarkEnd w:id="0"/>
      <w:r w:rsidRPr="006605A5">
        <w:rPr>
          <w:b/>
          <w:sz w:val="44"/>
          <w:szCs w:val="44"/>
        </w:rPr>
        <w:t xml:space="preserve">Family Learning Partnerships </w:t>
      </w:r>
    </w:p>
    <w:p w14:paraId="6FAF5407" w14:textId="7B7C47C5" w:rsidR="005456C4" w:rsidRPr="006605A5" w:rsidRDefault="006605A5" w:rsidP="005456C4">
      <w:pPr>
        <w:pStyle w:val="Title"/>
        <w:jc w:val="center"/>
        <w:rPr>
          <w:b/>
          <w:sz w:val="44"/>
          <w:szCs w:val="44"/>
        </w:rPr>
      </w:pPr>
      <w:r w:rsidRPr="006605A5">
        <w:rPr>
          <w:b/>
          <w:sz w:val="44"/>
          <w:szCs w:val="44"/>
        </w:rPr>
        <w:t xml:space="preserve">2017 </w:t>
      </w:r>
      <w:r w:rsidR="00F50BD9" w:rsidRPr="006605A5">
        <w:rPr>
          <w:b/>
          <w:sz w:val="44"/>
          <w:szCs w:val="44"/>
        </w:rPr>
        <w:t>Pr</w:t>
      </w:r>
      <w:r w:rsidR="00651E15">
        <w:rPr>
          <w:b/>
          <w:sz w:val="44"/>
          <w:szCs w:val="44"/>
        </w:rPr>
        <w:t>ogram</w:t>
      </w:r>
      <w:r w:rsidR="00F50BD9" w:rsidRPr="006605A5">
        <w:rPr>
          <w:b/>
          <w:sz w:val="44"/>
          <w:szCs w:val="44"/>
        </w:rPr>
        <w:t xml:space="preserve"> Guidelines</w:t>
      </w:r>
    </w:p>
    <w:p w14:paraId="34377EB0" w14:textId="77777777" w:rsidR="005456C4" w:rsidRPr="006971FF" w:rsidRDefault="005456C4" w:rsidP="00F50BD9">
      <w:pPr>
        <w:pStyle w:val="PGsubhead"/>
        <w:spacing w:before="0"/>
      </w:pPr>
      <w:r w:rsidRPr="006971FF">
        <w:t>Introduction</w:t>
      </w:r>
    </w:p>
    <w:p w14:paraId="44898630" w14:textId="2F5E5D53" w:rsidR="005456C4" w:rsidRDefault="00F50BD9" w:rsidP="00F50BD9">
      <w:pPr>
        <w:spacing w:line="240" w:lineRule="auto"/>
        <w:jc w:val="both"/>
        <w:rPr>
          <w:rFonts w:ascii="Calibri" w:hAnsi="Calibri" w:cs="Helv"/>
          <w:color w:val="000000"/>
        </w:rPr>
      </w:pPr>
      <w:r>
        <w:rPr>
          <w:rFonts w:ascii="Calibri" w:hAnsi="Calibri" w:cs="Helv"/>
          <w:color w:val="000000"/>
        </w:rPr>
        <w:t xml:space="preserve">The </w:t>
      </w:r>
      <w:r w:rsidR="008205E4">
        <w:rPr>
          <w:rFonts w:ascii="Calibri" w:hAnsi="Calibri" w:cs="Helv"/>
          <w:color w:val="000000"/>
        </w:rPr>
        <w:t>Family Learning</w:t>
      </w:r>
      <w:r>
        <w:rPr>
          <w:rFonts w:ascii="Calibri" w:hAnsi="Calibri" w:cs="Helv"/>
          <w:color w:val="000000"/>
        </w:rPr>
        <w:t xml:space="preserve"> </w:t>
      </w:r>
      <w:r w:rsidR="00B05BE4">
        <w:rPr>
          <w:rFonts w:ascii="Calibri" w:hAnsi="Calibri" w:cs="Helv"/>
          <w:color w:val="000000"/>
        </w:rPr>
        <w:t>Partnership</w:t>
      </w:r>
      <w:r w:rsidR="005A0369">
        <w:rPr>
          <w:rFonts w:ascii="Calibri" w:hAnsi="Calibri" w:cs="Helv"/>
          <w:color w:val="000000"/>
        </w:rPr>
        <w:t>s</w:t>
      </w:r>
      <w:r w:rsidR="008205E4">
        <w:rPr>
          <w:rFonts w:ascii="Calibri" w:hAnsi="Calibri" w:cs="Helv"/>
          <w:color w:val="000000"/>
        </w:rPr>
        <w:t xml:space="preserve"> </w:t>
      </w:r>
      <w:r w:rsidR="00FD580E">
        <w:rPr>
          <w:rFonts w:ascii="Calibri" w:hAnsi="Calibri" w:cs="Helv"/>
          <w:color w:val="000000"/>
        </w:rPr>
        <w:t xml:space="preserve">(FLP) </w:t>
      </w:r>
      <w:r w:rsidR="00651E15">
        <w:rPr>
          <w:rFonts w:ascii="Calibri" w:hAnsi="Calibri" w:cs="Helv"/>
          <w:color w:val="000000"/>
        </w:rPr>
        <w:t>Program</w:t>
      </w:r>
      <w:r w:rsidR="00FD580E">
        <w:rPr>
          <w:rFonts w:ascii="Calibri" w:hAnsi="Calibri" w:cs="Helv"/>
          <w:color w:val="000000"/>
        </w:rPr>
        <w:t xml:space="preserve"> g</w:t>
      </w:r>
      <w:r w:rsidR="005456C4" w:rsidRPr="008A2246">
        <w:rPr>
          <w:rFonts w:ascii="Calibri" w:hAnsi="Calibri" w:cs="Helv"/>
          <w:color w:val="000000"/>
        </w:rPr>
        <w:t xml:space="preserve">uidelines provide an overview of the </w:t>
      </w:r>
      <w:r>
        <w:rPr>
          <w:rFonts w:ascii="Calibri" w:hAnsi="Calibri" w:cs="Helv"/>
          <w:color w:val="000000"/>
        </w:rPr>
        <w:t>Adult and Community Further Education (</w:t>
      </w:r>
      <w:r w:rsidR="005456C4" w:rsidRPr="008A2246">
        <w:rPr>
          <w:rFonts w:ascii="Calibri" w:hAnsi="Calibri" w:cs="Helv"/>
          <w:color w:val="000000"/>
        </w:rPr>
        <w:t>ACFE</w:t>
      </w:r>
      <w:r>
        <w:rPr>
          <w:rFonts w:ascii="Calibri" w:hAnsi="Calibri" w:cs="Helv"/>
          <w:color w:val="000000"/>
        </w:rPr>
        <w:t>)</w:t>
      </w:r>
      <w:r w:rsidR="005456C4" w:rsidRPr="008A2246">
        <w:rPr>
          <w:rFonts w:ascii="Calibri" w:hAnsi="Calibri" w:cs="Helv"/>
          <w:color w:val="000000"/>
        </w:rPr>
        <w:t xml:space="preserve"> Board funded </w:t>
      </w:r>
      <w:r w:rsidR="00FD580E">
        <w:rPr>
          <w:rFonts w:ascii="Calibri" w:hAnsi="Calibri" w:cs="Helv"/>
          <w:color w:val="000000"/>
        </w:rPr>
        <w:t>FLP</w:t>
      </w:r>
      <w:r w:rsidR="005456C4">
        <w:rPr>
          <w:rFonts w:ascii="Calibri" w:hAnsi="Calibri" w:cs="Helv"/>
          <w:color w:val="000000"/>
        </w:rPr>
        <w:t xml:space="preserve"> </w:t>
      </w:r>
      <w:r w:rsidR="00651E15">
        <w:rPr>
          <w:rFonts w:ascii="Calibri" w:hAnsi="Calibri" w:cs="Helv"/>
          <w:color w:val="000000"/>
        </w:rPr>
        <w:t>Program</w:t>
      </w:r>
      <w:r w:rsidR="005456C4">
        <w:rPr>
          <w:rFonts w:ascii="Calibri" w:hAnsi="Calibri" w:cs="Helv"/>
          <w:color w:val="000000"/>
        </w:rPr>
        <w:t xml:space="preserve">, and an introduction to the </w:t>
      </w:r>
      <w:r w:rsidR="00651E15">
        <w:rPr>
          <w:rFonts w:ascii="Calibri" w:hAnsi="Calibri" w:cs="Helv"/>
          <w:color w:val="000000"/>
        </w:rPr>
        <w:t>Program</w:t>
      </w:r>
      <w:r w:rsidR="005456C4">
        <w:rPr>
          <w:rFonts w:ascii="Calibri" w:hAnsi="Calibri" w:cs="Helv"/>
          <w:color w:val="000000"/>
        </w:rPr>
        <w:t>’s background, purpose and overarching model.</w:t>
      </w:r>
    </w:p>
    <w:p w14:paraId="3EE393B4" w14:textId="77777777" w:rsidR="005456C4" w:rsidRPr="006971FF" w:rsidRDefault="005456C4" w:rsidP="00F50BD9">
      <w:pPr>
        <w:pStyle w:val="PGsubhead"/>
        <w:spacing w:before="0"/>
      </w:pPr>
      <w:r w:rsidRPr="007B6C39">
        <w:t>Background</w:t>
      </w:r>
    </w:p>
    <w:p w14:paraId="738D75AC" w14:textId="00A21303" w:rsidR="005456C4" w:rsidRDefault="005456C4" w:rsidP="00F50BD9">
      <w:pPr>
        <w:spacing w:line="240" w:lineRule="auto"/>
        <w:jc w:val="both"/>
      </w:pPr>
      <w:r w:rsidRPr="0089359B">
        <w:t>The ACFE Board</w:t>
      </w:r>
      <w:r>
        <w:t xml:space="preserve">, </w:t>
      </w:r>
      <w:r w:rsidRPr="0089359B">
        <w:t xml:space="preserve">via the </w:t>
      </w:r>
      <w:r w:rsidR="00651E15">
        <w:rPr>
          <w:rFonts w:ascii="Calibri" w:hAnsi="Calibri" w:cs="Helv"/>
          <w:color w:val="000000"/>
        </w:rPr>
        <w:t>FLP Program</w:t>
      </w:r>
      <w:r>
        <w:t xml:space="preserve">, </w:t>
      </w:r>
      <w:r w:rsidRPr="0089359B">
        <w:t>is committed to exploring ways to engage parents</w:t>
      </w:r>
      <w:r>
        <w:t xml:space="preserve"> experiencing disadvantage</w:t>
      </w:r>
      <w:r w:rsidRPr="0089359B">
        <w:t xml:space="preserve"> in learning to help break the cycle of intergenerational disadvantage within families. </w:t>
      </w:r>
    </w:p>
    <w:p w14:paraId="2B109F58" w14:textId="5A93709E" w:rsidR="005456C4" w:rsidRPr="00F50BD9" w:rsidRDefault="008205E4" w:rsidP="00F50BD9">
      <w:pPr>
        <w:pStyle w:val="ListParagraph"/>
        <w:spacing w:after="200"/>
        <w:ind w:left="0"/>
        <w:contextualSpacing w:val="0"/>
        <w:jc w:val="both"/>
        <w:rPr>
          <w:rFonts w:asciiTheme="minorHAnsi" w:hAnsiTheme="minorHAnsi" w:cs="Arial"/>
          <w:sz w:val="22"/>
          <w:szCs w:val="22"/>
        </w:rPr>
      </w:pPr>
      <w:r>
        <w:rPr>
          <w:rFonts w:asciiTheme="minorHAnsi" w:hAnsiTheme="minorHAnsi" w:cs="Arial"/>
          <w:sz w:val="22"/>
          <w:szCs w:val="22"/>
        </w:rPr>
        <w:t>In line with</w:t>
      </w:r>
      <w:r w:rsidR="005456C4" w:rsidRPr="007A662F">
        <w:rPr>
          <w:rFonts w:asciiTheme="minorHAnsi" w:hAnsiTheme="minorHAnsi" w:cs="Arial"/>
          <w:sz w:val="22"/>
          <w:szCs w:val="22"/>
        </w:rPr>
        <w:t xml:space="preserve"> the ACFE Board’s </w:t>
      </w:r>
      <w:r>
        <w:rPr>
          <w:rFonts w:asciiTheme="minorHAnsi" w:hAnsiTheme="minorHAnsi" w:cs="Arial"/>
          <w:sz w:val="22"/>
          <w:szCs w:val="22"/>
        </w:rPr>
        <w:t>Strategic Plan 2016–19</w:t>
      </w:r>
      <w:r w:rsidR="005456C4" w:rsidRPr="007A662F">
        <w:rPr>
          <w:rFonts w:asciiTheme="minorHAnsi" w:hAnsiTheme="minorHAnsi" w:cs="Arial"/>
          <w:sz w:val="22"/>
          <w:szCs w:val="22"/>
        </w:rPr>
        <w:t xml:space="preserve">, the </w:t>
      </w:r>
      <w:r w:rsidR="00651E15" w:rsidRPr="00651E15">
        <w:rPr>
          <w:rFonts w:asciiTheme="minorHAnsi" w:hAnsiTheme="minorHAnsi" w:cs="Arial"/>
          <w:sz w:val="22"/>
          <w:szCs w:val="22"/>
        </w:rPr>
        <w:t xml:space="preserve">FLP Program </w:t>
      </w:r>
      <w:r w:rsidR="009945FC">
        <w:rPr>
          <w:rFonts w:asciiTheme="minorHAnsi" w:hAnsiTheme="minorHAnsi" w:cs="Arial"/>
          <w:sz w:val="22"/>
          <w:szCs w:val="22"/>
        </w:rPr>
        <w:t>contributes</w:t>
      </w:r>
      <w:r w:rsidR="005456C4" w:rsidRPr="007A662F">
        <w:rPr>
          <w:rFonts w:asciiTheme="minorHAnsi" w:hAnsiTheme="minorHAnsi" w:cs="Arial"/>
          <w:sz w:val="22"/>
          <w:szCs w:val="22"/>
        </w:rPr>
        <w:t xml:space="preserve"> to b</w:t>
      </w:r>
      <w:r w:rsidR="005456C4">
        <w:rPr>
          <w:rFonts w:asciiTheme="minorHAnsi" w:hAnsiTheme="minorHAnsi" w:cs="Arial"/>
          <w:sz w:val="22"/>
          <w:szCs w:val="22"/>
        </w:rPr>
        <w:t xml:space="preserve">uilding Learn Local Organisations’ (LLOs) </w:t>
      </w:r>
      <w:r w:rsidR="005456C4" w:rsidRPr="007A662F">
        <w:rPr>
          <w:rFonts w:asciiTheme="minorHAnsi" w:hAnsiTheme="minorHAnsi" w:cs="Arial"/>
          <w:sz w:val="22"/>
          <w:szCs w:val="22"/>
        </w:rPr>
        <w:t>capacity and partnership</w:t>
      </w:r>
      <w:r w:rsidR="009945FC">
        <w:rPr>
          <w:rFonts w:asciiTheme="minorHAnsi" w:hAnsiTheme="minorHAnsi" w:cs="Arial"/>
          <w:sz w:val="22"/>
          <w:szCs w:val="22"/>
        </w:rPr>
        <w:t xml:space="preserve">/network approaches and supports pathways to further education and employment. </w:t>
      </w:r>
      <w:r w:rsidR="005456C4">
        <w:rPr>
          <w:rFonts w:asciiTheme="minorHAnsi" w:hAnsiTheme="minorHAnsi" w:cs="Arial"/>
          <w:sz w:val="22"/>
          <w:szCs w:val="22"/>
        </w:rPr>
        <w:t>It is also an important contributor to</w:t>
      </w:r>
      <w:r w:rsidR="005456C4" w:rsidRPr="007A662F">
        <w:rPr>
          <w:rFonts w:asciiTheme="minorHAnsi" w:hAnsiTheme="minorHAnsi" w:cs="Arial"/>
          <w:sz w:val="22"/>
          <w:szCs w:val="22"/>
        </w:rPr>
        <w:t xml:space="preserve"> the </w:t>
      </w:r>
      <w:r w:rsidR="005456C4" w:rsidRPr="007A662F">
        <w:rPr>
          <w:rFonts w:asciiTheme="minorHAnsi" w:hAnsiTheme="minorHAnsi"/>
          <w:sz w:val="22"/>
          <w:szCs w:val="22"/>
        </w:rPr>
        <w:t xml:space="preserve">broader </w:t>
      </w:r>
      <w:r w:rsidR="005456C4" w:rsidRPr="007A662F">
        <w:rPr>
          <w:rFonts w:asciiTheme="minorHAnsi" w:hAnsiTheme="minorHAnsi" w:cs="Arial"/>
          <w:sz w:val="22"/>
          <w:szCs w:val="22"/>
        </w:rPr>
        <w:t>Education State agenda of ensuring that every Victorian is able to participate fully in society via</w:t>
      </w:r>
      <w:r w:rsidR="005456C4" w:rsidRPr="007A662F">
        <w:rPr>
          <w:rFonts w:asciiTheme="minorHAnsi" w:hAnsiTheme="minorHAnsi" w:cs="Arial"/>
          <w:color w:val="FF0000"/>
          <w:sz w:val="22"/>
          <w:szCs w:val="22"/>
        </w:rPr>
        <w:t xml:space="preserve"> </w:t>
      </w:r>
      <w:r w:rsidR="005456C4" w:rsidRPr="007A662F">
        <w:rPr>
          <w:rFonts w:asciiTheme="minorHAnsi" w:hAnsiTheme="minorHAnsi" w:cs="Arial"/>
          <w:sz w:val="22"/>
          <w:szCs w:val="22"/>
        </w:rPr>
        <w:t xml:space="preserve">access to quality skills and training. </w:t>
      </w:r>
    </w:p>
    <w:p w14:paraId="072A9597" w14:textId="3C32FEB1" w:rsidR="005456C4" w:rsidRPr="00F50BD9" w:rsidRDefault="00FD580E" w:rsidP="00F50BD9">
      <w:pPr>
        <w:spacing w:line="240" w:lineRule="auto"/>
        <w:jc w:val="both"/>
        <w:rPr>
          <w:rFonts w:cs="Arial"/>
          <w:b/>
        </w:rPr>
      </w:pPr>
      <w:r>
        <w:rPr>
          <w:rFonts w:cs="Arial"/>
        </w:rPr>
        <w:t>Trial sites led by LLOs in 2015</w:t>
      </w:r>
      <w:r w:rsidR="005456C4">
        <w:rPr>
          <w:rFonts w:cs="Arial"/>
        </w:rPr>
        <w:t xml:space="preserve"> established partnerships with schools, early childhood, community and health organisations to develop strategies for engaging parents experiencing disadvantage to participate in learning. The trial sites focused on three cohorts – Indigenous, vulnerable and newly arrived families. </w:t>
      </w:r>
    </w:p>
    <w:p w14:paraId="6B2E9508" w14:textId="7E55D83A" w:rsidR="00874980" w:rsidRPr="009C4BEE" w:rsidRDefault="005456C4" w:rsidP="00874980">
      <w:pPr>
        <w:spacing w:line="240" w:lineRule="auto"/>
        <w:jc w:val="both"/>
        <w:rPr>
          <w:rFonts w:ascii="Calibri" w:hAnsi="Calibri" w:cs="Arial"/>
        </w:rPr>
      </w:pPr>
      <w:r w:rsidRPr="00720C6D">
        <w:rPr>
          <w:rFonts w:ascii="Calibri" w:hAnsi="Calibri" w:cs="Arial"/>
        </w:rPr>
        <w:t xml:space="preserve">The </w:t>
      </w:r>
      <w:r w:rsidR="005A0369">
        <w:rPr>
          <w:rFonts w:ascii="Calibri" w:hAnsi="Calibri" w:cs="Arial"/>
        </w:rPr>
        <w:t>trial projects</w:t>
      </w:r>
      <w:r>
        <w:rPr>
          <w:rFonts w:ascii="Calibri" w:hAnsi="Calibri" w:cs="Arial"/>
        </w:rPr>
        <w:t xml:space="preserve"> offered by each site</w:t>
      </w:r>
      <w:r w:rsidRPr="00720C6D">
        <w:rPr>
          <w:rFonts w:ascii="Calibri" w:hAnsi="Calibri" w:cs="Arial"/>
        </w:rPr>
        <w:t xml:space="preserve"> were </w:t>
      </w:r>
      <w:r>
        <w:rPr>
          <w:rFonts w:ascii="Calibri" w:hAnsi="Calibri" w:cs="Arial"/>
        </w:rPr>
        <w:t xml:space="preserve">a </w:t>
      </w:r>
      <w:r w:rsidRPr="00720C6D">
        <w:rPr>
          <w:rFonts w:ascii="Calibri" w:hAnsi="Calibri" w:cs="Arial"/>
        </w:rPr>
        <w:t xml:space="preserve">mix </w:t>
      </w:r>
      <w:r>
        <w:rPr>
          <w:rFonts w:ascii="Calibri" w:hAnsi="Calibri" w:cs="Arial"/>
        </w:rPr>
        <w:t xml:space="preserve">of formal and informal </w:t>
      </w:r>
      <w:r w:rsidR="006605A5">
        <w:rPr>
          <w:rFonts w:ascii="Calibri" w:hAnsi="Calibri" w:cs="Arial"/>
        </w:rPr>
        <w:t>approaches, which</w:t>
      </w:r>
      <w:r w:rsidR="00E63444">
        <w:rPr>
          <w:rFonts w:ascii="Calibri" w:hAnsi="Calibri" w:cs="Arial"/>
        </w:rPr>
        <w:t xml:space="preserve"> typically ran for 8–</w:t>
      </w:r>
      <w:r w:rsidRPr="00720C6D">
        <w:rPr>
          <w:rFonts w:ascii="Calibri" w:hAnsi="Calibri" w:cs="Arial"/>
        </w:rPr>
        <w:t xml:space="preserve">12 weeks. The emphasis was on providing relevant and flexible activities suited to the </w:t>
      </w:r>
      <w:r>
        <w:rPr>
          <w:rFonts w:ascii="Calibri" w:hAnsi="Calibri" w:cs="Arial"/>
        </w:rPr>
        <w:t xml:space="preserve">interests and learning </w:t>
      </w:r>
      <w:r w:rsidRPr="00720C6D">
        <w:rPr>
          <w:rFonts w:ascii="Calibri" w:hAnsi="Calibri" w:cs="Arial"/>
        </w:rPr>
        <w:t>needs of participating parents</w:t>
      </w:r>
      <w:r>
        <w:rPr>
          <w:rFonts w:ascii="Calibri" w:hAnsi="Calibri" w:cs="Arial"/>
        </w:rPr>
        <w:t>,</w:t>
      </w:r>
      <w:r w:rsidRPr="00720C6D">
        <w:rPr>
          <w:rFonts w:ascii="Calibri" w:hAnsi="Calibri" w:cs="Arial"/>
        </w:rPr>
        <w:t xml:space="preserve"> delivered in a safe and supportive environment. The</w:t>
      </w:r>
      <w:r>
        <w:rPr>
          <w:rFonts w:ascii="Calibri" w:hAnsi="Calibri" w:cs="Arial"/>
        </w:rPr>
        <w:t xml:space="preserve"> topics covered health and well</w:t>
      </w:r>
      <w:r w:rsidRPr="00720C6D">
        <w:rPr>
          <w:rFonts w:ascii="Calibri" w:hAnsi="Calibri" w:cs="Arial"/>
        </w:rPr>
        <w:t>being issues, foundation and employability skills, motivation and perseverance and the participating parents’ engagement with society and their community.</w:t>
      </w:r>
      <w:r>
        <w:rPr>
          <w:rFonts w:ascii="Calibri" w:hAnsi="Calibri" w:cs="Arial"/>
        </w:rPr>
        <w:t xml:space="preserve"> Importantly, the sites drew on parents’ innate aspiration for their child</w:t>
      </w:r>
      <w:r w:rsidR="006605A5">
        <w:rPr>
          <w:rFonts w:ascii="Calibri" w:hAnsi="Calibri" w:cs="Arial"/>
        </w:rPr>
        <w:t>ren</w:t>
      </w:r>
      <w:r>
        <w:rPr>
          <w:rFonts w:ascii="Calibri" w:hAnsi="Calibri" w:cs="Arial"/>
        </w:rPr>
        <w:t xml:space="preserve"> as a motivator for involvement; some sites also used shared activities with their children to encourage and support a parent’s attendance.</w:t>
      </w:r>
    </w:p>
    <w:p w14:paraId="0E2ADF9A" w14:textId="77777777" w:rsidR="00874980" w:rsidRPr="006971FF" w:rsidRDefault="00874980" w:rsidP="00874980">
      <w:pPr>
        <w:pStyle w:val="new"/>
      </w:pPr>
      <w:r>
        <w:t>Context</w:t>
      </w:r>
    </w:p>
    <w:p w14:paraId="1DD0CC12" w14:textId="77777777" w:rsidR="00874980" w:rsidRPr="009945FC" w:rsidRDefault="00874980" w:rsidP="00874980">
      <w:pPr>
        <w:pStyle w:val="PGlist"/>
        <w:numPr>
          <w:ilvl w:val="0"/>
          <w:numId w:val="0"/>
        </w:numPr>
        <w:spacing w:after="200"/>
        <w:rPr>
          <w:rFonts w:cs="NewsGothicBT-Roman"/>
        </w:rPr>
      </w:pPr>
      <w:r>
        <w:t>Experience derived from previous trials and overseas studies shows that f</w:t>
      </w:r>
      <w:r w:rsidRPr="009700FD">
        <w:t xml:space="preserve">amily learning approaches are successful because they draw on </w:t>
      </w:r>
      <w:r>
        <w:t xml:space="preserve">parents’ </w:t>
      </w:r>
      <w:r w:rsidRPr="009700FD">
        <w:t xml:space="preserve">innate </w:t>
      </w:r>
      <w:r w:rsidRPr="009700FD">
        <w:rPr>
          <w:rFonts w:cs="NewsGothicBT-Roman"/>
        </w:rPr>
        <w:t>wish t</w:t>
      </w:r>
      <w:r>
        <w:rPr>
          <w:rFonts w:cs="NewsGothicBT-Roman"/>
        </w:rPr>
        <w:t xml:space="preserve">o </w:t>
      </w:r>
      <w:r w:rsidRPr="009700FD">
        <w:rPr>
          <w:rFonts w:cs="NewsGothicBT-Roman"/>
        </w:rPr>
        <w:t>support their children</w:t>
      </w:r>
      <w:r>
        <w:rPr>
          <w:rFonts w:cs="NewsGothicBT-Roman"/>
        </w:rPr>
        <w:t>.</w:t>
      </w:r>
      <w:r w:rsidRPr="009700FD">
        <w:rPr>
          <w:rFonts w:cs="NewsGothicBT-Roman"/>
        </w:rPr>
        <w:t xml:space="preserve"> </w:t>
      </w:r>
      <w:r>
        <w:rPr>
          <w:rFonts w:cs="NewsGothicBT-Roman"/>
        </w:rPr>
        <w:t>This can be a powerful motivator</w:t>
      </w:r>
      <w:r w:rsidRPr="009700FD">
        <w:rPr>
          <w:rFonts w:cs="NewsGothicBT-Roman"/>
        </w:rPr>
        <w:t xml:space="preserve"> in </w:t>
      </w:r>
      <w:r>
        <w:rPr>
          <w:rFonts w:cs="NewsGothicBT-Roman"/>
        </w:rPr>
        <w:t>helping to overcome</w:t>
      </w:r>
      <w:r w:rsidRPr="009700FD">
        <w:rPr>
          <w:rFonts w:cs="NewsGothicBT-Roman"/>
        </w:rPr>
        <w:t xml:space="preserve"> </w:t>
      </w:r>
      <w:r>
        <w:rPr>
          <w:rFonts w:cs="NewsGothicBT-Roman"/>
        </w:rPr>
        <w:t xml:space="preserve">significant </w:t>
      </w:r>
      <w:r w:rsidRPr="009700FD">
        <w:rPr>
          <w:rFonts w:cs="NewsGothicBT-Roman"/>
        </w:rPr>
        <w:t>barriers to learning.</w:t>
      </w:r>
    </w:p>
    <w:p w14:paraId="6E31A00F" w14:textId="77777777" w:rsidR="00874980" w:rsidRPr="0089359B" w:rsidRDefault="00874980" w:rsidP="00874980">
      <w:pPr>
        <w:pStyle w:val="PGlist"/>
        <w:numPr>
          <w:ilvl w:val="0"/>
          <w:numId w:val="0"/>
        </w:numPr>
        <w:spacing w:after="200"/>
      </w:pPr>
      <w:r w:rsidRPr="0089359B">
        <w:t xml:space="preserve">According to </w:t>
      </w:r>
      <w:r>
        <w:t xml:space="preserve">the </w:t>
      </w:r>
      <w:r w:rsidRPr="00B65B5D">
        <w:t>Committee for Economic Development of Australia</w:t>
      </w:r>
      <w:r w:rsidRPr="0089359B">
        <w:t xml:space="preserve">, four to six per cent of Australians experience entrenched </w:t>
      </w:r>
      <w:r>
        <w:t xml:space="preserve">intergenerational disadvantage. </w:t>
      </w:r>
      <w:r w:rsidRPr="0089359B">
        <w:t>Building familial aspirations by providing information, support and access to education as a pathway to employment</w:t>
      </w:r>
      <w:r w:rsidRPr="0089359B">
        <w:rPr>
          <w:color w:val="FF0000"/>
        </w:rPr>
        <w:t xml:space="preserve"> </w:t>
      </w:r>
      <w:r>
        <w:t>can</w:t>
      </w:r>
      <w:r w:rsidRPr="0089359B">
        <w:t xml:space="preserve"> break the cycle</w:t>
      </w:r>
      <w:r>
        <w:t xml:space="preserve"> of generational disadvantage within families.</w:t>
      </w:r>
    </w:p>
    <w:p w14:paraId="00D65145" w14:textId="675E6A23" w:rsidR="00874980" w:rsidRDefault="00874980" w:rsidP="00874980">
      <w:pPr>
        <w:pStyle w:val="PGlist"/>
        <w:numPr>
          <w:ilvl w:val="0"/>
          <w:numId w:val="0"/>
        </w:numPr>
        <w:spacing w:after="200"/>
      </w:pPr>
      <w:r w:rsidRPr="0089359B">
        <w:t xml:space="preserve">Research shows that </w:t>
      </w:r>
      <w:r w:rsidR="00FC4A5E" w:rsidRPr="0089359B">
        <w:t>parent</w:t>
      </w:r>
      <w:r w:rsidR="00FC4A5E">
        <w:t>’s</w:t>
      </w:r>
      <w:r w:rsidRPr="0089359B">
        <w:t xml:space="preserve"> education</w:t>
      </w:r>
      <w:r>
        <w:t>al attainment has an impact on</w:t>
      </w:r>
      <w:r w:rsidRPr="0089359B">
        <w:t xml:space="preserve"> families. Generally, adults who participate in education receive</w:t>
      </w:r>
      <w:r>
        <w:t xml:space="preserve"> numerous benefits, including </w:t>
      </w:r>
      <w:r w:rsidRPr="0089359B">
        <w:t xml:space="preserve">better personal development and wellbeing, employment outcomes and greater involvement in society. High parental engagement in education also produces positive outcomes for the </w:t>
      </w:r>
      <w:r w:rsidR="006605A5" w:rsidRPr="0089359B">
        <w:t>child</w:t>
      </w:r>
      <w:r w:rsidR="006605A5">
        <w:t>, which</w:t>
      </w:r>
      <w:r>
        <w:t xml:space="preserve"> is known as the </w:t>
      </w:r>
      <w:r w:rsidRPr="009B6898">
        <w:t>ripple effect.</w:t>
      </w:r>
      <w:r w:rsidRPr="0089359B">
        <w:t xml:space="preserve"> </w:t>
      </w:r>
    </w:p>
    <w:p w14:paraId="77A0EDF6" w14:textId="49A733C3" w:rsidR="00874980" w:rsidRDefault="00874980" w:rsidP="00874980">
      <w:pPr>
        <w:pStyle w:val="PGlist"/>
        <w:numPr>
          <w:ilvl w:val="0"/>
          <w:numId w:val="0"/>
        </w:numPr>
        <w:spacing w:after="200"/>
      </w:pPr>
      <w:r w:rsidRPr="006B225A">
        <w:t xml:space="preserve">The Learn Local sector is well placed to explore how to engage parents experiencing disadvantage in education and what is needed to support their transition to further training and employment. </w:t>
      </w:r>
      <w:r>
        <w:t xml:space="preserve">The </w:t>
      </w:r>
      <w:r w:rsidR="00651E15">
        <w:t xml:space="preserve">FLP Program </w:t>
      </w:r>
      <w:r>
        <w:t>has provided</w:t>
      </w:r>
      <w:r w:rsidRPr="006B225A">
        <w:t xml:space="preserve"> a valuable op</w:t>
      </w:r>
      <w:r>
        <w:t>portunity for participating LLOs</w:t>
      </w:r>
      <w:r w:rsidRPr="006B225A">
        <w:t xml:space="preserve"> to understand the needs of families</w:t>
      </w:r>
      <w:r>
        <w:t xml:space="preserve"> in their local community</w:t>
      </w:r>
      <w:r w:rsidRPr="006B225A">
        <w:t xml:space="preserve"> </w:t>
      </w:r>
      <w:r>
        <w:t xml:space="preserve">and </w:t>
      </w:r>
      <w:r w:rsidRPr="006B225A">
        <w:t xml:space="preserve">build </w:t>
      </w:r>
      <w:r>
        <w:t xml:space="preserve">new </w:t>
      </w:r>
      <w:r w:rsidRPr="006B225A">
        <w:t>partnerships</w:t>
      </w:r>
      <w:r>
        <w:t xml:space="preserve"> or grow existing partnerships with local community providers, schools and early childhood organisations. It is an opportunity to collaborate with other LLOs that are participating in the </w:t>
      </w:r>
      <w:r w:rsidR="00651E15">
        <w:t xml:space="preserve">FLP Program </w:t>
      </w:r>
      <w:r>
        <w:t xml:space="preserve">and to trial </w:t>
      </w:r>
      <w:r w:rsidRPr="006B225A">
        <w:t xml:space="preserve">engagement techniques for new and previously hard to reach cohorts. </w:t>
      </w:r>
    </w:p>
    <w:p w14:paraId="74E56A3D" w14:textId="64A3B699" w:rsidR="005456C4" w:rsidRDefault="005456C4" w:rsidP="00F50BD9">
      <w:pPr>
        <w:pStyle w:val="new"/>
        <w:spacing w:before="0"/>
      </w:pPr>
      <w:r>
        <w:lastRenderedPageBreak/>
        <w:t xml:space="preserve">Creating the </w:t>
      </w:r>
      <w:r w:rsidRPr="002D02F4">
        <w:t>Ripple</w:t>
      </w:r>
      <w:r>
        <w:t xml:space="preserve"> Effect</w:t>
      </w:r>
    </w:p>
    <w:p w14:paraId="750EBB80" w14:textId="6D3239E1" w:rsidR="005456C4" w:rsidRPr="00F50BD9" w:rsidRDefault="005456C4" w:rsidP="00F50BD9">
      <w:pPr>
        <w:spacing w:line="240" w:lineRule="auto"/>
        <w:jc w:val="both"/>
      </w:pPr>
      <w:r w:rsidRPr="00A23A24">
        <w:t xml:space="preserve">The </w:t>
      </w:r>
      <w:r>
        <w:t>traditional focus of family l</w:t>
      </w:r>
      <w:r w:rsidRPr="00A23A24">
        <w:t xml:space="preserve">earning </w:t>
      </w:r>
      <w:r w:rsidR="009C4BEE">
        <w:t>programs</w:t>
      </w:r>
      <w:r>
        <w:t xml:space="preserve"> is on the</w:t>
      </w:r>
      <w:r w:rsidRPr="00A23A24">
        <w:t xml:space="preserve"> learning outcomes for children and in some cases, t</w:t>
      </w:r>
      <w:r w:rsidRPr="0084734B">
        <w:t xml:space="preserve">he outcomes of both parent and child </w:t>
      </w:r>
      <w:r w:rsidR="006605A5">
        <w:t>through</w:t>
      </w:r>
      <w:r w:rsidRPr="0084734B">
        <w:t xml:space="preserve"> shared learning activities. </w:t>
      </w:r>
    </w:p>
    <w:p w14:paraId="0889085F" w14:textId="416E2D61" w:rsidR="005456C4" w:rsidRPr="0084734B" w:rsidRDefault="005456C4" w:rsidP="00F50BD9">
      <w:pPr>
        <w:spacing w:line="240" w:lineRule="auto"/>
        <w:jc w:val="both"/>
      </w:pPr>
      <w:r w:rsidRPr="0084734B">
        <w:t xml:space="preserve">The </w:t>
      </w:r>
      <w:r>
        <w:t xml:space="preserve">continuation of the </w:t>
      </w:r>
      <w:r w:rsidRPr="0084734B">
        <w:t xml:space="preserve">ACFE Board’s FLP </w:t>
      </w:r>
      <w:r w:rsidR="009C4BEE">
        <w:t>Program</w:t>
      </w:r>
      <w:r w:rsidRPr="0084734B">
        <w:t xml:space="preserve"> builds on these traditional models of family learning by focusing </w:t>
      </w:r>
      <w:r w:rsidR="009945FC">
        <w:t xml:space="preserve">particularly </w:t>
      </w:r>
      <w:r w:rsidRPr="0084734B">
        <w:t xml:space="preserve">on the learning outcomes of parents experiencing disadvantage whose educational attainment has the potential to benefit the wellbeing, educational outcomes and financial security of the whole family. </w:t>
      </w:r>
    </w:p>
    <w:p w14:paraId="491D4048" w14:textId="4FCA659A" w:rsidR="005456C4" w:rsidRPr="0084734B" w:rsidRDefault="005456C4" w:rsidP="00F50BD9">
      <w:pPr>
        <w:spacing w:line="240" w:lineRule="auto"/>
        <w:jc w:val="both"/>
      </w:pPr>
      <w:r w:rsidRPr="0084734B">
        <w:t xml:space="preserve">The </w:t>
      </w:r>
      <w:r w:rsidR="00651E15">
        <w:rPr>
          <w:rFonts w:ascii="Calibri" w:hAnsi="Calibri" w:cs="Helv"/>
          <w:color w:val="000000"/>
        </w:rPr>
        <w:t>FLP Program</w:t>
      </w:r>
      <w:r w:rsidR="00651E15" w:rsidRPr="0084734B">
        <w:t xml:space="preserve"> </w:t>
      </w:r>
      <w:r w:rsidRPr="0084734B">
        <w:t xml:space="preserve">aims to engage and support parents to participate in learning and to </w:t>
      </w:r>
      <w:r>
        <w:t>set them o</w:t>
      </w:r>
      <w:r w:rsidRPr="0084734B">
        <w:t>n a pathway towards further education and employment.</w:t>
      </w:r>
    </w:p>
    <w:p w14:paraId="0237E5B9" w14:textId="250C8A84" w:rsidR="005456C4" w:rsidRPr="00E63444" w:rsidRDefault="005456C4" w:rsidP="00762DA3">
      <w:pPr>
        <w:pStyle w:val="ListParagraph"/>
        <w:spacing w:after="80"/>
        <w:ind w:left="0"/>
        <w:contextualSpacing w:val="0"/>
        <w:jc w:val="both"/>
        <w:rPr>
          <w:rFonts w:ascii="Calibri" w:hAnsi="Calibri"/>
          <w:sz w:val="22"/>
          <w:szCs w:val="22"/>
        </w:rPr>
      </w:pPr>
      <w:r w:rsidRPr="00E63444">
        <w:rPr>
          <w:rFonts w:ascii="Calibri" w:hAnsi="Calibri"/>
          <w:sz w:val="22"/>
          <w:szCs w:val="22"/>
        </w:rPr>
        <w:t xml:space="preserve">To achieve this aim, the </w:t>
      </w:r>
      <w:r w:rsidR="00651E15" w:rsidRPr="00651E15">
        <w:rPr>
          <w:rFonts w:ascii="Calibri" w:hAnsi="Calibri"/>
          <w:sz w:val="22"/>
          <w:szCs w:val="22"/>
        </w:rPr>
        <w:t xml:space="preserve">FLP Program </w:t>
      </w:r>
      <w:r w:rsidRPr="00E63444">
        <w:rPr>
          <w:rFonts w:ascii="Calibri" w:hAnsi="Calibri"/>
          <w:sz w:val="22"/>
          <w:szCs w:val="22"/>
        </w:rPr>
        <w:t>will develop approaches for the following:</w:t>
      </w:r>
    </w:p>
    <w:p w14:paraId="35749C56" w14:textId="548CDFAA" w:rsidR="005456C4" w:rsidRPr="00F50BD9" w:rsidRDefault="005456C4" w:rsidP="00762DA3">
      <w:pPr>
        <w:pStyle w:val="PGlist"/>
      </w:pPr>
      <w:r w:rsidRPr="00F50BD9">
        <w:t xml:space="preserve">forming strong collaborative partnerships between </w:t>
      </w:r>
      <w:r w:rsidR="000B4EBB">
        <w:t>LLOs</w:t>
      </w:r>
      <w:r w:rsidRPr="00F50BD9">
        <w:t xml:space="preserve"> and other education or community based organisations</w:t>
      </w:r>
      <w:r w:rsidR="000B4EBB">
        <w:t xml:space="preserve"> ie. schools, community services, child care organisations etc.</w:t>
      </w:r>
    </w:p>
    <w:p w14:paraId="559E5693" w14:textId="77777777" w:rsidR="005456C4" w:rsidRPr="00F50BD9" w:rsidRDefault="005456C4" w:rsidP="00762DA3">
      <w:pPr>
        <w:pStyle w:val="PGlist"/>
      </w:pPr>
      <w:r w:rsidRPr="00F50BD9">
        <w:t>engaging and addressing barriers to learning for parents experiencing disadvantage</w:t>
      </w:r>
    </w:p>
    <w:p w14:paraId="539BA244" w14:textId="77777777" w:rsidR="00762DA3" w:rsidRPr="00F50BD9" w:rsidRDefault="005456C4" w:rsidP="00762DA3">
      <w:pPr>
        <w:pStyle w:val="PGlist"/>
        <w:spacing w:after="240"/>
      </w:pPr>
      <w:r w:rsidRPr="00F50BD9">
        <w:t>using formal and informal learning activities to start parents on a pathway to further education and employment.</w:t>
      </w:r>
    </w:p>
    <w:p w14:paraId="6C7C4B5C" w14:textId="7FCD3C18" w:rsidR="005456C4" w:rsidRPr="00E63444" w:rsidRDefault="009C4BEE" w:rsidP="00762DA3">
      <w:pPr>
        <w:spacing w:after="80" w:line="240" w:lineRule="auto"/>
        <w:rPr>
          <w:rFonts w:ascii="Calibri" w:hAnsi="Calibri"/>
        </w:rPr>
      </w:pPr>
      <w:r>
        <w:rPr>
          <w:rFonts w:ascii="Calibri" w:eastAsia="Times New Roman" w:hAnsi="Calibri" w:cs="Times New Roman"/>
          <w:lang w:eastAsia="en-AU"/>
        </w:rPr>
        <w:t>T</w:t>
      </w:r>
      <w:r w:rsidR="005456C4" w:rsidRPr="00E63444">
        <w:rPr>
          <w:rFonts w:ascii="Calibri" w:hAnsi="Calibri"/>
        </w:rPr>
        <w:t>he previous trial sites engaged parents in learning using a variety of methods, including:</w:t>
      </w:r>
    </w:p>
    <w:p w14:paraId="7763EDF2" w14:textId="77777777" w:rsidR="005456C4" w:rsidRPr="00F50BD9" w:rsidRDefault="005456C4" w:rsidP="00762DA3">
      <w:pPr>
        <w:pStyle w:val="PGlist"/>
      </w:pPr>
      <w:r w:rsidRPr="00F50BD9">
        <w:t>introductory social activities</w:t>
      </w:r>
    </w:p>
    <w:p w14:paraId="4FAC61E9" w14:textId="77777777" w:rsidR="005456C4" w:rsidRPr="00F50BD9" w:rsidRDefault="005456C4" w:rsidP="00762DA3">
      <w:pPr>
        <w:pStyle w:val="PGlist"/>
      </w:pPr>
      <w:r w:rsidRPr="00F50BD9">
        <w:t>informal learning</w:t>
      </w:r>
    </w:p>
    <w:p w14:paraId="2335115F" w14:textId="77777777" w:rsidR="005456C4" w:rsidRPr="00F50BD9" w:rsidRDefault="005456C4" w:rsidP="00762DA3">
      <w:pPr>
        <w:pStyle w:val="PGlist"/>
      </w:pPr>
      <w:r w:rsidRPr="00F50BD9">
        <w:t>intergenerational learning activities (parents and children together)</w:t>
      </w:r>
    </w:p>
    <w:p w14:paraId="7FF4FE9B" w14:textId="77777777" w:rsidR="00874980" w:rsidRPr="00762DA3" w:rsidRDefault="005456C4" w:rsidP="00762DA3">
      <w:pPr>
        <w:pStyle w:val="PGlist"/>
        <w:spacing w:after="240"/>
      </w:pPr>
      <w:r w:rsidRPr="00F50BD9">
        <w:t>enrolment in pre-accredited</w:t>
      </w:r>
      <w:r w:rsidRPr="00E63444">
        <w:t xml:space="preserve"> or accredited training.</w:t>
      </w:r>
    </w:p>
    <w:p w14:paraId="33C58E02" w14:textId="00EBB028" w:rsidR="005456C4" w:rsidRPr="00E63444" w:rsidRDefault="009C4BEE" w:rsidP="00762DA3">
      <w:pPr>
        <w:spacing w:after="80" w:line="240" w:lineRule="auto"/>
        <w:rPr>
          <w:rFonts w:ascii="Calibri" w:hAnsi="Calibri"/>
        </w:rPr>
      </w:pPr>
      <w:r>
        <w:rPr>
          <w:rFonts w:ascii="Calibri" w:hAnsi="Calibri"/>
        </w:rPr>
        <w:t xml:space="preserve">The Evaluation </w:t>
      </w:r>
      <w:r w:rsidR="005456C4" w:rsidRPr="00E63444">
        <w:rPr>
          <w:rFonts w:ascii="Calibri" w:hAnsi="Calibri"/>
        </w:rPr>
        <w:t>noted that some of the critical factors for successful FLPs are:</w:t>
      </w:r>
    </w:p>
    <w:p w14:paraId="3CE5C329" w14:textId="77777777" w:rsidR="005456C4" w:rsidRPr="00F50BD9" w:rsidRDefault="005456C4" w:rsidP="00762DA3">
      <w:pPr>
        <w:pStyle w:val="PGlist"/>
      </w:pPr>
      <w:r w:rsidRPr="00F50BD9">
        <w:t>taking the time to develop and build trusting partnerships which are supported and developed via resources and structures</w:t>
      </w:r>
    </w:p>
    <w:p w14:paraId="557CCCF7" w14:textId="77777777" w:rsidR="005456C4" w:rsidRPr="00F50BD9" w:rsidRDefault="005456C4" w:rsidP="00762DA3">
      <w:pPr>
        <w:pStyle w:val="PGlist"/>
      </w:pPr>
      <w:r w:rsidRPr="00F50BD9">
        <w:t>engaging parents in locations where they feel comfortable</w:t>
      </w:r>
    </w:p>
    <w:p w14:paraId="2FD00E1A" w14:textId="77777777" w:rsidR="005456C4" w:rsidRPr="00F50BD9" w:rsidRDefault="005456C4" w:rsidP="00762DA3">
      <w:pPr>
        <w:pStyle w:val="PGlist"/>
      </w:pPr>
      <w:r w:rsidRPr="00F50BD9">
        <w:t>demonstrating the relevance of learning to a parent’s life</w:t>
      </w:r>
    </w:p>
    <w:p w14:paraId="5BB9C446" w14:textId="77777777" w:rsidR="005456C4" w:rsidRPr="00F50BD9" w:rsidRDefault="005456C4" w:rsidP="00762DA3">
      <w:pPr>
        <w:pStyle w:val="PGlist"/>
      </w:pPr>
      <w:r w:rsidRPr="00F50BD9">
        <w:t>working with people who know the parents and their families</w:t>
      </w:r>
    </w:p>
    <w:p w14:paraId="00ABA08D" w14:textId="77777777" w:rsidR="005456C4" w:rsidRPr="00F50BD9" w:rsidRDefault="005456C4" w:rsidP="00762DA3">
      <w:pPr>
        <w:pStyle w:val="PGlist"/>
      </w:pPr>
      <w:r w:rsidRPr="00F50BD9">
        <w:t>developing specific strategies to address motivation and barriers to participation for parents</w:t>
      </w:r>
    </w:p>
    <w:p w14:paraId="533B0302" w14:textId="77777777" w:rsidR="005456C4" w:rsidRPr="00F50BD9" w:rsidRDefault="005456C4" w:rsidP="00762DA3">
      <w:pPr>
        <w:pStyle w:val="PGlist"/>
      </w:pPr>
      <w:r w:rsidRPr="00F50BD9">
        <w:t>building and maintaining connections to local support services to overcome barriers to a parent’s participation</w:t>
      </w:r>
    </w:p>
    <w:p w14:paraId="51F7D9F8" w14:textId="49D37C2E" w:rsidR="00874980" w:rsidRPr="00762DA3" w:rsidRDefault="005456C4" w:rsidP="00762DA3">
      <w:pPr>
        <w:pStyle w:val="PGlist"/>
        <w:spacing w:after="240"/>
      </w:pPr>
      <w:r w:rsidRPr="00F50BD9">
        <w:t>developing strategies to support parents’ progression towards further education and employment.</w:t>
      </w:r>
    </w:p>
    <w:p w14:paraId="0CDCE100" w14:textId="6DD01D57" w:rsidR="005456C4" w:rsidRPr="00E63444" w:rsidRDefault="005456C4" w:rsidP="00762DA3">
      <w:pPr>
        <w:spacing w:after="80" w:line="240" w:lineRule="auto"/>
        <w:jc w:val="both"/>
        <w:rPr>
          <w:rFonts w:ascii="Calibri" w:hAnsi="Calibri"/>
        </w:rPr>
      </w:pPr>
      <w:r w:rsidRPr="00E63444">
        <w:rPr>
          <w:rFonts w:ascii="Calibri" w:hAnsi="Calibri"/>
        </w:rPr>
        <w:t xml:space="preserve">Based on the experience of previous trials, the </w:t>
      </w:r>
      <w:r w:rsidR="007F3F8A" w:rsidRPr="007F3F8A">
        <w:rPr>
          <w:rFonts w:ascii="Calibri" w:hAnsi="Calibri"/>
        </w:rPr>
        <w:t xml:space="preserve">FLP Program </w:t>
      </w:r>
      <w:r w:rsidRPr="00E63444">
        <w:rPr>
          <w:rFonts w:ascii="Calibri" w:hAnsi="Calibri"/>
        </w:rPr>
        <w:t>aims to achieve the following learner benefits:</w:t>
      </w:r>
    </w:p>
    <w:p w14:paraId="10B07E0A" w14:textId="09BBB227" w:rsidR="005456C4" w:rsidRDefault="005456C4" w:rsidP="00575F8E">
      <w:pPr>
        <w:pStyle w:val="PGlist"/>
        <w:spacing w:after="60"/>
        <w:rPr>
          <w:szCs w:val="22"/>
        </w:rPr>
      </w:pPr>
      <w:r w:rsidRPr="00F50BD9">
        <w:rPr>
          <w:szCs w:val="22"/>
        </w:rPr>
        <w:t>increased confidence</w:t>
      </w:r>
    </w:p>
    <w:p w14:paraId="00AE3EA4" w14:textId="21FFD8CB" w:rsidR="006605A5" w:rsidRPr="00F50BD9" w:rsidRDefault="006605A5" w:rsidP="00575F8E">
      <w:pPr>
        <w:pStyle w:val="PGlist"/>
        <w:spacing w:after="60"/>
        <w:rPr>
          <w:szCs w:val="22"/>
        </w:rPr>
      </w:pPr>
      <w:r>
        <w:rPr>
          <w:szCs w:val="22"/>
        </w:rPr>
        <w:t xml:space="preserve">increased aspirations </w:t>
      </w:r>
    </w:p>
    <w:p w14:paraId="7835CCDF" w14:textId="77777777" w:rsidR="005456C4" w:rsidRPr="00F50BD9" w:rsidRDefault="005456C4" w:rsidP="00575F8E">
      <w:pPr>
        <w:pStyle w:val="PGlist"/>
        <w:spacing w:after="60"/>
        <w:rPr>
          <w:szCs w:val="22"/>
        </w:rPr>
      </w:pPr>
      <w:r w:rsidRPr="00F50BD9">
        <w:rPr>
          <w:szCs w:val="22"/>
        </w:rPr>
        <w:t>increased knowledge and awareness of learning options and pathways</w:t>
      </w:r>
    </w:p>
    <w:p w14:paraId="430172AF" w14:textId="77777777" w:rsidR="005456C4" w:rsidRPr="00F50BD9" w:rsidRDefault="005456C4" w:rsidP="00575F8E">
      <w:pPr>
        <w:pStyle w:val="PGlist"/>
        <w:spacing w:after="60"/>
        <w:rPr>
          <w:szCs w:val="22"/>
        </w:rPr>
      </w:pPr>
      <w:r w:rsidRPr="00F50BD9">
        <w:rPr>
          <w:szCs w:val="22"/>
        </w:rPr>
        <w:t>increased access to support services</w:t>
      </w:r>
    </w:p>
    <w:p w14:paraId="29997E2A" w14:textId="77777777" w:rsidR="005456C4" w:rsidRPr="00F50BD9" w:rsidRDefault="005456C4" w:rsidP="00575F8E">
      <w:pPr>
        <w:pStyle w:val="PGlist"/>
        <w:spacing w:after="60"/>
        <w:rPr>
          <w:szCs w:val="22"/>
        </w:rPr>
      </w:pPr>
      <w:r w:rsidRPr="00F50BD9">
        <w:rPr>
          <w:szCs w:val="22"/>
        </w:rPr>
        <w:t>increased participation in local community</w:t>
      </w:r>
    </w:p>
    <w:p w14:paraId="0089DBE4" w14:textId="77777777" w:rsidR="005456C4" w:rsidRPr="00F50BD9" w:rsidRDefault="005456C4" w:rsidP="00575F8E">
      <w:pPr>
        <w:pStyle w:val="PGlist"/>
        <w:spacing w:after="60"/>
        <w:rPr>
          <w:szCs w:val="22"/>
        </w:rPr>
      </w:pPr>
      <w:r w:rsidRPr="00F50BD9">
        <w:rPr>
          <w:szCs w:val="22"/>
        </w:rPr>
        <w:t>completion of informal and/or formal learning activities</w:t>
      </w:r>
    </w:p>
    <w:p w14:paraId="1907F7DE" w14:textId="268B7C8E" w:rsidR="006605A5" w:rsidRPr="006605A5" w:rsidRDefault="005456C4" w:rsidP="00575F8E">
      <w:pPr>
        <w:pStyle w:val="PGlist"/>
        <w:spacing w:after="60"/>
        <w:rPr>
          <w:szCs w:val="22"/>
        </w:rPr>
      </w:pPr>
      <w:r w:rsidRPr="00F50BD9">
        <w:rPr>
          <w:szCs w:val="22"/>
        </w:rPr>
        <w:t>potential for flow on benefits to children/family aspiration and learning outcomes.</w:t>
      </w:r>
    </w:p>
    <w:p w14:paraId="63C5DA50" w14:textId="3559BC79" w:rsidR="006605A5" w:rsidRPr="0067750A" w:rsidRDefault="006605A5" w:rsidP="006605A5">
      <w:pPr>
        <w:pStyle w:val="new"/>
        <w:spacing w:before="240"/>
      </w:pPr>
      <w:r>
        <w:lastRenderedPageBreak/>
        <w:t xml:space="preserve">Family Learning Partnerships </w:t>
      </w:r>
      <w:r w:rsidR="007F3F8A">
        <w:t>Program</w:t>
      </w:r>
      <w:r>
        <w:t xml:space="preserve"> Model</w:t>
      </w:r>
    </w:p>
    <w:p w14:paraId="5D45BD3C" w14:textId="18D78AEB" w:rsidR="00FC4A5E" w:rsidRDefault="00FC4A5E" w:rsidP="00FC4A5E">
      <w:pPr>
        <w:pStyle w:val="PGlist"/>
        <w:numPr>
          <w:ilvl w:val="0"/>
          <w:numId w:val="0"/>
        </w:numPr>
        <w:spacing w:after="240"/>
      </w:pPr>
      <w:r>
        <w:t xml:space="preserve">The </w:t>
      </w:r>
      <w:r w:rsidR="007F3F8A">
        <w:t xml:space="preserve">FLP Program </w:t>
      </w:r>
      <w:r>
        <w:t xml:space="preserve">is an opportunity for LLOs </w:t>
      </w:r>
      <w:r w:rsidRPr="006B225A">
        <w:t>to build capacity and understanding about how education, particularly pre-accredited training, contributes to life outcomes for parents experiencing disadvantage, which</w:t>
      </w:r>
      <w:r>
        <w:t xml:space="preserve"> will </w:t>
      </w:r>
      <w:r w:rsidRPr="006B225A">
        <w:t>have flow on benefits for the whole family.</w:t>
      </w:r>
    </w:p>
    <w:p w14:paraId="66785A6C" w14:textId="2108717C" w:rsidR="006605A5" w:rsidRDefault="00FC4A5E" w:rsidP="00FC4A5E">
      <w:pPr>
        <w:pStyle w:val="PGlist"/>
        <w:numPr>
          <w:ilvl w:val="0"/>
          <w:numId w:val="0"/>
        </w:numPr>
        <w:spacing w:after="240"/>
      </w:pPr>
      <w:r>
        <w:t xml:space="preserve"> </w:t>
      </w:r>
      <w:r w:rsidR="00874980">
        <w:t xml:space="preserve">The </w:t>
      </w:r>
      <w:r w:rsidR="007F3F8A">
        <w:t xml:space="preserve">FLP Program </w:t>
      </w:r>
      <w:r w:rsidR="00874980">
        <w:t>supports collaborative partnerships</w:t>
      </w:r>
      <w:r w:rsidR="00874980" w:rsidRPr="009700FD">
        <w:t xml:space="preserve"> </w:t>
      </w:r>
      <w:r w:rsidR="00874980">
        <w:t>between LLOs</w:t>
      </w:r>
      <w:r w:rsidR="00874980" w:rsidRPr="009700FD">
        <w:t xml:space="preserve"> and other educat</w:t>
      </w:r>
      <w:r w:rsidR="00874980">
        <w:t>ion and community organisations to respond to the learning needs of parents experiencing disadvantage.</w:t>
      </w:r>
      <w:r w:rsidR="006605A5">
        <w:t xml:space="preserve"> </w:t>
      </w:r>
      <w:r w:rsidR="00874980">
        <w:t>These</w:t>
      </w:r>
      <w:r w:rsidR="00874980" w:rsidRPr="009700FD">
        <w:t xml:space="preserve"> partnerships </w:t>
      </w:r>
      <w:r w:rsidR="00874980">
        <w:t>are responsible for identifying, understanding and responding to the needs of parents and the barriers preventing their participation in learning.</w:t>
      </w:r>
    </w:p>
    <w:p w14:paraId="02C38396" w14:textId="77777777" w:rsidR="00FC4A5E" w:rsidRDefault="00FC4A5E" w:rsidP="00FC4A5E">
      <w:pPr>
        <w:pStyle w:val="PGlist"/>
        <w:numPr>
          <w:ilvl w:val="0"/>
          <w:numId w:val="0"/>
        </w:numPr>
        <w:spacing w:after="240"/>
      </w:pPr>
      <w:r>
        <w:rPr>
          <w:rFonts w:cs="Arial"/>
        </w:rPr>
        <w:t xml:space="preserve">The </w:t>
      </w:r>
      <w:r w:rsidRPr="00D32734">
        <w:rPr>
          <w:rFonts w:cs="Arial"/>
        </w:rPr>
        <w:t>partners</w:t>
      </w:r>
      <w:r>
        <w:rPr>
          <w:rFonts w:cs="Arial"/>
        </w:rPr>
        <w:t>hips</w:t>
      </w:r>
      <w:r w:rsidRPr="00D32734">
        <w:rPr>
          <w:rFonts w:cs="Arial"/>
        </w:rPr>
        <w:t xml:space="preserve"> </w:t>
      </w:r>
      <w:r>
        <w:rPr>
          <w:rFonts w:cs="Arial"/>
        </w:rPr>
        <w:t>will support and assist LLOs</w:t>
      </w:r>
      <w:r w:rsidRPr="00D32734">
        <w:rPr>
          <w:rFonts w:cs="Arial"/>
        </w:rPr>
        <w:t xml:space="preserve"> </w:t>
      </w:r>
      <w:r>
        <w:rPr>
          <w:rFonts w:cs="Arial"/>
        </w:rPr>
        <w:t>with the</w:t>
      </w:r>
      <w:r w:rsidRPr="00D32734">
        <w:rPr>
          <w:rFonts w:cs="Arial"/>
        </w:rPr>
        <w:t xml:space="preserve"> program and service delivery, identification of participants, marketing and </w:t>
      </w:r>
      <w:r>
        <w:rPr>
          <w:rFonts w:cs="Arial"/>
        </w:rPr>
        <w:t xml:space="preserve">provision of </w:t>
      </w:r>
      <w:r w:rsidRPr="00D32734">
        <w:rPr>
          <w:rFonts w:cs="Arial"/>
        </w:rPr>
        <w:t>strategic support and advice.</w:t>
      </w:r>
      <w:r>
        <w:rPr>
          <w:rFonts w:cs="Arial"/>
        </w:rPr>
        <w:t xml:space="preserve"> </w:t>
      </w:r>
      <w:r w:rsidRPr="00C8011C">
        <w:t>As a result</w:t>
      </w:r>
      <w:r>
        <w:t>,</w:t>
      </w:r>
      <w:r w:rsidRPr="00C8011C">
        <w:t xml:space="preserve"> the partnerships draw on shared knowledge and networks to engage and connect parents to learning</w:t>
      </w:r>
      <w:r>
        <w:t>, and in turn, set</w:t>
      </w:r>
      <w:r w:rsidRPr="00C8011C">
        <w:t xml:space="preserve"> them on a pathway towards further education and employment.</w:t>
      </w:r>
    </w:p>
    <w:p w14:paraId="50C94A78" w14:textId="48509C83" w:rsidR="00FC4A5E" w:rsidRPr="00FC4A5E" w:rsidRDefault="00FC4A5E" w:rsidP="00FC4A5E">
      <w:pPr>
        <w:tabs>
          <w:tab w:val="left" w:pos="567"/>
        </w:tabs>
        <w:spacing w:line="240" w:lineRule="auto"/>
        <w:jc w:val="both"/>
        <w:rPr>
          <w:rFonts w:cs="NewsGothicBT-Roman"/>
        </w:rPr>
      </w:pPr>
      <w:r>
        <w:rPr>
          <w:rFonts w:cs="NewsGothicBT-Roman"/>
        </w:rPr>
        <w:t xml:space="preserve">An overview of the </w:t>
      </w:r>
      <w:r w:rsidR="007F3F8A">
        <w:rPr>
          <w:rFonts w:ascii="Calibri" w:hAnsi="Calibri" w:cs="Helv"/>
          <w:color w:val="000000"/>
        </w:rPr>
        <w:t>FLP Program</w:t>
      </w:r>
      <w:r w:rsidR="007F3F8A">
        <w:rPr>
          <w:rFonts w:cs="NewsGothicBT-Roman"/>
        </w:rPr>
        <w:t xml:space="preserve"> </w:t>
      </w:r>
      <w:r w:rsidR="009C4BEE">
        <w:rPr>
          <w:rFonts w:cs="NewsGothicBT-Roman"/>
        </w:rPr>
        <w:t xml:space="preserve">is </w:t>
      </w:r>
      <w:r>
        <w:rPr>
          <w:rFonts w:cs="NewsGothicBT-Roman"/>
        </w:rPr>
        <w:t xml:space="preserve">at </w:t>
      </w:r>
      <w:r>
        <w:rPr>
          <w:rFonts w:cs="NewsGothicBT-Roman"/>
          <w:b/>
        </w:rPr>
        <w:t>Appendix A</w:t>
      </w:r>
      <w:r w:rsidR="009C4BEE">
        <w:rPr>
          <w:rFonts w:cs="NewsGothicBT-Roman"/>
        </w:rPr>
        <w:t>.</w:t>
      </w:r>
    </w:p>
    <w:p w14:paraId="13307442" w14:textId="060182FB" w:rsidR="00A72373" w:rsidRDefault="000C63D1" w:rsidP="00874980">
      <w:pPr>
        <w:spacing w:line="240" w:lineRule="auto"/>
        <w:jc w:val="both"/>
        <w:outlineLvl w:val="0"/>
        <w:rPr>
          <w:rFonts w:cs="NewsGothicBT-Roman"/>
        </w:rPr>
      </w:pPr>
      <w:r w:rsidRPr="001701D5">
        <w:t xml:space="preserve">Baseline data </w:t>
      </w:r>
      <w:r>
        <w:t>will be collected at</w:t>
      </w:r>
      <w:r w:rsidRPr="001701D5">
        <w:t xml:space="preserve"> the start of the </w:t>
      </w:r>
      <w:r w:rsidR="00541615">
        <w:t>project</w:t>
      </w:r>
      <w:r w:rsidR="00FC4A5E">
        <w:t xml:space="preserve"> to track individual </w:t>
      </w:r>
      <w:r w:rsidR="005A0369">
        <w:t>projects</w:t>
      </w:r>
      <w:r w:rsidR="00874980">
        <w:t xml:space="preserve"> against the key outcomes </w:t>
      </w:r>
      <w:r w:rsidR="00FC4A5E">
        <w:t xml:space="preserve">listed </w:t>
      </w:r>
      <w:r w:rsidR="00874980">
        <w:t>below</w:t>
      </w:r>
      <w:r w:rsidR="00FC4A5E">
        <w:t>.</w:t>
      </w:r>
      <w:r w:rsidR="00874980">
        <w:t xml:space="preserve"> </w:t>
      </w:r>
      <w:r w:rsidR="00FC4A5E">
        <w:t>This</w:t>
      </w:r>
      <w:r w:rsidR="00527447">
        <w:t xml:space="preserve"> information will</w:t>
      </w:r>
      <w:r w:rsidR="00FC4A5E">
        <w:t xml:space="preserve"> </w:t>
      </w:r>
      <w:r w:rsidRPr="001701D5">
        <w:t xml:space="preserve">ensure that it is possible to assess participant engagement, retention and progress. </w:t>
      </w:r>
    </w:p>
    <w:p w14:paraId="65C5B97A" w14:textId="77777777" w:rsidR="00874980" w:rsidRDefault="00874980" w:rsidP="00874980">
      <w:pPr>
        <w:pStyle w:val="PGlist"/>
        <w:numPr>
          <w:ilvl w:val="0"/>
          <w:numId w:val="0"/>
        </w:numPr>
        <w:ind w:left="357"/>
      </w:pPr>
      <w:r>
        <w:t>1)</w:t>
      </w:r>
      <w:r>
        <w:tab/>
        <w:t xml:space="preserve">Engaging and addressing barriers to learning for parents experiencing disadvantage (social, </w:t>
      </w:r>
      <w:r>
        <w:tab/>
        <w:t xml:space="preserve">economic or educational disadvantage).  </w:t>
      </w:r>
    </w:p>
    <w:p w14:paraId="6D695968" w14:textId="77777777" w:rsidR="00874980" w:rsidRDefault="00874980" w:rsidP="00874980">
      <w:pPr>
        <w:pStyle w:val="PGlist"/>
        <w:numPr>
          <w:ilvl w:val="0"/>
          <w:numId w:val="0"/>
        </w:numPr>
        <w:ind w:left="357"/>
      </w:pPr>
      <w:r>
        <w:t>2)</w:t>
      </w:r>
      <w:r>
        <w:tab/>
        <w:t xml:space="preserve">Using formal and informal learning activities to help parents experiencing disadvantage to start a </w:t>
      </w:r>
      <w:r>
        <w:tab/>
        <w:t>pathway to further education and employment.</w:t>
      </w:r>
    </w:p>
    <w:p w14:paraId="7D97CDAF" w14:textId="77777777" w:rsidR="00874980" w:rsidRDefault="00874980" w:rsidP="00874980">
      <w:pPr>
        <w:pStyle w:val="PGlist"/>
        <w:numPr>
          <w:ilvl w:val="0"/>
          <w:numId w:val="0"/>
        </w:numPr>
        <w:ind w:left="357"/>
      </w:pPr>
      <w:r>
        <w:t>3)</w:t>
      </w:r>
      <w:r>
        <w:tab/>
        <w:t xml:space="preserve">Growing collaborative partnerships between participating LLOs, community based services and </w:t>
      </w:r>
      <w:r>
        <w:tab/>
        <w:t>other educational organisations.</w:t>
      </w:r>
    </w:p>
    <w:p w14:paraId="17193348" w14:textId="732BC0F2" w:rsidR="00874980" w:rsidRDefault="00874980" w:rsidP="00874980">
      <w:pPr>
        <w:pStyle w:val="PGlist"/>
        <w:numPr>
          <w:ilvl w:val="0"/>
          <w:numId w:val="0"/>
        </w:numPr>
        <w:spacing w:after="0"/>
        <w:ind w:left="357"/>
      </w:pPr>
      <w:r>
        <w:t>4)</w:t>
      </w:r>
      <w:r>
        <w:tab/>
        <w:t>Effective and sustainable plans.</w:t>
      </w:r>
    </w:p>
    <w:p w14:paraId="3776BD3A" w14:textId="779C9B8C" w:rsidR="005456C4" w:rsidRPr="00920B19" w:rsidRDefault="005456C4" w:rsidP="00095993">
      <w:pPr>
        <w:pStyle w:val="new"/>
      </w:pPr>
      <w:r>
        <w:t>Communities of Practice (CoP)</w:t>
      </w:r>
    </w:p>
    <w:p w14:paraId="4B1AF20C" w14:textId="0FDEACC0" w:rsidR="0033154D" w:rsidRDefault="00BE1E89" w:rsidP="0033154D">
      <w:pPr>
        <w:pStyle w:val="PGlist"/>
        <w:numPr>
          <w:ilvl w:val="0"/>
          <w:numId w:val="0"/>
        </w:numPr>
        <w:spacing w:after="200"/>
        <w:rPr>
          <w:rFonts w:eastAsiaTheme="minorHAnsi"/>
          <w:szCs w:val="22"/>
          <w:lang w:eastAsia="en-US"/>
        </w:rPr>
      </w:pPr>
      <w:r w:rsidRPr="00095993">
        <w:rPr>
          <w:rFonts w:eastAsiaTheme="minorHAnsi"/>
          <w:szCs w:val="22"/>
          <w:lang w:eastAsia="en-US"/>
        </w:rPr>
        <w:t>The Department will work with new FLP par</w:t>
      </w:r>
      <w:r w:rsidR="00C639C7">
        <w:rPr>
          <w:rFonts w:eastAsiaTheme="minorHAnsi"/>
          <w:szCs w:val="22"/>
          <w:lang w:eastAsia="en-US"/>
        </w:rPr>
        <w:t>ticipants and their partners to attend and contribute to</w:t>
      </w:r>
      <w:r w:rsidRPr="00095993">
        <w:rPr>
          <w:rFonts w:eastAsiaTheme="minorHAnsi"/>
          <w:szCs w:val="22"/>
          <w:lang w:eastAsia="en-US"/>
        </w:rPr>
        <w:t xml:space="preserve"> existing </w:t>
      </w:r>
      <w:r w:rsidR="00C639C7">
        <w:rPr>
          <w:rFonts w:eastAsiaTheme="minorHAnsi"/>
          <w:szCs w:val="22"/>
          <w:lang w:eastAsia="en-US"/>
        </w:rPr>
        <w:t xml:space="preserve">place-based CoPs. </w:t>
      </w:r>
      <w:r w:rsidR="00C639C7" w:rsidRPr="00C639C7">
        <w:rPr>
          <w:rFonts w:eastAsiaTheme="minorHAnsi"/>
          <w:szCs w:val="22"/>
          <w:lang w:eastAsia="en-US"/>
        </w:rPr>
        <w:t>The aim of the CoP</w:t>
      </w:r>
      <w:r w:rsidR="00FD580E">
        <w:rPr>
          <w:rFonts w:eastAsiaTheme="minorHAnsi"/>
          <w:szCs w:val="22"/>
          <w:lang w:eastAsia="en-US"/>
        </w:rPr>
        <w:t>s</w:t>
      </w:r>
      <w:r w:rsidR="00C639C7" w:rsidRPr="00C639C7">
        <w:rPr>
          <w:rFonts w:eastAsiaTheme="minorHAnsi"/>
          <w:szCs w:val="22"/>
          <w:lang w:eastAsia="en-US"/>
        </w:rPr>
        <w:t xml:space="preserve"> is that members become active participants who share knowledge, skills and experience through effective communication and shared resources. Participants may also identify as valuable subject matter experts who can provide leadership and advice to other organisations and groups. </w:t>
      </w:r>
      <w:r w:rsidRPr="00095993">
        <w:rPr>
          <w:rFonts w:eastAsiaTheme="minorHAnsi"/>
          <w:szCs w:val="22"/>
          <w:lang w:eastAsia="en-US"/>
        </w:rPr>
        <w:t xml:space="preserve">CoPs help build linkages between members and allow for greater knowledge sharing and insight into each other’s work. </w:t>
      </w:r>
    </w:p>
    <w:p w14:paraId="565DC587" w14:textId="526F9046" w:rsidR="00C639C7" w:rsidRPr="0033154D" w:rsidRDefault="0033154D" w:rsidP="0033154D">
      <w:r>
        <w:t>CoPs are scheduled to meet on a quarterly basis in</w:t>
      </w:r>
      <w:r w:rsidRPr="00095993">
        <w:t xml:space="preserve"> each region. Attendees will be representatives from </w:t>
      </w:r>
      <w:r>
        <w:t>LLOs</w:t>
      </w:r>
      <w:r w:rsidRPr="00095993">
        <w:t xml:space="preserve"> </w:t>
      </w:r>
      <w:r>
        <w:t>and</w:t>
      </w:r>
      <w:r w:rsidRPr="00095993">
        <w:t xml:space="preserve"> </w:t>
      </w:r>
      <w:r w:rsidR="00B7351E">
        <w:t xml:space="preserve">when available, </w:t>
      </w:r>
      <w:r w:rsidRPr="00095993">
        <w:t>their partnering organisations</w:t>
      </w:r>
      <w:r>
        <w:t>.</w:t>
      </w:r>
      <w:r w:rsidRPr="00095993">
        <w:t xml:space="preserve"> </w:t>
      </w:r>
      <w:r>
        <w:t xml:space="preserve">A DET representative </w:t>
      </w:r>
      <w:r w:rsidRPr="00095993">
        <w:t>will</w:t>
      </w:r>
      <w:r>
        <w:t xml:space="preserve"> also attend meetings to</w:t>
      </w:r>
      <w:r w:rsidRPr="00095993">
        <w:t xml:space="preserve"> assist </w:t>
      </w:r>
      <w:r>
        <w:t>with facilitation and to capture information.</w:t>
      </w:r>
      <w:r w:rsidRPr="0033154D">
        <w:t xml:space="preserve"> Participating LLOs may also wish </w:t>
      </w:r>
      <w:r>
        <w:t xml:space="preserve">to communicate </w:t>
      </w:r>
      <w:r w:rsidR="009C4BEE">
        <w:t>with</w:t>
      </w:r>
      <w:r>
        <w:t xml:space="preserve"> each other</w:t>
      </w:r>
      <w:r w:rsidRPr="0033154D">
        <w:t xml:space="preserve"> outside of the </w:t>
      </w:r>
      <w:r>
        <w:t xml:space="preserve">formal </w:t>
      </w:r>
      <w:r w:rsidRPr="0033154D">
        <w:t>meeting structure to develop engageme</w:t>
      </w:r>
      <w:r>
        <w:t>nt and participation strategies or seek advice.</w:t>
      </w:r>
    </w:p>
    <w:p w14:paraId="319309F2" w14:textId="77777777" w:rsidR="00BE1E89" w:rsidRPr="00095993" w:rsidRDefault="00BE1E89" w:rsidP="00BE1E89">
      <w:pPr>
        <w:pStyle w:val="PGsubhead"/>
        <w:spacing w:before="60" w:after="60"/>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lastRenderedPageBreak/>
        <w:t>The CoP model aims to:</w:t>
      </w:r>
    </w:p>
    <w:p w14:paraId="70F15364" w14:textId="77777777" w:rsidR="00BE1E89" w:rsidRPr="00095993" w:rsidRDefault="00BE1E89" w:rsidP="00BE1E89">
      <w:pPr>
        <w:pStyle w:val="PGsubhead"/>
        <w:spacing w:before="60" w:after="60"/>
        <w:ind w:left="709" w:hanging="425"/>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t>•</w:t>
      </w:r>
      <w:r w:rsidRPr="00095993">
        <w:rPr>
          <w:rFonts w:ascii="Calibri" w:eastAsiaTheme="minorHAnsi" w:hAnsi="Calibri" w:cs="Helv"/>
          <w:b w:val="0"/>
          <w:bCs w:val="0"/>
          <w:color w:val="000000"/>
          <w:sz w:val="22"/>
          <w:szCs w:val="22"/>
          <w:lang w:eastAsia="en-US"/>
        </w:rPr>
        <w:tab/>
        <w:t>build strong foundations for the FLP</w:t>
      </w:r>
    </w:p>
    <w:p w14:paraId="7519124B" w14:textId="77777777" w:rsidR="00BE1E89" w:rsidRPr="00095993" w:rsidRDefault="00BE1E89" w:rsidP="00BE1E89">
      <w:pPr>
        <w:pStyle w:val="PGsubhead"/>
        <w:spacing w:before="60" w:after="60"/>
        <w:ind w:left="709" w:hanging="425"/>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t>•</w:t>
      </w:r>
      <w:r w:rsidRPr="00095993">
        <w:rPr>
          <w:rFonts w:ascii="Calibri" w:eastAsiaTheme="minorHAnsi" w:hAnsi="Calibri" w:cs="Helv"/>
          <w:b w:val="0"/>
          <w:bCs w:val="0"/>
          <w:color w:val="000000"/>
          <w:sz w:val="22"/>
          <w:szCs w:val="22"/>
          <w:lang w:eastAsia="en-US"/>
        </w:rPr>
        <w:tab/>
        <w:t xml:space="preserve">build effective management and collaborative leadership </w:t>
      </w:r>
    </w:p>
    <w:p w14:paraId="5DDFC7E5" w14:textId="55C50EAB" w:rsidR="00BE1E89" w:rsidRPr="00095993" w:rsidRDefault="0033154D" w:rsidP="00BE1E89">
      <w:pPr>
        <w:pStyle w:val="PGsubhead"/>
        <w:spacing w:before="60" w:after="60"/>
        <w:ind w:left="709" w:hanging="425"/>
        <w:jc w:val="both"/>
        <w:rPr>
          <w:rFonts w:ascii="Calibri" w:eastAsiaTheme="minorHAnsi" w:hAnsi="Calibri" w:cs="Helv"/>
          <w:b w:val="0"/>
          <w:bCs w:val="0"/>
          <w:color w:val="000000"/>
          <w:sz w:val="22"/>
          <w:szCs w:val="22"/>
          <w:lang w:eastAsia="en-US"/>
        </w:rPr>
      </w:pPr>
      <w:r>
        <w:rPr>
          <w:rFonts w:ascii="Calibri" w:eastAsiaTheme="minorHAnsi" w:hAnsi="Calibri" w:cs="Helv"/>
          <w:b w:val="0"/>
          <w:bCs w:val="0"/>
          <w:color w:val="000000"/>
          <w:sz w:val="22"/>
          <w:szCs w:val="22"/>
          <w:lang w:eastAsia="en-US"/>
        </w:rPr>
        <w:t>•</w:t>
      </w:r>
      <w:r>
        <w:rPr>
          <w:rFonts w:ascii="Calibri" w:eastAsiaTheme="minorHAnsi" w:hAnsi="Calibri" w:cs="Helv"/>
          <w:b w:val="0"/>
          <w:bCs w:val="0"/>
          <w:color w:val="000000"/>
          <w:sz w:val="22"/>
          <w:szCs w:val="22"/>
          <w:lang w:eastAsia="en-US"/>
        </w:rPr>
        <w:tab/>
        <w:t>encourage best</w:t>
      </w:r>
      <w:r w:rsidR="00BE1E89" w:rsidRPr="00095993">
        <w:rPr>
          <w:rFonts w:ascii="Calibri" w:eastAsiaTheme="minorHAnsi" w:hAnsi="Calibri" w:cs="Helv"/>
          <w:b w:val="0"/>
          <w:bCs w:val="0"/>
          <w:color w:val="000000"/>
          <w:sz w:val="22"/>
          <w:szCs w:val="22"/>
          <w:lang w:eastAsia="en-US"/>
        </w:rPr>
        <w:t xml:space="preserve"> practice</w:t>
      </w:r>
    </w:p>
    <w:p w14:paraId="6D0497BF" w14:textId="21C113B1" w:rsidR="00BE1E89" w:rsidRPr="00095993" w:rsidRDefault="00BE1E89" w:rsidP="00BE1E89">
      <w:pPr>
        <w:pStyle w:val="PGsubhead"/>
        <w:spacing w:before="60" w:after="60"/>
        <w:ind w:left="709" w:hanging="425"/>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t>•</w:t>
      </w:r>
      <w:r w:rsidRPr="00095993">
        <w:rPr>
          <w:rFonts w:ascii="Calibri" w:eastAsiaTheme="minorHAnsi" w:hAnsi="Calibri" w:cs="Helv"/>
          <w:b w:val="0"/>
          <w:bCs w:val="0"/>
          <w:color w:val="000000"/>
          <w:sz w:val="22"/>
          <w:szCs w:val="22"/>
          <w:lang w:eastAsia="en-US"/>
        </w:rPr>
        <w:tab/>
        <w:t>build trust across Learn Local Organisation networks</w:t>
      </w:r>
    </w:p>
    <w:p w14:paraId="172B69EF" w14:textId="4D2133D4" w:rsidR="00BE1E89" w:rsidRPr="00BE1E89" w:rsidRDefault="00BE1E89" w:rsidP="00575F8E">
      <w:pPr>
        <w:pStyle w:val="PGsubhead"/>
        <w:spacing w:before="60" w:after="60"/>
        <w:ind w:left="709" w:hanging="425"/>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t>•</w:t>
      </w:r>
      <w:r w:rsidRPr="00095993">
        <w:rPr>
          <w:rFonts w:ascii="Calibri" w:eastAsiaTheme="minorHAnsi" w:hAnsi="Calibri" w:cs="Helv"/>
          <w:b w:val="0"/>
          <w:bCs w:val="0"/>
          <w:color w:val="000000"/>
          <w:sz w:val="22"/>
          <w:szCs w:val="22"/>
          <w:lang w:eastAsia="en-US"/>
        </w:rPr>
        <w:tab/>
        <w:t xml:space="preserve">maintain motivation to actively participate in the FLP </w:t>
      </w:r>
    </w:p>
    <w:p w14:paraId="680DE029" w14:textId="77777777" w:rsidR="00B7351E" w:rsidRDefault="00095993" w:rsidP="00095993">
      <w:pPr>
        <w:pStyle w:val="PGsubhead"/>
        <w:jc w:val="both"/>
        <w:rPr>
          <w:rFonts w:ascii="Calibri" w:eastAsiaTheme="minorHAnsi" w:hAnsi="Calibri" w:cs="Helv"/>
          <w:b w:val="0"/>
          <w:bCs w:val="0"/>
          <w:color w:val="000000"/>
          <w:sz w:val="22"/>
          <w:szCs w:val="22"/>
          <w:lang w:eastAsia="en-US"/>
        </w:rPr>
      </w:pPr>
      <w:r w:rsidRPr="00095993">
        <w:rPr>
          <w:rFonts w:ascii="Calibri" w:eastAsiaTheme="minorHAnsi" w:hAnsi="Calibri" w:cs="Helv"/>
          <w:b w:val="0"/>
          <w:bCs w:val="0"/>
          <w:color w:val="000000"/>
          <w:sz w:val="22"/>
          <w:szCs w:val="22"/>
          <w:lang w:eastAsia="en-US"/>
        </w:rPr>
        <w:t xml:space="preserve">Every six months, all FLP participants across Victoria will be invited to join a state-wide shared learning workshop, providing an opportunity to share learnings more broadly with all FLP participants. </w:t>
      </w:r>
    </w:p>
    <w:p w14:paraId="0ACD6E09" w14:textId="0A024D80" w:rsidR="00095993" w:rsidRDefault="00B7351E" w:rsidP="00095993">
      <w:pPr>
        <w:pStyle w:val="PGsubhead"/>
        <w:jc w:val="both"/>
        <w:rPr>
          <w:rFonts w:ascii="Calibri" w:eastAsiaTheme="minorHAnsi" w:hAnsi="Calibri" w:cs="Helv"/>
          <w:b w:val="0"/>
          <w:bCs w:val="0"/>
          <w:color w:val="000000"/>
          <w:sz w:val="22"/>
          <w:szCs w:val="22"/>
          <w:lang w:eastAsia="en-US"/>
        </w:rPr>
      </w:pPr>
      <w:r>
        <w:rPr>
          <w:rFonts w:ascii="Calibri" w:eastAsiaTheme="minorHAnsi" w:hAnsi="Calibri" w:cs="Helv"/>
          <w:b w:val="0"/>
          <w:bCs w:val="0"/>
          <w:color w:val="000000"/>
          <w:sz w:val="22"/>
          <w:szCs w:val="22"/>
          <w:lang w:eastAsia="en-US"/>
        </w:rPr>
        <w:t>The need to engage s</w:t>
      </w:r>
      <w:r w:rsidR="00095993" w:rsidRPr="00095993">
        <w:rPr>
          <w:rFonts w:ascii="Calibri" w:eastAsiaTheme="minorHAnsi" w:hAnsi="Calibri" w:cs="Helv"/>
          <w:b w:val="0"/>
          <w:bCs w:val="0"/>
          <w:color w:val="000000"/>
          <w:sz w:val="22"/>
          <w:szCs w:val="22"/>
          <w:lang w:eastAsia="en-US"/>
        </w:rPr>
        <w:t xml:space="preserve">pecialists or experts in particular areas </w:t>
      </w:r>
      <w:r>
        <w:rPr>
          <w:rFonts w:ascii="Calibri" w:eastAsiaTheme="minorHAnsi" w:hAnsi="Calibri" w:cs="Helv"/>
          <w:b w:val="0"/>
          <w:bCs w:val="0"/>
          <w:color w:val="000000"/>
          <w:sz w:val="22"/>
          <w:szCs w:val="22"/>
          <w:lang w:eastAsia="en-US"/>
        </w:rPr>
        <w:t xml:space="preserve">of need will be identified during CoP meetings and will be engaged to attend the shared learning workshops </w:t>
      </w:r>
      <w:r w:rsidR="00095993" w:rsidRPr="00095993">
        <w:rPr>
          <w:rFonts w:ascii="Calibri" w:eastAsiaTheme="minorHAnsi" w:hAnsi="Calibri" w:cs="Helv"/>
          <w:b w:val="0"/>
          <w:bCs w:val="0"/>
          <w:color w:val="000000"/>
          <w:sz w:val="22"/>
          <w:szCs w:val="22"/>
          <w:lang w:eastAsia="en-US"/>
        </w:rPr>
        <w:t xml:space="preserve">to provide professional development for </w:t>
      </w:r>
      <w:r>
        <w:rPr>
          <w:rFonts w:ascii="Calibri" w:eastAsiaTheme="minorHAnsi" w:hAnsi="Calibri" w:cs="Helv"/>
          <w:b w:val="0"/>
          <w:bCs w:val="0"/>
          <w:color w:val="000000"/>
          <w:sz w:val="22"/>
          <w:szCs w:val="22"/>
          <w:lang w:eastAsia="en-US"/>
        </w:rPr>
        <w:t xml:space="preserve">all </w:t>
      </w:r>
      <w:r w:rsidR="00095993" w:rsidRPr="00095993">
        <w:rPr>
          <w:rFonts w:ascii="Calibri" w:eastAsiaTheme="minorHAnsi" w:hAnsi="Calibri" w:cs="Helv"/>
          <w:b w:val="0"/>
          <w:bCs w:val="0"/>
          <w:color w:val="000000"/>
          <w:sz w:val="22"/>
          <w:szCs w:val="22"/>
          <w:lang w:eastAsia="en-US"/>
        </w:rPr>
        <w:t xml:space="preserve">participating LLO members. </w:t>
      </w:r>
    </w:p>
    <w:p w14:paraId="4EC61075" w14:textId="7B86DF91" w:rsidR="00BE1E89" w:rsidRPr="00E63444" w:rsidRDefault="00B7351E" w:rsidP="00BE1E89">
      <w:pPr>
        <w:spacing w:after="80" w:line="240" w:lineRule="auto"/>
        <w:jc w:val="both"/>
        <w:rPr>
          <w:rFonts w:ascii="Calibri" w:hAnsi="Calibri" w:cs="Helv"/>
          <w:color w:val="000000"/>
        </w:rPr>
      </w:pPr>
      <w:r>
        <w:rPr>
          <w:rFonts w:ascii="Calibri" w:hAnsi="Calibri" w:cs="Helv"/>
          <w:color w:val="000000"/>
        </w:rPr>
        <w:t>S</w:t>
      </w:r>
      <w:r w:rsidR="00BE1E89">
        <w:rPr>
          <w:rFonts w:ascii="Calibri" w:hAnsi="Calibri" w:cs="Helv"/>
          <w:color w:val="000000"/>
        </w:rPr>
        <w:t xml:space="preserve">ubject </w:t>
      </w:r>
      <w:r w:rsidR="00BE1E89" w:rsidRPr="00E63444">
        <w:rPr>
          <w:rFonts w:ascii="Calibri" w:hAnsi="Calibri" w:cs="Helv"/>
          <w:color w:val="000000"/>
        </w:rPr>
        <w:t xml:space="preserve">matter experts </w:t>
      </w:r>
      <w:r>
        <w:rPr>
          <w:rFonts w:ascii="Calibri" w:hAnsi="Calibri" w:cs="Helv"/>
          <w:color w:val="000000"/>
        </w:rPr>
        <w:t xml:space="preserve">can provide information and advice on </w:t>
      </w:r>
      <w:r w:rsidR="00BE1E89">
        <w:rPr>
          <w:rFonts w:ascii="Calibri" w:hAnsi="Calibri" w:cs="Helv"/>
          <w:color w:val="000000"/>
        </w:rPr>
        <w:t>building skills related to:</w:t>
      </w:r>
    </w:p>
    <w:p w14:paraId="1F72266F" w14:textId="77777777" w:rsidR="00BE1E89" w:rsidRPr="00E63444" w:rsidRDefault="00BE1E89" w:rsidP="00BE1E89">
      <w:pPr>
        <w:pStyle w:val="PGlist"/>
      </w:pPr>
      <w:r w:rsidRPr="00E63444">
        <w:t xml:space="preserve">family violence </w:t>
      </w:r>
      <w:r>
        <w:t>and trauma</w:t>
      </w:r>
    </w:p>
    <w:p w14:paraId="79392033" w14:textId="77777777" w:rsidR="00BE1E89" w:rsidRPr="00E63444" w:rsidRDefault="00BE1E89" w:rsidP="00BE1E89">
      <w:pPr>
        <w:pStyle w:val="PGlist"/>
      </w:pPr>
      <w:r w:rsidRPr="00E63444">
        <w:t>drug, alcohol and addiction</w:t>
      </w:r>
    </w:p>
    <w:p w14:paraId="31157524" w14:textId="77777777" w:rsidR="00B7351E" w:rsidRDefault="00BE1E89" w:rsidP="00B7351E">
      <w:pPr>
        <w:pStyle w:val="PGlist"/>
      </w:pPr>
      <w:r w:rsidRPr="00E63444">
        <w:t>language or cultural barriers</w:t>
      </w:r>
    </w:p>
    <w:p w14:paraId="71919346" w14:textId="010828E4" w:rsidR="00BE1E89" w:rsidRPr="00B7351E" w:rsidRDefault="00BE1E89" w:rsidP="00B7351E">
      <w:pPr>
        <w:pStyle w:val="PGlist"/>
      </w:pPr>
      <w:r>
        <w:t xml:space="preserve">engagement and adult learning principles. </w:t>
      </w:r>
    </w:p>
    <w:p w14:paraId="2C5F048B" w14:textId="77777777" w:rsidR="005456C4" w:rsidRDefault="005456C4" w:rsidP="00FC4A5E">
      <w:pPr>
        <w:pStyle w:val="new"/>
        <w:spacing w:before="240" w:after="240"/>
      </w:pPr>
      <w:r w:rsidRPr="00895215">
        <w:t>Support and Assistance</w:t>
      </w:r>
    </w:p>
    <w:p w14:paraId="6F2549FF" w14:textId="084A40A5" w:rsidR="005456C4" w:rsidRDefault="00E33DB2" w:rsidP="00F50BD9">
      <w:pPr>
        <w:spacing w:line="240" w:lineRule="auto"/>
        <w:jc w:val="both"/>
        <w:rPr>
          <w:rFonts w:cs="NewsGothicBT-Roman"/>
        </w:rPr>
      </w:pPr>
      <w:r>
        <w:rPr>
          <w:rFonts w:cs="NewsGothicBT-Roman"/>
        </w:rPr>
        <w:t>The day-to-</w:t>
      </w:r>
      <w:r w:rsidR="005456C4">
        <w:rPr>
          <w:rFonts w:cs="NewsGothicBT-Roman"/>
        </w:rPr>
        <w:t xml:space="preserve">day management </w:t>
      </w:r>
      <w:r>
        <w:rPr>
          <w:rFonts w:cs="NewsGothicBT-Roman"/>
        </w:rPr>
        <w:t xml:space="preserve">and delivery </w:t>
      </w:r>
      <w:r w:rsidR="005456C4">
        <w:rPr>
          <w:rFonts w:cs="NewsGothicBT-Roman"/>
        </w:rPr>
        <w:t xml:space="preserve">of </w:t>
      </w:r>
      <w:r>
        <w:rPr>
          <w:rFonts w:cs="NewsGothicBT-Roman"/>
        </w:rPr>
        <w:t xml:space="preserve">each </w:t>
      </w:r>
      <w:r w:rsidR="005A0369">
        <w:rPr>
          <w:rFonts w:cs="NewsGothicBT-Roman"/>
        </w:rPr>
        <w:t>project</w:t>
      </w:r>
      <w:r w:rsidR="005456C4">
        <w:rPr>
          <w:rFonts w:cs="NewsGothicBT-Roman"/>
        </w:rPr>
        <w:t xml:space="preserve"> is the responsibility of the </w:t>
      </w:r>
      <w:r>
        <w:rPr>
          <w:rFonts w:cs="NewsGothicBT-Roman"/>
        </w:rPr>
        <w:t>participating LLO</w:t>
      </w:r>
      <w:r w:rsidR="005456C4">
        <w:rPr>
          <w:rFonts w:cs="NewsGothicBT-Roman"/>
        </w:rPr>
        <w:t xml:space="preserve"> and their partner organisations. Any problems, issues or risks can be discussed with the DET Project Manager as required. </w:t>
      </w:r>
    </w:p>
    <w:p w14:paraId="6A44C374" w14:textId="65299303" w:rsidR="00FC4A5E" w:rsidRDefault="005456C4" w:rsidP="00F50BD9">
      <w:pPr>
        <w:spacing w:line="240" w:lineRule="auto"/>
        <w:jc w:val="both"/>
        <w:rPr>
          <w:rFonts w:cs="NewsGothicBT-Roman"/>
        </w:rPr>
      </w:pPr>
      <w:r>
        <w:rPr>
          <w:rFonts w:cs="NewsGothicBT-Roman"/>
        </w:rPr>
        <w:t xml:space="preserve">It is important for each trial site to ensure that </w:t>
      </w:r>
      <w:r w:rsidR="00E33DB2">
        <w:rPr>
          <w:rFonts w:cs="NewsGothicBT-Roman"/>
        </w:rPr>
        <w:t xml:space="preserve">their </w:t>
      </w:r>
      <w:r>
        <w:rPr>
          <w:rFonts w:cs="NewsGothicBT-Roman"/>
        </w:rPr>
        <w:t xml:space="preserve">staff are adequately supported. This means providing opportunities for them to de-brief and talk about the impact of their work on them both professionally and personally. </w:t>
      </w:r>
    </w:p>
    <w:p w14:paraId="6881C8CD" w14:textId="66D23BCE" w:rsidR="005456C4" w:rsidRDefault="005456C4" w:rsidP="00F50BD9">
      <w:pPr>
        <w:spacing w:line="240" w:lineRule="auto"/>
        <w:jc w:val="both"/>
        <w:rPr>
          <w:rFonts w:cs="NewsGothicBT-Roman"/>
        </w:rPr>
      </w:pPr>
      <w:r>
        <w:rPr>
          <w:rFonts w:cs="NewsGothicBT-Roman"/>
        </w:rPr>
        <w:t xml:space="preserve">Any concerns </w:t>
      </w:r>
      <w:r w:rsidR="00F50BD9">
        <w:rPr>
          <w:rFonts w:cs="NewsGothicBT-Roman"/>
        </w:rPr>
        <w:t>should be rais</w:t>
      </w:r>
      <w:r w:rsidR="00FC4A5E">
        <w:rPr>
          <w:rFonts w:cs="NewsGothicBT-Roman"/>
        </w:rPr>
        <w:t xml:space="preserve">ed with the LLO </w:t>
      </w:r>
      <w:r w:rsidR="009C4BEE">
        <w:rPr>
          <w:rFonts w:cs="NewsGothicBT-Roman"/>
        </w:rPr>
        <w:t>Program</w:t>
      </w:r>
      <w:r w:rsidR="00FC4A5E">
        <w:rPr>
          <w:rFonts w:cs="NewsGothicBT-Roman"/>
        </w:rPr>
        <w:t xml:space="preserve"> Manager, the DET </w:t>
      </w:r>
      <w:r w:rsidR="009C4BEE">
        <w:rPr>
          <w:rFonts w:cs="NewsGothicBT-Roman"/>
        </w:rPr>
        <w:t>Program</w:t>
      </w:r>
      <w:r w:rsidR="00FC4A5E">
        <w:rPr>
          <w:rFonts w:cs="NewsGothicBT-Roman"/>
        </w:rPr>
        <w:t xml:space="preserve"> M</w:t>
      </w:r>
      <w:r>
        <w:rPr>
          <w:rFonts w:cs="NewsGothicBT-Roman"/>
        </w:rPr>
        <w:t xml:space="preserve">anager </w:t>
      </w:r>
      <w:r w:rsidR="00FC4A5E">
        <w:rPr>
          <w:rFonts w:cs="NewsGothicBT-Roman"/>
        </w:rPr>
        <w:t xml:space="preserve">or key DET regional contacts </w:t>
      </w:r>
      <w:r w:rsidR="0033154D">
        <w:rPr>
          <w:rFonts w:cs="NewsGothicBT-Roman"/>
        </w:rPr>
        <w:t xml:space="preserve">who </w:t>
      </w:r>
      <w:r>
        <w:rPr>
          <w:rFonts w:cs="NewsGothicBT-Roman"/>
        </w:rPr>
        <w:t xml:space="preserve">may </w:t>
      </w:r>
      <w:r w:rsidR="0033154D">
        <w:rPr>
          <w:rFonts w:cs="NewsGothicBT-Roman"/>
        </w:rPr>
        <w:t>use</w:t>
      </w:r>
      <w:r w:rsidR="00DD46A4">
        <w:rPr>
          <w:rFonts w:cs="NewsGothicBT-Roman"/>
        </w:rPr>
        <w:t xml:space="preserve"> this</w:t>
      </w:r>
      <w:r w:rsidR="0033154D">
        <w:rPr>
          <w:rFonts w:cs="NewsGothicBT-Roman"/>
        </w:rPr>
        <w:t xml:space="preserve"> feedback to </w:t>
      </w:r>
      <w:r w:rsidR="00DD46A4">
        <w:rPr>
          <w:rFonts w:cs="NewsGothicBT-Roman"/>
        </w:rPr>
        <w:t xml:space="preserve">contribute to sourcing and engaging </w:t>
      </w:r>
      <w:r w:rsidR="0033154D">
        <w:rPr>
          <w:rFonts w:cs="NewsGothicBT-Roman"/>
        </w:rPr>
        <w:t xml:space="preserve">professional development or </w:t>
      </w:r>
      <w:r w:rsidR="00DD46A4">
        <w:rPr>
          <w:rFonts w:cs="NewsGothicBT-Roman"/>
        </w:rPr>
        <w:t xml:space="preserve">expert support </w:t>
      </w:r>
      <w:r w:rsidR="0033154D">
        <w:rPr>
          <w:rFonts w:cs="NewsGothicBT-Roman"/>
        </w:rPr>
        <w:t xml:space="preserve">at the half yearly workshops for the benefit of all </w:t>
      </w:r>
      <w:r w:rsidR="00DD46A4">
        <w:rPr>
          <w:rFonts w:cs="NewsGothicBT-Roman"/>
        </w:rPr>
        <w:t xml:space="preserve">FLP </w:t>
      </w:r>
      <w:r w:rsidR="0033154D">
        <w:rPr>
          <w:rFonts w:cs="NewsGothicBT-Roman"/>
        </w:rPr>
        <w:t>participants.</w:t>
      </w:r>
    </w:p>
    <w:p w14:paraId="56013EF5" w14:textId="77777777" w:rsidR="005456C4" w:rsidRPr="00231514" w:rsidRDefault="005456C4" w:rsidP="00F50BD9">
      <w:pPr>
        <w:pStyle w:val="new"/>
        <w:spacing w:before="0"/>
      </w:pPr>
      <w:r w:rsidRPr="00231514">
        <w:t xml:space="preserve">Funding </w:t>
      </w:r>
    </w:p>
    <w:p w14:paraId="2130DE09" w14:textId="1BE24482" w:rsidR="0077249A" w:rsidRPr="0077249A" w:rsidRDefault="0077249A" w:rsidP="0077249A">
      <w:pPr>
        <w:spacing w:line="240" w:lineRule="auto"/>
        <w:jc w:val="both"/>
        <w:rPr>
          <w:rFonts w:cs="NewsGothicBT-Roman"/>
        </w:rPr>
      </w:pPr>
      <w:r w:rsidRPr="00231514">
        <w:rPr>
          <w:rFonts w:cs="NewsGothicBT-Roman"/>
        </w:rPr>
        <w:t xml:space="preserve">The funding provided by the ACFE Board is designed to cover the costs of </w:t>
      </w:r>
      <w:r w:rsidR="005A0369">
        <w:rPr>
          <w:rFonts w:cs="NewsGothicBT-Roman"/>
        </w:rPr>
        <w:t>project</w:t>
      </w:r>
      <w:r>
        <w:rPr>
          <w:rFonts w:cs="NewsGothicBT-Roman"/>
        </w:rPr>
        <w:t xml:space="preserve"> delivery and establishing </w:t>
      </w:r>
      <w:r w:rsidRPr="00231514">
        <w:rPr>
          <w:rFonts w:cs="NewsGothicBT-Roman"/>
        </w:rPr>
        <w:t>pa</w:t>
      </w:r>
      <w:r w:rsidR="009C4BEE">
        <w:rPr>
          <w:rFonts w:cs="NewsGothicBT-Roman"/>
        </w:rPr>
        <w:t xml:space="preserve">rtnerships. </w:t>
      </w:r>
      <w:r w:rsidRPr="00231514">
        <w:rPr>
          <w:rFonts w:cs="NewsGothicBT-Roman"/>
        </w:rPr>
        <w:t>Many sites have also sought funds from partner</w:t>
      </w:r>
      <w:r>
        <w:rPr>
          <w:rFonts w:cs="NewsGothicBT-Roman"/>
        </w:rPr>
        <w:t>s</w:t>
      </w:r>
      <w:r w:rsidRPr="00231514">
        <w:rPr>
          <w:rFonts w:cs="NewsGothicBT-Roman"/>
        </w:rPr>
        <w:t xml:space="preserve"> and other organisations to assist with their continued sustainability.</w:t>
      </w:r>
    </w:p>
    <w:p w14:paraId="618F7A83" w14:textId="77FBFBEC" w:rsidR="00527447" w:rsidRDefault="00095993" w:rsidP="00527447">
      <w:pPr>
        <w:spacing w:line="240" w:lineRule="auto"/>
        <w:jc w:val="both"/>
        <w:outlineLvl w:val="0"/>
        <w:rPr>
          <w:rFonts w:cs="NewsGothicBT-Roman"/>
        </w:rPr>
      </w:pPr>
      <w:r>
        <w:rPr>
          <w:rFonts w:eastAsia="Times New Roman" w:cs="Arial"/>
        </w:rPr>
        <w:t>Each</w:t>
      </w:r>
      <w:r w:rsidR="005456C4" w:rsidRPr="00B0738B">
        <w:rPr>
          <w:rFonts w:eastAsia="Times New Roman" w:cs="Arial"/>
        </w:rPr>
        <w:t xml:space="preserve"> site will be required to submit a </w:t>
      </w:r>
      <w:r w:rsidR="005A0369">
        <w:rPr>
          <w:rFonts w:eastAsia="Times New Roman" w:cs="Arial"/>
        </w:rPr>
        <w:t>project</w:t>
      </w:r>
      <w:r w:rsidR="005456C4" w:rsidRPr="00B0738B">
        <w:rPr>
          <w:rFonts w:eastAsia="Times New Roman" w:cs="Arial"/>
        </w:rPr>
        <w:t xml:space="preserve"> </w:t>
      </w:r>
      <w:r w:rsidR="006C6806" w:rsidRPr="00B0738B">
        <w:rPr>
          <w:rFonts w:eastAsia="Times New Roman" w:cs="Arial"/>
        </w:rPr>
        <w:t>budget, which</w:t>
      </w:r>
      <w:r w:rsidR="005456C4" w:rsidRPr="00B0738B">
        <w:rPr>
          <w:rFonts w:eastAsia="Times New Roman" w:cs="Arial"/>
        </w:rPr>
        <w:t xml:space="preserve"> includes </w:t>
      </w:r>
      <w:r w:rsidR="005456C4" w:rsidRPr="000C26CE">
        <w:rPr>
          <w:rFonts w:eastAsia="Times New Roman" w:cs="Arial"/>
        </w:rPr>
        <w:t>the</w:t>
      </w:r>
      <w:r w:rsidR="006C6806">
        <w:rPr>
          <w:rFonts w:eastAsia="Times New Roman" w:cs="Arial"/>
        </w:rPr>
        <w:t xml:space="preserve"> total funding</w:t>
      </w:r>
      <w:r w:rsidR="005456C4" w:rsidRPr="000C26CE">
        <w:rPr>
          <w:rFonts w:eastAsia="Times New Roman" w:cs="Arial"/>
        </w:rPr>
        <w:t xml:space="preserve"> contribution</w:t>
      </w:r>
      <w:r w:rsidR="006C6806">
        <w:rPr>
          <w:rFonts w:eastAsia="Times New Roman" w:cs="Arial"/>
        </w:rPr>
        <w:t xml:space="preserve"> of </w:t>
      </w:r>
      <w:r w:rsidR="006C6806" w:rsidRPr="000C26CE">
        <w:rPr>
          <w:rFonts w:eastAsia="Times New Roman" w:cs="Arial"/>
          <w:b/>
        </w:rPr>
        <w:t>$</w:t>
      </w:r>
      <w:r w:rsidR="006C6806">
        <w:rPr>
          <w:rFonts w:eastAsia="Times New Roman" w:cs="Arial"/>
          <w:b/>
        </w:rPr>
        <w:t>28,000</w:t>
      </w:r>
      <w:r w:rsidR="00DD46A4">
        <w:rPr>
          <w:rFonts w:eastAsia="Times New Roman" w:cs="Arial"/>
        </w:rPr>
        <w:t xml:space="preserve"> over two years </w:t>
      </w:r>
      <w:r w:rsidR="006C6806">
        <w:rPr>
          <w:rFonts w:eastAsia="Times New Roman" w:cs="Arial"/>
        </w:rPr>
        <w:t>f</w:t>
      </w:r>
      <w:r w:rsidR="005456C4" w:rsidRPr="00B0738B">
        <w:rPr>
          <w:rFonts w:eastAsia="Times New Roman" w:cs="Arial"/>
        </w:rPr>
        <w:t>r</w:t>
      </w:r>
      <w:r w:rsidR="006C6806">
        <w:rPr>
          <w:rFonts w:eastAsia="Times New Roman" w:cs="Arial"/>
        </w:rPr>
        <w:t>o</w:t>
      </w:r>
      <w:r w:rsidR="005456C4" w:rsidRPr="00B0738B">
        <w:rPr>
          <w:rFonts w:eastAsia="Times New Roman" w:cs="Arial"/>
        </w:rPr>
        <w:t xml:space="preserve">m the ACFE Board to support each trial </w:t>
      </w:r>
      <w:r w:rsidR="00F344FB">
        <w:rPr>
          <w:rFonts w:eastAsia="Times New Roman" w:cs="Arial"/>
        </w:rPr>
        <w:t xml:space="preserve">site’s implementation </w:t>
      </w:r>
      <w:r>
        <w:rPr>
          <w:rFonts w:eastAsia="Times New Roman" w:cs="Arial"/>
        </w:rPr>
        <w:t>from June 2017 to June 2019.</w:t>
      </w:r>
      <w:r w:rsidR="00C404AE">
        <w:rPr>
          <w:rFonts w:eastAsia="Times New Roman" w:cs="Arial"/>
        </w:rPr>
        <w:t xml:space="preserve"> </w:t>
      </w:r>
      <w:r w:rsidR="00527447">
        <w:rPr>
          <w:rFonts w:cs="NewsGothicBT-Roman"/>
        </w:rPr>
        <w:t xml:space="preserve">Participating LLOs will be asked to </w:t>
      </w:r>
      <w:r w:rsidR="00527447" w:rsidRPr="00513F6A">
        <w:rPr>
          <w:rFonts w:cs="NewsGothicBT-Roman"/>
        </w:rPr>
        <w:t>p</w:t>
      </w:r>
      <w:r w:rsidR="00527447">
        <w:rPr>
          <w:rFonts w:cs="NewsGothicBT-Roman"/>
        </w:rPr>
        <w:t xml:space="preserve">rovide six monthly progress reports on </w:t>
      </w:r>
      <w:r w:rsidR="005A0369">
        <w:rPr>
          <w:rFonts w:cs="NewsGothicBT-Roman"/>
        </w:rPr>
        <w:t>project</w:t>
      </w:r>
      <w:r w:rsidR="00527447">
        <w:rPr>
          <w:rFonts w:cs="NewsGothicBT-Roman"/>
        </w:rPr>
        <w:t xml:space="preserve"> delivery. This will allow for tracking of </w:t>
      </w:r>
      <w:r w:rsidR="005A0369">
        <w:rPr>
          <w:rFonts w:cs="NewsGothicBT-Roman"/>
        </w:rPr>
        <w:t xml:space="preserve">project </w:t>
      </w:r>
      <w:r w:rsidR="00527447">
        <w:rPr>
          <w:rFonts w:cs="NewsGothicBT-Roman"/>
        </w:rPr>
        <w:t xml:space="preserve">outputs and management of issues during the </w:t>
      </w:r>
      <w:r w:rsidR="005A0369">
        <w:rPr>
          <w:rFonts w:cs="NewsGothicBT-Roman"/>
        </w:rPr>
        <w:t>project</w:t>
      </w:r>
      <w:r w:rsidR="007F3F8A">
        <w:rPr>
          <w:rFonts w:cs="NewsGothicBT-Roman"/>
        </w:rPr>
        <w:t xml:space="preserve"> </w:t>
      </w:r>
      <w:r w:rsidR="00527447">
        <w:rPr>
          <w:rFonts w:cs="NewsGothicBT-Roman"/>
        </w:rPr>
        <w:t>life cycle.</w:t>
      </w:r>
      <w:r w:rsidR="009C2643">
        <w:rPr>
          <w:rFonts w:cs="NewsGothicBT-Roman"/>
        </w:rPr>
        <w:t xml:space="preserve"> </w:t>
      </w:r>
      <w:r w:rsidR="009C2643" w:rsidRPr="00744E3F">
        <w:rPr>
          <w:rFonts w:cs="Arial"/>
          <w:i/>
        </w:rPr>
        <w:t xml:space="preserve">Please note: </w:t>
      </w:r>
      <w:r w:rsidR="00360947" w:rsidRPr="00360947">
        <w:rPr>
          <w:rFonts w:cs="Arial"/>
          <w:i/>
        </w:rPr>
        <w:t>Please no</w:t>
      </w:r>
      <w:r w:rsidR="00360947">
        <w:rPr>
          <w:rFonts w:cs="Arial"/>
          <w:i/>
        </w:rPr>
        <w:t xml:space="preserve">te that funding will be paid </w:t>
      </w:r>
      <w:r w:rsidR="00360947" w:rsidRPr="00360947">
        <w:rPr>
          <w:rFonts w:cs="Arial"/>
          <w:i/>
        </w:rPr>
        <w:t>against key reporting milestones.</w:t>
      </w:r>
    </w:p>
    <w:p w14:paraId="62BF42E3" w14:textId="77777777" w:rsidR="005456C4" w:rsidRPr="002D02F4" w:rsidRDefault="005456C4" w:rsidP="00F50BD9">
      <w:pPr>
        <w:pStyle w:val="new"/>
        <w:spacing w:before="0"/>
        <w:rPr>
          <w:rFonts w:ascii="Calibri" w:hAnsi="Calibri" w:cs="Helv"/>
          <w:color w:val="000000"/>
        </w:rPr>
      </w:pPr>
      <w:r w:rsidRPr="001E2664">
        <w:t>Application Process</w:t>
      </w:r>
    </w:p>
    <w:p w14:paraId="2F95B913" w14:textId="7D525634" w:rsidR="00474C18" w:rsidRPr="00474C18" w:rsidRDefault="00C404AE" w:rsidP="00FF0421">
      <w:pPr>
        <w:pStyle w:val="new"/>
        <w:spacing w:before="0" w:after="120"/>
        <w:jc w:val="both"/>
        <w:rPr>
          <w:rFonts w:asciiTheme="minorHAnsi" w:hAnsiTheme="minorHAnsi" w:cs="Times New Roman"/>
          <w:b w:val="0"/>
          <w:color w:val="auto"/>
          <w:sz w:val="22"/>
          <w:szCs w:val="22"/>
          <w:lang w:eastAsia="en-US"/>
        </w:rPr>
      </w:pPr>
      <w:r>
        <w:rPr>
          <w:rFonts w:asciiTheme="minorHAnsi" w:hAnsiTheme="minorHAnsi" w:cs="Times New Roman"/>
          <w:b w:val="0"/>
          <w:color w:val="auto"/>
          <w:sz w:val="22"/>
          <w:szCs w:val="22"/>
          <w:lang w:eastAsia="en-US"/>
        </w:rPr>
        <w:t xml:space="preserve">To </w:t>
      </w:r>
      <w:r w:rsidR="008B74CB">
        <w:rPr>
          <w:rFonts w:asciiTheme="minorHAnsi" w:hAnsiTheme="minorHAnsi" w:cs="Times New Roman"/>
          <w:b w:val="0"/>
          <w:color w:val="auto"/>
          <w:sz w:val="22"/>
          <w:szCs w:val="22"/>
          <w:lang w:eastAsia="en-US"/>
        </w:rPr>
        <w:t>apply for FLP funding</w:t>
      </w:r>
      <w:r>
        <w:rPr>
          <w:rFonts w:asciiTheme="minorHAnsi" w:hAnsiTheme="minorHAnsi" w:cs="Times New Roman"/>
          <w:b w:val="0"/>
          <w:color w:val="auto"/>
          <w:sz w:val="22"/>
          <w:szCs w:val="22"/>
          <w:lang w:eastAsia="en-US"/>
        </w:rPr>
        <w:t xml:space="preserve">, </w:t>
      </w:r>
      <w:r w:rsidR="00340969">
        <w:rPr>
          <w:rFonts w:asciiTheme="minorHAnsi" w:hAnsiTheme="minorHAnsi" w:cs="Times New Roman"/>
          <w:b w:val="0"/>
          <w:color w:val="auto"/>
          <w:sz w:val="22"/>
          <w:szCs w:val="22"/>
          <w:lang w:eastAsia="en-US"/>
        </w:rPr>
        <w:t xml:space="preserve">LLOs </w:t>
      </w:r>
      <w:r w:rsidR="008B74CB">
        <w:rPr>
          <w:rFonts w:asciiTheme="minorHAnsi" w:hAnsiTheme="minorHAnsi" w:cs="Times New Roman"/>
          <w:b w:val="0"/>
          <w:color w:val="auto"/>
          <w:sz w:val="22"/>
          <w:szCs w:val="22"/>
          <w:lang w:eastAsia="en-US"/>
        </w:rPr>
        <w:t xml:space="preserve">should </w:t>
      </w:r>
      <w:r w:rsidR="00474C18" w:rsidRPr="00474C18">
        <w:rPr>
          <w:rFonts w:asciiTheme="minorHAnsi" w:hAnsiTheme="minorHAnsi" w:cs="Times New Roman"/>
          <w:b w:val="0"/>
          <w:color w:val="auto"/>
          <w:sz w:val="22"/>
          <w:szCs w:val="22"/>
          <w:lang w:eastAsia="en-US"/>
        </w:rPr>
        <w:t xml:space="preserve">complete the attached Expression of Interest </w:t>
      </w:r>
      <w:r w:rsidR="00340969">
        <w:rPr>
          <w:rFonts w:asciiTheme="minorHAnsi" w:hAnsiTheme="minorHAnsi" w:cs="Times New Roman"/>
          <w:b w:val="0"/>
          <w:color w:val="auto"/>
          <w:sz w:val="22"/>
          <w:szCs w:val="22"/>
          <w:lang w:eastAsia="en-US"/>
        </w:rPr>
        <w:t>form</w:t>
      </w:r>
      <w:r>
        <w:rPr>
          <w:rFonts w:asciiTheme="minorHAnsi" w:hAnsiTheme="minorHAnsi" w:cs="Times New Roman"/>
          <w:b w:val="0"/>
          <w:color w:val="auto"/>
          <w:sz w:val="22"/>
          <w:szCs w:val="22"/>
          <w:lang w:eastAsia="en-US"/>
        </w:rPr>
        <w:t xml:space="preserve"> and </w:t>
      </w:r>
      <w:r w:rsidR="00340969">
        <w:rPr>
          <w:rFonts w:asciiTheme="minorHAnsi" w:hAnsiTheme="minorHAnsi" w:cs="Times New Roman"/>
          <w:b w:val="0"/>
          <w:color w:val="auto"/>
          <w:sz w:val="22"/>
          <w:szCs w:val="22"/>
          <w:lang w:eastAsia="en-US"/>
        </w:rPr>
        <w:t xml:space="preserve">provide detailed responses </w:t>
      </w:r>
      <w:r w:rsidR="008B74CB">
        <w:rPr>
          <w:rFonts w:asciiTheme="minorHAnsi" w:hAnsiTheme="minorHAnsi" w:cs="Times New Roman"/>
          <w:b w:val="0"/>
          <w:color w:val="auto"/>
          <w:sz w:val="22"/>
          <w:szCs w:val="22"/>
          <w:lang w:eastAsia="en-US"/>
        </w:rPr>
        <w:t>to the following criteria questions:</w:t>
      </w:r>
    </w:p>
    <w:p w14:paraId="524A4166" w14:textId="77777777" w:rsidR="005A0369" w:rsidRPr="005A0369" w:rsidRDefault="005A0369" w:rsidP="005A0369">
      <w:pPr>
        <w:pStyle w:val="ListParagraph"/>
        <w:numPr>
          <w:ilvl w:val="0"/>
          <w:numId w:val="17"/>
        </w:numPr>
        <w:spacing w:after="120" w:line="259" w:lineRule="auto"/>
        <w:contextualSpacing w:val="0"/>
        <w:rPr>
          <w:rStyle w:val="InstructionText"/>
          <w:rFonts w:asciiTheme="minorHAnsi" w:hAnsiTheme="minorHAnsi"/>
          <w:i w:val="0"/>
          <w:color w:val="000000" w:themeColor="text1"/>
          <w:sz w:val="22"/>
          <w:szCs w:val="22"/>
        </w:rPr>
      </w:pPr>
      <w:r w:rsidRPr="005A0369">
        <w:rPr>
          <w:rStyle w:val="InstructionText"/>
          <w:rFonts w:asciiTheme="minorHAnsi" w:hAnsiTheme="minorHAnsi"/>
          <w:i w:val="0"/>
          <w:color w:val="000000" w:themeColor="text1"/>
          <w:sz w:val="22"/>
          <w:szCs w:val="22"/>
        </w:rPr>
        <w:t>Please briefly describe your project proposal (no more than a page) and address how it will align to the outcomes of the Family Learning Partnerships Program?</w:t>
      </w:r>
    </w:p>
    <w:p w14:paraId="05BBC42B" w14:textId="77777777" w:rsidR="005A0369" w:rsidRPr="005A0369" w:rsidRDefault="005A0369" w:rsidP="005A0369">
      <w:pPr>
        <w:pStyle w:val="ListParagraph"/>
        <w:numPr>
          <w:ilvl w:val="0"/>
          <w:numId w:val="17"/>
        </w:numPr>
        <w:spacing w:after="120" w:line="259" w:lineRule="auto"/>
        <w:contextualSpacing w:val="0"/>
        <w:rPr>
          <w:rStyle w:val="InstructionText"/>
          <w:rFonts w:asciiTheme="minorHAnsi" w:hAnsiTheme="minorHAnsi"/>
          <w:i w:val="0"/>
          <w:color w:val="000000" w:themeColor="text1"/>
          <w:sz w:val="22"/>
          <w:szCs w:val="22"/>
        </w:rPr>
      </w:pPr>
      <w:r w:rsidRPr="005A0369">
        <w:rPr>
          <w:rStyle w:val="InstructionText"/>
          <w:rFonts w:asciiTheme="minorHAnsi" w:hAnsiTheme="minorHAnsi"/>
          <w:i w:val="0"/>
          <w:color w:val="000000" w:themeColor="text1"/>
          <w:sz w:val="22"/>
          <w:szCs w:val="22"/>
        </w:rPr>
        <w:lastRenderedPageBreak/>
        <w:t>How will your project benefit families in your local community and respond to their learning needs and aspirations including connecting them to possible further education and/or employment pathways?</w:t>
      </w:r>
    </w:p>
    <w:p w14:paraId="0F615E7F" w14:textId="77777777" w:rsidR="005A0369" w:rsidRPr="005A0369" w:rsidRDefault="005A0369" w:rsidP="005A0369">
      <w:pPr>
        <w:pStyle w:val="ListParagraph"/>
        <w:numPr>
          <w:ilvl w:val="0"/>
          <w:numId w:val="17"/>
        </w:numPr>
        <w:spacing w:after="120" w:line="259" w:lineRule="auto"/>
        <w:contextualSpacing w:val="0"/>
        <w:rPr>
          <w:rStyle w:val="InstructionText"/>
          <w:rFonts w:asciiTheme="minorHAnsi" w:hAnsiTheme="minorHAnsi"/>
          <w:i w:val="0"/>
          <w:color w:val="000000" w:themeColor="text1"/>
          <w:sz w:val="22"/>
          <w:szCs w:val="22"/>
        </w:rPr>
      </w:pPr>
      <w:r w:rsidRPr="005A0369">
        <w:rPr>
          <w:rStyle w:val="InstructionText"/>
          <w:rFonts w:asciiTheme="minorHAnsi" w:hAnsiTheme="minorHAnsi"/>
          <w:i w:val="0"/>
          <w:color w:val="000000" w:themeColor="text1"/>
          <w:sz w:val="22"/>
          <w:szCs w:val="22"/>
        </w:rPr>
        <w:t>What skills and previous experience does your organisation have in establishing community partnerships including any examples of previous successful partnerships with schools, early childhood services or other community organisations and/or Learn Local Organisations?</w:t>
      </w:r>
    </w:p>
    <w:p w14:paraId="208D44F4" w14:textId="2DFA7672" w:rsidR="005A0369" w:rsidRPr="00235EE6" w:rsidRDefault="005A0369" w:rsidP="00235EE6">
      <w:pPr>
        <w:pStyle w:val="ListParagraph"/>
        <w:numPr>
          <w:ilvl w:val="0"/>
          <w:numId w:val="17"/>
        </w:numPr>
        <w:spacing w:after="120" w:line="259" w:lineRule="auto"/>
        <w:contextualSpacing w:val="0"/>
        <w:rPr>
          <w:rFonts w:asciiTheme="minorHAnsi" w:hAnsiTheme="minorHAnsi"/>
          <w:i/>
          <w:color w:val="000000" w:themeColor="text1"/>
          <w:sz w:val="22"/>
          <w:szCs w:val="22"/>
        </w:rPr>
      </w:pPr>
      <w:r w:rsidRPr="005A0369">
        <w:rPr>
          <w:rStyle w:val="InstructionText"/>
          <w:rFonts w:asciiTheme="minorHAnsi" w:hAnsiTheme="minorHAnsi"/>
          <w:i w:val="0"/>
          <w:color w:val="000000" w:themeColor="text1"/>
          <w:sz w:val="22"/>
          <w:szCs w:val="22"/>
        </w:rPr>
        <w:t>How you will work in partnership with local organisations to actively participate in the Family Learning Partnerships Program and achieve sustainable outcomes for parents?</w:t>
      </w:r>
    </w:p>
    <w:p w14:paraId="202BF589" w14:textId="7C674349" w:rsidR="004E62C1" w:rsidRPr="004E62C1" w:rsidRDefault="004E62C1" w:rsidP="00FF0421">
      <w:pPr>
        <w:pStyle w:val="new"/>
        <w:spacing w:before="120" w:after="120"/>
        <w:ind w:left="719" w:hanging="719"/>
        <w:jc w:val="both"/>
        <w:rPr>
          <w:rFonts w:asciiTheme="minorHAnsi" w:eastAsiaTheme="minorHAnsi" w:hAnsiTheme="minorHAnsi" w:cs="Times New Roman"/>
          <w:b w:val="0"/>
          <w:bCs w:val="0"/>
          <w:color w:val="auto"/>
          <w:sz w:val="22"/>
          <w:szCs w:val="22"/>
          <w:lang w:eastAsia="en-US"/>
        </w:rPr>
      </w:pPr>
      <w:r w:rsidRPr="004E62C1">
        <w:rPr>
          <w:rFonts w:asciiTheme="minorHAnsi" w:eastAsiaTheme="minorHAnsi" w:hAnsiTheme="minorHAnsi" w:cs="Times New Roman"/>
          <w:b w:val="0"/>
          <w:bCs w:val="0"/>
          <w:color w:val="auto"/>
          <w:sz w:val="22"/>
          <w:szCs w:val="22"/>
          <w:lang w:eastAsia="en-US"/>
        </w:rPr>
        <w:t xml:space="preserve">Successful FLPs should contribute to </w:t>
      </w:r>
      <w:r w:rsidR="008B74CB">
        <w:rPr>
          <w:rFonts w:asciiTheme="minorHAnsi" w:eastAsiaTheme="minorHAnsi" w:hAnsiTheme="minorHAnsi" w:cs="Times New Roman"/>
          <w:b w:val="0"/>
          <w:bCs w:val="0"/>
          <w:color w:val="auto"/>
          <w:sz w:val="22"/>
          <w:szCs w:val="22"/>
          <w:lang w:eastAsia="en-US"/>
        </w:rPr>
        <w:t xml:space="preserve">the ACFE Board’s strategic </w:t>
      </w:r>
      <w:r w:rsidRPr="004E62C1">
        <w:rPr>
          <w:rFonts w:asciiTheme="minorHAnsi" w:eastAsiaTheme="minorHAnsi" w:hAnsiTheme="minorHAnsi" w:cs="Times New Roman"/>
          <w:b w:val="0"/>
          <w:bCs w:val="0"/>
          <w:color w:val="auto"/>
          <w:sz w:val="22"/>
          <w:szCs w:val="22"/>
          <w:lang w:eastAsia="en-US"/>
        </w:rPr>
        <w:t xml:space="preserve">priorities through the following activities: </w:t>
      </w:r>
    </w:p>
    <w:p w14:paraId="15ADDD70" w14:textId="77777777" w:rsidR="004A41FA" w:rsidRDefault="004E62C1" w:rsidP="004A41FA">
      <w:pPr>
        <w:pStyle w:val="new"/>
        <w:numPr>
          <w:ilvl w:val="0"/>
          <w:numId w:val="11"/>
        </w:numPr>
        <w:ind w:left="709" w:hanging="425"/>
        <w:jc w:val="both"/>
        <w:rPr>
          <w:rFonts w:asciiTheme="minorHAnsi" w:eastAsiaTheme="minorHAnsi" w:hAnsiTheme="minorHAnsi" w:cs="Times New Roman"/>
          <w:b w:val="0"/>
          <w:bCs w:val="0"/>
          <w:color w:val="auto"/>
          <w:sz w:val="22"/>
          <w:szCs w:val="22"/>
          <w:lang w:eastAsia="en-US"/>
        </w:rPr>
      </w:pPr>
      <w:r w:rsidRPr="004E62C1">
        <w:rPr>
          <w:rFonts w:asciiTheme="minorHAnsi" w:eastAsiaTheme="minorHAnsi" w:hAnsiTheme="minorHAnsi" w:cs="Times New Roman"/>
          <w:b w:val="0"/>
          <w:bCs w:val="0"/>
          <w:color w:val="auto"/>
          <w:sz w:val="22"/>
          <w:szCs w:val="22"/>
          <w:lang w:eastAsia="en-US"/>
        </w:rPr>
        <w:t>Build</w:t>
      </w:r>
      <w:r w:rsidR="00201A4A">
        <w:rPr>
          <w:rFonts w:asciiTheme="minorHAnsi" w:eastAsiaTheme="minorHAnsi" w:hAnsiTheme="minorHAnsi" w:cs="Times New Roman"/>
          <w:b w:val="0"/>
          <w:bCs w:val="0"/>
          <w:color w:val="auto"/>
          <w:sz w:val="22"/>
          <w:szCs w:val="22"/>
          <w:lang w:eastAsia="en-US"/>
        </w:rPr>
        <w:t>ing</w:t>
      </w:r>
      <w:r w:rsidRPr="004E62C1">
        <w:rPr>
          <w:rFonts w:asciiTheme="minorHAnsi" w:eastAsiaTheme="minorHAnsi" w:hAnsiTheme="minorHAnsi" w:cs="Times New Roman"/>
          <w:b w:val="0"/>
          <w:bCs w:val="0"/>
          <w:color w:val="auto"/>
          <w:sz w:val="22"/>
          <w:szCs w:val="22"/>
          <w:lang w:eastAsia="en-US"/>
        </w:rPr>
        <w:t xml:space="preserve"> quality of delivery through active participation in the CoP model that will provide </w:t>
      </w:r>
      <w:r w:rsidR="008B402B">
        <w:rPr>
          <w:rFonts w:asciiTheme="minorHAnsi" w:eastAsiaTheme="minorHAnsi" w:hAnsiTheme="minorHAnsi" w:cs="Times New Roman"/>
          <w:b w:val="0"/>
          <w:bCs w:val="0"/>
          <w:color w:val="auto"/>
          <w:sz w:val="22"/>
          <w:szCs w:val="22"/>
          <w:lang w:eastAsia="en-US"/>
        </w:rPr>
        <w:tab/>
      </w:r>
      <w:r w:rsidRPr="004E62C1">
        <w:rPr>
          <w:rFonts w:asciiTheme="minorHAnsi" w:eastAsiaTheme="minorHAnsi" w:hAnsiTheme="minorHAnsi" w:cs="Times New Roman"/>
          <w:b w:val="0"/>
          <w:bCs w:val="0"/>
          <w:color w:val="auto"/>
          <w:sz w:val="22"/>
          <w:szCs w:val="22"/>
          <w:lang w:eastAsia="en-US"/>
        </w:rPr>
        <w:t xml:space="preserve">opportunities for participating learn locals to seek support from one </w:t>
      </w:r>
      <w:r w:rsidR="00201A4A" w:rsidRPr="004E62C1">
        <w:rPr>
          <w:rFonts w:asciiTheme="minorHAnsi" w:eastAsiaTheme="minorHAnsi" w:hAnsiTheme="minorHAnsi" w:cs="Times New Roman"/>
          <w:b w:val="0"/>
          <w:bCs w:val="0"/>
          <w:color w:val="auto"/>
          <w:sz w:val="22"/>
          <w:szCs w:val="22"/>
          <w:lang w:eastAsia="en-US"/>
        </w:rPr>
        <w:t>another</w:t>
      </w:r>
      <w:r w:rsidRPr="004E62C1">
        <w:rPr>
          <w:rFonts w:asciiTheme="minorHAnsi" w:eastAsiaTheme="minorHAnsi" w:hAnsiTheme="minorHAnsi" w:cs="Times New Roman"/>
          <w:b w:val="0"/>
          <w:bCs w:val="0"/>
          <w:color w:val="auto"/>
          <w:sz w:val="22"/>
          <w:szCs w:val="22"/>
          <w:lang w:eastAsia="en-US"/>
        </w:rPr>
        <w:t xml:space="preserve"> collaborate and </w:t>
      </w:r>
      <w:r w:rsidR="008B402B">
        <w:rPr>
          <w:rFonts w:asciiTheme="minorHAnsi" w:eastAsiaTheme="minorHAnsi" w:hAnsiTheme="minorHAnsi" w:cs="Times New Roman"/>
          <w:b w:val="0"/>
          <w:bCs w:val="0"/>
          <w:color w:val="auto"/>
          <w:sz w:val="22"/>
          <w:szCs w:val="22"/>
          <w:lang w:eastAsia="en-US"/>
        </w:rPr>
        <w:tab/>
      </w:r>
      <w:r w:rsidRPr="004E62C1">
        <w:rPr>
          <w:rFonts w:asciiTheme="minorHAnsi" w:eastAsiaTheme="minorHAnsi" w:hAnsiTheme="minorHAnsi" w:cs="Times New Roman"/>
          <w:b w:val="0"/>
          <w:bCs w:val="0"/>
          <w:color w:val="auto"/>
          <w:sz w:val="22"/>
          <w:szCs w:val="22"/>
          <w:lang w:eastAsia="en-US"/>
        </w:rPr>
        <w:t xml:space="preserve">promote innovation in family learning. </w:t>
      </w:r>
      <w:r w:rsidR="004A41FA">
        <w:rPr>
          <w:rFonts w:asciiTheme="minorHAnsi" w:eastAsiaTheme="minorHAnsi" w:hAnsiTheme="minorHAnsi" w:cs="Times New Roman"/>
          <w:b w:val="0"/>
          <w:bCs w:val="0"/>
          <w:color w:val="auto"/>
          <w:sz w:val="22"/>
          <w:szCs w:val="22"/>
          <w:lang w:eastAsia="en-US"/>
        </w:rPr>
        <w:t xml:space="preserve"> </w:t>
      </w:r>
    </w:p>
    <w:p w14:paraId="0996662E" w14:textId="51D74856" w:rsidR="00BF0F36" w:rsidRPr="00FC483E" w:rsidRDefault="004E62C1" w:rsidP="004A41FA">
      <w:pPr>
        <w:pStyle w:val="new"/>
        <w:numPr>
          <w:ilvl w:val="0"/>
          <w:numId w:val="11"/>
        </w:numPr>
        <w:ind w:left="709" w:hanging="425"/>
        <w:jc w:val="both"/>
        <w:rPr>
          <w:rFonts w:asciiTheme="minorHAnsi" w:eastAsiaTheme="minorHAnsi" w:hAnsiTheme="minorHAnsi" w:cs="Times New Roman"/>
          <w:b w:val="0"/>
          <w:bCs w:val="0"/>
          <w:color w:val="auto"/>
          <w:sz w:val="22"/>
          <w:szCs w:val="22"/>
          <w:lang w:eastAsia="en-US"/>
        </w:rPr>
      </w:pPr>
      <w:r w:rsidRPr="004A41FA">
        <w:rPr>
          <w:rFonts w:asciiTheme="minorHAnsi" w:eastAsiaTheme="minorHAnsi" w:hAnsiTheme="minorHAnsi" w:cs="Times New Roman"/>
          <w:b w:val="0"/>
          <w:bCs w:val="0"/>
          <w:color w:val="auto"/>
          <w:sz w:val="22"/>
          <w:szCs w:val="22"/>
          <w:lang w:eastAsia="en-US"/>
        </w:rPr>
        <w:t>Aim to improve family learning practice and sustainability by facil</w:t>
      </w:r>
      <w:r w:rsidR="004A41FA">
        <w:rPr>
          <w:rFonts w:asciiTheme="minorHAnsi" w:eastAsiaTheme="minorHAnsi" w:hAnsiTheme="minorHAnsi" w:cs="Times New Roman"/>
          <w:b w:val="0"/>
          <w:bCs w:val="0"/>
          <w:color w:val="auto"/>
          <w:sz w:val="22"/>
          <w:szCs w:val="22"/>
          <w:lang w:eastAsia="en-US"/>
        </w:rPr>
        <w:t xml:space="preserve">itating collaboration to enable </w:t>
      </w:r>
      <w:r w:rsidR="008B402B" w:rsidRPr="004A41FA">
        <w:rPr>
          <w:rFonts w:asciiTheme="minorHAnsi" w:eastAsiaTheme="minorHAnsi" w:hAnsiTheme="minorHAnsi" w:cs="Times New Roman"/>
          <w:b w:val="0"/>
          <w:bCs w:val="0"/>
          <w:color w:val="auto"/>
          <w:sz w:val="22"/>
          <w:szCs w:val="22"/>
          <w:lang w:eastAsia="en-US"/>
        </w:rPr>
        <w:t xml:space="preserve">efficient </w:t>
      </w:r>
      <w:r w:rsidRPr="004A41FA">
        <w:rPr>
          <w:rFonts w:asciiTheme="minorHAnsi" w:eastAsiaTheme="minorHAnsi" w:hAnsiTheme="minorHAnsi" w:cs="Times New Roman"/>
          <w:b w:val="0"/>
          <w:bCs w:val="0"/>
          <w:color w:val="000000" w:themeColor="text1"/>
          <w:sz w:val="22"/>
          <w:szCs w:val="22"/>
          <w:lang w:eastAsia="en-US"/>
        </w:rPr>
        <w:t xml:space="preserve">management and administration, maximise resource utilisation, sharing of ideas </w:t>
      </w:r>
      <w:r w:rsidR="008B402B" w:rsidRPr="004A41FA">
        <w:rPr>
          <w:rFonts w:asciiTheme="minorHAnsi" w:eastAsiaTheme="minorHAnsi" w:hAnsiTheme="minorHAnsi" w:cs="Times New Roman"/>
          <w:b w:val="0"/>
          <w:color w:val="000000" w:themeColor="text1"/>
          <w:sz w:val="22"/>
          <w:szCs w:val="22"/>
          <w:lang w:eastAsia="en-US"/>
        </w:rPr>
        <w:t xml:space="preserve">and market intelligence. </w:t>
      </w:r>
      <w:r w:rsidRPr="004A41FA">
        <w:rPr>
          <w:rFonts w:asciiTheme="minorHAnsi" w:eastAsiaTheme="minorHAnsi" w:hAnsiTheme="minorHAnsi"/>
          <w:b w:val="0"/>
          <w:color w:val="000000" w:themeColor="text1"/>
          <w:sz w:val="22"/>
          <w:szCs w:val="22"/>
        </w:rPr>
        <w:t xml:space="preserve">Incentivising the broader application of the FLP and sharing promising innovations </w:t>
      </w:r>
      <w:r w:rsidR="00201A4A" w:rsidRPr="004A41FA">
        <w:rPr>
          <w:rFonts w:asciiTheme="minorHAnsi" w:hAnsiTheme="minorHAnsi"/>
          <w:b w:val="0"/>
          <w:color w:val="000000" w:themeColor="text1"/>
          <w:sz w:val="22"/>
          <w:szCs w:val="22"/>
        </w:rPr>
        <w:t>between providers</w:t>
      </w:r>
      <w:r w:rsidRPr="004A41FA">
        <w:rPr>
          <w:rFonts w:asciiTheme="minorHAnsi" w:eastAsiaTheme="minorHAnsi" w:hAnsiTheme="minorHAnsi"/>
          <w:b w:val="0"/>
          <w:color w:val="000000" w:themeColor="text1"/>
          <w:sz w:val="22"/>
          <w:szCs w:val="22"/>
        </w:rPr>
        <w:t>.</w:t>
      </w:r>
    </w:p>
    <w:p w14:paraId="4AFEF424" w14:textId="7D1CDF76" w:rsidR="00FC483E" w:rsidRPr="004A41FA" w:rsidRDefault="00FC483E" w:rsidP="004A41FA">
      <w:pPr>
        <w:pStyle w:val="new"/>
        <w:numPr>
          <w:ilvl w:val="0"/>
          <w:numId w:val="11"/>
        </w:numPr>
        <w:ind w:left="709" w:hanging="425"/>
        <w:jc w:val="both"/>
        <w:rPr>
          <w:rFonts w:asciiTheme="minorHAnsi" w:eastAsiaTheme="minorHAnsi" w:hAnsiTheme="minorHAnsi" w:cs="Times New Roman"/>
          <w:b w:val="0"/>
          <w:bCs w:val="0"/>
          <w:color w:val="auto"/>
          <w:sz w:val="22"/>
          <w:szCs w:val="22"/>
          <w:lang w:eastAsia="en-US"/>
        </w:rPr>
      </w:pPr>
      <w:r>
        <w:rPr>
          <w:rFonts w:asciiTheme="minorHAnsi" w:eastAsiaTheme="minorHAnsi" w:hAnsiTheme="minorHAnsi" w:cs="Times New Roman"/>
          <w:b w:val="0"/>
          <w:bCs w:val="0"/>
          <w:color w:val="auto"/>
          <w:sz w:val="22"/>
          <w:szCs w:val="22"/>
          <w:lang w:eastAsia="en-US"/>
        </w:rPr>
        <w:t>Applications from LLOs who have experience working with disadvantaged or newly arrived families from the Horn-of-Africa are encouraged to apply.</w:t>
      </w:r>
    </w:p>
    <w:p w14:paraId="6A539833" w14:textId="73CFEA1B" w:rsidR="005456C4" w:rsidRDefault="00541615" w:rsidP="00F50BD9">
      <w:pPr>
        <w:keepNext/>
        <w:spacing w:line="240" w:lineRule="auto"/>
        <w:jc w:val="both"/>
        <w:outlineLvl w:val="2"/>
        <w:rPr>
          <w:rFonts w:eastAsia="Times New Roman" w:cs="Times New Roman"/>
          <w:bCs/>
        </w:rPr>
      </w:pPr>
      <w:r>
        <w:rPr>
          <w:rFonts w:eastAsia="Times New Roman" w:cs="Times New Roman"/>
          <w:bCs/>
        </w:rPr>
        <w:t xml:space="preserve">Project </w:t>
      </w:r>
      <w:r w:rsidR="00396E0E">
        <w:rPr>
          <w:rFonts w:eastAsia="Times New Roman" w:cs="Times New Roman"/>
          <w:bCs/>
        </w:rPr>
        <w:t xml:space="preserve">Proposal responses in the expression of interest from </w:t>
      </w:r>
      <w:r w:rsidR="005456C4">
        <w:rPr>
          <w:rFonts w:eastAsia="Times New Roman" w:cs="Times New Roman"/>
          <w:bCs/>
        </w:rPr>
        <w:t xml:space="preserve">will be assessed </w:t>
      </w:r>
      <w:r w:rsidR="00396E0E">
        <w:rPr>
          <w:rFonts w:eastAsia="Times New Roman" w:cs="Times New Roman"/>
          <w:bCs/>
        </w:rPr>
        <w:t xml:space="preserve">against the following </w:t>
      </w:r>
      <w:r w:rsidR="00D3106D">
        <w:rPr>
          <w:rFonts w:eastAsia="Times New Roman" w:cs="Times New Roman"/>
          <w:bCs/>
        </w:rPr>
        <w:t>criteria</w:t>
      </w:r>
      <w:r w:rsidR="00396E0E">
        <w:rPr>
          <w:rFonts w:eastAsia="Times New Roman" w:cs="Times New Roman"/>
          <w:bCs/>
        </w:rPr>
        <w:t xml:space="preserve"> and key considerations </w:t>
      </w:r>
      <w:r w:rsidR="00CD12F5">
        <w:rPr>
          <w:rFonts w:eastAsia="Times New Roman" w:cs="Times New Roman"/>
          <w:bCs/>
        </w:rPr>
        <w:t>by a</w:t>
      </w:r>
      <w:r w:rsidR="005456C4">
        <w:rPr>
          <w:rFonts w:eastAsia="Times New Roman" w:cs="Times New Roman"/>
          <w:bCs/>
        </w:rPr>
        <w:t xml:space="preserve"> </w:t>
      </w:r>
      <w:r w:rsidR="00D3106D">
        <w:rPr>
          <w:rFonts w:eastAsia="Times New Roman" w:cs="Times New Roman"/>
          <w:bCs/>
        </w:rPr>
        <w:t xml:space="preserve">departmental </w:t>
      </w:r>
      <w:r w:rsidR="005456C4">
        <w:rPr>
          <w:rFonts w:eastAsia="Times New Roman" w:cs="Times New Roman"/>
          <w:bCs/>
        </w:rPr>
        <w:t>panel</w:t>
      </w:r>
      <w:r w:rsidR="00D3106D">
        <w:rPr>
          <w:rFonts w:eastAsia="Times New Roman" w:cs="Times New Roman"/>
          <w:bCs/>
        </w:rPr>
        <w:t>:</w:t>
      </w:r>
    </w:p>
    <w:tbl>
      <w:tblPr>
        <w:tblStyle w:val="TableGrid"/>
        <w:tblW w:w="9469" w:type="dxa"/>
        <w:tblInd w:w="-5" w:type="dxa"/>
        <w:tblLook w:val="04A0" w:firstRow="1" w:lastRow="0" w:firstColumn="1" w:lastColumn="0" w:noHBand="0" w:noVBand="1"/>
      </w:tblPr>
      <w:tblGrid>
        <w:gridCol w:w="2268"/>
        <w:gridCol w:w="7201"/>
      </w:tblGrid>
      <w:tr w:rsidR="00201A4A" w:rsidRPr="00281C85" w14:paraId="11B5F150" w14:textId="77777777" w:rsidTr="006114E1">
        <w:tc>
          <w:tcPr>
            <w:tcW w:w="2268" w:type="dxa"/>
            <w:shd w:val="clear" w:color="auto" w:fill="8DB3E2" w:themeFill="text2" w:themeFillTint="66"/>
          </w:tcPr>
          <w:p w14:paraId="7BD5E4B0" w14:textId="77777777" w:rsidR="00201A4A" w:rsidRPr="00453259" w:rsidRDefault="00201A4A" w:rsidP="00BB02F3">
            <w:pPr>
              <w:contextualSpacing/>
              <w:rPr>
                <w:rFonts w:eastAsia="Times New Roman" w:cs="Arial"/>
                <w:b/>
              </w:rPr>
            </w:pPr>
            <w:r w:rsidRPr="00453259">
              <w:rPr>
                <w:rFonts w:eastAsia="Times New Roman" w:cs="Arial"/>
                <w:b/>
              </w:rPr>
              <w:t>Criteria:</w:t>
            </w:r>
          </w:p>
        </w:tc>
        <w:tc>
          <w:tcPr>
            <w:tcW w:w="7201" w:type="dxa"/>
            <w:shd w:val="clear" w:color="auto" w:fill="8DB3E2" w:themeFill="text2" w:themeFillTint="66"/>
          </w:tcPr>
          <w:p w14:paraId="57B3399C" w14:textId="77777777" w:rsidR="00201A4A" w:rsidRPr="00453259" w:rsidRDefault="00201A4A" w:rsidP="00BB02F3">
            <w:pPr>
              <w:contextualSpacing/>
              <w:rPr>
                <w:rFonts w:eastAsia="Times New Roman" w:cs="Arial"/>
                <w:b/>
              </w:rPr>
            </w:pPr>
            <w:r w:rsidRPr="00453259">
              <w:rPr>
                <w:rFonts w:eastAsia="Times New Roman" w:cs="Arial"/>
                <w:b/>
              </w:rPr>
              <w:t>Key Considerations:</w:t>
            </w:r>
          </w:p>
        </w:tc>
      </w:tr>
      <w:tr w:rsidR="00201A4A" w:rsidRPr="00281C85" w14:paraId="1632DFC0" w14:textId="77777777" w:rsidTr="00453259">
        <w:trPr>
          <w:trHeight w:val="645"/>
        </w:trPr>
        <w:tc>
          <w:tcPr>
            <w:tcW w:w="2268" w:type="dxa"/>
            <w:shd w:val="clear" w:color="auto" w:fill="DBE5F1" w:themeFill="accent1" w:themeFillTint="33"/>
          </w:tcPr>
          <w:p w14:paraId="0BF74329" w14:textId="77777777" w:rsidR="00201A4A" w:rsidRPr="00453259" w:rsidRDefault="00201A4A" w:rsidP="00BB02F3">
            <w:pPr>
              <w:contextualSpacing/>
              <w:rPr>
                <w:rFonts w:eastAsia="Times New Roman" w:cs="Arial"/>
                <w:b/>
              </w:rPr>
            </w:pPr>
            <w:r w:rsidRPr="00453259">
              <w:rPr>
                <w:rFonts w:eastAsia="Times New Roman" w:cs="Arial"/>
                <w:b/>
              </w:rPr>
              <w:t>Completion of application</w:t>
            </w:r>
          </w:p>
        </w:tc>
        <w:tc>
          <w:tcPr>
            <w:tcW w:w="7201" w:type="dxa"/>
          </w:tcPr>
          <w:p w14:paraId="27D83F1B" w14:textId="1A7E9D8F" w:rsidR="00201A4A" w:rsidRPr="00453259" w:rsidRDefault="00201A4A" w:rsidP="006114E1">
            <w:pPr>
              <w:numPr>
                <w:ilvl w:val="0"/>
                <w:numId w:val="5"/>
              </w:numPr>
              <w:contextualSpacing/>
              <w:rPr>
                <w:rFonts w:eastAsia="Times New Roman" w:cs="Arial"/>
              </w:rPr>
            </w:pPr>
            <w:r w:rsidRPr="00453259">
              <w:rPr>
                <w:rFonts w:eastAsia="Times New Roman" w:cs="Arial"/>
              </w:rPr>
              <w:t>Application is complete, concise, clear and all relevant information is provided</w:t>
            </w:r>
            <w:r w:rsidR="006114E1" w:rsidRPr="00453259">
              <w:rPr>
                <w:rFonts w:eastAsia="Times New Roman" w:cs="Arial"/>
              </w:rPr>
              <w:t>.</w:t>
            </w:r>
          </w:p>
          <w:p w14:paraId="364F2B0A" w14:textId="4B167F60" w:rsidR="00FF0421" w:rsidRPr="00453259" w:rsidRDefault="006114E1" w:rsidP="006114E1">
            <w:pPr>
              <w:numPr>
                <w:ilvl w:val="0"/>
                <w:numId w:val="5"/>
              </w:numPr>
              <w:contextualSpacing/>
              <w:rPr>
                <w:rFonts w:eastAsia="Times New Roman" w:cs="Arial"/>
              </w:rPr>
            </w:pPr>
            <w:r w:rsidRPr="00453259">
              <w:rPr>
                <w:rFonts w:eastAsia="Times New Roman" w:cs="Arial"/>
              </w:rPr>
              <w:t>Application is submitted on time.</w:t>
            </w:r>
          </w:p>
        </w:tc>
      </w:tr>
      <w:tr w:rsidR="00201A4A" w:rsidRPr="00281C85" w14:paraId="48AF9E1D" w14:textId="77777777" w:rsidTr="006114E1">
        <w:tc>
          <w:tcPr>
            <w:tcW w:w="2268" w:type="dxa"/>
            <w:shd w:val="clear" w:color="auto" w:fill="DBE5F1" w:themeFill="accent1" w:themeFillTint="33"/>
          </w:tcPr>
          <w:p w14:paraId="38BE764F" w14:textId="55572B0B" w:rsidR="00201A4A" w:rsidRPr="00453259" w:rsidRDefault="00F925D2" w:rsidP="00BB02F3">
            <w:pPr>
              <w:contextualSpacing/>
              <w:rPr>
                <w:rFonts w:eastAsia="Times New Roman" w:cs="Arial"/>
                <w:b/>
              </w:rPr>
            </w:pPr>
            <w:r w:rsidRPr="00453259">
              <w:rPr>
                <w:rFonts w:eastAsia="Times New Roman" w:cs="Arial"/>
                <w:b/>
              </w:rPr>
              <w:t>Partnering Arrangements</w:t>
            </w:r>
          </w:p>
        </w:tc>
        <w:tc>
          <w:tcPr>
            <w:tcW w:w="7201" w:type="dxa"/>
          </w:tcPr>
          <w:p w14:paraId="2C647583" w14:textId="417B978E" w:rsidR="00F925D2" w:rsidRPr="00453259" w:rsidRDefault="00F925D2" w:rsidP="006114E1">
            <w:pPr>
              <w:numPr>
                <w:ilvl w:val="0"/>
                <w:numId w:val="6"/>
              </w:numPr>
              <w:contextualSpacing/>
              <w:rPr>
                <w:rFonts w:eastAsia="Times New Roman" w:cs="Arial"/>
              </w:rPr>
            </w:pPr>
            <w:r w:rsidRPr="00453259">
              <w:rPr>
                <w:rFonts w:eastAsia="Times New Roman" w:cs="Arial"/>
              </w:rPr>
              <w:t xml:space="preserve">Partnerships </w:t>
            </w:r>
            <w:r w:rsidR="008B74CB" w:rsidRPr="00453259">
              <w:rPr>
                <w:rFonts w:eastAsia="Times New Roman" w:cs="Arial"/>
              </w:rPr>
              <w:t>are</w:t>
            </w:r>
            <w:r w:rsidRPr="00453259">
              <w:rPr>
                <w:rFonts w:eastAsia="Times New Roman" w:cs="Arial"/>
              </w:rPr>
              <w:t xml:space="preserve"> identified and </w:t>
            </w:r>
            <w:r w:rsidR="009C4BEE">
              <w:rPr>
                <w:rFonts w:eastAsia="Times New Roman" w:cs="Arial"/>
              </w:rPr>
              <w:t xml:space="preserve">the </w:t>
            </w:r>
            <w:r w:rsidR="00541615">
              <w:rPr>
                <w:rFonts w:eastAsia="Times New Roman" w:cs="Arial"/>
              </w:rPr>
              <w:t xml:space="preserve">project </w:t>
            </w:r>
            <w:r w:rsidR="006114E1" w:rsidRPr="00453259">
              <w:rPr>
                <w:rFonts w:eastAsia="Times New Roman" w:cs="Arial"/>
              </w:rPr>
              <w:t>plan demonstrates the capability and capacity of the partnership</w:t>
            </w:r>
            <w:r w:rsidR="008B74CB" w:rsidRPr="00453259">
              <w:rPr>
                <w:rFonts w:eastAsia="Times New Roman" w:cs="Arial"/>
              </w:rPr>
              <w:t>s</w:t>
            </w:r>
            <w:r w:rsidR="006114E1" w:rsidRPr="00453259">
              <w:rPr>
                <w:rFonts w:eastAsia="Times New Roman" w:cs="Arial"/>
              </w:rPr>
              <w:t xml:space="preserve"> to be</w:t>
            </w:r>
            <w:r w:rsidRPr="00453259">
              <w:rPr>
                <w:rFonts w:eastAsia="Times New Roman" w:cs="Arial"/>
              </w:rPr>
              <w:t xml:space="preserve"> actively involved in </w:t>
            </w:r>
            <w:r w:rsidR="00541615">
              <w:rPr>
                <w:rFonts w:eastAsia="Times New Roman" w:cs="Arial"/>
              </w:rPr>
              <w:t>project</w:t>
            </w:r>
            <w:r w:rsidRPr="00453259">
              <w:rPr>
                <w:rFonts w:eastAsia="Times New Roman" w:cs="Arial"/>
              </w:rPr>
              <w:t xml:space="preserve"> delivery</w:t>
            </w:r>
            <w:r w:rsidR="006114E1" w:rsidRPr="00453259">
              <w:rPr>
                <w:rFonts w:eastAsia="Times New Roman" w:cs="Arial"/>
              </w:rPr>
              <w:t>.</w:t>
            </w:r>
          </w:p>
          <w:p w14:paraId="240EFC20" w14:textId="152C5992" w:rsidR="006114E1" w:rsidRPr="00453259" w:rsidRDefault="006114E1" w:rsidP="006114E1">
            <w:pPr>
              <w:numPr>
                <w:ilvl w:val="0"/>
                <w:numId w:val="6"/>
              </w:numPr>
              <w:contextualSpacing/>
              <w:rPr>
                <w:rFonts w:asciiTheme="minorHAnsi" w:eastAsia="Times New Roman" w:hAnsiTheme="minorHAnsi" w:cs="Arial"/>
                <w:lang w:eastAsia="en-US"/>
              </w:rPr>
            </w:pPr>
            <w:r w:rsidRPr="00453259">
              <w:rPr>
                <w:rFonts w:eastAsia="Times New Roman" w:cs="Arial"/>
              </w:rPr>
              <w:t xml:space="preserve">Applicants have assessed the readiness and availability of the proposed partnerships to contribute to the </w:t>
            </w:r>
            <w:r w:rsidR="00541615">
              <w:rPr>
                <w:rFonts w:eastAsia="Times New Roman" w:cs="Arial"/>
              </w:rPr>
              <w:t>project</w:t>
            </w:r>
            <w:r w:rsidRPr="00453259">
              <w:rPr>
                <w:rFonts w:eastAsia="Times New Roman" w:cs="Arial"/>
              </w:rPr>
              <w:t>.</w:t>
            </w:r>
          </w:p>
          <w:p w14:paraId="7759BCDF" w14:textId="5DABAA4C" w:rsidR="006114E1" w:rsidRPr="00453259" w:rsidRDefault="00201A4A" w:rsidP="006114E1">
            <w:pPr>
              <w:numPr>
                <w:ilvl w:val="0"/>
                <w:numId w:val="6"/>
              </w:numPr>
              <w:contextualSpacing/>
              <w:rPr>
                <w:rFonts w:eastAsia="Times New Roman" w:cs="Arial"/>
              </w:rPr>
            </w:pPr>
            <w:r w:rsidRPr="00453259">
              <w:rPr>
                <w:rFonts w:eastAsia="Times New Roman" w:cs="Arial"/>
              </w:rPr>
              <w:t>The principles and attributes of good partnerships are embedded in the partnering arrangements</w:t>
            </w:r>
            <w:r w:rsidR="00D3106D" w:rsidRPr="00453259">
              <w:rPr>
                <w:rFonts w:eastAsia="Times New Roman" w:cs="Arial"/>
              </w:rPr>
              <w:t>.</w:t>
            </w:r>
            <w:r w:rsidR="006114E1" w:rsidRPr="00453259">
              <w:rPr>
                <w:rFonts w:eastAsia="Times New Roman" w:cs="Arial"/>
              </w:rPr>
              <w:t xml:space="preserve"> </w:t>
            </w:r>
          </w:p>
        </w:tc>
      </w:tr>
      <w:tr w:rsidR="00D3106D" w:rsidRPr="00281C85" w14:paraId="23907326" w14:textId="77777777" w:rsidTr="006114E1">
        <w:tc>
          <w:tcPr>
            <w:tcW w:w="2268" w:type="dxa"/>
            <w:shd w:val="clear" w:color="auto" w:fill="DBE5F1" w:themeFill="accent1" w:themeFillTint="33"/>
          </w:tcPr>
          <w:p w14:paraId="535FD4C4" w14:textId="4CBCBD7A" w:rsidR="00D3106D" w:rsidRPr="00453259" w:rsidRDefault="00D3106D" w:rsidP="00BB02F3">
            <w:pPr>
              <w:contextualSpacing/>
              <w:rPr>
                <w:rFonts w:eastAsia="Times New Roman" w:cs="Arial"/>
                <w:b/>
              </w:rPr>
            </w:pPr>
            <w:r w:rsidRPr="00453259">
              <w:rPr>
                <w:rFonts w:eastAsia="Times New Roman" w:cs="Arial"/>
                <w:b/>
              </w:rPr>
              <w:t xml:space="preserve">Project design is aligned to </w:t>
            </w:r>
            <w:r w:rsidR="008E647A">
              <w:rPr>
                <w:rFonts w:eastAsia="Times New Roman" w:cs="Arial"/>
                <w:b/>
              </w:rPr>
              <w:t>the FLP P</w:t>
            </w:r>
            <w:r w:rsidRPr="00453259">
              <w:rPr>
                <w:rFonts w:eastAsia="Times New Roman" w:cs="Arial"/>
                <w:b/>
              </w:rPr>
              <w:t>rogram outcomes</w:t>
            </w:r>
          </w:p>
        </w:tc>
        <w:tc>
          <w:tcPr>
            <w:tcW w:w="7201" w:type="dxa"/>
          </w:tcPr>
          <w:p w14:paraId="27323E5B" w14:textId="67F0E999" w:rsidR="00D3106D" w:rsidRPr="00453259" w:rsidRDefault="00D3106D" w:rsidP="006114E1">
            <w:pPr>
              <w:pStyle w:val="PGlist"/>
              <w:numPr>
                <w:ilvl w:val="0"/>
                <w:numId w:val="15"/>
              </w:numPr>
              <w:spacing w:after="120"/>
              <w:ind w:left="324" w:hanging="284"/>
              <w:jc w:val="left"/>
              <w:rPr>
                <w:sz w:val="20"/>
                <w:szCs w:val="20"/>
              </w:rPr>
            </w:pPr>
            <w:r w:rsidRPr="00453259">
              <w:rPr>
                <w:sz w:val="20"/>
                <w:szCs w:val="20"/>
              </w:rPr>
              <w:t>Engaging and addressing barriers to learning for parents experiencing disadvantage (social, economic or educational disadvantage).</w:t>
            </w:r>
          </w:p>
          <w:p w14:paraId="4D8EECDE" w14:textId="3FBF47BF" w:rsidR="00D3106D" w:rsidRPr="00453259" w:rsidRDefault="00D3106D" w:rsidP="006114E1">
            <w:pPr>
              <w:pStyle w:val="PGlist"/>
              <w:numPr>
                <w:ilvl w:val="0"/>
                <w:numId w:val="15"/>
              </w:numPr>
              <w:spacing w:after="120"/>
              <w:ind w:left="324" w:hanging="284"/>
              <w:jc w:val="left"/>
              <w:rPr>
                <w:sz w:val="20"/>
                <w:szCs w:val="20"/>
              </w:rPr>
            </w:pPr>
            <w:r w:rsidRPr="00453259">
              <w:rPr>
                <w:sz w:val="20"/>
                <w:szCs w:val="20"/>
              </w:rPr>
              <w:t>Using formal and informal learning activities to help parents experiencing disadvantage to start a pathway to further education and employment.</w:t>
            </w:r>
          </w:p>
          <w:p w14:paraId="7F21E93F" w14:textId="72F6F06D" w:rsidR="00D3106D" w:rsidRPr="00453259" w:rsidRDefault="00D3106D" w:rsidP="006114E1">
            <w:pPr>
              <w:pStyle w:val="PGlist"/>
              <w:numPr>
                <w:ilvl w:val="0"/>
                <w:numId w:val="15"/>
              </w:numPr>
              <w:spacing w:after="120"/>
              <w:ind w:left="324" w:hanging="284"/>
              <w:jc w:val="left"/>
              <w:rPr>
                <w:sz w:val="20"/>
                <w:szCs w:val="20"/>
              </w:rPr>
            </w:pPr>
            <w:r w:rsidRPr="00453259">
              <w:rPr>
                <w:sz w:val="20"/>
                <w:szCs w:val="20"/>
              </w:rPr>
              <w:t>Growing collaborative partnerships between participating LLOs, community based services and other educational organisations.</w:t>
            </w:r>
          </w:p>
          <w:p w14:paraId="1E72576B" w14:textId="46367082" w:rsidR="00D3106D" w:rsidRPr="00453259" w:rsidRDefault="00D3106D" w:rsidP="006114E1">
            <w:pPr>
              <w:pStyle w:val="PGlist"/>
              <w:numPr>
                <w:ilvl w:val="0"/>
                <w:numId w:val="15"/>
              </w:numPr>
              <w:spacing w:after="120"/>
              <w:ind w:left="324" w:hanging="284"/>
              <w:jc w:val="left"/>
              <w:rPr>
                <w:sz w:val="20"/>
                <w:szCs w:val="20"/>
              </w:rPr>
            </w:pPr>
            <w:r w:rsidRPr="00453259">
              <w:rPr>
                <w:sz w:val="20"/>
                <w:szCs w:val="20"/>
              </w:rPr>
              <w:t>Effective and sustainable plans.</w:t>
            </w:r>
          </w:p>
        </w:tc>
      </w:tr>
      <w:tr w:rsidR="004A41FA" w:rsidRPr="00281C85" w14:paraId="711DC167" w14:textId="77777777" w:rsidTr="006114E1">
        <w:tc>
          <w:tcPr>
            <w:tcW w:w="2268" w:type="dxa"/>
            <w:shd w:val="clear" w:color="auto" w:fill="DBE5F1" w:themeFill="accent1" w:themeFillTint="33"/>
          </w:tcPr>
          <w:p w14:paraId="1A10426B" w14:textId="048CA0E8" w:rsidR="004A41FA" w:rsidRPr="00453259" w:rsidRDefault="004A41FA" w:rsidP="00BB02F3">
            <w:pPr>
              <w:contextualSpacing/>
              <w:rPr>
                <w:rFonts w:eastAsia="Times New Roman" w:cs="Arial"/>
                <w:b/>
              </w:rPr>
            </w:pPr>
            <w:r w:rsidRPr="00453259">
              <w:rPr>
                <w:rFonts w:eastAsia="Times New Roman" w:cs="Arial"/>
                <w:b/>
              </w:rPr>
              <w:t xml:space="preserve">Proposed </w:t>
            </w:r>
            <w:r w:rsidR="008E647A">
              <w:rPr>
                <w:rFonts w:eastAsia="Times New Roman" w:cs="Arial"/>
                <w:b/>
              </w:rPr>
              <w:t xml:space="preserve">project </w:t>
            </w:r>
            <w:r w:rsidRPr="00453259">
              <w:rPr>
                <w:rFonts w:eastAsia="Times New Roman" w:cs="Arial"/>
                <w:b/>
              </w:rPr>
              <w:t>meets criteria</w:t>
            </w:r>
          </w:p>
        </w:tc>
        <w:tc>
          <w:tcPr>
            <w:tcW w:w="7201" w:type="dxa"/>
          </w:tcPr>
          <w:p w14:paraId="5C81F824" w14:textId="305E7CAB" w:rsidR="004A41FA" w:rsidRPr="00453259" w:rsidRDefault="004A41FA" w:rsidP="006114E1">
            <w:pPr>
              <w:contextualSpacing/>
              <w:rPr>
                <w:rFonts w:eastAsia="Times New Roman" w:cs="Arial"/>
              </w:rPr>
            </w:pPr>
            <w:r w:rsidRPr="00453259">
              <w:rPr>
                <w:rFonts w:eastAsia="Times New Roman" w:cs="Arial"/>
              </w:rPr>
              <w:t xml:space="preserve">Responses to each </w:t>
            </w:r>
            <w:r w:rsidR="006114E1" w:rsidRPr="00453259">
              <w:rPr>
                <w:rFonts w:eastAsia="Times New Roman" w:cs="Arial"/>
              </w:rPr>
              <w:t>criteria</w:t>
            </w:r>
            <w:r w:rsidRPr="00453259">
              <w:rPr>
                <w:rFonts w:eastAsia="Times New Roman" w:cs="Arial"/>
              </w:rPr>
              <w:t xml:space="preserve"> demonstrate ability and readiness to deliver a family learning </w:t>
            </w:r>
            <w:r w:rsidR="008E647A">
              <w:rPr>
                <w:rFonts w:eastAsia="Times New Roman" w:cs="Arial"/>
              </w:rPr>
              <w:t>project</w:t>
            </w:r>
            <w:r w:rsidRPr="00453259">
              <w:rPr>
                <w:rFonts w:eastAsia="Times New Roman" w:cs="Arial"/>
              </w:rPr>
              <w:t xml:space="preserve"> that is tailored to meet the needs of the local community.</w:t>
            </w:r>
          </w:p>
          <w:p w14:paraId="7CD0CB8C" w14:textId="2367B470" w:rsidR="00FF0421" w:rsidRPr="00453259" w:rsidRDefault="00FF0421" w:rsidP="006114E1">
            <w:pPr>
              <w:contextualSpacing/>
              <w:rPr>
                <w:rFonts w:eastAsia="Times New Roman" w:cs="Arial"/>
              </w:rPr>
            </w:pPr>
          </w:p>
        </w:tc>
      </w:tr>
    </w:tbl>
    <w:p w14:paraId="593F29B4" w14:textId="77777777" w:rsidR="005456C4" w:rsidRPr="00895215" w:rsidRDefault="005456C4" w:rsidP="00F50BD9">
      <w:pPr>
        <w:pStyle w:val="new"/>
        <w:spacing w:before="0"/>
      </w:pPr>
      <w:r w:rsidRPr="00895215">
        <w:t>Timelines</w:t>
      </w:r>
    </w:p>
    <w:p w14:paraId="6FA705A7" w14:textId="775A4967" w:rsidR="002C431C" w:rsidRDefault="008B74CB" w:rsidP="002C431C">
      <w:pPr>
        <w:spacing w:line="240" w:lineRule="auto"/>
        <w:jc w:val="both"/>
        <w:rPr>
          <w:rFonts w:cs="NewsGothicBT-Roman"/>
        </w:rPr>
      </w:pPr>
      <w:r>
        <w:rPr>
          <w:rFonts w:cs="NewsGothicBT-Roman"/>
        </w:rPr>
        <w:t>Successful o</w:t>
      </w:r>
      <w:r w:rsidR="008B402B">
        <w:rPr>
          <w:rFonts w:cs="NewsGothicBT-Roman"/>
        </w:rPr>
        <w:t xml:space="preserve">rganisations will be notified in writing and will </w:t>
      </w:r>
      <w:r>
        <w:rPr>
          <w:rFonts w:cs="NewsGothicBT-Roman"/>
        </w:rPr>
        <w:t xml:space="preserve">be required to provide a detailed </w:t>
      </w:r>
      <w:r w:rsidR="009C4BEE">
        <w:rPr>
          <w:rFonts w:cs="NewsGothicBT-Roman"/>
        </w:rPr>
        <w:t>pro</w:t>
      </w:r>
      <w:r w:rsidR="008E647A">
        <w:rPr>
          <w:rFonts w:cs="NewsGothicBT-Roman"/>
        </w:rPr>
        <w:t>ject</w:t>
      </w:r>
      <w:r>
        <w:rPr>
          <w:rFonts w:cs="NewsGothicBT-Roman"/>
        </w:rPr>
        <w:t xml:space="preserve"> implementation plan against the key outcomes over the life of the </w:t>
      </w:r>
      <w:r w:rsidR="009C4BEE">
        <w:rPr>
          <w:rFonts w:cs="NewsGothicBT-Roman"/>
        </w:rPr>
        <w:t>pro</w:t>
      </w:r>
      <w:r w:rsidR="008E647A">
        <w:rPr>
          <w:rFonts w:cs="NewsGothicBT-Roman"/>
        </w:rPr>
        <w:t>ject</w:t>
      </w:r>
      <w:r>
        <w:rPr>
          <w:rFonts w:cs="NewsGothicBT-Roman"/>
        </w:rPr>
        <w:t xml:space="preserve">. Successful participants will be </w:t>
      </w:r>
      <w:r w:rsidR="008B402B">
        <w:rPr>
          <w:rFonts w:cs="NewsGothicBT-Roman"/>
        </w:rPr>
        <w:t>invited to attend an i</w:t>
      </w:r>
      <w:r>
        <w:rPr>
          <w:rFonts w:cs="NewsGothicBT-Roman"/>
        </w:rPr>
        <w:t>nduction workshop in June 2017 along with existing FLP participants.</w:t>
      </w:r>
    </w:p>
    <w:p w14:paraId="515594A5" w14:textId="77777777" w:rsidR="00C13666" w:rsidRPr="000435BB" w:rsidRDefault="00C13666" w:rsidP="00C13666">
      <w:pPr>
        <w:pStyle w:val="PGsubhead"/>
      </w:pPr>
      <w:r w:rsidRPr="000435BB">
        <w:t>Family Learning Partnerships Roles and Responsibilities</w:t>
      </w:r>
    </w:p>
    <w:p w14:paraId="5B344C17" w14:textId="7EE2297A" w:rsidR="00C13666" w:rsidRDefault="00C13666" w:rsidP="00C13666">
      <w:pPr>
        <w:spacing w:line="240" w:lineRule="auto"/>
        <w:jc w:val="both"/>
        <w:rPr>
          <w:rFonts w:cs="Helv"/>
          <w:color w:val="000000"/>
        </w:rPr>
      </w:pPr>
      <w:r>
        <w:rPr>
          <w:rFonts w:cs="Helv"/>
          <w:color w:val="000000"/>
        </w:rPr>
        <w:t xml:space="preserve">Below is an overview of the roles and expectations for each of those involved in the FLP </w:t>
      </w:r>
      <w:r w:rsidR="009C4BEE">
        <w:rPr>
          <w:rFonts w:cs="Helv"/>
          <w:color w:val="000000"/>
        </w:rPr>
        <w:t>Program</w:t>
      </w:r>
      <w:r>
        <w:rPr>
          <w:rFonts w:cs="Helv"/>
          <w:color w:val="000000"/>
        </w:rPr>
        <w:t>.</w:t>
      </w:r>
    </w:p>
    <w:p w14:paraId="0057F982" w14:textId="77777777" w:rsidR="00C13666" w:rsidRPr="000435BB" w:rsidRDefault="00C13666" w:rsidP="00897B1B">
      <w:pPr>
        <w:pStyle w:val="PGListHead"/>
      </w:pPr>
      <w:r w:rsidRPr="000435BB">
        <w:lastRenderedPageBreak/>
        <w:t>Role of Learn Local participants</w:t>
      </w:r>
      <w:r>
        <w:t>:</w:t>
      </w:r>
    </w:p>
    <w:p w14:paraId="4A0B99F6" w14:textId="0AE799CD" w:rsidR="00C13666" w:rsidRPr="00E33DB2" w:rsidRDefault="00C13666" w:rsidP="008B402B">
      <w:pPr>
        <w:pStyle w:val="PGlist"/>
        <w:spacing w:after="60"/>
      </w:pPr>
      <w:r w:rsidRPr="00E33DB2">
        <w:t xml:space="preserve">development of </w:t>
      </w:r>
      <w:r>
        <w:t xml:space="preserve">a </w:t>
      </w:r>
      <w:r w:rsidRPr="00E33DB2">
        <w:t xml:space="preserve">sustainable </w:t>
      </w:r>
      <w:r w:rsidR="008E647A">
        <w:t>project</w:t>
      </w:r>
      <w:r>
        <w:t xml:space="preserve"> including engagement and learning strategies and pathways</w:t>
      </w:r>
    </w:p>
    <w:p w14:paraId="3A1E52E1" w14:textId="4A7686BA" w:rsidR="00C13666" w:rsidRPr="00E33DB2" w:rsidRDefault="00C13666" w:rsidP="008B402B">
      <w:pPr>
        <w:pStyle w:val="PGlist"/>
        <w:spacing w:after="60"/>
      </w:pPr>
      <w:r w:rsidRPr="00E33DB2">
        <w:t xml:space="preserve">establish appropriate governance structures to ensure </w:t>
      </w:r>
      <w:r w:rsidR="008E647A">
        <w:t>project</w:t>
      </w:r>
      <w:r w:rsidRPr="00E33DB2">
        <w:t xml:space="preserve"> progress and sustainability</w:t>
      </w:r>
    </w:p>
    <w:p w14:paraId="385E41CE" w14:textId="072DDB3C" w:rsidR="00C13666" w:rsidRPr="00E33DB2" w:rsidRDefault="00C13666" w:rsidP="008B402B">
      <w:pPr>
        <w:pStyle w:val="PGlist"/>
        <w:spacing w:after="60"/>
      </w:pPr>
      <w:r>
        <w:t xml:space="preserve">report risks to </w:t>
      </w:r>
      <w:r w:rsidR="008E647A">
        <w:t>project</w:t>
      </w:r>
      <w:r>
        <w:t xml:space="preserve"> </w:t>
      </w:r>
      <w:r w:rsidRPr="00E33DB2">
        <w:t xml:space="preserve">delivery and seek assistance from the DET </w:t>
      </w:r>
      <w:r w:rsidR="009C4BEE">
        <w:t>Program</w:t>
      </w:r>
      <w:r w:rsidRPr="00E33DB2">
        <w:t xml:space="preserve"> Manager </w:t>
      </w:r>
    </w:p>
    <w:p w14:paraId="130F3AEE" w14:textId="2488ED16" w:rsidR="00C13666" w:rsidRPr="00E33DB2" w:rsidRDefault="00C13666" w:rsidP="008B402B">
      <w:pPr>
        <w:pStyle w:val="PGlist"/>
        <w:spacing w:after="60"/>
      </w:pPr>
      <w:r>
        <w:t>p</w:t>
      </w:r>
      <w:r w:rsidRPr="00E33DB2">
        <w:t>articipate in or lead evaluation activit</w:t>
      </w:r>
      <w:r>
        <w:t xml:space="preserve">ies to capture </w:t>
      </w:r>
      <w:r w:rsidR="008E647A">
        <w:t>project</w:t>
      </w:r>
      <w:r>
        <w:t xml:space="preserve"> outcomes</w:t>
      </w:r>
    </w:p>
    <w:p w14:paraId="4A546DB0" w14:textId="216FA1FF" w:rsidR="00C13666" w:rsidRPr="005B6E5E" w:rsidRDefault="00C13666" w:rsidP="008B402B">
      <w:pPr>
        <w:pStyle w:val="PGlist"/>
        <w:spacing w:after="60"/>
        <w:rPr>
          <w:rFonts w:cstheme="minorBidi"/>
        </w:rPr>
      </w:pPr>
      <w:r w:rsidRPr="00E33DB2">
        <w:t xml:space="preserve">maintain a focus on </w:t>
      </w:r>
      <w:r w:rsidR="009C4BEE">
        <w:t>program</w:t>
      </w:r>
      <w:r w:rsidRPr="00E33DB2">
        <w:t xml:space="preserve"> outcomes (i.e. engagement of parents</w:t>
      </w:r>
      <w:r w:rsidRPr="00E63444">
        <w:t xml:space="preserve"> in their own learning and exploration of pathways into formal education a</w:t>
      </w:r>
      <w:r>
        <w:t>nd learning)</w:t>
      </w:r>
    </w:p>
    <w:p w14:paraId="2400DFBE" w14:textId="77777777" w:rsidR="00C13666" w:rsidRPr="005B6E5E" w:rsidRDefault="00C13666" w:rsidP="008B402B">
      <w:pPr>
        <w:pStyle w:val="PGlist"/>
        <w:spacing w:after="60"/>
        <w:rPr>
          <w:rFonts w:cstheme="minorBidi"/>
        </w:rPr>
      </w:pPr>
      <w:r>
        <w:t>develop and provide learning opportunities and assist participants to develop learning plans</w:t>
      </w:r>
    </w:p>
    <w:p w14:paraId="50943797" w14:textId="77777777" w:rsidR="00C13666" w:rsidRDefault="00C13666" w:rsidP="008B402B">
      <w:pPr>
        <w:pStyle w:val="PGlist"/>
        <w:spacing w:after="60"/>
        <w:rPr>
          <w:rFonts w:cstheme="minorBidi"/>
        </w:rPr>
      </w:pPr>
      <w:r>
        <w:rPr>
          <w:rFonts w:cstheme="minorBidi"/>
        </w:rPr>
        <w:t>contribute to reports and resource development</w:t>
      </w:r>
    </w:p>
    <w:p w14:paraId="61258534" w14:textId="77777777" w:rsidR="00C13666" w:rsidRPr="00E33DB2" w:rsidRDefault="00C13666" w:rsidP="008B402B">
      <w:pPr>
        <w:pStyle w:val="PGlist"/>
        <w:spacing w:after="60"/>
      </w:pPr>
      <w:r w:rsidRPr="00E63444">
        <w:t xml:space="preserve">attend </w:t>
      </w:r>
      <w:r w:rsidRPr="00E33DB2">
        <w:t>CoP meetings</w:t>
      </w:r>
    </w:p>
    <w:p w14:paraId="77740490" w14:textId="77777777" w:rsidR="00C13666" w:rsidRPr="003B6EC9" w:rsidRDefault="00C13666" w:rsidP="008B402B">
      <w:pPr>
        <w:pStyle w:val="PGlist"/>
        <w:spacing w:after="60"/>
      </w:pPr>
      <w:r w:rsidRPr="00E33DB2">
        <w:t>be active CoP participants by sharing knowledge, skills and experience</w:t>
      </w:r>
      <w:r>
        <w:t>.</w:t>
      </w:r>
    </w:p>
    <w:p w14:paraId="38DFFF00" w14:textId="63361035" w:rsidR="00C13666" w:rsidRPr="000435BB" w:rsidRDefault="00C13666" w:rsidP="00897B1B">
      <w:pPr>
        <w:pStyle w:val="PGListHead"/>
      </w:pPr>
      <w:r w:rsidRPr="000435BB">
        <w:t xml:space="preserve">Role of DET </w:t>
      </w:r>
      <w:r w:rsidR="009C4BEE">
        <w:t>Program</w:t>
      </w:r>
      <w:r w:rsidRPr="000435BB">
        <w:t xml:space="preserve"> Manager</w:t>
      </w:r>
      <w:r>
        <w:t>:</w:t>
      </w:r>
    </w:p>
    <w:p w14:paraId="0446720E" w14:textId="77777777" w:rsidR="00C13666" w:rsidRPr="00E33DB2" w:rsidRDefault="00C13666" w:rsidP="008B402B">
      <w:pPr>
        <w:pStyle w:val="PGlist"/>
        <w:spacing w:after="60"/>
      </w:pPr>
      <w:r>
        <w:t>e</w:t>
      </w:r>
      <w:r w:rsidRPr="00E63444">
        <w:t xml:space="preserve">stablish the CoP </w:t>
      </w:r>
      <w:r w:rsidRPr="00E33DB2">
        <w:t>workgroups and membership, and ensure strong attendance from members</w:t>
      </w:r>
    </w:p>
    <w:p w14:paraId="1D922867" w14:textId="4D8BCFCF" w:rsidR="00C13666" w:rsidRPr="00E33DB2" w:rsidRDefault="00C13666" w:rsidP="008B402B">
      <w:pPr>
        <w:pStyle w:val="PGlist"/>
        <w:spacing w:after="60"/>
      </w:pPr>
      <w:r w:rsidRPr="00E33DB2">
        <w:t>oversee t</w:t>
      </w:r>
      <w:r>
        <w:t>he day-to-</w:t>
      </w:r>
      <w:r w:rsidRPr="00E33DB2">
        <w:t xml:space="preserve">day running of </w:t>
      </w:r>
      <w:r>
        <w:t>program</w:t>
      </w:r>
      <w:r w:rsidRPr="00E33DB2">
        <w:t xml:space="preserve"> sites </w:t>
      </w:r>
    </w:p>
    <w:p w14:paraId="0B24BC6E" w14:textId="77777777" w:rsidR="00C13666" w:rsidRPr="00E33DB2" w:rsidRDefault="00C13666" w:rsidP="008B402B">
      <w:pPr>
        <w:pStyle w:val="PGlist"/>
        <w:spacing w:after="60"/>
      </w:pPr>
      <w:r>
        <w:t>coordinate workshops</w:t>
      </w:r>
      <w:r w:rsidRPr="00E33DB2">
        <w:t xml:space="preserve">, </w:t>
      </w:r>
      <w:r>
        <w:t xml:space="preserve">meetings, </w:t>
      </w:r>
      <w:r w:rsidRPr="00E33DB2">
        <w:t xml:space="preserve">activities and other communication mechanisms </w:t>
      </w:r>
    </w:p>
    <w:p w14:paraId="1B5D869B" w14:textId="77777777" w:rsidR="00C13666" w:rsidRPr="00E33DB2" w:rsidRDefault="00C13666" w:rsidP="008B402B">
      <w:pPr>
        <w:pStyle w:val="PGlist"/>
        <w:spacing w:after="60"/>
      </w:pPr>
      <w:r w:rsidRPr="00E33DB2">
        <w:t>monitor and report on p</w:t>
      </w:r>
      <w:r>
        <w:t>rogram</w:t>
      </w:r>
      <w:r w:rsidRPr="00E33DB2">
        <w:t xml:space="preserve"> measures and outcomes </w:t>
      </w:r>
    </w:p>
    <w:p w14:paraId="6E019616" w14:textId="4822A16A" w:rsidR="00C13666" w:rsidRPr="00E33DB2" w:rsidRDefault="00C13666" w:rsidP="008B402B">
      <w:pPr>
        <w:pStyle w:val="PGlist"/>
        <w:spacing w:after="60"/>
      </w:pPr>
      <w:r w:rsidRPr="00E33DB2">
        <w:t xml:space="preserve">undertake ongoing planning activities throughout the </w:t>
      </w:r>
      <w:r w:rsidR="009C4BEE">
        <w:t>program</w:t>
      </w:r>
      <w:r w:rsidRPr="00E33DB2">
        <w:t xml:space="preserve"> lifecycle</w:t>
      </w:r>
    </w:p>
    <w:p w14:paraId="4DE7C985" w14:textId="77777777" w:rsidR="00C13666" w:rsidRPr="00E33DB2" w:rsidRDefault="00C13666" w:rsidP="008B402B">
      <w:pPr>
        <w:pStyle w:val="PGlist"/>
        <w:spacing w:after="60"/>
      </w:pPr>
      <w:r w:rsidRPr="00E33DB2">
        <w:t>liaison between Department, CoPs and participating LLOs</w:t>
      </w:r>
    </w:p>
    <w:p w14:paraId="502AD326" w14:textId="77777777" w:rsidR="00C13666" w:rsidRPr="00E33DB2" w:rsidRDefault="00C13666" w:rsidP="008B402B">
      <w:pPr>
        <w:pStyle w:val="PGlist"/>
        <w:spacing w:after="60"/>
      </w:pPr>
      <w:r w:rsidRPr="00E33DB2">
        <w:t>report progress back to the ACFE Board and manage contracts</w:t>
      </w:r>
      <w:r>
        <w:t>.</w:t>
      </w:r>
    </w:p>
    <w:p w14:paraId="15F33EDC" w14:textId="77777777" w:rsidR="00C13666" w:rsidRPr="00C85F87" w:rsidRDefault="00C13666" w:rsidP="00897B1B">
      <w:pPr>
        <w:pStyle w:val="PGListHead"/>
      </w:pPr>
      <w:r w:rsidRPr="000435BB">
        <w:t xml:space="preserve">Role of </w:t>
      </w:r>
      <w:r>
        <w:t>Community of Practice Groups</w:t>
      </w:r>
    </w:p>
    <w:p w14:paraId="2FBF4089" w14:textId="77777777" w:rsidR="00C13666" w:rsidRPr="00E33DB2" w:rsidRDefault="00C13666" w:rsidP="008B402B">
      <w:pPr>
        <w:pStyle w:val="PGlist"/>
        <w:spacing w:after="60"/>
      </w:pPr>
      <w:r w:rsidRPr="00E33DB2">
        <w:t>development of members’ capabilities and professional skills</w:t>
      </w:r>
    </w:p>
    <w:p w14:paraId="571B8D9A" w14:textId="77777777" w:rsidR="00C13666" w:rsidRPr="00E33DB2" w:rsidRDefault="00C13666" w:rsidP="008B402B">
      <w:pPr>
        <w:pStyle w:val="PGlist"/>
        <w:spacing w:after="60"/>
      </w:pPr>
      <w:r w:rsidRPr="00E33DB2">
        <w:t>building and exchanging knowledge</w:t>
      </w:r>
    </w:p>
    <w:p w14:paraId="571431DF" w14:textId="77777777" w:rsidR="00C13666" w:rsidRPr="00E33DB2" w:rsidRDefault="00C13666" w:rsidP="008B402B">
      <w:pPr>
        <w:pStyle w:val="PGlist"/>
        <w:spacing w:after="60"/>
      </w:pPr>
      <w:r w:rsidRPr="00E33DB2">
        <w:t>sharing of experience, values, and expert insights</w:t>
      </w:r>
    </w:p>
    <w:p w14:paraId="3CCA2B8D" w14:textId="77777777" w:rsidR="00C13666" w:rsidRPr="00E33DB2" w:rsidRDefault="00C13666" w:rsidP="008B402B">
      <w:pPr>
        <w:pStyle w:val="PGlist"/>
        <w:spacing w:after="60"/>
      </w:pPr>
      <w:r w:rsidRPr="00E33DB2">
        <w:t>helping participants address actual or potential problems</w:t>
      </w:r>
    </w:p>
    <w:p w14:paraId="32F59D82" w14:textId="77777777" w:rsidR="00C13666" w:rsidRPr="00E33DB2" w:rsidRDefault="00C13666" w:rsidP="008B402B">
      <w:pPr>
        <w:pStyle w:val="PGlist"/>
        <w:spacing w:after="60"/>
      </w:pPr>
      <w:r w:rsidRPr="00E33DB2">
        <w:t>assisting in the transfer of good practice</w:t>
      </w:r>
    </w:p>
    <w:p w14:paraId="13A8638A" w14:textId="77777777" w:rsidR="00C13666" w:rsidRPr="00E33DB2" w:rsidRDefault="00C13666" w:rsidP="008B402B">
      <w:pPr>
        <w:pStyle w:val="PGlist"/>
        <w:spacing w:after="60"/>
      </w:pPr>
      <w:r w:rsidRPr="00E33DB2">
        <w:t>capturing the ‘practice’ that underpins the community (e.g. the ideas, stories and documents that community members share)</w:t>
      </w:r>
    </w:p>
    <w:p w14:paraId="3DFF5A68" w14:textId="77777777" w:rsidR="00C13666" w:rsidRPr="00E33DB2" w:rsidRDefault="00C13666" w:rsidP="008B402B">
      <w:pPr>
        <w:pStyle w:val="PGlist"/>
        <w:spacing w:after="60"/>
      </w:pPr>
      <w:r w:rsidRPr="00E33DB2">
        <w:t>producing long-term benefits for service provision.</w:t>
      </w:r>
    </w:p>
    <w:p w14:paraId="083C273E" w14:textId="77777777" w:rsidR="00C13666" w:rsidRPr="000435BB" w:rsidRDefault="00C13666" w:rsidP="00897B1B">
      <w:pPr>
        <w:pStyle w:val="PGListHead"/>
      </w:pPr>
      <w:r w:rsidRPr="000435BB">
        <w:t>Role of Experts</w:t>
      </w:r>
      <w:r>
        <w:t>:</w:t>
      </w:r>
    </w:p>
    <w:p w14:paraId="06BA38BD" w14:textId="77777777" w:rsidR="00C13666" w:rsidRDefault="00C13666" w:rsidP="00C13666">
      <w:pPr>
        <w:pStyle w:val="PGlist"/>
        <w:numPr>
          <w:ilvl w:val="0"/>
          <w:numId w:val="4"/>
        </w:numPr>
        <w:spacing w:after="120"/>
        <w:ind w:left="714" w:hanging="357"/>
        <w:rPr>
          <w:szCs w:val="22"/>
        </w:rPr>
      </w:pPr>
      <w:r w:rsidRPr="00E63444">
        <w:rPr>
          <w:szCs w:val="22"/>
        </w:rPr>
        <w:t xml:space="preserve">Funding has been set aside to engage subject matter experts on an ‘as needs’ basis to provide practical advice and information to assist </w:t>
      </w:r>
      <w:r>
        <w:rPr>
          <w:szCs w:val="22"/>
        </w:rPr>
        <w:t>and support CoP members.</w:t>
      </w:r>
    </w:p>
    <w:p w14:paraId="28F982CE" w14:textId="3BC53700" w:rsidR="00C13666" w:rsidRPr="002C431C" w:rsidRDefault="00C13666" w:rsidP="00050D4E">
      <w:pPr>
        <w:pStyle w:val="PGlist"/>
        <w:numPr>
          <w:ilvl w:val="0"/>
          <w:numId w:val="4"/>
        </w:numPr>
        <w:spacing w:after="200"/>
        <w:rPr>
          <w:rFonts w:cs="NewsGothicBT-Roman"/>
        </w:rPr>
        <w:sectPr w:rsidR="00C13666" w:rsidRPr="002C431C" w:rsidSect="000B4EBB">
          <w:headerReference w:type="default" r:id="rId12"/>
          <w:footerReference w:type="even" r:id="rId13"/>
          <w:footerReference w:type="default" r:id="rId14"/>
          <w:pgSz w:w="11906" w:h="16838"/>
          <w:pgMar w:top="957" w:right="1274" w:bottom="993" w:left="1276" w:header="284" w:footer="635"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pPr>
      <w:r>
        <w:rPr>
          <w:szCs w:val="22"/>
        </w:rPr>
        <w:t xml:space="preserve">Experts will be engaged to attend </w:t>
      </w:r>
      <w:r w:rsidR="008B74CB">
        <w:rPr>
          <w:szCs w:val="22"/>
        </w:rPr>
        <w:t xml:space="preserve">six-monthly workshops </w:t>
      </w:r>
      <w:r>
        <w:rPr>
          <w:szCs w:val="22"/>
        </w:rPr>
        <w:t xml:space="preserve">as part of the performance development of </w:t>
      </w:r>
      <w:r w:rsidR="008B74CB">
        <w:rPr>
          <w:szCs w:val="22"/>
        </w:rPr>
        <w:t>participating LLO</w:t>
      </w:r>
      <w:r>
        <w:rPr>
          <w:szCs w:val="22"/>
        </w:rPr>
        <w:t xml:space="preserve"> members. Sessions ma</w:t>
      </w:r>
      <w:r w:rsidR="008B74CB">
        <w:rPr>
          <w:szCs w:val="22"/>
        </w:rPr>
        <w:t>y be made available via webinar.</w:t>
      </w:r>
      <w:r w:rsidR="00050D4E" w:rsidRPr="002C431C">
        <w:rPr>
          <w:rFonts w:cs="NewsGothicBT-Roman"/>
        </w:rPr>
        <w:t xml:space="preserve"> </w:t>
      </w:r>
    </w:p>
    <w:p w14:paraId="5FB98223" w14:textId="00E29795" w:rsidR="005456C4" w:rsidRPr="00A32FCF" w:rsidRDefault="006C35C7" w:rsidP="002D0C0D">
      <w:pPr>
        <w:pStyle w:val="Title"/>
      </w:pPr>
      <w:r w:rsidRPr="00A32FCF">
        <w:rPr>
          <w:noProof/>
          <w:lang w:eastAsia="en-AU"/>
        </w:rPr>
        <w:lastRenderedPageBreak/>
        <w:drawing>
          <wp:anchor distT="0" distB="0" distL="114300" distR="114300" simplePos="0" relativeHeight="251660287" behindDoc="1" locked="0" layoutInCell="1" allowOverlap="1" wp14:anchorId="35FF7BDC" wp14:editId="4203A8D9">
            <wp:simplePos x="0" y="0"/>
            <wp:positionH relativeFrom="column">
              <wp:posOffset>630555</wp:posOffset>
            </wp:positionH>
            <wp:positionV relativeFrom="paragraph">
              <wp:posOffset>339090</wp:posOffset>
            </wp:positionV>
            <wp:extent cx="8768034" cy="62858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768034" cy="6285800"/>
                    </a:xfrm>
                    <a:prstGeom prst="rect">
                      <a:avLst/>
                    </a:prstGeom>
                  </pic:spPr>
                </pic:pic>
              </a:graphicData>
            </a:graphic>
            <wp14:sizeRelH relativeFrom="page">
              <wp14:pctWidth>0</wp14:pctWidth>
            </wp14:sizeRelH>
            <wp14:sizeRelV relativeFrom="page">
              <wp14:pctHeight>0</wp14:pctHeight>
            </wp14:sizeRelV>
          </wp:anchor>
        </w:drawing>
      </w:r>
      <w:r w:rsidR="002D0C0D">
        <w:t xml:space="preserve">  </w:t>
      </w:r>
      <w:r w:rsidR="002D0C0D" w:rsidRPr="002D0C0D">
        <w:t>Appendix A</w:t>
      </w:r>
    </w:p>
    <w:p w14:paraId="6AC27279" w14:textId="6745702C" w:rsidR="005456C4" w:rsidRPr="00F408C6" w:rsidRDefault="005456C4" w:rsidP="005456C4">
      <w:pPr>
        <w:spacing w:after="0"/>
        <w:rPr>
          <w:rFonts w:cs="Helv"/>
          <w:b/>
          <w:color w:val="000000"/>
        </w:rPr>
      </w:pPr>
    </w:p>
    <w:p w14:paraId="5F85410E" w14:textId="5D7A065C" w:rsidR="00A32FCF" w:rsidRPr="002D0C0D" w:rsidRDefault="00A32FCF" w:rsidP="002D0C0D">
      <w:pPr>
        <w:pStyle w:val="Title"/>
      </w:pPr>
      <w:r>
        <w:br w:type="page"/>
      </w:r>
      <w:r w:rsidR="002D0C0D">
        <w:lastRenderedPageBreak/>
        <w:t xml:space="preserve"> </w:t>
      </w:r>
      <w:r w:rsidR="002D0C0D" w:rsidRPr="002D0C0D">
        <w:t>Appendix B</w:t>
      </w:r>
    </w:p>
    <w:p w14:paraId="161DA5CF" w14:textId="77777777" w:rsidR="00A32FCF" w:rsidRDefault="00A32FCF" w:rsidP="00A32FCF">
      <w:pPr>
        <w:jc w:val="center"/>
        <w:rPr>
          <w:rFonts w:ascii="Calibri" w:hAnsi="Calibri" w:cs="Helv"/>
          <w:b/>
          <w:color w:val="000000"/>
          <w:sz w:val="40"/>
          <w:szCs w:val="40"/>
        </w:rPr>
      </w:pPr>
      <w:r>
        <w:rPr>
          <w:noProof/>
          <w:lang w:eastAsia="en-AU"/>
        </w:rPr>
        <w:drawing>
          <wp:anchor distT="0" distB="0" distL="114300" distR="114300" simplePos="0" relativeHeight="251662335" behindDoc="1" locked="0" layoutInCell="1" allowOverlap="1" wp14:anchorId="5C94AE6F" wp14:editId="1D7C939B">
            <wp:simplePos x="0" y="0"/>
            <wp:positionH relativeFrom="column">
              <wp:posOffset>1628775</wp:posOffset>
            </wp:positionH>
            <wp:positionV relativeFrom="paragraph">
              <wp:posOffset>243205</wp:posOffset>
            </wp:positionV>
            <wp:extent cx="6348730" cy="533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348730" cy="5334000"/>
                    </a:xfrm>
                    <a:prstGeom prst="rect">
                      <a:avLst/>
                    </a:prstGeom>
                  </pic:spPr>
                </pic:pic>
              </a:graphicData>
            </a:graphic>
            <wp14:sizeRelH relativeFrom="page">
              <wp14:pctWidth>0</wp14:pctWidth>
            </wp14:sizeRelH>
            <wp14:sizeRelV relativeFrom="page">
              <wp14:pctHeight>0</wp14:pctHeight>
            </wp14:sizeRelV>
          </wp:anchor>
        </w:drawing>
      </w:r>
    </w:p>
    <w:p w14:paraId="0A6EA303" w14:textId="77777777" w:rsidR="00A32FCF" w:rsidRDefault="00A32FCF" w:rsidP="00A32FCF">
      <w:pPr>
        <w:spacing w:after="0"/>
        <w:rPr>
          <w:rFonts w:cs="Helv"/>
          <w:b/>
          <w:color w:val="000000"/>
        </w:rPr>
      </w:pPr>
    </w:p>
    <w:p w14:paraId="40AE6C2A" w14:textId="3C3221F9" w:rsidR="00A32FCF" w:rsidRPr="00A32FCF" w:rsidRDefault="00A32FCF">
      <w:pPr>
        <w:rPr>
          <w:rFonts w:ascii="Calibri" w:hAnsi="Calibri" w:cs="Helv"/>
          <w:b/>
          <w:color w:val="000000"/>
          <w:sz w:val="40"/>
          <w:szCs w:val="40"/>
        </w:rPr>
      </w:pPr>
    </w:p>
    <w:sectPr w:rsidR="00A32FCF" w:rsidRPr="00A32FCF" w:rsidSect="00A32FCF">
      <w:pgSz w:w="16838" w:h="11906" w:orient="landscape"/>
      <w:pgMar w:top="568" w:right="964" w:bottom="709" w:left="567" w:header="57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F04F" w14:textId="77777777" w:rsidR="003774EA" w:rsidRDefault="007E12F5">
      <w:pPr>
        <w:spacing w:after="0" w:line="240" w:lineRule="auto"/>
      </w:pPr>
      <w:r>
        <w:separator/>
      </w:r>
    </w:p>
  </w:endnote>
  <w:endnote w:type="continuationSeparator" w:id="0">
    <w:p w14:paraId="068A80EF" w14:textId="77777777" w:rsidR="003774EA" w:rsidRDefault="007E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B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35CE" w14:textId="77777777" w:rsidR="007764ED" w:rsidRDefault="007377C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77020DE7" w14:textId="77777777" w:rsidR="007764ED" w:rsidRDefault="006A3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DD22" w14:textId="46FAEAFA" w:rsidR="007764ED" w:rsidRDefault="007377CA">
    <w:pPr>
      <w:pStyle w:val="Footer"/>
      <w:ind w:right="360"/>
      <w:jc w:val="center"/>
      <w:rPr>
        <w:rFonts w:cs="Arial"/>
        <w:i/>
        <w:iCs/>
        <w:sz w:val="16"/>
      </w:rPr>
    </w:pPr>
    <w:r>
      <w:rPr>
        <w:rStyle w:val="PageNumber"/>
        <w:rFonts w:eastAsiaTheme="majorEastAsia" w:cs="Arial"/>
        <w:i/>
        <w:iCs/>
        <w:sz w:val="16"/>
      </w:rPr>
      <w:fldChar w:fldCharType="begin"/>
    </w:r>
    <w:r>
      <w:rPr>
        <w:rStyle w:val="PageNumber"/>
        <w:rFonts w:eastAsiaTheme="majorEastAsia" w:cs="Arial"/>
        <w:sz w:val="16"/>
      </w:rPr>
      <w:instrText xml:space="preserve"> PAGE </w:instrText>
    </w:r>
    <w:r>
      <w:rPr>
        <w:rStyle w:val="PageNumber"/>
        <w:rFonts w:eastAsiaTheme="majorEastAsia" w:cs="Arial"/>
        <w:i/>
        <w:iCs/>
        <w:sz w:val="16"/>
      </w:rPr>
      <w:fldChar w:fldCharType="separate"/>
    </w:r>
    <w:r w:rsidR="006A396C">
      <w:rPr>
        <w:rStyle w:val="PageNumber"/>
        <w:rFonts w:eastAsiaTheme="majorEastAsia" w:cs="Arial"/>
        <w:noProof/>
        <w:sz w:val="16"/>
      </w:rPr>
      <w:t>1</w:t>
    </w:r>
    <w:r>
      <w:rPr>
        <w:rStyle w:val="PageNumber"/>
        <w:rFonts w:eastAsiaTheme="majorEastAsia"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6E742" w14:textId="77777777" w:rsidR="003774EA" w:rsidRDefault="007E12F5">
      <w:pPr>
        <w:spacing w:after="0" w:line="240" w:lineRule="auto"/>
      </w:pPr>
      <w:r>
        <w:separator/>
      </w:r>
    </w:p>
  </w:footnote>
  <w:footnote w:type="continuationSeparator" w:id="0">
    <w:p w14:paraId="0286EE78" w14:textId="77777777" w:rsidR="003774EA" w:rsidRDefault="007E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19C8" w14:textId="77777777" w:rsidR="004C624F" w:rsidRDefault="007377CA" w:rsidP="004C624F">
    <w:pPr>
      <w:pStyle w:val="Header"/>
      <w:tabs>
        <w:tab w:val="clear" w:pos="4153"/>
        <w:tab w:val="clear" w:pos="8306"/>
        <w:tab w:val="left" w:pos="3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7BC"/>
    <w:multiLevelType w:val="hybridMultilevel"/>
    <w:tmpl w:val="51D81D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F3E7C0B"/>
    <w:multiLevelType w:val="hybridMultilevel"/>
    <w:tmpl w:val="FC305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812900"/>
    <w:multiLevelType w:val="hybridMultilevel"/>
    <w:tmpl w:val="36A0E530"/>
    <w:lvl w:ilvl="0" w:tplc="FA1EF840">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3C95420"/>
    <w:multiLevelType w:val="hybridMultilevel"/>
    <w:tmpl w:val="A13057D8"/>
    <w:lvl w:ilvl="0" w:tplc="E6C26226">
      <w:numFmt w:val="bullet"/>
      <w:lvlText w:val="•"/>
      <w:lvlJc w:val="left"/>
      <w:pPr>
        <w:ind w:left="1080" w:hanging="72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61CCC"/>
    <w:multiLevelType w:val="hybridMultilevel"/>
    <w:tmpl w:val="F5A68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9901BD"/>
    <w:multiLevelType w:val="hybridMultilevel"/>
    <w:tmpl w:val="9D2046B8"/>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4E7241F0"/>
    <w:multiLevelType w:val="hybridMultilevel"/>
    <w:tmpl w:val="D32E3B16"/>
    <w:lvl w:ilvl="0" w:tplc="FA1EF840">
      <w:start w:val="1"/>
      <w:numFmt w:val="bullet"/>
      <w:lvlText w:val=""/>
      <w:lvlJc w:val="left"/>
      <w:pPr>
        <w:ind w:left="720" w:hanging="360"/>
      </w:pPr>
      <w:rPr>
        <w:rFonts w:ascii="Symbol" w:hAnsi="Symbol" w:hint="default"/>
      </w:rPr>
    </w:lvl>
    <w:lvl w:ilvl="1" w:tplc="12A6E232">
      <w:numFmt w:val="bullet"/>
      <w:lvlText w:val="•"/>
      <w:lvlJc w:val="left"/>
      <w:pPr>
        <w:ind w:left="1515" w:hanging="435"/>
      </w:pPr>
      <w:rPr>
        <w:rFonts w:ascii="Calibri" w:eastAsiaTheme="minorHAns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0826B7"/>
    <w:multiLevelType w:val="hybridMultilevel"/>
    <w:tmpl w:val="66FE763A"/>
    <w:lvl w:ilvl="0" w:tplc="3D94B330">
      <w:numFmt w:val="bullet"/>
      <w:lvlText w:val="•"/>
      <w:lvlJc w:val="left"/>
      <w:pPr>
        <w:ind w:left="1800" w:hanging="360"/>
      </w:pPr>
      <w:rPr>
        <w:rFonts w:ascii="Calibri" w:eastAsia="Arial Unicode MS" w:hAnsi="Calibri"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52A70B96"/>
    <w:multiLevelType w:val="hybridMultilevel"/>
    <w:tmpl w:val="9A2E66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E01E7C"/>
    <w:multiLevelType w:val="hybridMultilevel"/>
    <w:tmpl w:val="7B54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7A06AD"/>
    <w:multiLevelType w:val="hybridMultilevel"/>
    <w:tmpl w:val="D054B3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9F2552A"/>
    <w:multiLevelType w:val="hybridMultilevel"/>
    <w:tmpl w:val="B0E2607E"/>
    <w:lvl w:ilvl="0" w:tplc="38880F32">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D533F6"/>
    <w:multiLevelType w:val="hybridMultilevel"/>
    <w:tmpl w:val="DA5CAA4C"/>
    <w:lvl w:ilvl="0" w:tplc="A9BC3FEC">
      <w:start w:val="1"/>
      <w:numFmt w:val="bullet"/>
      <w:pStyle w:val="PG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003B6"/>
    <w:multiLevelType w:val="hybridMultilevel"/>
    <w:tmpl w:val="FFBA3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5B7EEC"/>
    <w:multiLevelType w:val="hybridMultilevel"/>
    <w:tmpl w:val="15E20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7373CC"/>
    <w:multiLevelType w:val="hybridMultilevel"/>
    <w:tmpl w:val="5D4ED76C"/>
    <w:lvl w:ilvl="0" w:tplc="FA1EF840">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79FE465B"/>
    <w:multiLevelType w:val="hybridMultilevel"/>
    <w:tmpl w:val="C4FC8A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14"/>
  </w:num>
  <w:num w:numId="6">
    <w:abstractNumId w:val="4"/>
  </w:num>
  <w:num w:numId="7">
    <w:abstractNumId w:val="13"/>
  </w:num>
  <w:num w:numId="8">
    <w:abstractNumId w:val="15"/>
  </w:num>
  <w:num w:numId="9">
    <w:abstractNumId w:val="6"/>
  </w:num>
  <w:num w:numId="10">
    <w:abstractNumId w:val="2"/>
  </w:num>
  <w:num w:numId="11">
    <w:abstractNumId w:val="7"/>
  </w:num>
  <w:num w:numId="12">
    <w:abstractNumId w:val="8"/>
  </w:num>
  <w:num w:numId="13">
    <w:abstractNumId w:val="0"/>
  </w:num>
  <w:num w:numId="14">
    <w:abstractNumId w:val="5"/>
  </w:num>
  <w:num w:numId="15">
    <w:abstractNumId w:val="1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C4"/>
    <w:rsid w:val="00050D4E"/>
    <w:rsid w:val="00095993"/>
    <w:rsid w:val="00095E84"/>
    <w:rsid w:val="000B4EBB"/>
    <w:rsid w:val="000C024B"/>
    <w:rsid w:val="000C26CE"/>
    <w:rsid w:val="000C63D1"/>
    <w:rsid w:val="00102FA4"/>
    <w:rsid w:val="00174B6D"/>
    <w:rsid w:val="00201A4A"/>
    <w:rsid w:val="00235EE6"/>
    <w:rsid w:val="002C431C"/>
    <w:rsid w:val="002D0C0D"/>
    <w:rsid w:val="0033154D"/>
    <w:rsid w:val="00340969"/>
    <w:rsid w:val="00360947"/>
    <w:rsid w:val="003774EA"/>
    <w:rsid w:val="00391E12"/>
    <w:rsid w:val="00396E0E"/>
    <w:rsid w:val="003B6EC9"/>
    <w:rsid w:val="00453259"/>
    <w:rsid w:val="00457D6B"/>
    <w:rsid w:val="00474C18"/>
    <w:rsid w:val="004A41FA"/>
    <w:rsid w:val="004B3F29"/>
    <w:rsid w:val="004C1C29"/>
    <w:rsid w:val="004E62C1"/>
    <w:rsid w:val="00513F6A"/>
    <w:rsid w:val="00527447"/>
    <w:rsid w:val="00541615"/>
    <w:rsid w:val="005456C4"/>
    <w:rsid w:val="00575F8E"/>
    <w:rsid w:val="005A0369"/>
    <w:rsid w:val="005B6E5E"/>
    <w:rsid w:val="005D7C34"/>
    <w:rsid w:val="006114E1"/>
    <w:rsid w:val="00636AEE"/>
    <w:rsid w:val="00651E15"/>
    <w:rsid w:val="006605A5"/>
    <w:rsid w:val="006A396C"/>
    <w:rsid w:val="006C35C7"/>
    <w:rsid w:val="006C6806"/>
    <w:rsid w:val="007377CA"/>
    <w:rsid w:val="00762DA3"/>
    <w:rsid w:val="0077249A"/>
    <w:rsid w:val="007E12F5"/>
    <w:rsid w:val="007E6672"/>
    <w:rsid w:val="007F3F8A"/>
    <w:rsid w:val="008205E4"/>
    <w:rsid w:val="00852187"/>
    <w:rsid w:val="00874980"/>
    <w:rsid w:val="00890952"/>
    <w:rsid w:val="00897B1B"/>
    <w:rsid w:val="008B402B"/>
    <w:rsid w:val="008B74CB"/>
    <w:rsid w:val="008E647A"/>
    <w:rsid w:val="009036CC"/>
    <w:rsid w:val="009757E0"/>
    <w:rsid w:val="009945FC"/>
    <w:rsid w:val="009C2643"/>
    <w:rsid w:val="009C4BEE"/>
    <w:rsid w:val="00A32FCF"/>
    <w:rsid w:val="00A72373"/>
    <w:rsid w:val="00B042CC"/>
    <w:rsid w:val="00B05BE4"/>
    <w:rsid w:val="00B415BE"/>
    <w:rsid w:val="00B7351E"/>
    <w:rsid w:val="00BE1E89"/>
    <w:rsid w:val="00BF0F36"/>
    <w:rsid w:val="00BF78E5"/>
    <w:rsid w:val="00C13666"/>
    <w:rsid w:val="00C168C0"/>
    <w:rsid w:val="00C404AE"/>
    <w:rsid w:val="00C639C7"/>
    <w:rsid w:val="00C64353"/>
    <w:rsid w:val="00C70839"/>
    <w:rsid w:val="00CD12F5"/>
    <w:rsid w:val="00D3106D"/>
    <w:rsid w:val="00D446C6"/>
    <w:rsid w:val="00D8730B"/>
    <w:rsid w:val="00DA5006"/>
    <w:rsid w:val="00DC7B97"/>
    <w:rsid w:val="00DD46A4"/>
    <w:rsid w:val="00E33DB2"/>
    <w:rsid w:val="00E63444"/>
    <w:rsid w:val="00EE0909"/>
    <w:rsid w:val="00F05128"/>
    <w:rsid w:val="00F344FB"/>
    <w:rsid w:val="00F50BD9"/>
    <w:rsid w:val="00F925D2"/>
    <w:rsid w:val="00FC483E"/>
    <w:rsid w:val="00FC4A5E"/>
    <w:rsid w:val="00FD580E"/>
    <w:rsid w:val="00FF04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D520"/>
  <w15:docId w15:val="{A8121B19-19AA-4B8B-8E97-9C80D0F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6C4"/>
  </w:style>
  <w:style w:type="paragraph" w:styleId="Heading1">
    <w:name w:val="heading 1"/>
    <w:basedOn w:val="Normal"/>
    <w:next w:val="Normal"/>
    <w:link w:val="Heading1Char"/>
    <w:uiPriority w:val="9"/>
    <w:qFormat/>
    <w:rsid w:val="00545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456C4"/>
    <w:pPr>
      <w:keepNext/>
      <w:spacing w:before="120" w:after="120" w:line="240" w:lineRule="auto"/>
      <w:outlineLvl w:val="2"/>
    </w:pPr>
    <w:rPr>
      <w:rFonts w:ascii="Arial" w:eastAsia="Times New Roman" w:hAnsi="Arial" w:cs="Times New Roman"/>
      <w:b/>
      <w:bCs/>
      <w:sz w:val="24"/>
      <w:szCs w:val="24"/>
    </w:rPr>
  </w:style>
  <w:style w:type="paragraph" w:styleId="Heading4">
    <w:name w:val="heading 4"/>
    <w:basedOn w:val="Normal"/>
    <w:next w:val="Normal"/>
    <w:link w:val="Heading4Char"/>
    <w:uiPriority w:val="9"/>
    <w:semiHidden/>
    <w:unhideWhenUsed/>
    <w:qFormat/>
    <w:rsid w:val="005456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6C4"/>
    <w:rPr>
      <w:rFonts w:ascii="Arial" w:eastAsia="Times New Roman" w:hAnsi="Arial" w:cs="Times New Roman"/>
      <w:b/>
      <w:bCs/>
      <w:sz w:val="24"/>
      <w:szCs w:val="24"/>
    </w:rPr>
  </w:style>
  <w:style w:type="paragraph" w:styleId="Footer">
    <w:name w:val="footer"/>
    <w:basedOn w:val="Normal"/>
    <w:link w:val="FooterChar"/>
    <w:uiPriority w:val="99"/>
    <w:rsid w:val="005456C4"/>
    <w:pPr>
      <w:tabs>
        <w:tab w:val="center" w:pos="4153"/>
        <w:tab w:val="right" w:pos="8306"/>
      </w:tabs>
      <w:spacing w:after="0" w:line="240" w:lineRule="auto"/>
    </w:pPr>
    <w:rPr>
      <w:rFonts w:ascii="Arial" w:eastAsia="Times New Roman" w:hAnsi="Arial" w:cs="Times New Roman"/>
      <w:sz w:val="24"/>
      <w:szCs w:val="26"/>
    </w:rPr>
  </w:style>
  <w:style w:type="character" w:customStyle="1" w:styleId="FooterChar">
    <w:name w:val="Footer Char"/>
    <w:basedOn w:val="DefaultParagraphFont"/>
    <w:link w:val="Footer"/>
    <w:uiPriority w:val="99"/>
    <w:rsid w:val="005456C4"/>
    <w:rPr>
      <w:rFonts w:ascii="Arial" w:eastAsia="Times New Roman" w:hAnsi="Arial" w:cs="Times New Roman"/>
      <w:sz w:val="24"/>
      <w:szCs w:val="26"/>
    </w:rPr>
  </w:style>
  <w:style w:type="character" w:styleId="PageNumber">
    <w:name w:val="page number"/>
    <w:basedOn w:val="DefaultParagraphFont"/>
    <w:uiPriority w:val="99"/>
    <w:rsid w:val="005456C4"/>
  </w:style>
  <w:style w:type="paragraph" w:styleId="Header">
    <w:name w:val="header"/>
    <w:basedOn w:val="Normal"/>
    <w:link w:val="HeaderChar"/>
    <w:uiPriority w:val="99"/>
    <w:rsid w:val="005456C4"/>
    <w:pPr>
      <w:tabs>
        <w:tab w:val="center" w:pos="4153"/>
        <w:tab w:val="right" w:pos="8306"/>
      </w:tabs>
      <w:spacing w:after="0" w:line="240" w:lineRule="auto"/>
    </w:pPr>
    <w:rPr>
      <w:rFonts w:ascii="Arial" w:eastAsia="Times New Roman" w:hAnsi="Arial" w:cs="Arial"/>
      <w:sz w:val="24"/>
      <w:szCs w:val="24"/>
      <w:lang w:eastAsia="en-AU"/>
    </w:rPr>
  </w:style>
  <w:style w:type="character" w:customStyle="1" w:styleId="HeaderChar">
    <w:name w:val="Header Char"/>
    <w:basedOn w:val="DefaultParagraphFont"/>
    <w:link w:val="Header"/>
    <w:uiPriority w:val="99"/>
    <w:rsid w:val="005456C4"/>
    <w:rPr>
      <w:rFonts w:ascii="Arial" w:eastAsia="Times New Roman" w:hAnsi="Arial" w:cs="Arial"/>
      <w:sz w:val="24"/>
      <w:szCs w:val="24"/>
      <w:lang w:eastAsia="en-AU"/>
    </w:rPr>
  </w:style>
  <w:style w:type="paragraph" w:styleId="ListParagraph">
    <w:name w:val="List Paragraph"/>
    <w:basedOn w:val="Normal"/>
    <w:link w:val="ListParagraphChar"/>
    <w:uiPriority w:val="34"/>
    <w:qFormat/>
    <w:rsid w:val="005456C4"/>
    <w:pPr>
      <w:spacing w:after="0" w:line="240" w:lineRule="auto"/>
      <w:ind w:left="720"/>
      <w:contextualSpacing/>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rsid w:val="005456C4"/>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5456C4"/>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5456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C4"/>
    <w:rPr>
      <w:rFonts w:asciiTheme="majorHAnsi" w:eastAsiaTheme="majorEastAsia" w:hAnsiTheme="majorHAnsi" w:cstheme="majorBidi"/>
      <w:color w:val="17365D" w:themeColor="text2" w:themeShade="BF"/>
      <w:spacing w:val="5"/>
      <w:kern w:val="28"/>
      <w:sz w:val="52"/>
      <w:szCs w:val="52"/>
    </w:rPr>
  </w:style>
  <w:style w:type="paragraph" w:customStyle="1" w:styleId="PGsubhead">
    <w:name w:val="PG sub head"/>
    <w:basedOn w:val="Heading1"/>
    <w:link w:val="PGsubheadChar"/>
    <w:qFormat/>
    <w:rsid w:val="005456C4"/>
    <w:pPr>
      <w:spacing w:before="200" w:after="200" w:line="240" w:lineRule="auto"/>
    </w:pPr>
    <w:rPr>
      <w:lang w:eastAsia="en-AU"/>
    </w:rPr>
  </w:style>
  <w:style w:type="paragraph" w:customStyle="1" w:styleId="PGListHead">
    <w:name w:val="PG List Head"/>
    <w:basedOn w:val="Heading4"/>
    <w:link w:val="PGListHeadChar"/>
    <w:qFormat/>
    <w:rsid w:val="005456C4"/>
    <w:pPr>
      <w:spacing w:after="200" w:line="240" w:lineRule="auto"/>
    </w:pPr>
    <w:rPr>
      <w:sz w:val="24"/>
      <w:szCs w:val="24"/>
      <w:lang w:eastAsia="en-AU"/>
    </w:rPr>
  </w:style>
  <w:style w:type="character" w:customStyle="1" w:styleId="PGsubheadChar">
    <w:name w:val="PG sub head Char"/>
    <w:basedOn w:val="Heading1Char"/>
    <w:link w:val="PGsubhead"/>
    <w:rsid w:val="005456C4"/>
    <w:rPr>
      <w:rFonts w:asciiTheme="majorHAnsi" w:eastAsiaTheme="majorEastAsia" w:hAnsiTheme="majorHAnsi" w:cstheme="majorBidi"/>
      <w:b/>
      <w:bCs/>
      <w:color w:val="365F91" w:themeColor="accent1" w:themeShade="BF"/>
      <w:sz w:val="28"/>
      <w:szCs w:val="28"/>
      <w:lang w:eastAsia="en-AU"/>
    </w:rPr>
  </w:style>
  <w:style w:type="paragraph" w:customStyle="1" w:styleId="PGlist">
    <w:name w:val="PG list"/>
    <w:basedOn w:val="ListParagraph"/>
    <w:link w:val="PGlistChar"/>
    <w:qFormat/>
    <w:rsid w:val="00F50BD9"/>
    <w:pPr>
      <w:numPr>
        <w:numId w:val="1"/>
      </w:numPr>
      <w:spacing w:after="80"/>
      <w:ind w:left="714" w:hanging="357"/>
      <w:contextualSpacing w:val="0"/>
      <w:jc w:val="both"/>
    </w:pPr>
    <w:rPr>
      <w:rFonts w:ascii="Calibri" w:hAnsi="Calibri" w:cs="Helv"/>
      <w:color w:val="000000"/>
      <w:sz w:val="22"/>
    </w:rPr>
  </w:style>
  <w:style w:type="character" w:customStyle="1" w:styleId="PGListHeadChar">
    <w:name w:val="PG List Head Char"/>
    <w:basedOn w:val="Heading4Char"/>
    <w:link w:val="PGListHead"/>
    <w:rsid w:val="005456C4"/>
    <w:rPr>
      <w:rFonts w:asciiTheme="majorHAnsi" w:eastAsiaTheme="majorEastAsia" w:hAnsiTheme="majorHAnsi" w:cstheme="majorBidi"/>
      <w:b/>
      <w:bCs/>
      <w:i/>
      <w:iCs/>
      <w:color w:val="4F81BD" w:themeColor="accent1"/>
      <w:sz w:val="24"/>
      <w:szCs w:val="24"/>
      <w:lang w:eastAsia="en-AU"/>
    </w:rPr>
  </w:style>
  <w:style w:type="paragraph" w:customStyle="1" w:styleId="new">
    <w:name w:val="new"/>
    <w:basedOn w:val="PGsubhead"/>
    <w:link w:val="newChar"/>
    <w:qFormat/>
    <w:rsid w:val="005456C4"/>
    <w:rPr>
      <w:rFonts w:eastAsia="Times New Roman"/>
    </w:rPr>
  </w:style>
  <w:style w:type="character" w:customStyle="1" w:styleId="ListParagraphChar">
    <w:name w:val="List Paragraph Char"/>
    <w:basedOn w:val="DefaultParagraphFont"/>
    <w:link w:val="ListParagraph"/>
    <w:uiPriority w:val="34"/>
    <w:rsid w:val="005456C4"/>
    <w:rPr>
      <w:rFonts w:ascii="Times New Roman" w:eastAsia="Times New Roman" w:hAnsi="Times New Roman" w:cs="Times New Roman"/>
      <w:sz w:val="24"/>
      <w:szCs w:val="24"/>
      <w:lang w:eastAsia="en-AU"/>
    </w:rPr>
  </w:style>
  <w:style w:type="character" w:customStyle="1" w:styleId="PGlistChar">
    <w:name w:val="PG list Char"/>
    <w:basedOn w:val="ListParagraphChar"/>
    <w:link w:val="PGlist"/>
    <w:rsid w:val="00F50BD9"/>
    <w:rPr>
      <w:rFonts w:ascii="Calibri" w:eastAsia="Times New Roman" w:hAnsi="Calibri" w:cs="Helv"/>
      <w:color w:val="000000"/>
      <w:sz w:val="24"/>
      <w:szCs w:val="24"/>
      <w:lang w:eastAsia="en-AU"/>
    </w:rPr>
  </w:style>
  <w:style w:type="character" w:customStyle="1" w:styleId="newChar">
    <w:name w:val="new Char"/>
    <w:basedOn w:val="PGsubheadChar"/>
    <w:link w:val="new"/>
    <w:rsid w:val="005456C4"/>
    <w:rPr>
      <w:rFonts w:asciiTheme="majorHAnsi" w:eastAsia="Times New Roman" w:hAnsiTheme="majorHAnsi" w:cstheme="majorBidi"/>
      <w:b/>
      <w:bCs/>
      <w:color w:val="365F91" w:themeColor="accent1" w:themeShade="BF"/>
      <w:sz w:val="28"/>
      <w:szCs w:val="28"/>
      <w:lang w:eastAsia="en-AU"/>
    </w:rPr>
  </w:style>
  <w:style w:type="character" w:customStyle="1" w:styleId="Heading1Char">
    <w:name w:val="Heading 1 Char"/>
    <w:basedOn w:val="DefaultParagraphFont"/>
    <w:link w:val="Heading1"/>
    <w:uiPriority w:val="9"/>
    <w:rsid w:val="005456C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456C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E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F5"/>
    <w:rPr>
      <w:rFonts w:ascii="Tahoma" w:hAnsi="Tahoma" w:cs="Tahoma"/>
      <w:sz w:val="16"/>
      <w:szCs w:val="16"/>
    </w:rPr>
  </w:style>
  <w:style w:type="table" w:styleId="TableGrid">
    <w:name w:val="Table Grid"/>
    <w:basedOn w:val="TableNormal"/>
    <w:rsid w:val="00201A4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A4A"/>
    <w:rPr>
      <w:color w:val="0000FF"/>
      <w:u w:val="single"/>
    </w:rPr>
  </w:style>
  <w:style w:type="character" w:styleId="CommentReference">
    <w:name w:val="annotation reference"/>
    <w:basedOn w:val="DefaultParagraphFont"/>
    <w:uiPriority w:val="99"/>
    <w:semiHidden/>
    <w:unhideWhenUsed/>
    <w:rsid w:val="00201A4A"/>
    <w:rPr>
      <w:sz w:val="16"/>
      <w:szCs w:val="16"/>
    </w:rPr>
  </w:style>
  <w:style w:type="paragraph" w:styleId="CommentText">
    <w:name w:val="annotation text"/>
    <w:basedOn w:val="Normal"/>
    <w:link w:val="CommentTextChar"/>
    <w:uiPriority w:val="99"/>
    <w:semiHidden/>
    <w:unhideWhenUsed/>
    <w:rsid w:val="00201A4A"/>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201A4A"/>
    <w:rPr>
      <w:rFonts w:ascii="Arial" w:eastAsia="Times New Roman" w:hAnsi="Arial" w:cs="Arial"/>
      <w:sz w:val="20"/>
      <w:szCs w:val="20"/>
      <w:lang w:eastAsia="en-AU"/>
    </w:rPr>
  </w:style>
  <w:style w:type="character" w:customStyle="1" w:styleId="InstructionText">
    <w:name w:val="Instruction Text"/>
    <w:basedOn w:val="DefaultParagraphFont"/>
    <w:qFormat/>
    <w:rsid w:val="005A0369"/>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206a025fe68484d05d8706646420a7c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abb80b9af8c8285e4e96ab551f4d507d"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7 Pre-accredited Delivery Plan"/>
          <xsd:enumeration value="ACFE Board Hume Project"/>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3AD0F-1F8D-44F5-9859-D928C65CE21B}"/>
</file>

<file path=customXml/itemProps2.xml><?xml version="1.0" encoding="utf-8"?>
<ds:datastoreItem xmlns:ds="http://schemas.openxmlformats.org/officeDocument/2006/customXml" ds:itemID="{5D06553F-0D5B-48E8-8A38-5C69BCEAEF4A}"/>
</file>

<file path=customXml/itemProps3.xml><?xml version="1.0" encoding="utf-8"?>
<ds:datastoreItem xmlns:ds="http://schemas.openxmlformats.org/officeDocument/2006/customXml" ds:itemID="{3CBF78AC-F0FA-4521-9071-E7EDCF1E72FF}"/>
</file>

<file path=customXml/itemProps4.xml><?xml version="1.0" encoding="utf-8"?>
<ds:datastoreItem xmlns:ds="http://schemas.openxmlformats.org/officeDocument/2006/customXml" ds:itemID="{16D98E31-D008-4AB1-9C70-23C99DAA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1ED1F3-8D05-4934-8CA4-FC581DD39666}"/>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Manager>Kearney;kearney.verna.l@edumail.vic.gov.au</Manager>
  <Company>DET</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Goodger, Francesca G</dc:creator>
  <cp:lastModifiedBy>Goodger, Francesca G</cp:lastModifiedBy>
  <cp:revision>2</cp:revision>
  <cp:lastPrinted>2017-04-07T04:28:00Z</cp:lastPrinted>
  <dcterms:created xsi:type="dcterms:W3CDTF">2017-04-13T04:13:00Z</dcterms:created>
  <dcterms:modified xsi:type="dcterms:W3CDTF">2017-04-13T04:13:00Z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{f2ea7b55-84b7-45f5-8cd6-253539f18c01}</vt:lpwstr>
  </property>
  <property fmtid="{D5CDD505-2E9C-101B-9397-08002B2CF9AE}" pid="8" name="RecordPoint_SubmissionCompleted">
    <vt:lpwstr>2017-04-12T10:44:59.5404122+10:00</vt:lpwstr>
  </property>
  <property fmtid="{D5CDD505-2E9C-101B-9397-08002B2CF9AE}" pid="9" name="RecordPoint_ActiveItemWebId">
    <vt:lpwstr>{2448c47a-0c10-4e7b-b9c8-5b12d6d373e0}</vt:lpwstr>
  </property>
  <property fmtid="{D5CDD505-2E9C-101B-9397-08002B2CF9AE}" pid="10" name="RecordPoint_ActiveItemSiteId">
    <vt:lpwstr>{03dc8113-b288-4f44-a289-6e7ea0196235}</vt:lpwstr>
  </property>
  <property fmtid="{D5CDD505-2E9C-101B-9397-08002B2CF9AE}" pid="11" name="RecordPoint_ActiveItemListId">
    <vt:lpwstr>{b731327e-dde1-4362-ab85-4b03d633e5ee}</vt:lpwstr>
  </property>
  <property fmtid="{D5CDD505-2E9C-101B-9397-08002B2CF9AE}" pid="12" name="RecordPoint_RecordNumberSubmitted">
    <vt:lpwstr>R0000766698</vt:lpwstr>
  </property>
  <property fmtid="{D5CDD505-2E9C-101B-9397-08002B2CF9AE}" pid="13" name="DocumentSetDescription">
    <vt:lpwstr>Guidelines</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