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C91F" w14:textId="09102250" w:rsidR="00D42215" w:rsidRPr="007B3BAC" w:rsidRDefault="006C264A" w:rsidP="007B3BAC">
      <w:pPr>
        <w:pStyle w:val="Heading1"/>
      </w:pPr>
      <w:r w:rsidRPr="003E29B5">
        <w:rPr>
          <w:noProof/>
          <w:lang w:val="en-AU" w:eastAsia="en-AU"/>
        </w:rPr>
        <mc:AlternateContent>
          <mc:Choice Requires="wps">
            <w:drawing>
              <wp:anchor distT="0" distB="0" distL="114300" distR="114300" simplePos="0" relativeHeight="251657216" behindDoc="0" locked="0" layoutInCell="1" allowOverlap="1" wp14:anchorId="142C1659" wp14:editId="74A51528">
                <wp:simplePos x="0" y="0"/>
                <wp:positionH relativeFrom="column">
                  <wp:posOffset>-94615</wp:posOffset>
                </wp:positionH>
                <wp:positionV relativeFrom="paragraph">
                  <wp:posOffset>-27940</wp:posOffset>
                </wp:positionV>
                <wp:extent cx="9952990" cy="1000125"/>
                <wp:effectExtent l="0" t="0" r="0" b="9525"/>
                <wp:wrapTight wrapText="bothSides">
                  <wp:wrapPolygon edited="0">
                    <wp:start x="83" y="0"/>
                    <wp:lineTo x="83" y="21394"/>
                    <wp:lineTo x="21457" y="21394"/>
                    <wp:lineTo x="21457" y="0"/>
                    <wp:lineTo x="83" y="0"/>
                  </wp:wrapPolygon>
                </wp:wrapTight>
                <wp:docPr id="3" name="Text Box 3"/>
                <wp:cNvGraphicFramePr/>
                <a:graphic xmlns:a="http://schemas.openxmlformats.org/drawingml/2006/main">
                  <a:graphicData uri="http://schemas.microsoft.com/office/word/2010/wordprocessingShape">
                    <wps:wsp>
                      <wps:cNvSpPr txBox="1"/>
                      <wps:spPr>
                        <a:xfrm>
                          <a:off x="0" y="0"/>
                          <a:ext cx="9952990"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833BD3" w14:textId="55754694" w:rsidR="003E29B5" w:rsidRDefault="007B3BAC" w:rsidP="008766A4">
                            <w:pPr>
                              <w:pStyle w:val="Title"/>
                              <w:rPr>
                                <w:rStyle w:val="SubtleEmphasis"/>
                                <w:i w:val="0"/>
                                <w:color w:val="AF272F"/>
                              </w:rPr>
                            </w:pPr>
                            <w:r>
                              <w:rPr>
                                <w:rStyle w:val="SubtleEmphasis"/>
                                <w:i w:val="0"/>
                                <w:color w:val="AF272F"/>
                              </w:rPr>
                              <w:t>Pre-Accredited Work Experience</w:t>
                            </w:r>
                          </w:p>
                          <w:p w14:paraId="2F9AFD99" w14:textId="689ECBCC" w:rsidR="003E29B5" w:rsidRPr="008766A4" w:rsidRDefault="007B3BAC" w:rsidP="008766A4">
                            <w:pPr>
                              <w:pStyle w:val="Subtitle"/>
                            </w:pPr>
                            <w:r>
                              <w:t>Questions and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1659" id="_x0000_t202" coordsize="21600,21600" o:spt="202" path="m,l,21600r21600,l21600,xe">
                <v:stroke joinstyle="miter"/>
                <v:path gradientshapeok="t" o:connecttype="rect"/>
              </v:shapetype>
              <v:shape id="Text Box 3" o:spid="_x0000_s1026" type="#_x0000_t202" style="position:absolute;margin-left:-7.45pt;margin-top:-2.2pt;width:783.7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MrqgIAAKQFAAAOAAAAZHJzL2Uyb0RvYy54bWysVE1v2zAMvQ/YfxB0T22nSVcb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" filled="f" stroked="f">
                <v:textbox>
                  <w:txbxContent>
                    <w:p w14:paraId="72833BD3" w14:textId="55754694" w:rsidR="003E29B5" w:rsidRDefault="007B3BAC" w:rsidP="008766A4">
                      <w:pPr>
                        <w:pStyle w:val="Title"/>
                        <w:rPr>
                          <w:rStyle w:val="SubtleEmphasis"/>
                          <w:i w:val="0"/>
                          <w:color w:val="AF272F"/>
                        </w:rPr>
                      </w:pPr>
                      <w:r>
                        <w:rPr>
                          <w:rStyle w:val="SubtleEmphasis"/>
                          <w:i w:val="0"/>
                          <w:color w:val="AF272F"/>
                        </w:rPr>
                        <w:t>Pre-Accredited Work Experience</w:t>
                      </w:r>
                    </w:p>
                    <w:p w14:paraId="2F9AFD99" w14:textId="689ECBCC" w:rsidR="003E29B5" w:rsidRPr="008766A4" w:rsidRDefault="007B3BAC" w:rsidP="008766A4">
                      <w:pPr>
                        <w:pStyle w:val="Subtitle"/>
                      </w:pPr>
                      <w:r>
                        <w:t>Questions and Answers</w:t>
                      </w:r>
                    </w:p>
                  </w:txbxContent>
                </v:textbox>
                <w10:wrap type="tight"/>
              </v:shape>
            </w:pict>
          </mc:Fallback>
        </mc:AlternateContent>
      </w:r>
    </w:p>
    <w:tbl>
      <w:tblPr>
        <w:tblStyle w:val="TableGrid"/>
        <w:tblW w:w="14453"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531"/>
        <w:gridCol w:w="3145"/>
        <w:gridCol w:w="10777"/>
      </w:tblGrid>
      <w:tr w:rsidR="007B3BAC" w:rsidRPr="00D42215" w14:paraId="5DB50651" w14:textId="72263A70" w:rsidTr="00714E9C">
        <w:trPr>
          <w:trHeight w:val="809"/>
        </w:trPr>
        <w:tc>
          <w:tcPr>
            <w:tcW w:w="531" w:type="dxa"/>
            <w:tcBorders>
              <w:bottom w:val="nil"/>
            </w:tcBorders>
            <w:shd w:val="clear" w:color="auto" w:fill="AF272F"/>
            <w:vAlign w:val="center"/>
          </w:tcPr>
          <w:p w14:paraId="345BA18C" w14:textId="3B608A56" w:rsidR="007B3BAC" w:rsidRPr="00D42215" w:rsidRDefault="007B3BAC" w:rsidP="00D42215">
            <w:pPr>
              <w:spacing w:line="240" w:lineRule="auto"/>
              <w:rPr>
                <w:rFonts w:cs="Times New Roman"/>
                <w:b/>
                <w:color w:val="FFFFFF"/>
                <w:szCs w:val="22"/>
              </w:rPr>
            </w:pPr>
          </w:p>
        </w:tc>
        <w:tc>
          <w:tcPr>
            <w:tcW w:w="3145" w:type="dxa"/>
            <w:tcBorders>
              <w:bottom w:val="nil"/>
            </w:tcBorders>
            <w:shd w:val="clear" w:color="auto" w:fill="AF272F"/>
            <w:vAlign w:val="center"/>
          </w:tcPr>
          <w:p w14:paraId="3A51584B" w14:textId="2E5457A2" w:rsidR="007B3BAC" w:rsidRPr="00D42215" w:rsidRDefault="007B3BAC" w:rsidP="00D42215">
            <w:pPr>
              <w:spacing w:line="240" w:lineRule="auto"/>
              <w:rPr>
                <w:rFonts w:cs="Times New Roman"/>
                <w:b/>
                <w:color w:val="FFFFFF"/>
                <w:szCs w:val="22"/>
              </w:rPr>
            </w:pPr>
            <w:r>
              <w:rPr>
                <w:rFonts w:cs="Times New Roman"/>
                <w:b/>
                <w:color w:val="FFFFFF"/>
                <w:szCs w:val="22"/>
              </w:rPr>
              <w:t>QUESTION</w:t>
            </w:r>
          </w:p>
        </w:tc>
        <w:tc>
          <w:tcPr>
            <w:tcW w:w="10777" w:type="dxa"/>
            <w:tcBorders>
              <w:bottom w:val="nil"/>
            </w:tcBorders>
            <w:shd w:val="clear" w:color="auto" w:fill="AF272F"/>
            <w:vAlign w:val="center"/>
          </w:tcPr>
          <w:p w14:paraId="3F9CDDF6" w14:textId="27F38B10" w:rsidR="007B3BAC" w:rsidRPr="00D42215" w:rsidRDefault="007B3BAC" w:rsidP="00D42215">
            <w:pPr>
              <w:spacing w:line="240" w:lineRule="auto"/>
              <w:rPr>
                <w:rFonts w:cs="Times New Roman"/>
                <w:b/>
                <w:color w:val="FFFFFF"/>
                <w:szCs w:val="22"/>
              </w:rPr>
            </w:pPr>
            <w:r>
              <w:rPr>
                <w:rFonts w:cs="Times New Roman"/>
                <w:b/>
                <w:color w:val="FFFFFF"/>
                <w:szCs w:val="22"/>
              </w:rPr>
              <w:t>ANSWER</w:t>
            </w:r>
          </w:p>
        </w:tc>
      </w:tr>
      <w:tr w:rsidR="007B3BAC" w:rsidRPr="00D42215" w14:paraId="13C10F4F" w14:textId="7FFC0932" w:rsidTr="00F85D42">
        <w:trPr>
          <w:trHeight w:val="809"/>
        </w:trPr>
        <w:tc>
          <w:tcPr>
            <w:tcW w:w="531" w:type="dxa"/>
            <w:tcBorders>
              <w:bottom w:val="single" w:sz="4" w:space="0" w:color="D9D9D9" w:themeColor="background1" w:themeShade="D9"/>
            </w:tcBorders>
            <w:shd w:val="clear" w:color="auto" w:fill="F2F2F2" w:themeFill="background1" w:themeFillShade="F2"/>
            <w:vAlign w:val="center"/>
          </w:tcPr>
          <w:p w14:paraId="04C03FCD" w14:textId="16633F2B" w:rsidR="007B3BAC" w:rsidRPr="00D42215" w:rsidRDefault="007B3BAC" w:rsidP="00D42215">
            <w:pPr>
              <w:spacing w:line="240" w:lineRule="auto"/>
              <w:rPr>
                <w:rFonts w:cs="Times New Roman"/>
                <w:b/>
                <w:color w:val="AF272F"/>
                <w:szCs w:val="22"/>
              </w:rPr>
            </w:pPr>
            <w:r>
              <w:rPr>
                <w:rFonts w:cs="Times New Roman"/>
                <w:b/>
                <w:color w:val="AF272F"/>
                <w:szCs w:val="22"/>
              </w:rPr>
              <w:t>1</w:t>
            </w:r>
          </w:p>
        </w:tc>
        <w:tc>
          <w:tcPr>
            <w:tcW w:w="3145" w:type="dxa"/>
            <w:tcBorders>
              <w:bottom w:val="single" w:sz="4" w:space="0" w:color="D9D9D9" w:themeColor="background1" w:themeShade="D9"/>
            </w:tcBorders>
            <w:shd w:val="clear" w:color="auto" w:fill="auto"/>
            <w:vAlign w:val="center"/>
          </w:tcPr>
          <w:p w14:paraId="5E5C3DF0" w14:textId="5F7332F7" w:rsidR="007B3BAC" w:rsidRPr="007B3BAC" w:rsidRDefault="007B3BAC" w:rsidP="00D42215">
            <w:pPr>
              <w:spacing w:line="240" w:lineRule="auto"/>
              <w:rPr>
                <w:rFonts w:cs="Times New Roman"/>
                <w:b/>
                <w:szCs w:val="22"/>
              </w:rPr>
            </w:pPr>
            <w:r w:rsidRPr="007B3BAC">
              <w:rPr>
                <w:rFonts w:cs="Times New Roman"/>
                <w:b/>
                <w:szCs w:val="22"/>
              </w:rPr>
              <w:t>Do I have to deliver Pre-Accredited Work Experience if I’m delivering pre-accredited Employability Skills or Vocational Programs?</w:t>
            </w:r>
          </w:p>
        </w:tc>
        <w:tc>
          <w:tcPr>
            <w:tcW w:w="10777" w:type="dxa"/>
            <w:tcBorders>
              <w:bottom w:val="single" w:sz="4" w:space="0" w:color="D9D9D9" w:themeColor="background1" w:themeShade="D9"/>
            </w:tcBorders>
            <w:shd w:val="clear" w:color="auto" w:fill="auto"/>
            <w:vAlign w:val="center"/>
          </w:tcPr>
          <w:p w14:paraId="02F9B369" w14:textId="74B4E666" w:rsidR="007B3BAC" w:rsidRPr="00D42215" w:rsidRDefault="007B3BAC" w:rsidP="00D42215">
            <w:pPr>
              <w:spacing w:line="240" w:lineRule="auto"/>
              <w:rPr>
                <w:rFonts w:cs="Times New Roman"/>
                <w:szCs w:val="22"/>
              </w:rPr>
            </w:pPr>
            <w:r w:rsidRPr="007B3BAC">
              <w:rPr>
                <w:rFonts w:cs="Times New Roman"/>
                <w:szCs w:val="22"/>
                <w:lang w:val="en-US"/>
              </w:rPr>
              <w:t>No.  Pre-Accredited Work Experience is an option for providers to add an industry-based component to their pre-accredited course plan.</w:t>
            </w:r>
          </w:p>
        </w:tc>
      </w:tr>
      <w:tr w:rsidR="007B3BAC" w:rsidRPr="00D42215" w14:paraId="0CB58F67" w14:textId="40647A84" w:rsidTr="00D41955">
        <w:trPr>
          <w:trHeight w:val="809"/>
        </w:trPr>
        <w:tc>
          <w:tcPr>
            <w:tcW w:w="53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0750B7C" w14:textId="23B31017" w:rsidR="007B3BAC" w:rsidRPr="00D42215" w:rsidRDefault="007B3BAC" w:rsidP="00D42215">
            <w:pPr>
              <w:spacing w:line="240" w:lineRule="auto"/>
              <w:rPr>
                <w:rFonts w:cs="Times New Roman"/>
                <w:b/>
                <w:color w:val="AF272F"/>
                <w:szCs w:val="22"/>
              </w:rPr>
            </w:pPr>
            <w:r>
              <w:rPr>
                <w:rFonts w:cs="Times New Roman"/>
                <w:b/>
                <w:color w:val="AF272F"/>
                <w:szCs w:val="22"/>
              </w:rPr>
              <w:t>2</w:t>
            </w:r>
          </w:p>
        </w:tc>
        <w:tc>
          <w:tcPr>
            <w:tcW w:w="3145" w:type="dxa"/>
            <w:tcBorders>
              <w:top w:val="single" w:sz="4" w:space="0" w:color="D9D9D9" w:themeColor="background1" w:themeShade="D9"/>
              <w:bottom w:val="single" w:sz="4" w:space="0" w:color="D9D9D9" w:themeColor="background1" w:themeShade="D9"/>
            </w:tcBorders>
            <w:shd w:val="clear" w:color="auto" w:fill="auto"/>
            <w:vAlign w:val="center"/>
          </w:tcPr>
          <w:p w14:paraId="55468051" w14:textId="57FFD31C" w:rsidR="007B3BAC" w:rsidRPr="00D42215" w:rsidRDefault="00124B66" w:rsidP="00D42215">
            <w:pPr>
              <w:spacing w:line="240" w:lineRule="auto"/>
              <w:rPr>
                <w:rFonts w:cs="Times New Roman"/>
                <w:szCs w:val="22"/>
              </w:rPr>
            </w:pPr>
            <w:r>
              <w:rPr>
                <w:rFonts w:cs="Times New Roman"/>
                <w:b/>
                <w:szCs w:val="22"/>
                <w:lang w:val="en-US"/>
              </w:rPr>
              <w:t>When should</w:t>
            </w:r>
            <w:r w:rsidR="007B3BAC" w:rsidRPr="007B3BAC">
              <w:rPr>
                <w:rFonts w:cs="Times New Roman"/>
                <w:b/>
                <w:szCs w:val="22"/>
                <w:lang w:val="en-US"/>
              </w:rPr>
              <w:t xml:space="preserve"> LLOs consider delivering Pre-Accredited Work Experience?</w:t>
            </w:r>
          </w:p>
        </w:tc>
        <w:tc>
          <w:tcPr>
            <w:tcW w:w="10777" w:type="dxa"/>
            <w:tcBorders>
              <w:top w:val="single" w:sz="4" w:space="0" w:color="D9D9D9" w:themeColor="background1" w:themeShade="D9"/>
              <w:bottom w:val="single" w:sz="4" w:space="0" w:color="D9D9D9" w:themeColor="background1" w:themeShade="D9"/>
            </w:tcBorders>
            <w:shd w:val="clear" w:color="auto" w:fill="auto"/>
            <w:vAlign w:val="center"/>
          </w:tcPr>
          <w:p w14:paraId="19C3FE26" w14:textId="77777777" w:rsidR="007B3BAC" w:rsidRDefault="007B3BAC" w:rsidP="00D42215">
            <w:pPr>
              <w:spacing w:line="240" w:lineRule="auto"/>
              <w:rPr>
                <w:rFonts w:cs="Times New Roman"/>
                <w:szCs w:val="22"/>
                <w:lang w:val="en-US"/>
              </w:rPr>
            </w:pPr>
            <w:r w:rsidRPr="007B3BAC">
              <w:rPr>
                <w:rFonts w:cs="Times New Roman"/>
                <w:szCs w:val="22"/>
                <w:lang w:val="en-US"/>
              </w:rPr>
              <w:t>LLOs should only consider facilitating Pre-Accredited Work Experience activities if they are currently delivering either Employability Skills or Vocational Programs pre-accredited content, and have the capacity to provide trainer supervision for all on-site host employer activities.</w:t>
            </w:r>
          </w:p>
          <w:p w14:paraId="69BCFCB5" w14:textId="27238C24" w:rsidR="00124B66" w:rsidRPr="00D42215" w:rsidRDefault="00124B66" w:rsidP="00D42215">
            <w:pPr>
              <w:spacing w:line="240" w:lineRule="auto"/>
              <w:rPr>
                <w:rFonts w:cs="Times New Roman"/>
                <w:szCs w:val="22"/>
              </w:rPr>
            </w:pPr>
          </w:p>
        </w:tc>
      </w:tr>
      <w:tr w:rsidR="007B3BAC" w:rsidRPr="00D42215" w14:paraId="6CC59EFF" w14:textId="1237AC09" w:rsidTr="005672F6">
        <w:trPr>
          <w:trHeight w:val="809"/>
        </w:trPr>
        <w:tc>
          <w:tcPr>
            <w:tcW w:w="53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C4B0C14" w14:textId="047EC98C" w:rsidR="007B3BAC" w:rsidRPr="00D42215" w:rsidRDefault="007B3BAC" w:rsidP="00D42215">
            <w:pPr>
              <w:spacing w:line="240" w:lineRule="auto"/>
              <w:rPr>
                <w:rFonts w:cs="Times New Roman"/>
                <w:b/>
                <w:color w:val="AF272F"/>
                <w:szCs w:val="22"/>
              </w:rPr>
            </w:pPr>
            <w:r>
              <w:rPr>
                <w:rFonts w:cs="Times New Roman"/>
                <w:b/>
                <w:color w:val="AF272F"/>
                <w:szCs w:val="22"/>
              </w:rPr>
              <w:t>3</w:t>
            </w:r>
          </w:p>
        </w:tc>
        <w:tc>
          <w:tcPr>
            <w:tcW w:w="3145" w:type="dxa"/>
            <w:tcBorders>
              <w:top w:val="single" w:sz="4" w:space="0" w:color="D9D9D9" w:themeColor="background1" w:themeShade="D9"/>
              <w:bottom w:val="single" w:sz="4" w:space="0" w:color="D9D9D9" w:themeColor="background1" w:themeShade="D9"/>
            </w:tcBorders>
            <w:shd w:val="clear" w:color="auto" w:fill="auto"/>
            <w:vAlign w:val="center"/>
          </w:tcPr>
          <w:p w14:paraId="561B34CE" w14:textId="110F2322" w:rsidR="007B3BAC" w:rsidRPr="007B3BAC" w:rsidRDefault="007B3BAC" w:rsidP="00D42215">
            <w:pPr>
              <w:spacing w:line="240" w:lineRule="auto"/>
              <w:rPr>
                <w:rFonts w:cs="Times New Roman"/>
                <w:b/>
                <w:szCs w:val="22"/>
              </w:rPr>
            </w:pPr>
            <w:r w:rsidRPr="007B3BAC">
              <w:rPr>
                <w:rFonts w:cs="Times New Roman"/>
                <w:b/>
                <w:szCs w:val="22"/>
              </w:rPr>
              <w:t>Are LLOs insured to facilitate Pre-Accredited Work Experience activities?</w:t>
            </w:r>
          </w:p>
        </w:tc>
        <w:tc>
          <w:tcPr>
            <w:tcW w:w="10777" w:type="dxa"/>
            <w:tcBorders>
              <w:top w:val="single" w:sz="4" w:space="0" w:color="D9D9D9" w:themeColor="background1" w:themeShade="D9"/>
              <w:bottom w:val="single" w:sz="4" w:space="0" w:color="D9D9D9" w:themeColor="background1" w:themeShade="D9"/>
            </w:tcBorders>
            <w:shd w:val="clear" w:color="auto" w:fill="auto"/>
            <w:vAlign w:val="center"/>
          </w:tcPr>
          <w:p w14:paraId="32C35A95" w14:textId="77777777" w:rsidR="007B3BAC" w:rsidRPr="007B3BAC" w:rsidRDefault="007B3BAC" w:rsidP="007B3BAC">
            <w:pPr>
              <w:spacing w:line="240" w:lineRule="auto"/>
              <w:rPr>
                <w:rFonts w:cs="Times New Roman"/>
                <w:szCs w:val="22"/>
              </w:rPr>
            </w:pPr>
            <w:r w:rsidRPr="007B3BAC">
              <w:rPr>
                <w:rFonts w:cs="Times New Roman"/>
                <w:szCs w:val="22"/>
              </w:rPr>
              <w:t xml:space="preserve">The Victorian Managed Insurance Authority (VMIA) provide insurance to LLOs via their Community Service Organisation package, which includes Personal Accident and Public Liability policies.  </w:t>
            </w:r>
          </w:p>
          <w:p w14:paraId="0B76E3B8" w14:textId="2B15FD5B" w:rsidR="007B3BAC" w:rsidRPr="007B3BAC" w:rsidRDefault="007B3BAC" w:rsidP="007B3BAC">
            <w:pPr>
              <w:spacing w:line="240" w:lineRule="auto"/>
              <w:rPr>
                <w:rFonts w:cs="Times New Roman"/>
                <w:szCs w:val="22"/>
              </w:rPr>
            </w:pPr>
            <w:r>
              <w:rPr>
                <w:rFonts w:cs="Times New Roman"/>
                <w:szCs w:val="22"/>
              </w:rPr>
              <w:t>This</w:t>
            </w:r>
            <w:r w:rsidRPr="007B3BAC">
              <w:rPr>
                <w:rFonts w:cs="Times New Roman"/>
                <w:szCs w:val="22"/>
              </w:rPr>
              <w:t xml:space="preserve"> package provides coverage for learners participating in Pre-Accredited Work Experience on the proviso that:</w:t>
            </w:r>
          </w:p>
          <w:p w14:paraId="6B0AB84C" w14:textId="77777777" w:rsidR="007B3BAC" w:rsidRPr="007B3BAC" w:rsidRDefault="007B3BAC" w:rsidP="007B3BAC">
            <w:pPr>
              <w:numPr>
                <w:ilvl w:val="0"/>
                <w:numId w:val="12"/>
              </w:numPr>
              <w:spacing w:line="240" w:lineRule="auto"/>
              <w:rPr>
                <w:rFonts w:cs="Times New Roman"/>
                <w:szCs w:val="22"/>
              </w:rPr>
            </w:pPr>
            <w:r w:rsidRPr="007B3BAC">
              <w:rPr>
                <w:rFonts w:cs="Times New Roman"/>
                <w:szCs w:val="22"/>
              </w:rPr>
              <w:t>Pre-Accredited Work Experience is undertaken as a group, and is supervised by a Learn Local trainer at all times.</w:t>
            </w:r>
          </w:p>
          <w:p w14:paraId="154D2D21" w14:textId="77777777" w:rsidR="007B3BAC" w:rsidRPr="007B3BAC" w:rsidRDefault="007B3BAC" w:rsidP="007B3BAC">
            <w:pPr>
              <w:numPr>
                <w:ilvl w:val="0"/>
                <w:numId w:val="12"/>
              </w:numPr>
              <w:spacing w:line="240" w:lineRule="auto"/>
              <w:rPr>
                <w:rFonts w:cs="Times New Roman"/>
                <w:szCs w:val="22"/>
              </w:rPr>
            </w:pPr>
            <w:r w:rsidRPr="007B3BAC">
              <w:rPr>
                <w:rFonts w:cs="Times New Roman"/>
                <w:szCs w:val="22"/>
              </w:rPr>
              <w:t xml:space="preserve">Pre-Accredited Work Experience is directly linked to the Pre-Accredited </w:t>
            </w:r>
            <w:proofErr w:type="gramStart"/>
            <w:r w:rsidRPr="007B3BAC">
              <w:rPr>
                <w:rFonts w:cs="Times New Roman"/>
                <w:szCs w:val="22"/>
              </w:rPr>
              <w:t>A</w:t>
            </w:r>
            <w:proofErr w:type="gramEnd"/>
            <w:r w:rsidRPr="007B3BAC">
              <w:rPr>
                <w:rFonts w:cs="Times New Roman"/>
                <w:szCs w:val="22"/>
              </w:rPr>
              <w:t xml:space="preserve"> Frame.</w:t>
            </w:r>
          </w:p>
          <w:p w14:paraId="4CC905A8" w14:textId="77777777" w:rsidR="007B3BAC" w:rsidRPr="007B3BAC" w:rsidRDefault="007B3BAC" w:rsidP="007B3BAC">
            <w:pPr>
              <w:numPr>
                <w:ilvl w:val="0"/>
                <w:numId w:val="12"/>
              </w:numPr>
              <w:spacing w:line="240" w:lineRule="auto"/>
              <w:rPr>
                <w:rFonts w:cs="Times New Roman"/>
                <w:szCs w:val="22"/>
              </w:rPr>
            </w:pPr>
            <w:r w:rsidRPr="007B3BAC">
              <w:rPr>
                <w:rFonts w:cs="Times New Roman"/>
                <w:szCs w:val="22"/>
              </w:rPr>
              <w:t>Pre-Accredited Work Experience does not exceed 10% of total pre-accredited course delivery hours.</w:t>
            </w:r>
          </w:p>
          <w:p w14:paraId="1B635860" w14:textId="77777777" w:rsidR="007B3BAC" w:rsidRDefault="007B3BAC" w:rsidP="00D42215">
            <w:pPr>
              <w:numPr>
                <w:ilvl w:val="0"/>
                <w:numId w:val="12"/>
              </w:numPr>
              <w:spacing w:line="240" w:lineRule="auto"/>
              <w:rPr>
                <w:rFonts w:cs="Times New Roman"/>
                <w:szCs w:val="22"/>
              </w:rPr>
            </w:pPr>
            <w:r w:rsidRPr="007B3BAC">
              <w:rPr>
                <w:rFonts w:cs="Times New Roman"/>
                <w:szCs w:val="22"/>
              </w:rPr>
              <w:t>A formal agreement is in place between the LLO and the host employer</w:t>
            </w:r>
          </w:p>
          <w:p w14:paraId="7CCF878B" w14:textId="0EF9ACB5" w:rsidR="00124B66" w:rsidRPr="007B3BAC" w:rsidRDefault="00124B66" w:rsidP="00124B66">
            <w:pPr>
              <w:spacing w:line="240" w:lineRule="auto"/>
              <w:rPr>
                <w:rFonts w:cs="Times New Roman"/>
                <w:szCs w:val="22"/>
              </w:rPr>
            </w:pPr>
          </w:p>
        </w:tc>
      </w:tr>
      <w:tr w:rsidR="007B3BAC" w:rsidRPr="00D42215" w14:paraId="7D480935" w14:textId="408FDB21" w:rsidTr="00B10C46">
        <w:trPr>
          <w:trHeight w:val="809"/>
        </w:trPr>
        <w:tc>
          <w:tcPr>
            <w:tcW w:w="53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4718682" w14:textId="1142A316" w:rsidR="007B3BAC" w:rsidRPr="00D42215" w:rsidRDefault="007B3BAC" w:rsidP="00D42215">
            <w:pPr>
              <w:spacing w:line="240" w:lineRule="auto"/>
              <w:rPr>
                <w:rFonts w:cs="Times New Roman"/>
                <w:b/>
                <w:color w:val="AF272F"/>
                <w:szCs w:val="22"/>
              </w:rPr>
            </w:pPr>
            <w:r>
              <w:rPr>
                <w:rFonts w:cs="Times New Roman"/>
                <w:b/>
                <w:color w:val="AF272F"/>
                <w:szCs w:val="22"/>
              </w:rPr>
              <w:lastRenderedPageBreak/>
              <w:t>4</w:t>
            </w:r>
          </w:p>
        </w:tc>
        <w:tc>
          <w:tcPr>
            <w:tcW w:w="3145" w:type="dxa"/>
            <w:tcBorders>
              <w:top w:val="single" w:sz="4" w:space="0" w:color="D9D9D9" w:themeColor="background1" w:themeShade="D9"/>
              <w:bottom w:val="single" w:sz="4" w:space="0" w:color="D9D9D9" w:themeColor="background1" w:themeShade="D9"/>
            </w:tcBorders>
            <w:shd w:val="clear" w:color="auto" w:fill="auto"/>
            <w:vAlign w:val="center"/>
          </w:tcPr>
          <w:p w14:paraId="42421C64" w14:textId="005DA1FD" w:rsidR="007B3BAC" w:rsidRPr="007B3BAC" w:rsidRDefault="00124B66" w:rsidP="00D42215">
            <w:pPr>
              <w:spacing w:line="240" w:lineRule="auto"/>
              <w:rPr>
                <w:rFonts w:cs="Times New Roman"/>
                <w:b/>
                <w:szCs w:val="22"/>
              </w:rPr>
            </w:pPr>
            <w:r>
              <w:rPr>
                <w:rFonts w:cs="Times New Roman"/>
                <w:b/>
                <w:szCs w:val="22"/>
              </w:rPr>
              <w:t>Can I place learners in an u</w:t>
            </w:r>
            <w:r w:rsidR="007B3BAC" w:rsidRPr="007B3BAC">
              <w:rPr>
                <w:rFonts w:cs="Times New Roman"/>
                <w:b/>
                <w:szCs w:val="22"/>
              </w:rPr>
              <w:t>nsupervised Work Experience Placement?</w:t>
            </w:r>
          </w:p>
        </w:tc>
        <w:tc>
          <w:tcPr>
            <w:tcW w:w="10777" w:type="dxa"/>
            <w:tcBorders>
              <w:top w:val="single" w:sz="4" w:space="0" w:color="D9D9D9" w:themeColor="background1" w:themeShade="D9"/>
              <w:bottom w:val="single" w:sz="4" w:space="0" w:color="D9D9D9" w:themeColor="background1" w:themeShade="D9"/>
            </w:tcBorders>
            <w:shd w:val="clear" w:color="auto" w:fill="auto"/>
            <w:vAlign w:val="center"/>
          </w:tcPr>
          <w:p w14:paraId="79DFC7DB" w14:textId="77777777" w:rsidR="00124B66" w:rsidRDefault="00124B66" w:rsidP="007B3BAC">
            <w:pPr>
              <w:spacing w:line="240" w:lineRule="auto"/>
              <w:rPr>
                <w:rFonts w:cs="Times New Roman"/>
                <w:szCs w:val="22"/>
              </w:rPr>
            </w:pPr>
          </w:p>
          <w:p w14:paraId="500432BB" w14:textId="460DA73B" w:rsidR="007B3BAC" w:rsidRPr="007B3BAC" w:rsidRDefault="007B3BAC" w:rsidP="007B3BAC">
            <w:pPr>
              <w:spacing w:line="240" w:lineRule="auto"/>
              <w:rPr>
                <w:rFonts w:cs="Times New Roman"/>
                <w:szCs w:val="22"/>
              </w:rPr>
            </w:pPr>
            <w:r w:rsidRPr="007B3BAC">
              <w:rPr>
                <w:rFonts w:cs="Times New Roman"/>
                <w:szCs w:val="22"/>
              </w:rPr>
              <w:t xml:space="preserve">The ACFE Board do not recommend that LLOs facilitate individual unsupervised work experience placements.  Unsupervised work experience placements as a component of pre-accredited training pose </w:t>
            </w:r>
            <w:r w:rsidR="001A40A5">
              <w:rPr>
                <w:rFonts w:cs="Times New Roman"/>
                <w:szCs w:val="22"/>
              </w:rPr>
              <w:t>a risk to providers and host employers</w:t>
            </w:r>
            <w:r w:rsidRPr="007B3BAC">
              <w:rPr>
                <w:rFonts w:cs="Times New Roman"/>
                <w:szCs w:val="22"/>
              </w:rPr>
              <w:t>.</w:t>
            </w:r>
          </w:p>
          <w:p w14:paraId="42F13282" w14:textId="44A12B55" w:rsidR="007B3BAC" w:rsidRPr="007B3BAC" w:rsidRDefault="007B3BAC" w:rsidP="007B3BAC">
            <w:pPr>
              <w:spacing w:line="240" w:lineRule="auto"/>
              <w:rPr>
                <w:rFonts w:cs="Times New Roman"/>
                <w:szCs w:val="22"/>
              </w:rPr>
            </w:pPr>
            <w:r w:rsidRPr="007B3BAC">
              <w:rPr>
                <w:rFonts w:cs="Times New Roman"/>
                <w:szCs w:val="22"/>
              </w:rPr>
              <w:t xml:space="preserve">From a legislative perspective, there are issues at both the Commonwealth and State levels.  </w:t>
            </w:r>
          </w:p>
          <w:p w14:paraId="3A2B86C9" w14:textId="1A17AA57" w:rsidR="007B3BAC" w:rsidRPr="007B3BAC" w:rsidRDefault="007B3BAC" w:rsidP="007B3BAC">
            <w:pPr>
              <w:spacing w:line="240" w:lineRule="auto"/>
              <w:rPr>
                <w:rFonts w:cs="Times New Roman"/>
                <w:b/>
                <w:szCs w:val="22"/>
              </w:rPr>
            </w:pPr>
            <w:r w:rsidRPr="007B3BAC">
              <w:rPr>
                <w:rFonts w:cs="Times New Roman"/>
                <w:b/>
                <w:szCs w:val="22"/>
              </w:rPr>
              <w:t>Commonwealth</w:t>
            </w:r>
          </w:p>
          <w:p w14:paraId="1FCE78F6" w14:textId="118D2A46" w:rsidR="007B3BAC" w:rsidRDefault="007B3BAC" w:rsidP="007B3BAC">
            <w:pPr>
              <w:spacing w:line="240" w:lineRule="auto"/>
              <w:rPr>
                <w:rFonts w:cs="Times New Roman"/>
                <w:szCs w:val="22"/>
              </w:rPr>
            </w:pPr>
            <w:r w:rsidRPr="007B3BAC">
              <w:rPr>
                <w:rFonts w:cs="Times New Roman"/>
                <w:szCs w:val="22"/>
              </w:rPr>
              <w:t xml:space="preserve">The Fair Work Act does not recognise pre-accredited training under the provisions for work experience.  Furthermore, there is potential </w:t>
            </w:r>
            <w:r>
              <w:rPr>
                <w:rFonts w:cs="Times New Roman"/>
                <w:szCs w:val="22"/>
              </w:rPr>
              <w:t>additional</w:t>
            </w:r>
            <w:r w:rsidRPr="007B3BAC">
              <w:rPr>
                <w:rFonts w:cs="Times New Roman"/>
                <w:szCs w:val="22"/>
              </w:rPr>
              <w:t xml:space="preserve"> exposure for host employers who engage pre-accredited learners in activities which could be deemed ‘productive work’.  </w:t>
            </w:r>
            <w:bookmarkStart w:id="0" w:name="_GoBack"/>
            <w:bookmarkEnd w:id="0"/>
          </w:p>
          <w:p w14:paraId="4F0343D1" w14:textId="43FB4876" w:rsidR="007B3BAC" w:rsidRPr="007B3BAC" w:rsidRDefault="007B3BAC" w:rsidP="007B3BAC">
            <w:pPr>
              <w:spacing w:line="240" w:lineRule="auto"/>
              <w:rPr>
                <w:rFonts w:cs="Times New Roman"/>
                <w:b/>
                <w:szCs w:val="22"/>
              </w:rPr>
            </w:pPr>
            <w:r w:rsidRPr="007B3BAC">
              <w:rPr>
                <w:rFonts w:cs="Times New Roman"/>
                <w:b/>
                <w:szCs w:val="22"/>
              </w:rPr>
              <w:t>State</w:t>
            </w:r>
          </w:p>
          <w:p w14:paraId="78A3FF1A" w14:textId="616C55F1" w:rsidR="007B3BAC" w:rsidRPr="007B3BAC" w:rsidRDefault="007B3BAC" w:rsidP="007B3BAC">
            <w:pPr>
              <w:spacing w:line="240" w:lineRule="auto"/>
              <w:rPr>
                <w:rFonts w:cs="Times New Roman"/>
                <w:szCs w:val="22"/>
              </w:rPr>
            </w:pPr>
            <w:r w:rsidRPr="007B3BAC">
              <w:rPr>
                <w:rFonts w:cs="Times New Roman"/>
                <w:szCs w:val="22"/>
              </w:rPr>
              <w:t>The Education and Training Reform Act provides precise and specific guidelines for the administration of Work Experience (in schools), Structured Workplace Learning (</w:t>
            </w:r>
            <w:proofErr w:type="spellStart"/>
            <w:r w:rsidRPr="007B3BAC">
              <w:rPr>
                <w:rFonts w:cs="Times New Roman"/>
                <w:szCs w:val="22"/>
              </w:rPr>
              <w:t>VETiS</w:t>
            </w:r>
            <w:proofErr w:type="spellEnd"/>
            <w:r w:rsidRPr="007B3BAC">
              <w:rPr>
                <w:rFonts w:cs="Times New Roman"/>
                <w:szCs w:val="22"/>
              </w:rPr>
              <w:t>) and Practical Placements (RTOs).  For the duration of these placements, the student is considered to be an employee of the Department of Education and Training, and is insured accordingly.</w:t>
            </w:r>
          </w:p>
          <w:p w14:paraId="00866BE2" w14:textId="48642E6F" w:rsidR="007B3BAC" w:rsidRPr="007B3BAC" w:rsidRDefault="007B3BAC" w:rsidP="007B3BAC">
            <w:pPr>
              <w:spacing w:line="240" w:lineRule="auto"/>
              <w:rPr>
                <w:rFonts w:cs="Times New Roman"/>
                <w:szCs w:val="22"/>
              </w:rPr>
            </w:pPr>
            <w:r w:rsidRPr="007B3BAC">
              <w:rPr>
                <w:rFonts w:cs="Times New Roman"/>
                <w:szCs w:val="22"/>
              </w:rPr>
              <w:t xml:space="preserve">The Workplace Rehabilitation Compensation Act provides a framework for compensation due to workplace injury, including a definition of vocational placements which is specifically aligned to the Education and Training Reform Act.  </w:t>
            </w:r>
          </w:p>
          <w:p w14:paraId="61B7BCF1" w14:textId="225C85EE" w:rsidR="007B3BAC" w:rsidRPr="007B3BAC" w:rsidRDefault="007B3BAC" w:rsidP="007B3BAC">
            <w:pPr>
              <w:spacing w:line="240" w:lineRule="auto"/>
              <w:rPr>
                <w:rFonts w:cs="Times New Roman"/>
                <w:szCs w:val="22"/>
              </w:rPr>
            </w:pPr>
            <w:r w:rsidRPr="007B3BAC">
              <w:rPr>
                <w:rFonts w:cs="Times New Roman"/>
                <w:szCs w:val="22"/>
              </w:rPr>
              <w:t>As pre-accredited training is not included in either of these key pieces of legislation, WorkCover does not provide protection to host employers of pre-accredited work experience.</w:t>
            </w:r>
          </w:p>
          <w:p w14:paraId="60D866E7" w14:textId="77777777" w:rsidR="007B3BAC" w:rsidRPr="007B3BAC" w:rsidRDefault="007B3BAC" w:rsidP="007B3BAC">
            <w:pPr>
              <w:spacing w:line="240" w:lineRule="auto"/>
              <w:rPr>
                <w:rFonts w:cs="Times New Roman"/>
                <w:b/>
                <w:szCs w:val="22"/>
              </w:rPr>
            </w:pPr>
            <w:r w:rsidRPr="007B3BAC">
              <w:rPr>
                <w:rFonts w:cs="Times New Roman"/>
                <w:b/>
                <w:szCs w:val="22"/>
              </w:rPr>
              <w:t>Insurance</w:t>
            </w:r>
          </w:p>
          <w:p w14:paraId="68F0A7B3" w14:textId="77777777" w:rsidR="007B3BAC" w:rsidRPr="007B3BAC" w:rsidRDefault="007B3BAC" w:rsidP="007B3BAC">
            <w:pPr>
              <w:spacing w:line="240" w:lineRule="auto"/>
              <w:rPr>
                <w:rFonts w:cs="Times New Roman"/>
                <w:szCs w:val="22"/>
              </w:rPr>
            </w:pPr>
            <w:r w:rsidRPr="007B3BAC">
              <w:rPr>
                <w:rFonts w:cs="Times New Roman"/>
                <w:szCs w:val="22"/>
              </w:rPr>
              <w:t xml:space="preserve">The Victorian Managed Insurance Authority (VMIA) provide insurance to LLOs via their Community Service Organisation package, which includes Personal Accident and Public Liability policies.  </w:t>
            </w:r>
          </w:p>
          <w:p w14:paraId="735E5A90" w14:textId="77777777" w:rsidR="007B3BAC" w:rsidRPr="007B3BAC" w:rsidRDefault="007B3BAC" w:rsidP="007B3BAC">
            <w:pPr>
              <w:spacing w:line="240" w:lineRule="auto"/>
              <w:rPr>
                <w:rFonts w:cs="Times New Roman"/>
                <w:szCs w:val="22"/>
              </w:rPr>
            </w:pPr>
            <w:r w:rsidRPr="007B3BAC">
              <w:rPr>
                <w:rFonts w:cs="Times New Roman"/>
                <w:szCs w:val="22"/>
              </w:rPr>
              <w:t>VMIA’s Community Service Organisation package provides full coverage for LLOs hosting work experience within their own organisation.  However, this full coverage does not extend to externally-placed Unsupervised Work Experience placements.</w:t>
            </w:r>
          </w:p>
          <w:p w14:paraId="05C52CAB" w14:textId="77777777" w:rsidR="007B3BAC" w:rsidRPr="007B3BAC" w:rsidRDefault="007B3BAC" w:rsidP="007B3BAC">
            <w:pPr>
              <w:spacing w:line="240" w:lineRule="auto"/>
              <w:rPr>
                <w:rFonts w:cs="Times New Roman"/>
                <w:szCs w:val="22"/>
              </w:rPr>
            </w:pPr>
            <w:r w:rsidRPr="007B3BAC">
              <w:rPr>
                <w:rFonts w:cs="Times New Roman"/>
                <w:szCs w:val="22"/>
              </w:rPr>
              <w:t xml:space="preserve">This is because VMIA’s Community Service Organisation package is not a worker’s compensation policy, and does not provide the same protection as is required by the Workers Rehabilitation and Compensation Act. </w:t>
            </w:r>
          </w:p>
          <w:p w14:paraId="784F5464" w14:textId="77777777" w:rsidR="007B3BAC" w:rsidRPr="007B3BAC" w:rsidRDefault="007B3BAC" w:rsidP="007B3BAC">
            <w:pPr>
              <w:spacing w:line="240" w:lineRule="auto"/>
              <w:rPr>
                <w:rFonts w:cs="Times New Roman"/>
                <w:szCs w:val="22"/>
              </w:rPr>
            </w:pPr>
            <w:r w:rsidRPr="007B3BAC">
              <w:rPr>
                <w:rFonts w:cs="Times New Roman"/>
                <w:szCs w:val="22"/>
              </w:rPr>
              <w:t>While there may be some limited coverage for the learner, the host employer is exposed for any occurrences beyond the scope of the policies.  For example, the VMIA policy does not provide coverage for:</w:t>
            </w:r>
          </w:p>
          <w:p w14:paraId="166569FB" w14:textId="77777777" w:rsidR="007B3BAC" w:rsidRPr="007B3BAC" w:rsidRDefault="007B3BAC" w:rsidP="007B3BAC">
            <w:pPr>
              <w:numPr>
                <w:ilvl w:val="0"/>
                <w:numId w:val="13"/>
              </w:numPr>
              <w:spacing w:line="240" w:lineRule="auto"/>
              <w:rPr>
                <w:rFonts w:cs="Times New Roman"/>
                <w:szCs w:val="22"/>
              </w:rPr>
            </w:pPr>
            <w:r w:rsidRPr="007B3BAC">
              <w:rPr>
                <w:rFonts w:cs="Times New Roman"/>
                <w:szCs w:val="22"/>
              </w:rPr>
              <w:t>mental health-related claims such as stress leave</w:t>
            </w:r>
          </w:p>
          <w:p w14:paraId="4B9F7A28" w14:textId="77777777" w:rsidR="007B3BAC" w:rsidRPr="007B3BAC" w:rsidRDefault="007B3BAC" w:rsidP="007B3BAC">
            <w:pPr>
              <w:numPr>
                <w:ilvl w:val="0"/>
                <w:numId w:val="13"/>
              </w:numPr>
              <w:spacing w:line="240" w:lineRule="auto"/>
              <w:rPr>
                <w:rFonts w:cs="Times New Roman"/>
                <w:szCs w:val="22"/>
              </w:rPr>
            </w:pPr>
            <w:r w:rsidRPr="007B3BAC">
              <w:rPr>
                <w:rFonts w:cs="Times New Roman"/>
                <w:szCs w:val="22"/>
              </w:rPr>
              <w:t>aggravation of pre-existing injuries</w:t>
            </w:r>
          </w:p>
          <w:p w14:paraId="401E1E4F" w14:textId="77777777" w:rsidR="007B3BAC" w:rsidRPr="007B3BAC" w:rsidRDefault="007B3BAC" w:rsidP="007B3BAC">
            <w:pPr>
              <w:numPr>
                <w:ilvl w:val="0"/>
                <w:numId w:val="13"/>
              </w:numPr>
              <w:spacing w:line="240" w:lineRule="auto"/>
              <w:rPr>
                <w:rFonts w:cs="Times New Roman"/>
                <w:szCs w:val="22"/>
              </w:rPr>
            </w:pPr>
            <w:r w:rsidRPr="007B3BAC">
              <w:rPr>
                <w:rFonts w:cs="Times New Roman"/>
                <w:szCs w:val="22"/>
              </w:rPr>
              <w:t xml:space="preserve">lifetime disabilities </w:t>
            </w:r>
          </w:p>
          <w:p w14:paraId="10645C12" w14:textId="04C8E474" w:rsidR="007B3BAC" w:rsidRPr="007B3BAC" w:rsidRDefault="007B3BAC" w:rsidP="007B3BAC">
            <w:pPr>
              <w:numPr>
                <w:ilvl w:val="0"/>
                <w:numId w:val="13"/>
              </w:numPr>
              <w:spacing w:line="240" w:lineRule="auto"/>
              <w:rPr>
                <w:rFonts w:cs="Times New Roman"/>
                <w:szCs w:val="22"/>
              </w:rPr>
            </w:pPr>
            <w:proofErr w:type="gramStart"/>
            <w:r w:rsidRPr="007B3BAC">
              <w:rPr>
                <w:rFonts w:cs="Times New Roman"/>
                <w:szCs w:val="22"/>
              </w:rPr>
              <w:lastRenderedPageBreak/>
              <w:t>return</w:t>
            </w:r>
            <w:proofErr w:type="gramEnd"/>
            <w:r w:rsidRPr="007B3BAC">
              <w:rPr>
                <w:rFonts w:cs="Times New Roman"/>
                <w:szCs w:val="22"/>
              </w:rPr>
              <w:t xml:space="preserve"> to work costs.</w:t>
            </w:r>
          </w:p>
          <w:p w14:paraId="5439ACD9" w14:textId="11D365E8" w:rsidR="007B3BAC" w:rsidRPr="007B3BAC" w:rsidRDefault="00124B66" w:rsidP="007B3BAC">
            <w:pPr>
              <w:spacing w:line="240" w:lineRule="auto"/>
              <w:rPr>
                <w:rFonts w:cs="Times New Roman"/>
                <w:szCs w:val="22"/>
              </w:rPr>
            </w:pPr>
            <w:r>
              <w:rPr>
                <w:rFonts w:cs="Times New Roman"/>
                <w:szCs w:val="22"/>
              </w:rPr>
              <w:t>This leaves the host employer responsible for this insurance coverage, and expose them to potential action under the Fair Work Act</w:t>
            </w:r>
            <w:r w:rsidR="007B3BAC" w:rsidRPr="007B3BAC">
              <w:rPr>
                <w:rFonts w:cs="Times New Roman"/>
                <w:szCs w:val="22"/>
              </w:rPr>
              <w:t>.</w:t>
            </w:r>
          </w:p>
          <w:p w14:paraId="43A8DF2B" w14:textId="18EE8C6C" w:rsidR="007B3BAC" w:rsidRPr="007B3BAC" w:rsidRDefault="007B3BAC" w:rsidP="007B3BAC">
            <w:pPr>
              <w:spacing w:line="240" w:lineRule="auto"/>
              <w:rPr>
                <w:rFonts w:cs="Times New Roman"/>
                <w:b/>
                <w:szCs w:val="22"/>
              </w:rPr>
            </w:pPr>
            <w:r w:rsidRPr="007B3BAC">
              <w:rPr>
                <w:rFonts w:cs="Times New Roman"/>
                <w:b/>
                <w:szCs w:val="22"/>
              </w:rPr>
              <w:t>Accredited Training</w:t>
            </w:r>
          </w:p>
          <w:p w14:paraId="40864266" w14:textId="10444BFB" w:rsidR="007B3BAC" w:rsidRPr="007B3BAC" w:rsidRDefault="007B3BAC" w:rsidP="007B3BAC">
            <w:pPr>
              <w:spacing w:line="240" w:lineRule="auto"/>
              <w:rPr>
                <w:rFonts w:cs="Times New Roman"/>
                <w:szCs w:val="22"/>
              </w:rPr>
            </w:pPr>
            <w:r w:rsidRPr="007B3BAC">
              <w:rPr>
                <w:rFonts w:cs="Times New Roman"/>
                <w:szCs w:val="22"/>
              </w:rPr>
              <w:t>If a pre-accredited learner has the capabilities to thrive in an unsupervised vocational placements, it should be considered whether that learner should be placed i</w:t>
            </w:r>
            <w:r w:rsidR="00124B66">
              <w:rPr>
                <w:rFonts w:cs="Times New Roman"/>
                <w:szCs w:val="22"/>
              </w:rPr>
              <w:t>n an accredited course with an unsupervised work experience p</w:t>
            </w:r>
            <w:r w:rsidRPr="007B3BAC">
              <w:rPr>
                <w:rFonts w:cs="Times New Roman"/>
                <w:szCs w:val="22"/>
              </w:rPr>
              <w:t>lacement component.</w:t>
            </w:r>
          </w:p>
          <w:p w14:paraId="24F6AD21" w14:textId="128DC349" w:rsidR="007B3BAC" w:rsidRPr="007B3BAC" w:rsidRDefault="007B3BAC" w:rsidP="007B3BAC">
            <w:pPr>
              <w:spacing w:line="240" w:lineRule="auto"/>
              <w:rPr>
                <w:rFonts w:cs="Times New Roman"/>
                <w:b/>
                <w:szCs w:val="22"/>
              </w:rPr>
            </w:pPr>
            <w:r w:rsidRPr="007B3BAC">
              <w:rPr>
                <w:rFonts w:cs="Times New Roman"/>
                <w:b/>
                <w:szCs w:val="22"/>
              </w:rPr>
              <w:t>Alternate models of work experience in Pre-Accredited Training</w:t>
            </w:r>
          </w:p>
          <w:p w14:paraId="265C8343" w14:textId="77777777" w:rsidR="007B3BAC" w:rsidRPr="007B3BAC" w:rsidRDefault="007B3BAC" w:rsidP="007B3BAC">
            <w:pPr>
              <w:spacing w:line="240" w:lineRule="auto"/>
              <w:rPr>
                <w:rFonts w:cs="Times New Roman"/>
                <w:szCs w:val="22"/>
              </w:rPr>
            </w:pPr>
            <w:r w:rsidRPr="007B3BAC">
              <w:rPr>
                <w:rFonts w:cs="Times New Roman"/>
                <w:szCs w:val="22"/>
              </w:rPr>
              <w:t>The model of Pre-Accredited Work Experience detailed in the Pre-Accredited Work Experience Guidelines is the model endorsed by the ACFE Board as being safe, supported by legislation, covered by insurance and aligned to the intended cohort of pre-accredited training.</w:t>
            </w:r>
          </w:p>
          <w:p w14:paraId="462464A0" w14:textId="77777777" w:rsidR="007B3BAC" w:rsidRPr="007B3BAC" w:rsidRDefault="007B3BAC" w:rsidP="007B3BAC">
            <w:pPr>
              <w:spacing w:line="240" w:lineRule="auto"/>
              <w:rPr>
                <w:rFonts w:cs="Times New Roman"/>
                <w:szCs w:val="22"/>
              </w:rPr>
            </w:pPr>
            <w:r w:rsidRPr="007B3BAC">
              <w:rPr>
                <w:rFonts w:cs="Times New Roman"/>
                <w:szCs w:val="22"/>
              </w:rPr>
              <w:t xml:space="preserve">However, should providers wish to conduct a different model of work experience in pre-accredited training, the ACFE Board strongly recommend that providers either: </w:t>
            </w:r>
          </w:p>
          <w:p w14:paraId="7D352C4E" w14:textId="77777777" w:rsidR="007B3BAC" w:rsidRPr="007B3BAC" w:rsidRDefault="007B3BAC" w:rsidP="007B3BAC">
            <w:pPr>
              <w:numPr>
                <w:ilvl w:val="0"/>
                <w:numId w:val="14"/>
              </w:numPr>
              <w:spacing w:line="240" w:lineRule="auto"/>
              <w:rPr>
                <w:rFonts w:cs="Times New Roman"/>
                <w:szCs w:val="22"/>
              </w:rPr>
            </w:pPr>
            <w:r w:rsidRPr="007B3BAC">
              <w:rPr>
                <w:rFonts w:cs="Times New Roman"/>
                <w:szCs w:val="22"/>
              </w:rPr>
              <w:t>Inform the host employer that they will need to cover the activity with their own insurance policy, and ensure the host employers have adequate insurance coverage to support the activities.</w:t>
            </w:r>
          </w:p>
          <w:p w14:paraId="26CF5E09" w14:textId="77777777" w:rsidR="007B3BAC" w:rsidRDefault="007B3BAC" w:rsidP="00D42215">
            <w:pPr>
              <w:numPr>
                <w:ilvl w:val="0"/>
                <w:numId w:val="14"/>
              </w:numPr>
              <w:spacing w:line="240" w:lineRule="auto"/>
              <w:rPr>
                <w:rFonts w:cs="Times New Roman"/>
                <w:szCs w:val="22"/>
              </w:rPr>
            </w:pPr>
            <w:r w:rsidRPr="007B3BAC">
              <w:rPr>
                <w:rFonts w:cs="Times New Roman"/>
                <w:szCs w:val="22"/>
              </w:rPr>
              <w:t>Explore other arrangements to provide adequate insurance coverage.</w:t>
            </w:r>
          </w:p>
          <w:p w14:paraId="69D64FBC" w14:textId="1903187E" w:rsidR="00124B66" w:rsidRPr="007B3BAC" w:rsidRDefault="00124B66" w:rsidP="00124B66">
            <w:pPr>
              <w:spacing w:line="240" w:lineRule="auto"/>
              <w:rPr>
                <w:rFonts w:cs="Times New Roman"/>
                <w:szCs w:val="22"/>
              </w:rPr>
            </w:pPr>
          </w:p>
        </w:tc>
      </w:tr>
      <w:tr w:rsidR="007B3BAC" w:rsidRPr="00D42215" w14:paraId="0DBD5181" w14:textId="5DBDDBD4" w:rsidTr="00F26858">
        <w:trPr>
          <w:trHeight w:val="809"/>
        </w:trPr>
        <w:tc>
          <w:tcPr>
            <w:tcW w:w="531" w:type="dxa"/>
            <w:tcBorders>
              <w:top w:val="single" w:sz="4" w:space="0" w:color="D9D9D9" w:themeColor="background1" w:themeShade="D9"/>
              <w:bottom w:val="single" w:sz="4" w:space="0" w:color="AF272F"/>
            </w:tcBorders>
            <w:shd w:val="clear" w:color="auto" w:fill="F2F2F2" w:themeFill="background1" w:themeFillShade="F2"/>
            <w:vAlign w:val="center"/>
          </w:tcPr>
          <w:p w14:paraId="4F963123" w14:textId="2E881336" w:rsidR="007B3BAC" w:rsidRPr="00D42215" w:rsidRDefault="007B3BAC" w:rsidP="00D42215">
            <w:pPr>
              <w:spacing w:line="240" w:lineRule="auto"/>
              <w:rPr>
                <w:rFonts w:cs="Times New Roman"/>
                <w:szCs w:val="22"/>
              </w:rPr>
            </w:pPr>
            <w:r>
              <w:rPr>
                <w:rFonts w:cs="Times New Roman"/>
                <w:b/>
                <w:color w:val="AF272F"/>
                <w:szCs w:val="22"/>
              </w:rPr>
              <w:lastRenderedPageBreak/>
              <w:t>5</w:t>
            </w:r>
          </w:p>
        </w:tc>
        <w:tc>
          <w:tcPr>
            <w:tcW w:w="3145" w:type="dxa"/>
            <w:tcBorders>
              <w:top w:val="single" w:sz="4" w:space="0" w:color="D9D9D9" w:themeColor="background1" w:themeShade="D9"/>
              <w:bottom w:val="single" w:sz="4" w:space="0" w:color="AF272F"/>
            </w:tcBorders>
            <w:shd w:val="clear" w:color="auto" w:fill="auto"/>
            <w:vAlign w:val="center"/>
          </w:tcPr>
          <w:p w14:paraId="4FE7E15B" w14:textId="62819632" w:rsidR="007B3BAC" w:rsidRPr="00D42215" w:rsidRDefault="007B3BAC" w:rsidP="00D42215">
            <w:pPr>
              <w:spacing w:line="240" w:lineRule="auto"/>
              <w:rPr>
                <w:rFonts w:cs="Times New Roman"/>
                <w:szCs w:val="22"/>
              </w:rPr>
            </w:pPr>
            <w:r w:rsidRPr="007B3BAC">
              <w:rPr>
                <w:rFonts w:cs="Times New Roman"/>
                <w:b/>
                <w:szCs w:val="22"/>
                <w:lang w:val="en-US"/>
              </w:rPr>
              <w:t>Is there a timeframe for these guidelines to take effect?</w:t>
            </w:r>
          </w:p>
        </w:tc>
        <w:tc>
          <w:tcPr>
            <w:tcW w:w="10777" w:type="dxa"/>
            <w:tcBorders>
              <w:top w:val="single" w:sz="4" w:space="0" w:color="D9D9D9" w:themeColor="background1" w:themeShade="D9"/>
              <w:bottom w:val="single" w:sz="4" w:space="0" w:color="AF272F"/>
            </w:tcBorders>
            <w:shd w:val="clear" w:color="auto" w:fill="auto"/>
            <w:vAlign w:val="center"/>
          </w:tcPr>
          <w:p w14:paraId="57A72982" w14:textId="20916AC9" w:rsidR="007B3BAC" w:rsidRPr="00D42215" w:rsidRDefault="007B3BAC" w:rsidP="00D42215">
            <w:pPr>
              <w:spacing w:line="240" w:lineRule="auto"/>
              <w:rPr>
                <w:rFonts w:cs="Times New Roman"/>
                <w:szCs w:val="22"/>
              </w:rPr>
            </w:pPr>
            <w:r w:rsidRPr="007B3BAC">
              <w:rPr>
                <w:rFonts w:cs="Times New Roman"/>
                <w:szCs w:val="22"/>
              </w:rPr>
              <w:t xml:space="preserve">The ACFE Board recommend that providers currently delivering Pre-Accredited Work Experience activities immediately use the structure detailed in these guidelines to avoid insurance-related risks. </w:t>
            </w:r>
          </w:p>
        </w:tc>
      </w:tr>
    </w:tbl>
    <w:p w14:paraId="32EC757D" w14:textId="77777777" w:rsidR="00D42215" w:rsidRPr="00D42215" w:rsidRDefault="00D42215" w:rsidP="00D42215">
      <w:pPr>
        <w:spacing w:line="240" w:lineRule="auto"/>
        <w:rPr>
          <w:rFonts w:eastAsia="Arial" w:cs="Times New Roman"/>
          <w:szCs w:val="22"/>
          <w:lang w:val="en-AU"/>
        </w:rPr>
      </w:pPr>
    </w:p>
    <w:p w14:paraId="34641C05" w14:textId="77777777" w:rsidR="00D42215" w:rsidRPr="00D42215" w:rsidRDefault="00D42215" w:rsidP="00D42215">
      <w:pPr>
        <w:spacing w:line="240" w:lineRule="auto"/>
        <w:rPr>
          <w:rFonts w:eastAsia="Arial" w:cs="Times New Roman"/>
          <w:szCs w:val="22"/>
          <w:lang w:val="en-AU"/>
        </w:rPr>
      </w:pPr>
    </w:p>
    <w:p w14:paraId="485C300C" w14:textId="77777777" w:rsidR="00D42215" w:rsidRDefault="00D42215">
      <w:pPr>
        <w:rPr>
          <w:rFonts w:asciiTheme="minorHAnsi" w:hAnsiTheme="minorHAnsi" w:cstheme="minorBidi"/>
          <w:sz w:val="24"/>
          <w:szCs w:val="24"/>
        </w:rPr>
      </w:pPr>
    </w:p>
    <w:sectPr w:rsidR="00D42215" w:rsidSect="00D42215">
      <w:headerReference w:type="default" r:id="rId12"/>
      <w:footerReference w:type="default" r:id="rId13"/>
      <w:pgSz w:w="16840" w:h="11900" w:orient="landscape"/>
      <w:pgMar w:top="2578" w:right="1502" w:bottom="737" w:left="1304" w:header="624" w:footer="9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82DE" w14:textId="77777777" w:rsidR="00AA127F" w:rsidRDefault="00AA127F" w:rsidP="008766A4">
      <w:r>
        <w:separator/>
      </w:r>
    </w:p>
  </w:endnote>
  <w:endnote w:type="continuationSeparator" w:id="0">
    <w:p w14:paraId="51D13E9D" w14:textId="77777777" w:rsidR="00AA127F" w:rsidRDefault="00AA127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400F1838" w:rsidR="003E29B5" w:rsidRPr="003E29B5" w:rsidRDefault="00D42215" w:rsidP="008766A4">
    <w:r w:rsidRPr="003E29B5">
      <w:rPr>
        <w:noProof/>
        <w:lang w:val="en-AU" w:eastAsia="en-AU"/>
      </w:rPr>
      <w:drawing>
        <wp:anchor distT="0" distB="0" distL="114300" distR="114300" simplePos="0" relativeHeight="251661312" behindDoc="1" locked="0" layoutInCell="1" allowOverlap="1" wp14:anchorId="1E20E314" wp14:editId="7EA3BB52">
          <wp:simplePos x="0" y="0"/>
          <wp:positionH relativeFrom="page">
            <wp:posOffset>2506931</wp:posOffset>
          </wp:positionH>
          <wp:positionV relativeFrom="page">
            <wp:posOffset>6740916</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0F89" w14:textId="77777777" w:rsidR="00AA127F" w:rsidRDefault="00AA127F" w:rsidP="008766A4">
      <w:r>
        <w:separator/>
      </w:r>
    </w:p>
  </w:footnote>
  <w:footnote w:type="continuationSeparator" w:id="0">
    <w:p w14:paraId="120EB4BD" w14:textId="77777777" w:rsidR="00AA127F" w:rsidRDefault="00AA127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E4258D1" w:rsidR="003E29B5" w:rsidRPr="003E29B5" w:rsidRDefault="001B708E" w:rsidP="008766A4">
    <w:r>
      <w:rPr>
        <w:noProof/>
        <w:lang w:val="en-AU" w:eastAsia="en-AU"/>
      </w:rPr>
      <w:drawing>
        <wp:anchor distT="0" distB="0" distL="114300" distR="114300" simplePos="0" relativeHeight="251658239" behindDoc="1" locked="0" layoutInCell="1" allowOverlap="1" wp14:anchorId="2144FE09" wp14:editId="0F938DD0">
          <wp:simplePos x="0" y="0"/>
          <wp:positionH relativeFrom="page">
            <wp:align>left</wp:align>
          </wp:positionH>
          <wp:positionV relativeFrom="page">
            <wp:align>top</wp:align>
          </wp:positionV>
          <wp:extent cx="10692000" cy="7560000"/>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State Headers_Training and skills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A77844"/>
    <w:multiLevelType w:val="hybridMultilevel"/>
    <w:tmpl w:val="13669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C24D1E"/>
    <w:multiLevelType w:val="hybridMultilevel"/>
    <w:tmpl w:val="6442D89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1B329D"/>
    <w:multiLevelType w:val="hybridMultilevel"/>
    <w:tmpl w:val="C9682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124B66"/>
    <w:rsid w:val="0014310A"/>
    <w:rsid w:val="001A40A5"/>
    <w:rsid w:val="001B708E"/>
    <w:rsid w:val="0022212D"/>
    <w:rsid w:val="00326F48"/>
    <w:rsid w:val="003B01B0"/>
    <w:rsid w:val="003D7C36"/>
    <w:rsid w:val="003E29B5"/>
    <w:rsid w:val="004B38C6"/>
    <w:rsid w:val="00596923"/>
    <w:rsid w:val="006C264A"/>
    <w:rsid w:val="006E4BDD"/>
    <w:rsid w:val="00784798"/>
    <w:rsid w:val="007B3BAC"/>
    <w:rsid w:val="00816ED5"/>
    <w:rsid w:val="008766A4"/>
    <w:rsid w:val="00980015"/>
    <w:rsid w:val="00982C90"/>
    <w:rsid w:val="009F2302"/>
    <w:rsid w:val="00AA127F"/>
    <w:rsid w:val="00B4171E"/>
    <w:rsid w:val="00BC1D2D"/>
    <w:rsid w:val="00BC47FB"/>
    <w:rsid w:val="00CC676C"/>
    <w:rsid w:val="00D31299"/>
    <w:rsid w:val="00D42215"/>
    <w:rsid w:val="00F92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table" w:styleId="TableGrid">
    <w:name w:val="Table Grid"/>
    <w:basedOn w:val="TableNormal"/>
    <w:uiPriority w:val="39"/>
    <w:rsid w:val="00D42215"/>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742A3-D275-4FE6-A433-062BF2D39E2E}"/>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683BE6-9FD5-4020-ACC6-EB834D6A09A4}"/>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preaccredited work experience attach 2</dc:title>
  <dc:subject/>
  <dc:creator>Dori Maniatakis</dc:creator>
  <cp:keywords/>
  <dc:description/>
  <cp:lastModifiedBy>Orchard, Nick N</cp:lastModifiedBy>
  <cp:revision>4</cp:revision>
  <dcterms:created xsi:type="dcterms:W3CDTF">2017-09-05T02:02:00Z</dcterms:created>
  <dcterms:modified xsi:type="dcterms:W3CDTF">2017-09-11T00:23:00Z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