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41668C">
        <w:rPr>
          <w:rFonts w:ascii="Arial" w:hAnsi="Arial"/>
          <w:i/>
          <w:color w:val="000000"/>
          <w:sz w:val="22"/>
          <w:szCs w:val="24"/>
          <w:lang w:val="en-GB" w:eastAsia="en-US"/>
        </w:rPr>
        <w:t>08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41668C">
        <w:rPr>
          <w:rFonts w:ascii="Arial" w:hAnsi="Arial"/>
          <w:i/>
          <w:color w:val="000000"/>
          <w:sz w:val="22"/>
          <w:szCs w:val="24"/>
          <w:lang w:val="en-GB" w:eastAsia="en-US"/>
        </w:rPr>
        <w:t>30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29046F" w:rsidRPr="0029046F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>or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RTOs only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536284">
        <w:rPr>
          <w:rFonts w:ascii="Arial" w:hAnsi="Arial"/>
          <w:color w:val="000000"/>
          <w:sz w:val="22"/>
          <w:szCs w:val="24"/>
          <w:lang w:val="en-GB" w:eastAsia="en-US"/>
        </w:rPr>
        <w:t>Ryan Collins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536284">
        <w:rPr>
          <w:rFonts w:ascii="Arial" w:hAnsi="Arial"/>
          <w:color w:val="000000"/>
          <w:sz w:val="22"/>
          <w:lang w:val="en-GB" w:eastAsia="en-US"/>
        </w:rPr>
        <w:t xml:space="preserve">30 / 08 / 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201</w:t>
      </w:r>
      <w:r w:rsidR="00F13297">
        <w:rPr>
          <w:rFonts w:ascii="Arial" w:hAnsi="Arial"/>
          <w:color w:val="000000"/>
          <w:sz w:val="22"/>
          <w:lang w:val="en-GB" w:eastAsia="en-US"/>
        </w:rPr>
        <w:t>7</w:t>
      </w:r>
    </w:p>
    <w:p w:rsidR="009D5D01" w:rsidRPr="006C29AC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b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536284" w:rsidRPr="006C29AC">
        <w:rPr>
          <w:rFonts w:ascii="Arial" w:hAnsi="Arial"/>
          <w:b/>
          <w:color w:val="000000"/>
          <w:sz w:val="22"/>
          <w:lang w:val="en-GB" w:eastAsia="en-US"/>
        </w:rPr>
        <w:t>Professional Development Opportunities available for Learn Local Organisations</w:t>
      </w:r>
    </w:p>
    <w:p w:rsidR="002B15E5" w:rsidRPr="006C29AC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b/>
          <w:color w:val="000000"/>
          <w:sz w:val="22"/>
          <w:lang w:val="en-GB" w:eastAsia="en-US"/>
        </w:rPr>
      </w:pPr>
    </w:p>
    <w:p w:rsidR="009D5D01" w:rsidRPr="00044F8A" w:rsidRDefault="009D5D01" w:rsidP="00554DD7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554DD7">
      <w:pP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  <w:r w:rsidR="006C29A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 </w:t>
      </w:r>
    </w:p>
    <w:p w:rsidR="00536284" w:rsidRDefault="00536284" w:rsidP="00554DD7">
      <w:pP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Pr="00554DD7" w:rsidRDefault="00536284" w:rsidP="00554DD7">
      <w:pP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Learn Local Organisations are strongly encouraged to register for the following Pre-accredited Quality Framework workshops across Victoria</w:t>
      </w:r>
      <w:r w:rsidR="006C29A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. Register by following this link </w:t>
      </w:r>
      <w:r w:rsidR="006C29AC" w:rsidRPr="006C29AC">
        <w:rPr>
          <w:rFonts w:ascii="Arial" w:hAnsi="Arial" w:cs="Arial"/>
          <w:color w:val="222222"/>
          <w:sz w:val="22"/>
          <w:szCs w:val="22"/>
        </w:rPr>
        <w:t xml:space="preserve">– </w:t>
      </w:r>
      <w:hyperlink r:id="rId10" w:history="1">
        <w:r w:rsidR="006C29AC" w:rsidRPr="006C29AC">
          <w:rPr>
            <w:rStyle w:val="Hyperlink"/>
            <w:rFonts w:ascii="Arial" w:hAnsi="Arial" w:cs="Arial"/>
            <w:sz w:val="22"/>
            <w:szCs w:val="22"/>
          </w:rPr>
          <w:t>Register now</w:t>
        </w:r>
      </w:hyperlink>
      <w:r w:rsidR="0029046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554DD7" w:rsidRDefault="00554DD7" w:rsidP="00554DD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tbl>
      <w:tblPr>
        <w:tblStyle w:val="TableGrid"/>
        <w:tblpPr w:leftFromText="180" w:rightFromText="180" w:vertAnchor="text" w:horzAnchor="margin" w:tblpY="167"/>
        <w:tblW w:w="9889" w:type="dxa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10"/>
        <w:gridCol w:w="4535"/>
        <w:gridCol w:w="1701"/>
        <w:gridCol w:w="1843"/>
      </w:tblGrid>
      <w:tr w:rsidR="00554DD7" w:rsidTr="000745B0">
        <w:tc>
          <w:tcPr>
            <w:tcW w:w="1810" w:type="dxa"/>
            <w:shd w:val="clear" w:color="auto" w:fill="D9D9D9" w:themeFill="background1" w:themeFillShade="D9"/>
          </w:tcPr>
          <w:p w:rsidR="00554DD7" w:rsidRPr="00580123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ind w:right="-83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en-US"/>
              </w:rPr>
            </w:pPr>
            <w:r w:rsidRPr="00580123">
              <w:rPr>
                <w:rFonts w:ascii="Arial" w:hAnsi="Arial" w:cs="Arial"/>
                <w:b/>
                <w:bCs/>
                <w:color w:val="000000"/>
                <w:sz w:val="20"/>
                <w:lang w:val="en-GB" w:eastAsia="en-US"/>
              </w:rPr>
              <w:t>Workshop Level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554DD7" w:rsidRPr="00580123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en-US"/>
              </w:rPr>
            </w:pPr>
            <w:r w:rsidRPr="00580123">
              <w:rPr>
                <w:rFonts w:ascii="Arial" w:hAnsi="Arial" w:cs="Arial"/>
                <w:b/>
                <w:bCs/>
                <w:color w:val="000000"/>
                <w:sz w:val="20"/>
                <w:lang w:val="en-GB" w:eastAsia="en-US"/>
              </w:rPr>
              <w:t>Venue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4DD7" w:rsidRPr="00580123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en-US"/>
              </w:rPr>
            </w:pPr>
            <w:r w:rsidRPr="00580123">
              <w:rPr>
                <w:rFonts w:ascii="Arial" w:hAnsi="Arial" w:cs="Arial"/>
                <w:b/>
                <w:bCs/>
                <w:color w:val="000000"/>
                <w:sz w:val="20"/>
                <w:lang w:val="en-GB" w:eastAsia="en-US"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54DD7" w:rsidRPr="00580123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en-US"/>
              </w:rPr>
            </w:pPr>
            <w:r w:rsidRPr="00580123">
              <w:rPr>
                <w:rFonts w:ascii="Arial" w:hAnsi="Arial" w:cs="Arial"/>
                <w:b/>
                <w:bCs/>
                <w:color w:val="000000"/>
                <w:sz w:val="20"/>
                <w:lang w:val="en-GB" w:eastAsia="en-US"/>
              </w:rPr>
              <w:t>Time</w:t>
            </w:r>
          </w:p>
        </w:tc>
      </w:tr>
      <w:tr w:rsidR="00554DD7" w:rsidTr="006C29AC">
        <w:tc>
          <w:tcPr>
            <w:tcW w:w="1810" w:type="dxa"/>
          </w:tcPr>
          <w:p w:rsidR="00554DD7" w:rsidRPr="00536284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Beginner</w:t>
            </w:r>
          </w:p>
        </w:tc>
        <w:tc>
          <w:tcPr>
            <w:tcW w:w="4535" w:type="dxa"/>
          </w:tcPr>
          <w:p w:rsidR="00554DD7" w:rsidRPr="00536284" w:rsidRDefault="00554DD7" w:rsidP="006C29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Multicultural Hub, Elizabeth St, Melbourne</w:t>
            </w:r>
          </w:p>
        </w:tc>
        <w:tc>
          <w:tcPr>
            <w:tcW w:w="1701" w:type="dxa"/>
          </w:tcPr>
          <w:p w:rsidR="00554DD7" w:rsidRPr="00536284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18 September</w:t>
            </w:r>
          </w:p>
        </w:tc>
        <w:tc>
          <w:tcPr>
            <w:tcW w:w="1843" w:type="dxa"/>
          </w:tcPr>
          <w:p w:rsidR="00554DD7" w:rsidRPr="00536284" w:rsidRDefault="00554DD7" w:rsidP="006C29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10am to 3pm</w:t>
            </w:r>
          </w:p>
        </w:tc>
      </w:tr>
      <w:tr w:rsidR="00554DD7" w:rsidTr="006C29AC">
        <w:tc>
          <w:tcPr>
            <w:tcW w:w="1810" w:type="dxa"/>
          </w:tcPr>
          <w:p w:rsidR="00554DD7" w:rsidRPr="00536284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Beginner</w:t>
            </w:r>
          </w:p>
        </w:tc>
        <w:tc>
          <w:tcPr>
            <w:tcW w:w="4535" w:type="dxa"/>
          </w:tcPr>
          <w:p w:rsidR="00554DD7" w:rsidRPr="00536284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Sale Neighbourhood House</w:t>
            </w:r>
          </w:p>
        </w:tc>
        <w:tc>
          <w:tcPr>
            <w:tcW w:w="1701" w:type="dxa"/>
          </w:tcPr>
          <w:p w:rsidR="00554DD7" w:rsidRPr="00536284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12 October</w:t>
            </w:r>
          </w:p>
        </w:tc>
        <w:tc>
          <w:tcPr>
            <w:tcW w:w="1843" w:type="dxa"/>
          </w:tcPr>
          <w:p w:rsidR="00554DD7" w:rsidRPr="00536284" w:rsidRDefault="00554DD7" w:rsidP="006C29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10am to 3pm</w:t>
            </w:r>
          </w:p>
        </w:tc>
      </w:tr>
      <w:tr w:rsidR="00554DD7" w:rsidTr="006C29AC">
        <w:tc>
          <w:tcPr>
            <w:tcW w:w="1810" w:type="dxa"/>
          </w:tcPr>
          <w:p w:rsidR="00554DD7" w:rsidRPr="00536284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Advanced</w:t>
            </w:r>
          </w:p>
        </w:tc>
        <w:tc>
          <w:tcPr>
            <w:tcW w:w="4535" w:type="dxa"/>
          </w:tcPr>
          <w:p w:rsidR="00554DD7" w:rsidRPr="00536284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North Shepparton Community &amp; Learning Centre</w:t>
            </w:r>
          </w:p>
        </w:tc>
        <w:tc>
          <w:tcPr>
            <w:tcW w:w="1701" w:type="dxa"/>
          </w:tcPr>
          <w:p w:rsidR="00554DD7" w:rsidRPr="00536284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14 September</w:t>
            </w:r>
          </w:p>
        </w:tc>
        <w:tc>
          <w:tcPr>
            <w:tcW w:w="1843" w:type="dxa"/>
          </w:tcPr>
          <w:p w:rsidR="00554DD7" w:rsidRPr="00536284" w:rsidRDefault="00554DD7" w:rsidP="006C29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10am to 3.30pm</w:t>
            </w:r>
          </w:p>
        </w:tc>
      </w:tr>
      <w:tr w:rsidR="00554DD7" w:rsidTr="006C29AC">
        <w:tc>
          <w:tcPr>
            <w:tcW w:w="1810" w:type="dxa"/>
          </w:tcPr>
          <w:p w:rsidR="00554DD7" w:rsidRPr="00536284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Advanced</w:t>
            </w:r>
          </w:p>
        </w:tc>
        <w:tc>
          <w:tcPr>
            <w:tcW w:w="4535" w:type="dxa"/>
          </w:tcPr>
          <w:p w:rsidR="00554DD7" w:rsidRPr="00536284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Multicultural Hub, Elizabeth St, Melbourne</w:t>
            </w:r>
          </w:p>
        </w:tc>
        <w:tc>
          <w:tcPr>
            <w:tcW w:w="1701" w:type="dxa"/>
          </w:tcPr>
          <w:p w:rsidR="00554DD7" w:rsidRPr="00536284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2 October</w:t>
            </w:r>
          </w:p>
        </w:tc>
        <w:tc>
          <w:tcPr>
            <w:tcW w:w="1843" w:type="dxa"/>
          </w:tcPr>
          <w:p w:rsidR="00554DD7" w:rsidRPr="00536284" w:rsidRDefault="00554DD7" w:rsidP="006C29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10am to 3pm</w:t>
            </w:r>
          </w:p>
        </w:tc>
      </w:tr>
      <w:tr w:rsidR="00554DD7" w:rsidTr="006C29AC">
        <w:tc>
          <w:tcPr>
            <w:tcW w:w="1810" w:type="dxa"/>
          </w:tcPr>
          <w:p w:rsidR="00554DD7" w:rsidRPr="00536284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Advanced</w:t>
            </w:r>
          </w:p>
        </w:tc>
        <w:tc>
          <w:tcPr>
            <w:tcW w:w="4535" w:type="dxa"/>
          </w:tcPr>
          <w:p w:rsidR="00554DD7" w:rsidRPr="00536284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Cloverdale Community Centre, Geelong</w:t>
            </w:r>
          </w:p>
        </w:tc>
        <w:tc>
          <w:tcPr>
            <w:tcW w:w="1701" w:type="dxa"/>
          </w:tcPr>
          <w:p w:rsidR="00554DD7" w:rsidRPr="00536284" w:rsidRDefault="00554DD7" w:rsidP="006C29AC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17 November</w:t>
            </w:r>
          </w:p>
        </w:tc>
        <w:tc>
          <w:tcPr>
            <w:tcW w:w="1843" w:type="dxa"/>
          </w:tcPr>
          <w:p w:rsidR="00554DD7" w:rsidRPr="00536284" w:rsidRDefault="00554DD7" w:rsidP="006C29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10am to 3pm</w:t>
            </w:r>
          </w:p>
        </w:tc>
      </w:tr>
    </w:tbl>
    <w:p w:rsidR="00554DD7" w:rsidRDefault="00554DD7" w:rsidP="00554DD7">
      <w:pPr>
        <w:tabs>
          <w:tab w:val="left" w:pos="0"/>
          <w:tab w:val="left" w:pos="1080"/>
        </w:tabs>
        <w:overflowPunct/>
        <w:autoSpaceDE/>
        <w:autoSpaceDN/>
        <w:adjustRightInd/>
        <w:ind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536284" w:rsidRDefault="00536284" w:rsidP="00554DD7">
      <w:pPr>
        <w:tabs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30601" w:rsidRPr="00630601" w:rsidRDefault="00630601" w:rsidP="00630601">
      <w:pPr>
        <w:pStyle w:val="ListParagraph"/>
        <w:tabs>
          <w:tab w:val="left" w:pos="0"/>
          <w:tab w:val="left" w:pos="1080"/>
        </w:tabs>
        <w:ind w:left="-284" w:right="397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Pre-accredited Quality Framework (PQF) Workshops</w:t>
      </w:r>
    </w:p>
    <w:p w:rsidR="00630601" w:rsidRDefault="00630601" w:rsidP="00630601">
      <w:pPr>
        <w:pStyle w:val="ListParagraph"/>
        <w:tabs>
          <w:tab w:val="left" w:pos="0"/>
          <w:tab w:val="left" w:pos="1080"/>
        </w:tabs>
        <w:ind w:left="436" w:right="397"/>
        <w:rPr>
          <w:rFonts w:ascii="Arial" w:hAnsi="Arial" w:cs="Arial"/>
          <w:bCs/>
          <w:color w:val="000000"/>
          <w:lang w:val="en-GB"/>
        </w:rPr>
      </w:pPr>
    </w:p>
    <w:p w:rsidR="00554DD7" w:rsidRDefault="00554DD7" w:rsidP="00630601">
      <w:pPr>
        <w:pStyle w:val="ListParagraph"/>
        <w:numPr>
          <w:ilvl w:val="0"/>
          <w:numId w:val="14"/>
        </w:numPr>
        <w:tabs>
          <w:tab w:val="left" w:pos="0"/>
          <w:tab w:val="left" w:pos="1080"/>
        </w:tabs>
        <w:ind w:right="397"/>
        <w:rPr>
          <w:rFonts w:ascii="Arial" w:hAnsi="Arial" w:cs="Arial"/>
          <w:bCs/>
          <w:color w:val="000000"/>
          <w:lang w:val="en-GB"/>
        </w:rPr>
      </w:pPr>
      <w:r w:rsidRPr="00554DD7">
        <w:rPr>
          <w:rFonts w:ascii="Arial" w:hAnsi="Arial" w:cs="Arial"/>
          <w:bCs/>
          <w:color w:val="000000"/>
          <w:lang w:val="en-GB"/>
        </w:rPr>
        <w:t xml:space="preserve">The ACFE Board supports professional development initiatives for Learn local practitioners as part of its commitment </w:t>
      </w:r>
      <w:r w:rsidR="00630601">
        <w:rPr>
          <w:rFonts w:ascii="Arial" w:hAnsi="Arial" w:cs="Arial"/>
          <w:bCs/>
          <w:color w:val="000000"/>
          <w:lang w:val="en-GB"/>
        </w:rPr>
        <w:t xml:space="preserve">to </w:t>
      </w:r>
      <w:r w:rsidRPr="00554DD7">
        <w:rPr>
          <w:rFonts w:ascii="Arial" w:hAnsi="Arial" w:cs="Arial"/>
          <w:bCs/>
          <w:color w:val="000000"/>
          <w:lang w:val="en-GB"/>
        </w:rPr>
        <w:t>quality training outcomes for the Victorian training system.</w:t>
      </w:r>
    </w:p>
    <w:p w:rsidR="00630601" w:rsidRPr="00630601" w:rsidRDefault="00630601" w:rsidP="00630601">
      <w:pPr>
        <w:pStyle w:val="ListParagraph"/>
        <w:tabs>
          <w:tab w:val="left" w:pos="0"/>
          <w:tab w:val="left" w:pos="1080"/>
        </w:tabs>
        <w:ind w:left="436" w:right="397"/>
        <w:rPr>
          <w:rFonts w:ascii="Arial" w:hAnsi="Arial" w:cs="Arial"/>
          <w:bCs/>
          <w:color w:val="000000"/>
          <w:lang w:val="en-GB"/>
        </w:rPr>
      </w:pPr>
    </w:p>
    <w:p w:rsidR="00554DD7" w:rsidRDefault="00630601" w:rsidP="00554DD7">
      <w:pPr>
        <w:pStyle w:val="ListParagraph"/>
        <w:numPr>
          <w:ilvl w:val="0"/>
          <w:numId w:val="14"/>
        </w:numPr>
        <w:tabs>
          <w:tab w:val="left" w:pos="0"/>
          <w:tab w:val="left" w:pos="1080"/>
        </w:tabs>
        <w:ind w:right="397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PQF </w:t>
      </w:r>
      <w:r w:rsidR="00554DD7" w:rsidRPr="00554DD7">
        <w:rPr>
          <w:rFonts w:ascii="Arial" w:hAnsi="Arial" w:cs="Arial"/>
          <w:bCs/>
          <w:color w:val="000000"/>
          <w:lang w:val="en-GB"/>
        </w:rPr>
        <w:t>workshops have been scheduled across Victoria and have been developed for both beginner and advanced trainers involved in designing and delivering pre-accredited courses using A-Frames.</w:t>
      </w:r>
    </w:p>
    <w:p w:rsidR="00554DD7" w:rsidRPr="00554DD7" w:rsidRDefault="00554DD7" w:rsidP="00554DD7">
      <w:pPr>
        <w:pStyle w:val="ListParagraph"/>
        <w:rPr>
          <w:rFonts w:ascii="Arial" w:hAnsi="Arial" w:cs="Arial"/>
          <w:bCs/>
          <w:color w:val="000000"/>
          <w:lang w:val="en-GB"/>
        </w:rPr>
      </w:pPr>
    </w:p>
    <w:p w:rsidR="00554DD7" w:rsidRPr="00554DD7" w:rsidRDefault="00554DD7" w:rsidP="00554DD7">
      <w:pPr>
        <w:pStyle w:val="ListParagraph"/>
        <w:numPr>
          <w:ilvl w:val="0"/>
          <w:numId w:val="14"/>
        </w:numPr>
        <w:tabs>
          <w:tab w:val="left" w:pos="0"/>
          <w:tab w:val="left" w:pos="1080"/>
        </w:tabs>
        <w:ind w:right="397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The workshops will provide an opportunity to work with others on how to identify learners</w:t>
      </w:r>
      <w:r w:rsidR="00630601">
        <w:rPr>
          <w:rFonts w:ascii="Arial" w:hAnsi="Arial" w:cs="Arial"/>
          <w:bCs/>
          <w:color w:val="000000"/>
          <w:lang w:val="en-GB"/>
        </w:rPr>
        <w:t>’</w:t>
      </w:r>
      <w:r>
        <w:rPr>
          <w:rFonts w:ascii="Arial" w:hAnsi="Arial" w:cs="Arial"/>
          <w:bCs/>
          <w:color w:val="000000"/>
          <w:lang w:val="en-GB"/>
        </w:rPr>
        <w:t xml:space="preserve"> current skills and </w:t>
      </w:r>
      <w:r w:rsidR="00630601">
        <w:rPr>
          <w:rFonts w:ascii="Arial" w:hAnsi="Arial" w:cs="Arial"/>
          <w:bCs/>
          <w:color w:val="000000"/>
          <w:lang w:val="en-GB"/>
        </w:rPr>
        <w:t xml:space="preserve">develop </w:t>
      </w:r>
      <w:r>
        <w:rPr>
          <w:rFonts w:ascii="Arial" w:hAnsi="Arial" w:cs="Arial"/>
          <w:bCs/>
          <w:color w:val="000000"/>
          <w:lang w:val="en-GB"/>
        </w:rPr>
        <w:t>training strategies. They are also an opportunity to give feedback on how the PQF is working for your organisation and discuss the sector’s professional development needs.</w:t>
      </w:r>
    </w:p>
    <w:p w:rsidR="00554DD7" w:rsidRDefault="00554DD7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54DD7" w:rsidRPr="00554DD7" w:rsidRDefault="00554DD7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6284" w:rsidRDefault="00536284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36284" w:rsidRDefault="00536284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30601" w:rsidRDefault="00630601" w:rsidP="00630601">
      <w:pPr>
        <w:pStyle w:val="ListParagraph"/>
        <w:tabs>
          <w:tab w:val="left" w:pos="0"/>
          <w:tab w:val="left" w:pos="1080"/>
        </w:tabs>
        <w:ind w:left="-284" w:right="397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What will the workshops cover?</w:t>
      </w:r>
    </w:p>
    <w:p w:rsidR="00630601" w:rsidRDefault="00630601" w:rsidP="00630601">
      <w:pPr>
        <w:pStyle w:val="ListParagraph"/>
        <w:tabs>
          <w:tab w:val="left" w:pos="0"/>
          <w:tab w:val="left" w:pos="1080"/>
        </w:tabs>
        <w:ind w:left="-284" w:right="397"/>
        <w:rPr>
          <w:rFonts w:ascii="Arial" w:hAnsi="Arial" w:cs="Arial"/>
          <w:b/>
          <w:bCs/>
          <w:color w:val="000000"/>
          <w:lang w:val="en-GB"/>
        </w:rPr>
      </w:pPr>
    </w:p>
    <w:p w:rsidR="00630601" w:rsidRPr="0041668C" w:rsidRDefault="00630601" w:rsidP="006C29AC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ind w:left="431" w:right="397" w:hanging="357"/>
        <w:rPr>
          <w:rFonts w:ascii="Arial" w:hAnsi="Arial" w:cs="Arial"/>
          <w:b/>
          <w:bCs/>
          <w:color w:val="000000"/>
          <w:lang w:val="en-GB"/>
        </w:rPr>
      </w:pPr>
      <w:r w:rsidRPr="00630601">
        <w:rPr>
          <w:rFonts w:ascii="Arial" w:hAnsi="Arial" w:cs="Arial"/>
          <w:b/>
          <w:bCs/>
          <w:color w:val="000000"/>
          <w:lang w:val="en-GB"/>
        </w:rPr>
        <w:t>Beginner workshops</w:t>
      </w:r>
      <w:r>
        <w:rPr>
          <w:rFonts w:ascii="Arial" w:hAnsi="Arial" w:cs="Arial"/>
          <w:bCs/>
          <w:color w:val="000000"/>
          <w:lang w:val="en-GB"/>
        </w:rPr>
        <w:t xml:space="preserve"> will </w:t>
      </w:r>
      <w:r w:rsidR="0041668C">
        <w:rPr>
          <w:rFonts w:ascii="Arial" w:hAnsi="Arial" w:cs="Arial"/>
          <w:bCs/>
          <w:color w:val="000000"/>
          <w:lang w:val="en-GB"/>
        </w:rPr>
        <w:t>examine</w:t>
      </w:r>
      <w:r>
        <w:rPr>
          <w:rFonts w:ascii="Arial" w:hAnsi="Arial" w:cs="Arial"/>
          <w:bCs/>
          <w:color w:val="000000"/>
          <w:lang w:val="en-GB"/>
        </w:rPr>
        <w:t xml:space="preserve"> how to design training using the PQF Framework including course plans, session plans, moderation, understanding adult learners and how to develop meaningful pathways for learners</w:t>
      </w:r>
      <w:r w:rsidR="0041668C">
        <w:rPr>
          <w:rFonts w:ascii="Arial" w:hAnsi="Arial" w:cs="Arial"/>
          <w:bCs/>
          <w:color w:val="000000"/>
          <w:lang w:val="en-GB"/>
        </w:rPr>
        <w:t>.</w:t>
      </w:r>
    </w:p>
    <w:p w:rsidR="0041668C" w:rsidRPr="006C29AC" w:rsidRDefault="0041668C" w:rsidP="0041668C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ind w:right="397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Advanced workshops </w:t>
      </w:r>
      <w:r>
        <w:rPr>
          <w:rFonts w:ascii="Arial" w:hAnsi="Arial" w:cs="Arial"/>
          <w:bCs/>
          <w:color w:val="000000"/>
          <w:lang w:val="en-GB"/>
        </w:rPr>
        <w:t>will review the framework, adult learner needs, employability skills and presentation tips.</w:t>
      </w:r>
    </w:p>
    <w:p w:rsidR="006C29AC" w:rsidRPr="0041668C" w:rsidRDefault="006C29AC" w:rsidP="006C29AC">
      <w:pPr>
        <w:pStyle w:val="ListParagraph"/>
        <w:tabs>
          <w:tab w:val="left" w:pos="0"/>
          <w:tab w:val="left" w:pos="1080"/>
        </w:tabs>
        <w:ind w:left="436" w:right="397"/>
        <w:rPr>
          <w:rFonts w:ascii="Arial" w:hAnsi="Arial" w:cs="Arial"/>
          <w:b/>
          <w:bCs/>
          <w:color w:val="000000"/>
          <w:lang w:val="en-GB"/>
        </w:rPr>
      </w:pPr>
    </w:p>
    <w:p w:rsidR="0041668C" w:rsidRPr="006C29AC" w:rsidRDefault="006C29AC" w:rsidP="0041668C">
      <w:pPr>
        <w:tabs>
          <w:tab w:val="left" w:pos="0"/>
          <w:tab w:val="left" w:pos="1080"/>
        </w:tabs>
        <w:ind w:right="397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6C29A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Who should attend the workshops?</w:t>
      </w:r>
    </w:p>
    <w:p w:rsidR="0041668C" w:rsidRDefault="0041668C" w:rsidP="0041668C">
      <w:pPr>
        <w:tabs>
          <w:tab w:val="left" w:pos="0"/>
          <w:tab w:val="left" w:pos="1080"/>
        </w:tabs>
        <w:ind w:right="397"/>
        <w:rPr>
          <w:rFonts w:ascii="Arial" w:hAnsi="Arial" w:cs="Arial"/>
          <w:b/>
          <w:bCs/>
          <w:color w:val="000000"/>
          <w:lang w:val="en-GB"/>
        </w:rPr>
      </w:pPr>
    </w:p>
    <w:p w:rsidR="006C29AC" w:rsidRDefault="006C29AC" w:rsidP="006C29AC">
      <w:pPr>
        <w:spacing w:after="200" w:line="276" w:lineRule="auto"/>
        <w:ind w:righ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The workshops have been developed </w:t>
      </w:r>
      <w:r w:rsidRPr="006C29AC">
        <w:rPr>
          <w:rFonts w:ascii="Arial" w:hAnsi="Arial" w:cs="Arial"/>
          <w:bCs/>
          <w:sz w:val="22"/>
          <w:szCs w:val="22"/>
          <w:lang w:val="en-GB"/>
        </w:rPr>
        <w:t>for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1668C" w:rsidRPr="006C29AC">
        <w:rPr>
          <w:rFonts w:ascii="Arial" w:hAnsi="Arial" w:cs="Arial"/>
          <w:sz w:val="22"/>
          <w:szCs w:val="22"/>
        </w:rPr>
        <w:t>both beginners and advanced and are</w:t>
      </w:r>
      <w:r>
        <w:rPr>
          <w:rFonts w:ascii="Arial" w:hAnsi="Arial" w:cs="Arial"/>
          <w:sz w:val="22"/>
          <w:szCs w:val="22"/>
        </w:rPr>
        <w:t xml:space="preserve"> aimed at </w:t>
      </w:r>
      <w:r w:rsidR="0041668C" w:rsidRPr="006C29AC">
        <w:rPr>
          <w:rFonts w:ascii="Arial" w:hAnsi="Arial" w:cs="Arial"/>
          <w:sz w:val="22"/>
          <w:szCs w:val="22"/>
        </w:rPr>
        <w:t>trainers and coordinators with responsibility for planning and delivering pre-accredited training.</w:t>
      </w:r>
    </w:p>
    <w:p w:rsidR="006C29AC" w:rsidRPr="006C29AC" w:rsidRDefault="006C29AC" w:rsidP="006C29AC">
      <w:pPr>
        <w:spacing w:after="200" w:line="276" w:lineRule="auto"/>
        <w:ind w:right="397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 xml:space="preserve">How much does it cost to attend the workshops? </w:t>
      </w:r>
    </w:p>
    <w:p w:rsidR="00536284" w:rsidRPr="006C29AC" w:rsidRDefault="006C29AC" w:rsidP="006C29AC">
      <w:pPr>
        <w:tabs>
          <w:tab w:val="left" w:pos="0"/>
          <w:tab w:val="left" w:pos="1080"/>
        </w:tabs>
        <w:overflowPunct/>
        <w:autoSpaceDE/>
        <w:autoSpaceDN/>
        <w:adjustRightInd/>
        <w:spacing w:after="200" w:line="360" w:lineRule="auto"/>
        <w:ind w:right="397"/>
        <w:textAlignment w:val="auto"/>
        <w:rPr>
          <w:rFonts w:ascii="Arial" w:hAnsi="Arial" w:cs="Arial"/>
          <w:bCs/>
          <w:sz w:val="22"/>
          <w:szCs w:val="22"/>
          <w:lang w:val="en-GB" w:eastAsia="en-US"/>
        </w:rPr>
      </w:pPr>
      <w:r>
        <w:rPr>
          <w:rFonts w:ascii="Arial" w:hAnsi="Arial" w:cs="Arial"/>
          <w:bCs/>
          <w:sz w:val="22"/>
          <w:szCs w:val="22"/>
          <w:lang w:val="en-GB" w:eastAsia="en-US"/>
        </w:rPr>
        <w:t xml:space="preserve">The workshops are free to attend. </w:t>
      </w:r>
    </w:p>
    <w:p w:rsidR="00536284" w:rsidRDefault="006C29AC" w:rsidP="006C29AC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Who can I contact for more information about the workshops?</w:t>
      </w:r>
    </w:p>
    <w:p w:rsidR="006C29AC" w:rsidRDefault="006C29AC" w:rsidP="006C29AC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6C29AC" w:rsidRPr="006C29AC" w:rsidRDefault="006C29AC" w:rsidP="006C29AC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Please call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Coonara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Community House on (03) 97587081 and</w:t>
      </w:r>
      <w:r w:rsidR="004E33F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ask to speak to either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Leanne or Karen.</w:t>
      </w:r>
    </w:p>
    <w:p w:rsidR="006C29AC" w:rsidRPr="006C29AC" w:rsidRDefault="006C29A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6C29AC" w:rsidRDefault="006C29AC" w:rsidP="006C29AC">
      <w:pPr>
        <w:spacing w:after="240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6C29A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How do I register for a workshop?</w:t>
      </w:r>
    </w:p>
    <w:p w:rsidR="006C29AC" w:rsidRPr="006C29AC" w:rsidRDefault="006C29AC" w:rsidP="006C29A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6C29AC">
        <w:rPr>
          <w:rFonts w:ascii="Arial" w:hAnsi="Arial" w:cs="Arial"/>
          <w:color w:val="222222"/>
          <w:sz w:val="22"/>
          <w:szCs w:val="22"/>
        </w:rPr>
        <w:t>Please use the following link to register your attendance –</w:t>
      </w:r>
      <w:r w:rsidR="00BF4A74">
        <w:rPr>
          <w:rFonts w:ascii="Arial" w:hAnsi="Arial" w:cs="Arial"/>
          <w:color w:val="222222"/>
          <w:sz w:val="22"/>
          <w:szCs w:val="22"/>
        </w:rPr>
        <w:t xml:space="preserve">     </w:t>
      </w:r>
      <w:r w:rsidRPr="006C29AC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11" w:history="1">
        <w:r w:rsidRPr="006C29AC">
          <w:rPr>
            <w:rStyle w:val="Hyperlink"/>
            <w:rFonts w:ascii="Arial" w:hAnsi="Arial" w:cs="Arial"/>
            <w:sz w:val="22"/>
            <w:szCs w:val="22"/>
          </w:rPr>
          <w:t>Regi</w:t>
        </w:r>
        <w:bookmarkStart w:id="0" w:name="_GoBack"/>
        <w:bookmarkEnd w:id="0"/>
        <w:r w:rsidRPr="006C29AC">
          <w:rPr>
            <w:rStyle w:val="Hyperlink"/>
            <w:rFonts w:ascii="Arial" w:hAnsi="Arial" w:cs="Arial"/>
            <w:sz w:val="22"/>
            <w:szCs w:val="22"/>
          </w:rPr>
          <w:t>s</w:t>
        </w:r>
        <w:r w:rsidRPr="006C29AC">
          <w:rPr>
            <w:rStyle w:val="Hyperlink"/>
            <w:rFonts w:ascii="Arial" w:hAnsi="Arial" w:cs="Arial"/>
            <w:sz w:val="22"/>
            <w:szCs w:val="22"/>
          </w:rPr>
          <w:t>ter now</w:t>
        </w:r>
      </w:hyperlink>
    </w:p>
    <w:p w:rsidR="006C29AC" w:rsidRPr="006C29AC" w:rsidRDefault="006C29AC" w:rsidP="006C29AC">
      <w:pPr>
        <w:spacing w:after="240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6C29AC" w:rsidRPr="006C29AC" w:rsidRDefault="006C29AC" w:rsidP="006C29AC">
      <w:pPr>
        <w:spacing w:after="240"/>
        <w:rPr>
          <w:b/>
        </w:rPr>
      </w:pPr>
    </w:p>
    <w:p w:rsidR="006C29AC" w:rsidRPr="0029046F" w:rsidRDefault="006C29A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6C29AC" w:rsidRPr="0029046F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CE" w:rsidRDefault="00F262CE" w:rsidP="00846881">
      <w:r>
        <w:separator/>
      </w:r>
    </w:p>
  </w:endnote>
  <w:endnote w:type="continuationSeparator" w:id="0">
    <w:p w:rsidR="00F262CE" w:rsidRDefault="00F262CE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BF4A74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CE" w:rsidRDefault="00F262CE" w:rsidP="00846881">
      <w:r>
        <w:separator/>
      </w:r>
    </w:p>
  </w:footnote>
  <w:footnote w:type="continuationSeparator" w:id="0">
    <w:p w:rsidR="00F262CE" w:rsidRDefault="00F262CE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B26BC"/>
    <w:multiLevelType w:val="hybridMultilevel"/>
    <w:tmpl w:val="82D2106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A671D4F"/>
    <w:multiLevelType w:val="hybridMultilevel"/>
    <w:tmpl w:val="9DC87C2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04E32"/>
    <w:rsid w:val="00021555"/>
    <w:rsid w:val="0002288F"/>
    <w:rsid w:val="0002677B"/>
    <w:rsid w:val="000410C3"/>
    <w:rsid w:val="000425DB"/>
    <w:rsid w:val="00060214"/>
    <w:rsid w:val="00060EA4"/>
    <w:rsid w:val="000701E5"/>
    <w:rsid w:val="000745B0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1D4BBB"/>
    <w:rsid w:val="00206E94"/>
    <w:rsid w:val="00213CB1"/>
    <w:rsid w:val="00234DCA"/>
    <w:rsid w:val="00241DCD"/>
    <w:rsid w:val="00264866"/>
    <w:rsid w:val="002774C1"/>
    <w:rsid w:val="002831C1"/>
    <w:rsid w:val="00284B19"/>
    <w:rsid w:val="0029046F"/>
    <w:rsid w:val="002A24E2"/>
    <w:rsid w:val="002B15E5"/>
    <w:rsid w:val="00340366"/>
    <w:rsid w:val="00352C50"/>
    <w:rsid w:val="00355DE3"/>
    <w:rsid w:val="00384947"/>
    <w:rsid w:val="003966A5"/>
    <w:rsid w:val="003B2C9D"/>
    <w:rsid w:val="003B7B63"/>
    <w:rsid w:val="003D454C"/>
    <w:rsid w:val="003F0B63"/>
    <w:rsid w:val="003F3D59"/>
    <w:rsid w:val="003F640F"/>
    <w:rsid w:val="0041668C"/>
    <w:rsid w:val="004304A3"/>
    <w:rsid w:val="00453CAD"/>
    <w:rsid w:val="004604A8"/>
    <w:rsid w:val="0048144F"/>
    <w:rsid w:val="004B182C"/>
    <w:rsid w:val="004C32C0"/>
    <w:rsid w:val="004C7772"/>
    <w:rsid w:val="004E29A2"/>
    <w:rsid w:val="004E33F5"/>
    <w:rsid w:val="004E42D2"/>
    <w:rsid w:val="00505EC2"/>
    <w:rsid w:val="00506F42"/>
    <w:rsid w:val="00536284"/>
    <w:rsid w:val="00540C9F"/>
    <w:rsid w:val="005543E8"/>
    <w:rsid w:val="00554DD7"/>
    <w:rsid w:val="00580123"/>
    <w:rsid w:val="00583630"/>
    <w:rsid w:val="00590B75"/>
    <w:rsid w:val="005B4815"/>
    <w:rsid w:val="005E1085"/>
    <w:rsid w:val="005F153D"/>
    <w:rsid w:val="006254CC"/>
    <w:rsid w:val="00626260"/>
    <w:rsid w:val="00630601"/>
    <w:rsid w:val="006344F3"/>
    <w:rsid w:val="006409D9"/>
    <w:rsid w:val="00651785"/>
    <w:rsid w:val="006834B9"/>
    <w:rsid w:val="00687039"/>
    <w:rsid w:val="006920AB"/>
    <w:rsid w:val="006935A8"/>
    <w:rsid w:val="00696854"/>
    <w:rsid w:val="006A1696"/>
    <w:rsid w:val="006A5387"/>
    <w:rsid w:val="006C29AC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317C7"/>
    <w:rsid w:val="00846881"/>
    <w:rsid w:val="00865959"/>
    <w:rsid w:val="00867D3A"/>
    <w:rsid w:val="00880ACA"/>
    <w:rsid w:val="0089186A"/>
    <w:rsid w:val="008D0743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B4A46"/>
    <w:rsid w:val="00BF4A74"/>
    <w:rsid w:val="00C151BB"/>
    <w:rsid w:val="00C373FC"/>
    <w:rsid w:val="00C64C1A"/>
    <w:rsid w:val="00C75A39"/>
    <w:rsid w:val="00C83B90"/>
    <w:rsid w:val="00CA0D2E"/>
    <w:rsid w:val="00CB16A1"/>
    <w:rsid w:val="00CB3905"/>
    <w:rsid w:val="00CD0632"/>
    <w:rsid w:val="00CE69B8"/>
    <w:rsid w:val="00CF6891"/>
    <w:rsid w:val="00D33418"/>
    <w:rsid w:val="00D53A53"/>
    <w:rsid w:val="00DB7126"/>
    <w:rsid w:val="00DD6095"/>
    <w:rsid w:val="00DD6855"/>
    <w:rsid w:val="00E320A4"/>
    <w:rsid w:val="00E91E6B"/>
    <w:rsid w:val="00EE4BD9"/>
    <w:rsid w:val="00EE5E95"/>
    <w:rsid w:val="00F11CAC"/>
    <w:rsid w:val="00F13297"/>
    <w:rsid w:val="00F17667"/>
    <w:rsid w:val="00F24B4E"/>
    <w:rsid w:val="00F262CE"/>
    <w:rsid w:val="00F30F82"/>
    <w:rsid w:val="00F343D3"/>
    <w:rsid w:val="00F35AD3"/>
    <w:rsid w:val="00F63FEC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65B07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semiHidden/>
    <w:unhideWhenUsed/>
    <w:rsid w:val="004E3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forms/FjgoQNJKLao0n1lE3" TargetMode="External"/><Relationship Id="rId5" Type="http://schemas.openxmlformats.org/officeDocument/2006/relationships/styles" Target="styles.xml"/><Relationship Id="rId10" Type="http://schemas.openxmlformats.org/officeDocument/2006/relationships/hyperlink" Target="https://goo.gl/forms/FjgoQNJKLao0n1lE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87FAB-0016-446A-9291-4A887AA67B77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32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2817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for LLOs</dc:title>
  <dc:creator>08306670</dc:creator>
  <cp:lastModifiedBy>Morrow, Jackie A</cp:lastModifiedBy>
  <cp:revision>8</cp:revision>
  <cp:lastPrinted>2017-08-30T03:41:00Z</cp:lastPrinted>
  <dcterms:created xsi:type="dcterms:W3CDTF">2017-08-30T03:27:00Z</dcterms:created>
  <dcterms:modified xsi:type="dcterms:W3CDTF">2017-08-30T04:17:00Z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