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2299"/>
        <w:gridCol w:w="6717"/>
      </w:tblGrid>
      <w:tr w:rsidR="008E0D9F" w:rsidRPr="000573AE" w:rsidTr="00AA258A">
        <w:tc>
          <w:tcPr>
            <w:tcW w:w="2448" w:type="dxa"/>
            <w:shd w:val="clear" w:color="auto" w:fill="E2E2E2"/>
          </w:tcPr>
          <w:p w:rsidR="008E0D9F" w:rsidRPr="004130DC" w:rsidRDefault="008E0D9F" w:rsidP="00AA258A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bookmarkStart w:id="0" w:name="_GoBack"/>
            <w:bookmarkEnd w:id="0"/>
            <w:r w:rsidRPr="004130DC">
              <w:rPr>
                <w:rFonts w:asciiTheme="minorHAnsi" w:hAnsiTheme="minorHAnsi" w:cstheme="minorHAnsi"/>
                <w:b/>
                <w:sz w:val="21"/>
                <w:szCs w:val="21"/>
              </w:rPr>
              <w:t>Title:</w:t>
            </w:r>
          </w:p>
        </w:tc>
        <w:tc>
          <w:tcPr>
            <w:tcW w:w="6794" w:type="dxa"/>
          </w:tcPr>
          <w:p w:rsidR="008E0D9F" w:rsidRPr="004130DC" w:rsidRDefault="00F340D5" w:rsidP="00AA258A">
            <w:pPr>
              <w:spacing w:before="120" w:after="1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DET Webinar - </w:t>
            </w:r>
            <w:r w:rsidR="00522C5B">
              <w:rPr>
                <w:rFonts w:asciiTheme="minorHAnsi" w:hAnsiTheme="minorHAnsi" w:cstheme="minorHAnsi"/>
                <w:b/>
                <w:sz w:val="21"/>
                <w:szCs w:val="21"/>
              </w:rPr>
              <w:t>Pre Accredited Work Experience Briefing</w:t>
            </w:r>
          </w:p>
        </w:tc>
      </w:tr>
      <w:tr w:rsidR="008E0D9F" w:rsidRPr="000573AE" w:rsidTr="00AA258A">
        <w:tc>
          <w:tcPr>
            <w:tcW w:w="2448" w:type="dxa"/>
            <w:tcBorders>
              <w:bottom w:val="single" w:sz="4" w:space="0" w:color="auto"/>
            </w:tcBorders>
          </w:tcPr>
          <w:p w:rsidR="008E0D9F" w:rsidRPr="004130DC" w:rsidRDefault="008E0D9F" w:rsidP="00AA258A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794" w:type="dxa"/>
          </w:tcPr>
          <w:p w:rsidR="008E0D9F" w:rsidRPr="004130DC" w:rsidRDefault="008E0D9F" w:rsidP="00AA258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E0D9F" w:rsidRPr="000573AE" w:rsidTr="00AA258A">
        <w:tc>
          <w:tcPr>
            <w:tcW w:w="2448" w:type="dxa"/>
            <w:shd w:val="clear" w:color="auto" w:fill="E2E2E2"/>
          </w:tcPr>
          <w:p w:rsidR="008E0D9F" w:rsidRPr="004130DC" w:rsidRDefault="008E0D9F" w:rsidP="00AA258A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130DC">
              <w:rPr>
                <w:rFonts w:asciiTheme="minorHAnsi" w:hAnsiTheme="minorHAnsi" w:cstheme="minorHAnsi"/>
                <w:b/>
                <w:sz w:val="21"/>
                <w:szCs w:val="21"/>
              </w:rPr>
              <w:t>Date:</w:t>
            </w:r>
          </w:p>
        </w:tc>
        <w:tc>
          <w:tcPr>
            <w:tcW w:w="6794" w:type="dxa"/>
          </w:tcPr>
          <w:p w:rsidR="008E0D9F" w:rsidRPr="004130DC" w:rsidRDefault="008E0D9F" w:rsidP="00AA258A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4130D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C6D13">
              <w:rPr>
                <w:rFonts w:asciiTheme="minorHAnsi" w:hAnsiTheme="minorHAnsi" w:cstheme="minorHAnsi"/>
                <w:sz w:val="21"/>
                <w:szCs w:val="21"/>
              </w:rPr>
              <w:t xml:space="preserve">Tuesday </w:t>
            </w:r>
            <w:r w:rsidR="00522C5B">
              <w:rPr>
                <w:rFonts w:asciiTheme="minorHAnsi" w:hAnsiTheme="minorHAnsi" w:cstheme="minorHAnsi"/>
                <w:sz w:val="21"/>
                <w:szCs w:val="21"/>
              </w:rPr>
              <w:t>31 October 2017</w:t>
            </w:r>
          </w:p>
        </w:tc>
      </w:tr>
      <w:tr w:rsidR="00A709DB" w:rsidRPr="000573AE" w:rsidTr="008938C6">
        <w:tc>
          <w:tcPr>
            <w:tcW w:w="2448" w:type="dxa"/>
            <w:tcBorders>
              <w:bottom w:val="single" w:sz="4" w:space="0" w:color="auto"/>
            </w:tcBorders>
          </w:tcPr>
          <w:p w:rsidR="00A709DB" w:rsidRPr="004130DC" w:rsidRDefault="00A709DB" w:rsidP="00A709DB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794" w:type="dxa"/>
          </w:tcPr>
          <w:p w:rsidR="00A709DB" w:rsidRPr="004130DC" w:rsidRDefault="00A709DB" w:rsidP="00A709D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40FE5" w:rsidRPr="000573AE" w:rsidTr="00AA258A">
        <w:tc>
          <w:tcPr>
            <w:tcW w:w="2448" w:type="dxa"/>
            <w:shd w:val="clear" w:color="auto" w:fill="E2E2E2"/>
          </w:tcPr>
          <w:p w:rsidR="00040FE5" w:rsidRPr="004130DC" w:rsidRDefault="00040FE5" w:rsidP="00AA258A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130DC">
              <w:rPr>
                <w:rFonts w:asciiTheme="minorHAnsi" w:hAnsiTheme="minorHAnsi" w:cstheme="minorHAnsi"/>
                <w:b/>
                <w:sz w:val="21"/>
                <w:szCs w:val="21"/>
              </w:rPr>
              <w:t>Registration link:</w:t>
            </w:r>
          </w:p>
        </w:tc>
        <w:tc>
          <w:tcPr>
            <w:tcW w:w="6794" w:type="dxa"/>
          </w:tcPr>
          <w:p w:rsidR="00040FE5" w:rsidRPr="004130DC" w:rsidRDefault="008D6875" w:rsidP="00AA258A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hyperlink r:id="rId7" w:history="1">
              <w:r w:rsidR="00080ABE" w:rsidRPr="00114B9B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http://www.cvent.com/d/ztqpsd</w:t>
              </w:r>
            </w:hyperlink>
            <w:r w:rsidR="00080AB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8E0D9F" w:rsidRPr="000573AE" w:rsidTr="00AA258A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8E0D9F" w:rsidRPr="004130DC" w:rsidRDefault="008E0D9F" w:rsidP="00AA258A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794" w:type="dxa"/>
            <w:shd w:val="clear" w:color="auto" w:fill="auto"/>
          </w:tcPr>
          <w:p w:rsidR="008E0D9F" w:rsidRPr="004130DC" w:rsidRDefault="008E0D9F" w:rsidP="00AA258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E0D9F" w:rsidRPr="000573AE" w:rsidTr="00AA258A">
        <w:tc>
          <w:tcPr>
            <w:tcW w:w="2448" w:type="dxa"/>
            <w:shd w:val="clear" w:color="auto" w:fill="E2E2E2"/>
          </w:tcPr>
          <w:p w:rsidR="008E0D9F" w:rsidRPr="004130DC" w:rsidRDefault="008E0D9F" w:rsidP="00AA258A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130DC">
              <w:rPr>
                <w:rFonts w:asciiTheme="minorHAnsi" w:hAnsiTheme="minorHAnsi" w:cstheme="minorHAnsi"/>
                <w:b/>
                <w:sz w:val="21"/>
                <w:szCs w:val="21"/>
              </w:rPr>
              <w:t>Time:</w:t>
            </w:r>
          </w:p>
        </w:tc>
        <w:tc>
          <w:tcPr>
            <w:tcW w:w="6794" w:type="dxa"/>
          </w:tcPr>
          <w:p w:rsidR="008E0D9F" w:rsidRPr="004130DC" w:rsidRDefault="00522C5B" w:rsidP="00A709DB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2pm – 3pm</w:t>
            </w:r>
            <w:r w:rsidR="005C6D13">
              <w:rPr>
                <w:rFonts w:asciiTheme="minorHAnsi" w:hAnsiTheme="minorHAnsi" w:cstheme="minorHAnsi"/>
                <w:sz w:val="21"/>
                <w:szCs w:val="21"/>
              </w:rPr>
              <w:t xml:space="preserve"> (AEDT)</w:t>
            </w:r>
          </w:p>
        </w:tc>
      </w:tr>
      <w:tr w:rsidR="008E0D9F" w:rsidRPr="000573AE" w:rsidTr="00AA258A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8E0D9F" w:rsidRPr="004130DC" w:rsidRDefault="008E0D9F" w:rsidP="00AA258A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794" w:type="dxa"/>
            <w:shd w:val="clear" w:color="auto" w:fill="auto"/>
          </w:tcPr>
          <w:p w:rsidR="008E0D9F" w:rsidRPr="004130DC" w:rsidRDefault="008E0D9F" w:rsidP="00AA258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E0D9F" w:rsidRPr="000573AE" w:rsidTr="00AA258A">
        <w:tc>
          <w:tcPr>
            <w:tcW w:w="2448" w:type="dxa"/>
            <w:shd w:val="clear" w:color="auto" w:fill="E2E2E2"/>
          </w:tcPr>
          <w:p w:rsidR="008E0D9F" w:rsidRPr="004130DC" w:rsidRDefault="008E0D9F" w:rsidP="00AA258A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130DC">
              <w:rPr>
                <w:rFonts w:asciiTheme="minorHAnsi" w:hAnsiTheme="minorHAnsi" w:cstheme="minorHAnsi"/>
                <w:b/>
                <w:sz w:val="21"/>
                <w:szCs w:val="21"/>
              </w:rPr>
              <w:t>Venue:</w:t>
            </w:r>
          </w:p>
        </w:tc>
        <w:tc>
          <w:tcPr>
            <w:tcW w:w="6794" w:type="dxa"/>
          </w:tcPr>
          <w:p w:rsidR="008E0D9F" w:rsidRPr="004130DC" w:rsidRDefault="008E0D9F" w:rsidP="00AA258A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4130DC">
              <w:rPr>
                <w:rFonts w:asciiTheme="minorHAnsi" w:hAnsiTheme="minorHAnsi" w:cstheme="minorHAnsi"/>
                <w:sz w:val="21"/>
                <w:szCs w:val="21"/>
              </w:rPr>
              <w:t>Online</w:t>
            </w:r>
            <w:r w:rsidR="00B07B80" w:rsidRPr="004130DC">
              <w:rPr>
                <w:rFonts w:asciiTheme="minorHAnsi" w:hAnsiTheme="minorHAnsi" w:cstheme="minorHAnsi"/>
                <w:sz w:val="21"/>
                <w:szCs w:val="21"/>
              </w:rPr>
              <w:t xml:space="preserve"> – BlackBoard Collaborate</w:t>
            </w:r>
          </w:p>
        </w:tc>
      </w:tr>
      <w:tr w:rsidR="008E0D9F" w:rsidRPr="000573AE" w:rsidTr="00AA258A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8E0D9F" w:rsidRPr="004130DC" w:rsidRDefault="008E0D9F" w:rsidP="00AA258A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794" w:type="dxa"/>
            <w:shd w:val="clear" w:color="auto" w:fill="auto"/>
          </w:tcPr>
          <w:p w:rsidR="008E0D9F" w:rsidRPr="004130DC" w:rsidRDefault="008E0D9F" w:rsidP="00AA258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E0D9F" w:rsidRPr="000573AE" w:rsidTr="005C6D13">
        <w:tc>
          <w:tcPr>
            <w:tcW w:w="2448" w:type="dxa"/>
            <w:shd w:val="clear" w:color="auto" w:fill="E2E2E2"/>
          </w:tcPr>
          <w:p w:rsidR="008E0D9F" w:rsidRPr="004130DC" w:rsidRDefault="008E0D9F" w:rsidP="00AA258A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130DC">
              <w:rPr>
                <w:rFonts w:asciiTheme="minorHAnsi" w:hAnsiTheme="minorHAnsi" w:cstheme="minorHAnsi"/>
                <w:b/>
                <w:sz w:val="21"/>
                <w:szCs w:val="21"/>
              </w:rPr>
              <w:t>Description:</w:t>
            </w:r>
          </w:p>
        </w:tc>
        <w:tc>
          <w:tcPr>
            <w:tcW w:w="6794" w:type="dxa"/>
            <w:shd w:val="clear" w:color="auto" w:fill="auto"/>
          </w:tcPr>
          <w:p w:rsidR="008938C6" w:rsidRPr="004130DC" w:rsidRDefault="00A709DB" w:rsidP="005C6D13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5C6D13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r w:rsidRPr="00B46221">
              <w:rPr>
                <w:rFonts w:asciiTheme="minorHAnsi" w:hAnsiTheme="minorHAnsi" w:cstheme="minorHAnsi"/>
                <w:b/>
                <w:sz w:val="21"/>
                <w:szCs w:val="21"/>
              </w:rPr>
              <w:t>Participation Branch</w:t>
            </w:r>
            <w:r w:rsidRPr="005C6D13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="00B46221">
              <w:rPr>
                <w:rFonts w:asciiTheme="minorHAnsi" w:hAnsiTheme="minorHAnsi" w:cstheme="minorHAnsi"/>
                <w:sz w:val="21"/>
                <w:szCs w:val="21"/>
              </w:rPr>
              <w:t xml:space="preserve"> of the Department of Education and Training (DET)</w:t>
            </w:r>
            <w:r w:rsidRPr="005C6D13">
              <w:rPr>
                <w:rFonts w:asciiTheme="minorHAnsi" w:hAnsiTheme="minorHAnsi" w:cstheme="minorHAnsi"/>
                <w:sz w:val="21"/>
                <w:szCs w:val="21"/>
              </w:rPr>
              <w:t xml:space="preserve"> in partnership with the VET Development Centre (VDC) will facilitate </w:t>
            </w:r>
            <w:r w:rsidR="00522C5B" w:rsidRPr="005C6D13">
              <w:rPr>
                <w:rFonts w:asciiTheme="minorHAnsi" w:hAnsiTheme="minorHAnsi" w:cstheme="minorHAnsi"/>
                <w:sz w:val="21"/>
                <w:szCs w:val="21"/>
              </w:rPr>
              <w:t>a webinar</w:t>
            </w:r>
            <w:r w:rsidR="005C6D13" w:rsidRPr="005C6D13">
              <w:rPr>
                <w:rFonts w:asciiTheme="minorHAnsi" w:hAnsiTheme="minorHAnsi" w:cstheme="minorHAnsi"/>
                <w:sz w:val="21"/>
                <w:szCs w:val="21"/>
              </w:rPr>
              <w:t xml:space="preserve"> on </w:t>
            </w:r>
            <w:r w:rsidR="008938C6" w:rsidRPr="008938C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Tuesday </w:t>
            </w:r>
            <w:r w:rsidR="005C6D13" w:rsidRPr="008938C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31 </w:t>
            </w:r>
            <w:r w:rsidR="00522C5B" w:rsidRPr="008938C6">
              <w:rPr>
                <w:rFonts w:asciiTheme="minorHAnsi" w:hAnsiTheme="minorHAnsi" w:cstheme="minorHAnsi"/>
                <w:b/>
                <w:sz w:val="21"/>
                <w:szCs w:val="21"/>
              </w:rPr>
              <w:t>October</w:t>
            </w:r>
            <w:r w:rsidRPr="008938C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2017</w:t>
            </w:r>
            <w:r w:rsidR="008938C6" w:rsidRPr="008938C6">
              <w:rPr>
                <w:rFonts w:asciiTheme="minorHAnsi" w:hAnsiTheme="minorHAnsi" w:cstheme="minorHAnsi"/>
                <w:sz w:val="21"/>
                <w:szCs w:val="21"/>
              </w:rPr>
              <w:t xml:space="preserve"> at</w:t>
            </w:r>
            <w:r w:rsidR="008938C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2pm</w:t>
            </w:r>
            <w:r w:rsidRPr="005C6D13">
              <w:rPr>
                <w:rFonts w:asciiTheme="minorHAnsi" w:hAnsiTheme="minorHAnsi" w:cstheme="minorHAnsi"/>
                <w:sz w:val="21"/>
                <w:szCs w:val="21"/>
              </w:rPr>
              <w:t xml:space="preserve"> to provide </w:t>
            </w:r>
            <w:r w:rsidR="00266541" w:rsidRPr="005C6D13">
              <w:rPr>
                <w:rFonts w:asciiTheme="minorHAnsi" w:hAnsiTheme="minorHAnsi" w:cstheme="minorHAnsi"/>
                <w:sz w:val="21"/>
                <w:szCs w:val="21"/>
              </w:rPr>
              <w:t xml:space="preserve">further </w:t>
            </w:r>
            <w:r w:rsidRPr="005C6D13">
              <w:rPr>
                <w:rFonts w:asciiTheme="minorHAnsi" w:hAnsiTheme="minorHAnsi" w:cstheme="minorHAnsi"/>
                <w:sz w:val="21"/>
                <w:szCs w:val="21"/>
              </w:rPr>
              <w:t xml:space="preserve">information on </w:t>
            </w:r>
            <w:r w:rsidR="00266541" w:rsidRPr="005C6D13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r w:rsidRPr="005C6D13">
              <w:rPr>
                <w:rFonts w:asciiTheme="minorHAnsi" w:hAnsiTheme="minorHAnsi" w:cstheme="minorHAnsi"/>
                <w:b/>
                <w:sz w:val="21"/>
                <w:szCs w:val="21"/>
              </w:rPr>
              <w:t>Pre-accredited</w:t>
            </w:r>
            <w:r w:rsidR="00522C5B" w:rsidRPr="005C6D1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Work Experience </w:t>
            </w:r>
            <w:r w:rsidR="00266541" w:rsidRPr="005C6D13">
              <w:rPr>
                <w:rFonts w:asciiTheme="minorHAnsi" w:hAnsiTheme="minorHAnsi" w:cstheme="minorHAnsi"/>
                <w:b/>
                <w:sz w:val="21"/>
                <w:szCs w:val="21"/>
              </w:rPr>
              <w:t>Guidelines distributed in September 2017</w:t>
            </w:r>
            <w:r w:rsidR="00266541" w:rsidRPr="005C6D1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522C5B" w:rsidRPr="005C6D1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C6D13">
              <w:rPr>
                <w:rFonts w:asciiTheme="minorHAnsi" w:hAnsiTheme="minorHAnsi" w:cstheme="minorHAnsi"/>
                <w:sz w:val="21"/>
                <w:szCs w:val="21"/>
              </w:rPr>
              <w:t xml:space="preserve"> The webinar</w:t>
            </w:r>
            <w:r w:rsidRPr="005C6D13">
              <w:rPr>
                <w:rFonts w:asciiTheme="minorHAnsi" w:hAnsiTheme="minorHAnsi" w:cstheme="minorHAnsi"/>
                <w:sz w:val="21"/>
                <w:szCs w:val="21"/>
              </w:rPr>
              <w:t xml:space="preserve"> will focus on </w:t>
            </w:r>
            <w:r w:rsidR="00266541" w:rsidRPr="005C6D13">
              <w:rPr>
                <w:rFonts w:asciiTheme="minorHAnsi" w:hAnsiTheme="minorHAnsi" w:cstheme="minorHAnsi"/>
                <w:sz w:val="21"/>
                <w:szCs w:val="21"/>
              </w:rPr>
              <w:t>the</w:t>
            </w:r>
            <w:r w:rsidR="00266541" w:rsidRPr="00266541">
              <w:rPr>
                <w:rFonts w:asciiTheme="minorHAnsi" w:hAnsiTheme="minorHAnsi" w:cstheme="minorHAnsi"/>
                <w:sz w:val="21"/>
                <w:szCs w:val="21"/>
              </w:rPr>
              <w:t xml:space="preserve"> parameters of the ACFE Board’s preferred model, issues associated with insurance and legislation for unsupervised vocational placements, and options for delivering other models of work experience.</w:t>
            </w:r>
          </w:p>
        </w:tc>
      </w:tr>
      <w:tr w:rsidR="008E0D9F" w:rsidRPr="000573AE" w:rsidTr="00AA258A">
        <w:tc>
          <w:tcPr>
            <w:tcW w:w="2448" w:type="dxa"/>
            <w:tcBorders>
              <w:bottom w:val="single" w:sz="4" w:space="0" w:color="auto"/>
            </w:tcBorders>
          </w:tcPr>
          <w:p w:rsidR="008E0D9F" w:rsidRPr="004130DC" w:rsidRDefault="008E0D9F" w:rsidP="00AA258A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794" w:type="dxa"/>
          </w:tcPr>
          <w:p w:rsidR="008E0D9F" w:rsidRPr="004130DC" w:rsidRDefault="008E0D9F" w:rsidP="00AA258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E0D9F" w:rsidRPr="000573AE" w:rsidTr="00AA258A">
        <w:tc>
          <w:tcPr>
            <w:tcW w:w="2448" w:type="dxa"/>
            <w:shd w:val="clear" w:color="auto" w:fill="E2E2E2"/>
          </w:tcPr>
          <w:p w:rsidR="008E0D9F" w:rsidRPr="004130DC" w:rsidRDefault="008E0D9F" w:rsidP="00AA258A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130DC">
              <w:rPr>
                <w:rFonts w:asciiTheme="minorHAnsi" w:hAnsiTheme="minorHAnsi" w:cstheme="minorHAnsi"/>
                <w:b/>
                <w:sz w:val="21"/>
                <w:szCs w:val="21"/>
              </w:rPr>
              <w:t>Audience:</w:t>
            </w:r>
          </w:p>
        </w:tc>
        <w:tc>
          <w:tcPr>
            <w:tcW w:w="6794" w:type="dxa"/>
          </w:tcPr>
          <w:p w:rsidR="008E0D9F" w:rsidRPr="00A709DB" w:rsidRDefault="00A709DB" w:rsidP="00AA258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709DB">
              <w:rPr>
                <w:rFonts w:asciiTheme="minorHAnsi" w:hAnsiTheme="minorHAnsi" w:cstheme="minorHAnsi"/>
                <w:sz w:val="21"/>
                <w:szCs w:val="21"/>
              </w:rPr>
              <w:t>All Learn Local organisations are encouraged to register to participate in a webinar.</w:t>
            </w:r>
          </w:p>
        </w:tc>
      </w:tr>
      <w:tr w:rsidR="008E0D9F" w:rsidRPr="000573AE" w:rsidTr="00AA258A">
        <w:tc>
          <w:tcPr>
            <w:tcW w:w="2448" w:type="dxa"/>
            <w:tcBorders>
              <w:bottom w:val="single" w:sz="4" w:space="0" w:color="auto"/>
            </w:tcBorders>
          </w:tcPr>
          <w:p w:rsidR="008E0D9F" w:rsidRPr="004130DC" w:rsidRDefault="008E0D9F" w:rsidP="00AA258A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794" w:type="dxa"/>
          </w:tcPr>
          <w:p w:rsidR="008E0D9F" w:rsidRPr="004130DC" w:rsidRDefault="008E0D9F" w:rsidP="00AA258A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</w:tr>
      <w:tr w:rsidR="008E0D9F" w:rsidRPr="000573AE" w:rsidTr="005C6D13">
        <w:tc>
          <w:tcPr>
            <w:tcW w:w="2448" w:type="dxa"/>
            <w:shd w:val="clear" w:color="auto" w:fill="E2E2E2"/>
          </w:tcPr>
          <w:p w:rsidR="008E0D9F" w:rsidRPr="004130DC" w:rsidRDefault="008E0D9F" w:rsidP="00AA258A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130DC">
              <w:rPr>
                <w:rFonts w:asciiTheme="minorHAnsi" w:hAnsiTheme="minorHAnsi" w:cstheme="minorHAnsi"/>
                <w:b/>
                <w:sz w:val="21"/>
                <w:szCs w:val="21"/>
              </w:rPr>
              <w:t>Topics covered include:</w:t>
            </w:r>
          </w:p>
        </w:tc>
        <w:tc>
          <w:tcPr>
            <w:tcW w:w="6794" w:type="dxa"/>
            <w:shd w:val="clear" w:color="auto" w:fill="auto"/>
          </w:tcPr>
          <w:p w:rsidR="008E0D9F" w:rsidRPr="005C6D13" w:rsidRDefault="00266541" w:rsidP="00AA258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C6D13">
              <w:rPr>
                <w:rFonts w:asciiTheme="minorHAnsi" w:hAnsiTheme="minorHAnsi" w:cstheme="minorHAnsi"/>
                <w:sz w:val="21"/>
                <w:szCs w:val="21"/>
              </w:rPr>
              <w:t>Parameters of the Pre-Accredited Work Experience model</w:t>
            </w:r>
          </w:p>
          <w:p w:rsidR="00266541" w:rsidRPr="005C6D13" w:rsidRDefault="00266541" w:rsidP="00AA258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C6D13">
              <w:rPr>
                <w:rFonts w:asciiTheme="minorHAnsi" w:hAnsiTheme="minorHAnsi" w:cstheme="minorHAnsi"/>
                <w:sz w:val="21"/>
                <w:szCs w:val="21"/>
              </w:rPr>
              <w:t>Issues associated with insurance and legislation for unsupervised vocational placements</w:t>
            </w:r>
          </w:p>
          <w:p w:rsidR="00266541" w:rsidRPr="005C6D13" w:rsidRDefault="00266541" w:rsidP="00AA258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C6D13">
              <w:rPr>
                <w:rFonts w:asciiTheme="minorHAnsi" w:hAnsiTheme="minorHAnsi" w:cstheme="minorHAnsi"/>
                <w:sz w:val="21"/>
                <w:szCs w:val="21"/>
              </w:rPr>
              <w:t>Benefits of the Pre-Accredited Work Experience model</w:t>
            </w:r>
          </w:p>
          <w:p w:rsidR="00266541" w:rsidRPr="00B46221" w:rsidRDefault="00266541" w:rsidP="002665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C6D13">
              <w:rPr>
                <w:rFonts w:asciiTheme="minorHAnsi" w:hAnsiTheme="minorHAnsi" w:cstheme="minorHAnsi"/>
                <w:sz w:val="21"/>
                <w:szCs w:val="21"/>
              </w:rPr>
              <w:t>Options for delivering other models of work experience</w:t>
            </w:r>
          </w:p>
        </w:tc>
      </w:tr>
      <w:tr w:rsidR="008E0D9F" w:rsidRPr="000573AE" w:rsidTr="00AA258A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8E0D9F" w:rsidRPr="004130DC" w:rsidRDefault="008E0D9F" w:rsidP="00AA258A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794" w:type="dxa"/>
            <w:shd w:val="clear" w:color="auto" w:fill="auto"/>
          </w:tcPr>
          <w:p w:rsidR="008E0D9F" w:rsidRPr="004130DC" w:rsidRDefault="008E0D9F" w:rsidP="00AA258A">
            <w:pPr>
              <w:pStyle w:val="ListParagraph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</w:tr>
      <w:tr w:rsidR="008E0D9F" w:rsidRPr="000573AE" w:rsidTr="005C6D13">
        <w:tc>
          <w:tcPr>
            <w:tcW w:w="2448" w:type="dxa"/>
            <w:shd w:val="clear" w:color="auto" w:fill="E2E2E2"/>
          </w:tcPr>
          <w:p w:rsidR="008E0D9F" w:rsidRPr="004130DC" w:rsidRDefault="008E0D9F" w:rsidP="00AA258A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130DC">
              <w:rPr>
                <w:rFonts w:asciiTheme="minorHAnsi" w:hAnsiTheme="minorHAnsi" w:cstheme="minorHAnsi"/>
                <w:b/>
                <w:sz w:val="21"/>
                <w:szCs w:val="21"/>
              </w:rPr>
              <w:t>At the end of this webinar, participants will gain:</w:t>
            </w:r>
          </w:p>
        </w:tc>
        <w:tc>
          <w:tcPr>
            <w:tcW w:w="6794" w:type="dxa"/>
            <w:shd w:val="clear" w:color="auto" w:fill="auto"/>
          </w:tcPr>
          <w:p w:rsidR="008E0D9F" w:rsidRPr="005C6D13" w:rsidRDefault="008E0D9F" w:rsidP="001642D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C6D13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1642D0" w:rsidRPr="005C6D13">
              <w:rPr>
                <w:rFonts w:asciiTheme="minorHAnsi" w:hAnsiTheme="minorHAnsi" w:cstheme="minorHAnsi"/>
                <w:sz w:val="21"/>
                <w:szCs w:val="21"/>
              </w:rPr>
              <w:t xml:space="preserve"> knowledge of how to apply a safe model of work experience which is fully covered by insurance</w:t>
            </w:r>
          </w:p>
        </w:tc>
      </w:tr>
      <w:tr w:rsidR="008E0D9F" w:rsidRPr="000573AE" w:rsidTr="00AA258A">
        <w:tc>
          <w:tcPr>
            <w:tcW w:w="2448" w:type="dxa"/>
            <w:tcBorders>
              <w:bottom w:val="single" w:sz="4" w:space="0" w:color="auto"/>
            </w:tcBorders>
          </w:tcPr>
          <w:p w:rsidR="008E0D9F" w:rsidRPr="004130DC" w:rsidRDefault="008E0D9F" w:rsidP="00AA258A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794" w:type="dxa"/>
          </w:tcPr>
          <w:p w:rsidR="008E0D9F" w:rsidRPr="004130DC" w:rsidRDefault="008E0D9F" w:rsidP="00AA258A">
            <w:pPr>
              <w:pStyle w:val="ListParagraph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</w:tr>
      <w:tr w:rsidR="008E0D9F" w:rsidRPr="000573AE" w:rsidTr="00AA258A">
        <w:tc>
          <w:tcPr>
            <w:tcW w:w="2448" w:type="dxa"/>
            <w:shd w:val="clear" w:color="auto" w:fill="E2E2E2"/>
          </w:tcPr>
          <w:p w:rsidR="008E0D9F" w:rsidRPr="004130DC" w:rsidRDefault="003928E8" w:rsidP="00AA258A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  <w:lang w:eastAsia="en-AU"/>
              </w:rPr>
            </w:pPr>
            <w:r w:rsidRPr="004130DC">
              <w:rPr>
                <w:rFonts w:asciiTheme="minorHAnsi" w:hAnsiTheme="minorHAnsi" w:cstheme="minorHAnsi"/>
                <w:b/>
                <w:sz w:val="21"/>
                <w:szCs w:val="21"/>
                <w:lang w:eastAsia="en-AU"/>
              </w:rPr>
              <w:t>Webinar link</w:t>
            </w:r>
            <w:r w:rsidR="008E0D9F" w:rsidRPr="004130DC">
              <w:rPr>
                <w:rFonts w:asciiTheme="minorHAnsi" w:hAnsiTheme="minorHAnsi" w:cstheme="minorHAnsi"/>
                <w:b/>
                <w:sz w:val="21"/>
                <w:szCs w:val="21"/>
                <w:lang w:eastAsia="en-AU"/>
              </w:rPr>
              <w:t>:</w:t>
            </w:r>
          </w:p>
        </w:tc>
        <w:tc>
          <w:tcPr>
            <w:tcW w:w="6794" w:type="dxa"/>
          </w:tcPr>
          <w:p w:rsidR="008E0D9F" w:rsidRPr="004130DC" w:rsidRDefault="008D6875" w:rsidP="00AA258A">
            <w:pPr>
              <w:rPr>
                <w:rFonts w:asciiTheme="minorHAnsi" w:hAnsiTheme="minorHAnsi" w:cstheme="minorHAnsi"/>
                <w:sz w:val="21"/>
                <w:szCs w:val="21"/>
                <w:lang w:eastAsia="en-AU"/>
              </w:rPr>
            </w:pPr>
            <w:hyperlink r:id="rId8" w:history="1">
              <w:r w:rsidR="001C2D19" w:rsidRPr="00D92AB3">
                <w:rPr>
                  <w:rStyle w:val="Hyperlink"/>
                  <w:rFonts w:asciiTheme="minorHAnsi" w:hAnsiTheme="minorHAnsi" w:cstheme="minorHAnsi"/>
                  <w:sz w:val="21"/>
                  <w:szCs w:val="21"/>
                  <w:lang w:eastAsia="en-AU"/>
                </w:rPr>
                <w:t>https://au.bbcollab.com/guest/f41b636cecb14cc7a92746c5e70ea267</w:t>
              </w:r>
            </w:hyperlink>
            <w:r w:rsidR="001C2D19">
              <w:rPr>
                <w:rFonts w:asciiTheme="minorHAnsi" w:hAnsiTheme="minorHAnsi" w:cstheme="minorHAnsi"/>
                <w:sz w:val="21"/>
                <w:szCs w:val="21"/>
                <w:lang w:eastAsia="en-AU"/>
              </w:rPr>
              <w:t xml:space="preserve"> </w:t>
            </w:r>
          </w:p>
        </w:tc>
      </w:tr>
      <w:tr w:rsidR="008E0D9F" w:rsidRPr="000573AE" w:rsidTr="00AA258A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8E0D9F" w:rsidRPr="004130DC" w:rsidRDefault="008E0D9F" w:rsidP="00AA258A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  <w:lang w:eastAsia="en-AU"/>
              </w:rPr>
            </w:pPr>
          </w:p>
        </w:tc>
        <w:tc>
          <w:tcPr>
            <w:tcW w:w="6794" w:type="dxa"/>
            <w:shd w:val="clear" w:color="auto" w:fill="auto"/>
          </w:tcPr>
          <w:p w:rsidR="008E0D9F" w:rsidRPr="004130DC" w:rsidRDefault="008E0D9F" w:rsidP="00AA258A">
            <w:pPr>
              <w:ind w:right="162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E0D9F" w:rsidRPr="000573AE" w:rsidTr="00AA258A">
        <w:tc>
          <w:tcPr>
            <w:tcW w:w="2448" w:type="dxa"/>
            <w:shd w:val="clear" w:color="auto" w:fill="E2E2E2"/>
          </w:tcPr>
          <w:p w:rsidR="008E0D9F" w:rsidRPr="004130DC" w:rsidRDefault="008E0D9F" w:rsidP="00AA258A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130DC">
              <w:rPr>
                <w:rFonts w:asciiTheme="minorHAnsi" w:hAnsiTheme="minorHAnsi" w:cstheme="minorHAnsi"/>
                <w:b/>
                <w:sz w:val="21"/>
                <w:szCs w:val="21"/>
              </w:rPr>
              <w:t>Presenter:</w:t>
            </w:r>
          </w:p>
        </w:tc>
        <w:tc>
          <w:tcPr>
            <w:tcW w:w="6794" w:type="dxa"/>
            <w:shd w:val="clear" w:color="auto" w:fill="auto"/>
          </w:tcPr>
          <w:p w:rsidR="008E0D9F" w:rsidRPr="00B46221" w:rsidRDefault="00522C5B" w:rsidP="00AA258A">
            <w:pPr>
              <w:pStyle w:val="ListParagraph"/>
              <w:spacing w:line="240" w:lineRule="auto"/>
              <w:ind w:left="0" w:right="16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6221">
              <w:rPr>
                <w:rFonts w:asciiTheme="minorHAnsi" w:hAnsiTheme="minorHAnsi" w:cstheme="minorHAnsi"/>
                <w:b/>
                <w:sz w:val="21"/>
                <w:szCs w:val="21"/>
              </w:rPr>
              <w:t>Nick Orchard</w:t>
            </w:r>
          </w:p>
        </w:tc>
      </w:tr>
      <w:tr w:rsidR="008E0D9F" w:rsidRPr="000573AE" w:rsidTr="00AA258A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8E0D9F" w:rsidRPr="004130DC" w:rsidRDefault="008E0D9F" w:rsidP="00AA258A">
            <w:pPr>
              <w:ind w:right="162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794" w:type="dxa"/>
            <w:shd w:val="clear" w:color="auto" w:fill="auto"/>
          </w:tcPr>
          <w:p w:rsidR="008E0D9F" w:rsidRPr="004130DC" w:rsidRDefault="008E0D9F" w:rsidP="00AA258A">
            <w:pPr>
              <w:pStyle w:val="ListParagraph"/>
              <w:spacing w:line="240" w:lineRule="auto"/>
              <w:ind w:left="702" w:right="162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E0D9F" w:rsidRPr="000573AE" w:rsidTr="00AA258A">
        <w:trPr>
          <w:trHeight w:val="602"/>
        </w:trPr>
        <w:tc>
          <w:tcPr>
            <w:tcW w:w="2448" w:type="dxa"/>
            <w:shd w:val="clear" w:color="auto" w:fill="E2E2E2"/>
          </w:tcPr>
          <w:p w:rsidR="008E0D9F" w:rsidRPr="004130DC" w:rsidRDefault="008E0D9F" w:rsidP="00AA258A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130DC">
              <w:rPr>
                <w:rFonts w:asciiTheme="minorHAnsi" w:hAnsiTheme="minorHAnsi" w:cstheme="minorHAnsi"/>
                <w:b/>
                <w:sz w:val="21"/>
                <w:szCs w:val="21"/>
              </w:rPr>
              <w:t>Bio:</w:t>
            </w:r>
          </w:p>
        </w:tc>
        <w:tc>
          <w:tcPr>
            <w:tcW w:w="6794" w:type="dxa"/>
            <w:shd w:val="clear" w:color="auto" w:fill="auto"/>
          </w:tcPr>
          <w:p w:rsidR="008E0D9F" w:rsidRPr="004130DC" w:rsidRDefault="001642D0" w:rsidP="00AA258A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Nick Orchard is a Senior Policy Officer in the Participation Branch of the Department of Education and Training. </w:t>
            </w:r>
          </w:p>
        </w:tc>
      </w:tr>
    </w:tbl>
    <w:p w:rsidR="008938C6" w:rsidRDefault="008938C6"/>
    <w:sectPr w:rsidR="008938C6" w:rsidSect="00E879B6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75" w:rsidRDefault="008D6875" w:rsidP="00E879B6">
      <w:r>
        <w:separator/>
      </w:r>
    </w:p>
  </w:endnote>
  <w:endnote w:type="continuationSeparator" w:id="0">
    <w:p w:rsidR="008D6875" w:rsidRDefault="008D6875" w:rsidP="00E8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75" w:rsidRDefault="008D6875" w:rsidP="00E879B6">
      <w:r>
        <w:separator/>
      </w:r>
    </w:p>
  </w:footnote>
  <w:footnote w:type="continuationSeparator" w:id="0">
    <w:p w:rsidR="008D6875" w:rsidRDefault="008D6875" w:rsidP="00E8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C6" w:rsidRPr="006A21D0" w:rsidRDefault="008938C6">
    <w:pPr>
      <w:pStyle w:val="Header"/>
      <w:rPr>
        <w:rFonts w:asciiTheme="minorHAnsi" w:hAnsiTheme="minorHAnsi"/>
        <w:sz w:val="32"/>
      </w:rPr>
    </w:pPr>
    <w:r w:rsidRPr="006A21D0">
      <w:rPr>
        <w:rFonts w:asciiTheme="minorHAnsi" w:hAnsiTheme="minorHAnsi"/>
        <w:noProof/>
        <w:sz w:val="32"/>
        <w:lang w:eastAsia="en-AU"/>
      </w:rPr>
      <w:drawing>
        <wp:anchor distT="36576" distB="36576" distL="36576" distR="36576" simplePos="0" relativeHeight="251658752" behindDoc="0" locked="0" layoutInCell="1" allowOverlap="1" wp14:anchorId="43FEDA17" wp14:editId="23017C8C">
          <wp:simplePos x="0" y="0"/>
          <wp:positionH relativeFrom="column">
            <wp:posOffset>4645660</wp:posOffset>
          </wp:positionH>
          <wp:positionV relativeFrom="paragraph">
            <wp:posOffset>-85725</wp:posOffset>
          </wp:positionV>
          <wp:extent cx="1148002" cy="54788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002" cy="547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1D0">
      <w:rPr>
        <w:rFonts w:asciiTheme="minorHAnsi" w:hAnsiTheme="minorHAnsi"/>
        <w:sz w:val="32"/>
      </w:rPr>
      <w:t>WEBINAR INVITATION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38A0"/>
    <w:multiLevelType w:val="hybridMultilevel"/>
    <w:tmpl w:val="2B84C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76CD3"/>
    <w:multiLevelType w:val="hybridMultilevel"/>
    <w:tmpl w:val="6736F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D40D3"/>
    <w:multiLevelType w:val="hybridMultilevel"/>
    <w:tmpl w:val="66729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F0FDF"/>
    <w:multiLevelType w:val="hybridMultilevel"/>
    <w:tmpl w:val="06EE16B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B6"/>
    <w:rsid w:val="00040FE5"/>
    <w:rsid w:val="000440D0"/>
    <w:rsid w:val="00080ABE"/>
    <w:rsid w:val="00120073"/>
    <w:rsid w:val="001642D0"/>
    <w:rsid w:val="001C2D19"/>
    <w:rsid w:val="00264B14"/>
    <w:rsid w:val="00266541"/>
    <w:rsid w:val="002C0E73"/>
    <w:rsid w:val="003928E8"/>
    <w:rsid w:val="003C5113"/>
    <w:rsid w:val="004130DC"/>
    <w:rsid w:val="00481155"/>
    <w:rsid w:val="004C57E7"/>
    <w:rsid w:val="00513B0E"/>
    <w:rsid w:val="00522C5B"/>
    <w:rsid w:val="005C6D13"/>
    <w:rsid w:val="005F6828"/>
    <w:rsid w:val="0062615A"/>
    <w:rsid w:val="00677719"/>
    <w:rsid w:val="006A21D0"/>
    <w:rsid w:val="006A67BE"/>
    <w:rsid w:val="00733733"/>
    <w:rsid w:val="00741291"/>
    <w:rsid w:val="0078192A"/>
    <w:rsid w:val="007C72FB"/>
    <w:rsid w:val="008938C6"/>
    <w:rsid w:val="008A1776"/>
    <w:rsid w:val="008D6875"/>
    <w:rsid w:val="008E0D9F"/>
    <w:rsid w:val="009C61CB"/>
    <w:rsid w:val="00A13054"/>
    <w:rsid w:val="00A709DB"/>
    <w:rsid w:val="00AA258A"/>
    <w:rsid w:val="00B07B80"/>
    <w:rsid w:val="00B320BE"/>
    <w:rsid w:val="00B46221"/>
    <w:rsid w:val="00BA7228"/>
    <w:rsid w:val="00C32C7C"/>
    <w:rsid w:val="00CD044F"/>
    <w:rsid w:val="00E879B6"/>
    <w:rsid w:val="00EB2B3E"/>
    <w:rsid w:val="00EF2B40"/>
    <w:rsid w:val="00F340D5"/>
    <w:rsid w:val="00FB6BA1"/>
    <w:rsid w:val="00F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1F6C7C-CD94-42A1-B118-D3C6D9BE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B6"/>
    <w:pPr>
      <w:spacing w:line="220" w:lineRule="atLeast"/>
      <w:ind w:left="720"/>
      <w:contextualSpacing/>
    </w:pPr>
    <w:rPr>
      <w:rFonts w:ascii="Arial" w:hAnsi="Arial"/>
      <w:sz w:val="17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879B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79B6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E8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9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9B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879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9B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semiHidden/>
    <w:rsid w:val="006A6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.bbcollab.com/guest/f41b636cecb14cc7a92746c5e70ea267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vent.com/d/ztqpsd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6C10A-5C94-4F52-B000-ABE673494603}"/>
</file>

<file path=customXml/itemProps2.xml><?xml version="1.0" encoding="utf-8"?>
<ds:datastoreItem xmlns:ds="http://schemas.openxmlformats.org/officeDocument/2006/customXml" ds:itemID="{0C4F7D15-3235-4750-B668-1443E04EFBE4}"/>
</file>

<file path=customXml/itemProps3.xml><?xml version="1.0" encoding="utf-8"?>
<ds:datastoreItem xmlns:ds="http://schemas.openxmlformats.org/officeDocument/2006/customXml" ds:itemID="{68D40558-7AEE-4D81-BCF2-9040214F1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Orchard, Nick N</cp:lastModifiedBy>
  <cp:revision>2</cp:revision>
  <dcterms:created xsi:type="dcterms:W3CDTF">2017-10-20T03:10:00Z</dcterms:created>
  <dcterms:modified xsi:type="dcterms:W3CDTF">2017-10-20T03:10:00Z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