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4A1570" w14:paraId="13FDA52F" w14:textId="77777777" w:rsidTr="00F55D9F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0EE1" w14:textId="373890DE" w:rsidR="009D5D01" w:rsidRPr="004A1570" w:rsidRDefault="00864538" w:rsidP="00113F3C">
            <w:pPr>
              <w:pStyle w:val="Titl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069612" wp14:editId="2C0AD92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3D719" w14:textId="77777777" w:rsidR="00113F3C" w:rsidRPr="00633C39" w:rsidRDefault="00113F3C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67FBAF7" w14:textId="77777777" w:rsidR="00113F3C" w:rsidRPr="006F3F2F" w:rsidRDefault="00113F3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346A40" w14:textId="77777777" w:rsidR="00113F3C" w:rsidRPr="006F3F2F" w:rsidRDefault="00113F3C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C59246" w14:textId="77777777" w:rsidR="00113F3C" w:rsidRPr="00633C39" w:rsidRDefault="00113F3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B67B2" w14:textId="77777777" w:rsidR="00113F3C" w:rsidRPr="00633C39" w:rsidRDefault="00113F3C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0BB5E8D1" w14:textId="77777777" w:rsidR="00113F3C" w:rsidRDefault="00113F3C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36A3D719" w14:textId="77777777" w:rsidR="00113F3C" w:rsidRPr="00633C39" w:rsidRDefault="00113F3C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67FBAF7" w14:textId="77777777" w:rsidR="00113F3C" w:rsidRPr="006F3F2F" w:rsidRDefault="00113F3C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D346A40" w14:textId="77777777" w:rsidR="00113F3C" w:rsidRPr="006F3F2F" w:rsidRDefault="00113F3C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0CC59246" w14:textId="77777777" w:rsidR="00113F3C" w:rsidRPr="00633C39" w:rsidRDefault="00113F3C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35AB67B2" w14:textId="77777777" w:rsidR="00113F3C" w:rsidRPr="00633C39" w:rsidRDefault="00113F3C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0BB5E8D1" w14:textId="77777777" w:rsidR="00113F3C" w:rsidRDefault="00113F3C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4B6AE94" w14:textId="77777777" w:rsidR="009D5D01" w:rsidRPr="004A1570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4"/>
          <w:lang w:val="en-GB" w:eastAsia="en-US"/>
        </w:rPr>
      </w:pPr>
    </w:p>
    <w:p w14:paraId="6F542793" w14:textId="77777777" w:rsidR="009D5D01" w:rsidRPr="004A1570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4"/>
          <w:lang w:val="en-GB" w:eastAsia="en-US"/>
        </w:rPr>
      </w:pPr>
    </w:p>
    <w:p w14:paraId="0A7F1B01" w14:textId="77777777" w:rsidR="009D5D01" w:rsidRPr="004A1570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4"/>
          <w:lang w:val="en-GB" w:eastAsia="en-US"/>
        </w:rPr>
      </w:pPr>
    </w:p>
    <w:p w14:paraId="550CA0C1" w14:textId="19DDF447" w:rsidR="009D5D01" w:rsidRPr="00C54C7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 w:cs="Arial"/>
          <w:i/>
          <w:color w:val="000000"/>
          <w:sz w:val="22"/>
          <w:szCs w:val="22"/>
          <w:lang w:val="en-GB" w:eastAsia="en-US"/>
        </w:rPr>
      </w:pPr>
      <w:r w:rsidRPr="00C54C7A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 xml:space="preserve">NUMBER: </w:t>
      </w:r>
      <w:r w:rsidRP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201</w:t>
      </w:r>
      <w:r w:rsid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6</w:t>
      </w:r>
      <w:r w:rsidRP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/ </w:t>
      </w:r>
      <w:r w:rsidR="00666B07" w:rsidRP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September</w:t>
      </w:r>
      <w:r w:rsidRP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/ </w:t>
      </w:r>
      <w:r w:rsidR="00C54C7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09</w:t>
      </w:r>
    </w:p>
    <w:p w14:paraId="607FFB01" w14:textId="77777777" w:rsidR="009D5D01" w:rsidRPr="00C54C7A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C54C7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C54C7A" w14:paraId="04B1A87B" w14:textId="77777777" w:rsidTr="00F55D9F">
        <w:tc>
          <w:tcPr>
            <w:tcW w:w="3119" w:type="dxa"/>
            <w:shd w:val="clear" w:color="auto" w:fill="auto"/>
          </w:tcPr>
          <w:p w14:paraId="28CD4EF9" w14:textId="77777777" w:rsidR="009D5D01" w:rsidRPr="00C54C7A" w:rsidRDefault="009D5D01" w:rsidP="00F55D9F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675B78BA" w14:textId="77777777" w:rsidR="009D5D01" w:rsidRPr="00C54C7A" w:rsidRDefault="009D5D01" w:rsidP="00F55D9F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14:paraId="3D509D97" w14:textId="5FB3C3A1" w:rsidR="009D5D01" w:rsidRPr="00C54C7A" w:rsidRDefault="009D5D01" w:rsidP="0097181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Board</w:t>
            </w:r>
          </w:p>
        </w:tc>
        <w:tc>
          <w:tcPr>
            <w:tcW w:w="4110" w:type="dxa"/>
            <w:shd w:val="clear" w:color="auto" w:fill="auto"/>
          </w:tcPr>
          <w:p w14:paraId="58BA789B" w14:textId="3E38A125" w:rsidR="002340FB" w:rsidRPr="00C54C7A" w:rsidRDefault="009D5D01" w:rsidP="0097181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Regional Councils</w:t>
            </w:r>
          </w:p>
        </w:tc>
      </w:tr>
      <w:tr w:rsidR="00F55D9F" w:rsidRPr="00C54C7A" w14:paraId="7C856DC4" w14:textId="77777777" w:rsidTr="00F55D9F">
        <w:tc>
          <w:tcPr>
            <w:tcW w:w="3119" w:type="dxa"/>
            <w:shd w:val="clear" w:color="auto" w:fill="auto"/>
          </w:tcPr>
          <w:p w14:paraId="2E9925D1" w14:textId="271C3CF2" w:rsidR="002340FB" w:rsidRPr="00971819" w:rsidRDefault="00F55D9F" w:rsidP="0097181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45D9EE68" w14:textId="2BBA1207" w:rsidR="00F55D9F" w:rsidRPr="00C54C7A" w:rsidRDefault="00F55D9F" w:rsidP="0097181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stakeholders </w:t>
            </w:r>
          </w:p>
        </w:tc>
        <w:tc>
          <w:tcPr>
            <w:tcW w:w="4110" w:type="dxa"/>
            <w:shd w:val="clear" w:color="auto" w:fill="auto"/>
          </w:tcPr>
          <w:p w14:paraId="21C2505F" w14:textId="77777777" w:rsidR="00F55D9F" w:rsidRDefault="00971819" w:rsidP="00971819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C54C7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  <w:p w14:paraId="549BEAA4" w14:textId="1C5270E9" w:rsidR="00971819" w:rsidRPr="00C54C7A" w:rsidRDefault="00971819" w:rsidP="00971819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</w:tc>
      </w:tr>
    </w:tbl>
    <w:p w14:paraId="5230564C" w14:textId="77777777" w:rsidR="009D5D01" w:rsidRPr="003F22B2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236B79E1" w14:textId="1737486F" w:rsidR="009D5D01" w:rsidRPr="003F22B2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sz w:val="22"/>
          <w:szCs w:val="22"/>
          <w:lang w:val="en-GB" w:eastAsia="en-US"/>
        </w:rPr>
      </w:pPr>
      <w:r w:rsidRPr="003F22B2">
        <w:rPr>
          <w:rFonts w:ascii="Arial" w:hAnsi="Arial" w:cs="Arial"/>
          <w:b/>
          <w:sz w:val="22"/>
          <w:szCs w:val="22"/>
          <w:lang w:val="en-GB" w:eastAsia="en-US"/>
        </w:rPr>
        <w:t>FROM:</w:t>
      </w:r>
      <w:r w:rsidRPr="003F22B2">
        <w:rPr>
          <w:rFonts w:ascii="Arial" w:hAnsi="Arial" w:cs="Arial"/>
          <w:b/>
          <w:sz w:val="22"/>
          <w:szCs w:val="22"/>
          <w:lang w:val="en-GB" w:eastAsia="en-US"/>
        </w:rPr>
        <w:tab/>
      </w:r>
      <w:r w:rsidR="00514906" w:rsidRPr="003F22B2">
        <w:rPr>
          <w:rFonts w:ascii="Arial" w:hAnsi="Arial" w:cs="Arial"/>
          <w:sz w:val="22"/>
          <w:szCs w:val="22"/>
          <w:lang w:val="en-GB" w:eastAsia="en-US"/>
        </w:rPr>
        <w:t>Ryan Collins</w:t>
      </w:r>
      <w:r w:rsidRPr="003F22B2">
        <w:rPr>
          <w:rFonts w:ascii="Arial" w:hAnsi="Arial" w:cs="Arial"/>
          <w:sz w:val="22"/>
          <w:szCs w:val="22"/>
          <w:lang w:val="en-GB" w:eastAsia="en-US"/>
        </w:rPr>
        <w:t>, Director, Participation Branch</w:t>
      </w:r>
    </w:p>
    <w:p w14:paraId="6D2F5F2A" w14:textId="58B72B9B" w:rsidR="009D5D01" w:rsidRPr="003F22B2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sz w:val="22"/>
          <w:szCs w:val="22"/>
          <w:lang w:val="en-GB" w:eastAsia="en-US"/>
        </w:rPr>
      </w:pPr>
      <w:r w:rsidRPr="003F22B2">
        <w:rPr>
          <w:rFonts w:ascii="Arial" w:hAnsi="Arial" w:cs="Arial"/>
          <w:b/>
          <w:sz w:val="22"/>
          <w:szCs w:val="22"/>
          <w:lang w:val="en-GB" w:eastAsia="en-US"/>
        </w:rPr>
        <w:t>DATE:</w:t>
      </w:r>
      <w:r w:rsidRPr="003F22B2">
        <w:rPr>
          <w:rFonts w:ascii="Arial" w:hAnsi="Arial" w:cs="Arial"/>
          <w:b/>
          <w:sz w:val="22"/>
          <w:szCs w:val="22"/>
          <w:lang w:val="en-GB" w:eastAsia="en-US"/>
        </w:rPr>
        <w:tab/>
      </w:r>
      <w:r w:rsidR="009910B2" w:rsidRPr="003F22B2">
        <w:rPr>
          <w:rFonts w:ascii="Arial" w:hAnsi="Arial" w:cs="Arial"/>
          <w:sz w:val="22"/>
          <w:szCs w:val="22"/>
          <w:lang w:val="en-GB" w:eastAsia="en-US"/>
        </w:rPr>
        <w:t>09</w:t>
      </w:r>
      <w:r w:rsidR="00FD0A5D" w:rsidRPr="003F22B2">
        <w:rPr>
          <w:rFonts w:ascii="Arial" w:hAnsi="Arial" w:cs="Arial"/>
          <w:sz w:val="22"/>
          <w:szCs w:val="22"/>
          <w:lang w:val="en-GB" w:eastAsia="en-US"/>
        </w:rPr>
        <w:t>/09</w:t>
      </w:r>
      <w:r w:rsidR="00F55D9F" w:rsidRPr="003F22B2">
        <w:rPr>
          <w:rFonts w:ascii="Arial" w:hAnsi="Arial" w:cs="Arial"/>
          <w:sz w:val="22"/>
          <w:szCs w:val="22"/>
          <w:lang w:val="en-GB" w:eastAsia="en-US"/>
        </w:rPr>
        <w:t>/1</w:t>
      </w:r>
      <w:r w:rsidR="00864538" w:rsidRPr="003F22B2">
        <w:rPr>
          <w:rFonts w:ascii="Arial" w:hAnsi="Arial" w:cs="Arial"/>
          <w:sz w:val="22"/>
          <w:szCs w:val="22"/>
          <w:lang w:val="en-GB" w:eastAsia="en-US"/>
        </w:rPr>
        <w:t>6</w:t>
      </w:r>
    </w:p>
    <w:p w14:paraId="4D62B176" w14:textId="35B0F4E0" w:rsidR="009D5D01" w:rsidRPr="003F22B2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sz w:val="22"/>
          <w:szCs w:val="22"/>
          <w:lang w:val="en-GB" w:eastAsia="en-US"/>
        </w:rPr>
      </w:pPr>
      <w:r w:rsidRPr="003F22B2">
        <w:rPr>
          <w:rFonts w:ascii="Arial" w:hAnsi="Arial" w:cs="Arial"/>
          <w:b/>
          <w:sz w:val="22"/>
          <w:szCs w:val="22"/>
          <w:lang w:val="en-GB" w:eastAsia="en-US"/>
        </w:rPr>
        <w:t>SUBJECT:</w:t>
      </w:r>
      <w:r w:rsidRPr="003F22B2">
        <w:rPr>
          <w:rFonts w:ascii="Arial" w:hAnsi="Arial" w:cs="Arial"/>
          <w:b/>
          <w:sz w:val="22"/>
          <w:szCs w:val="22"/>
          <w:lang w:val="en-GB" w:eastAsia="en-US"/>
        </w:rPr>
        <w:tab/>
      </w:r>
      <w:r w:rsidR="00F55D9F" w:rsidRPr="003F22B2">
        <w:rPr>
          <w:rFonts w:ascii="Arial" w:hAnsi="Arial" w:cs="Arial"/>
          <w:i/>
          <w:sz w:val="22"/>
          <w:szCs w:val="22"/>
          <w:lang w:val="en-GB" w:eastAsia="en-US"/>
        </w:rPr>
        <w:t>Winners of 201</w:t>
      </w:r>
      <w:r w:rsidR="00C54C7A" w:rsidRPr="003F22B2">
        <w:rPr>
          <w:rFonts w:ascii="Arial" w:hAnsi="Arial" w:cs="Arial"/>
          <w:i/>
          <w:sz w:val="22"/>
          <w:szCs w:val="22"/>
          <w:lang w:val="en-GB" w:eastAsia="en-US"/>
        </w:rPr>
        <w:t>6</w:t>
      </w:r>
      <w:r w:rsidR="00F55D9F" w:rsidRPr="003F22B2">
        <w:rPr>
          <w:rFonts w:ascii="Arial" w:hAnsi="Arial" w:cs="Arial"/>
          <w:i/>
          <w:sz w:val="22"/>
          <w:szCs w:val="22"/>
          <w:lang w:val="en-GB" w:eastAsia="en-US"/>
        </w:rPr>
        <w:t xml:space="preserve"> </w:t>
      </w:r>
      <w:r w:rsidR="0064479F" w:rsidRPr="003F22B2">
        <w:rPr>
          <w:rFonts w:ascii="Arial" w:hAnsi="Arial" w:cs="Arial"/>
          <w:i/>
          <w:sz w:val="22"/>
          <w:szCs w:val="22"/>
          <w:lang w:val="en-GB" w:eastAsia="en-US"/>
        </w:rPr>
        <w:t xml:space="preserve">Victorian </w:t>
      </w:r>
      <w:r w:rsidR="00F55D9F" w:rsidRPr="003F22B2">
        <w:rPr>
          <w:rFonts w:ascii="Arial" w:hAnsi="Arial" w:cs="Arial"/>
          <w:i/>
          <w:sz w:val="22"/>
          <w:szCs w:val="22"/>
          <w:lang w:val="en-GB" w:eastAsia="en-US"/>
        </w:rPr>
        <w:t>Learn Local Awards</w:t>
      </w:r>
    </w:p>
    <w:p w14:paraId="5E3EE896" w14:textId="77777777" w:rsidR="009D5D01" w:rsidRPr="003F22B2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sz w:val="22"/>
          <w:szCs w:val="22"/>
          <w:lang w:val="en-GB" w:eastAsia="en-US"/>
        </w:rPr>
      </w:pPr>
    </w:p>
    <w:p w14:paraId="2E6DB1D6" w14:textId="77777777" w:rsidR="009D5D01" w:rsidRPr="003F22B2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sz w:val="22"/>
          <w:szCs w:val="22"/>
          <w:lang w:val="en-GB" w:eastAsia="en-US"/>
        </w:rPr>
      </w:pPr>
      <w:r w:rsidRPr="003F22B2">
        <w:rPr>
          <w:rFonts w:ascii="Arial" w:hAnsi="Arial" w:cs="Arial"/>
          <w:b/>
          <w:bCs/>
          <w:sz w:val="22"/>
          <w:szCs w:val="22"/>
          <w:lang w:val="en-GB" w:eastAsia="en-US"/>
        </w:rPr>
        <w:t>ACTIONS / CRITICAL DATES:</w:t>
      </w:r>
    </w:p>
    <w:p w14:paraId="414C356F" w14:textId="4DAF1CB2" w:rsidR="009D5D01" w:rsidRPr="003F22B2" w:rsidRDefault="007B548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3F22B2">
        <w:rPr>
          <w:rFonts w:ascii="Arial" w:hAnsi="Arial" w:cs="Arial"/>
          <w:bCs/>
          <w:i/>
          <w:sz w:val="22"/>
          <w:szCs w:val="22"/>
          <w:lang w:val="en-GB" w:eastAsia="en-US"/>
        </w:rPr>
        <w:t>Please note and congratulate the winners of the 201</w:t>
      </w:r>
      <w:r w:rsidR="009910B2" w:rsidRPr="003F22B2">
        <w:rPr>
          <w:rFonts w:ascii="Arial" w:hAnsi="Arial" w:cs="Arial"/>
          <w:bCs/>
          <w:i/>
          <w:sz w:val="22"/>
          <w:szCs w:val="22"/>
          <w:lang w:val="en-GB" w:eastAsia="en-US"/>
        </w:rPr>
        <w:t>6</w:t>
      </w:r>
      <w:r w:rsidRPr="003F22B2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="0064479F" w:rsidRPr="003F22B2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Victorian </w:t>
      </w:r>
      <w:r w:rsidRPr="003F22B2">
        <w:rPr>
          <w:rFonts w:ascii="Arial" w:hAnsi="Arial" w:cs="Arial"/>
          <w:bCs/>
          <w:i/>
          <w:sz w:val="22"/>
          <w:szCs w:val="22"/>
          <w:lang w:val="en-GB" w:eastAsia="en-US"/>
        </w:rPr>
        <w:t>Learn Local Awards.</w:t>
      </w:r>
    </w:p>
    <w:p w14:paraId="23AAC33C" w14:textId="77777777" w:rsidR="009D5D01" w:rsidRPr="003F22B2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sz w:val="22"/>
          <w:szCs w:val="22"/>
          <w:lang w:val="en-GB" w:eastAsia="en-US"/>
        </w:rPr>
      </w:pPr>
    </w:p>
    <w:p w14:paraId="69109B74" w14:textId="77777777" w:rsidR="00F55D9F" w:rsidRPr="003F22B2" w:rsidRDefault="00F55D9F" w:rsidP="00F55D9F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sz w:val="22"/>
          <w:szCs w:val="22"/>
          <w:lang w:val="en-GB" w:eastAsia="en-US"/>
        </w:rPr>
      </w:pPr>
    </w:p>
    <w:p w14:paraId="3D2895FF" w14:textId="77777777" w:rsidR="00F55D9F" w:rsidRPr="003F22B2" w:rsidRDefault="00F55D9F" w:rsidP="00F55D9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590F1DD8" w14:textId="22F34589" w:rsidR="00F55D9F" w:rsidRPr="003F22B2" w:rsidRDefault="00E740A8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The 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Minister</w:t>
      </w: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for </w:t>
      </w:r>
      <w:r w:rsidR="006447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Training</w:t>
      </w: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and Skills, the Hon 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Steve He</w:t>
      </w:r>
      <w:r w:rsidR="003A3934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r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bert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MP </w:t>
      </w:r>
      <w:r w:rsidR="004A1570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and the Chair of the ACFE Board, </w:t>
      </w:r>
      <w:r w:rsidR="009910B2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Sue Christophers</w:t>
      </w:r>
      <w:r w:rsidR="004A1570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announced the winners of the 201</w:t>
      </w:r>
      <w:r w:rsidR="009910B2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6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Victorian 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Learn Local Awards at a celebration</w:t>
      </w:r>
      <w:r w:rsidR="007B548B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of the sector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at the 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Collin</w:t>
      </w:r>
      <w:r w:rsidR="004A1570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g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wood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Town Hall on Thursday </w:t>
      </w:r>
      <w:r w:rsidR="009910B2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8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September</w:t>
      </w:r>
      <w:r w:rsidR="00F55D9F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</w:p>
    <w:p w14:paraId="33F8C8E0" w14:textId="77777777" w:rsidR="006B5846" w:rsidRPr="003F22B2" w:rsidRDefault="006B5846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1946DDC" w14:textId="72DE1FA7" w:rsidR="00F55D9F" w:rsidRPr="003F22B2" w:rsidRDefault="00113F3C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See</w:t>
      </w:r>
      <w:r w:rsidR="0093769A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hyperlink r:id="rId11" w:history="1">
        <w:r w:rsidR="0093769A" w:rsidRPr="00EE5B0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the Minister for Training and Skills’ media release</w:t>
        </w:r>
      </w:hyperlink>
      <w:r w:rsidR="0093769A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537CE70F" w14:textId="77777777" w:rsidR="00113F3C" w:rsidRPr="003F22B2" w:rsidRDefault="00113F3C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6475EA0" w14:textId="7629271C" w:rsidR="007B548B" w:rsidRPr="003F22B2" w:rsidRDefault="00F55D9F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The awards recognise excellence in the Learn Local sector across </w:t>
      </w:r>
      <w:r w:rsidR="00084C25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five award and </w:t>
      </w:r>
      <w:r w:rsidR="003F22B2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one</w:t>
      </w:r>
      <w:r w:rsidR="00084C25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acknowledgement</w:t>
      </w: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categories</w:t>
      </w:r>
      <w:r w:rsidR="007B548B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084C25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with winners sharing</w:t>
      </w:r>
      <w:r w:rsidR="007B548B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in a total prize pool of $50,000.</w:t>
      </w:r>
    </w:p>
    <w:p w14:paraId="7B05E176" w14:textId="77777777" w:rsidR="007B548B" w:rsidRPr="003F22B2" w:rsidRDefault="007B548B" w:rsidP="004A157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1ADAB83" w14:textId="77777777" w:rsidR="00C54C7A" w:rsidRDefault="007B548B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This year’s winners were:</w:t>
      </w:r>
    </w:p>
    <w:p w14:paraId="7A126F11" w14:textId="77777777" w:rsidR="003F22B2" w:rsidRPr="003F22B2" w:rsidRDefault="003F22B2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62FF58B6" w14:textId="540E30FE" w:rsidR="00C54C7A" w:rsidRPr="003F22B2" w:rsidRDefault="004D4B1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b/>
          <w:sz w:val="22"/>
          <w:szCs w:val="22"/>
          <w:lang w:eastAsia="en-GB"/>
        </w:rPr>
      </w:pPr>
      <w:r w:rsidRPr="003F22B2">
        <w:rPr>
          <w:rFonts w:ascii="Arial" w:hAnsi="Arial" w:cs="Arial"/>
          <w:b/>
          <w:bCs/>
          <w:sz w:val="22"/>
          <w:szCs w:val="22"/>
          <w:lang w:eastAsia="en-GB"/>
        </w:rPr>
        <w:t>The Rowena Allen Award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="00C54C7A" w:rsidRPr="003F22B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Recognising Pre-accredited Learner Excellence </w:t>
      </w:r>
      <w:r w:rsidR="006B5846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– </w:t>
      </w:r>
      <w:r w:rsidRPr="003F22B2">
        <w:rPr>
          <w:rFonts w:ascii="Arial" w:hAnsi="Arial" w:cs="Arial"/>
          <w:b/>
          <w:bCs/>
          <w:sz w:val="22"/>
          <w:szCs w:val="22"/>
          <w:lang w:eastAsia="en-GB"/>
        </w:rPr>
        <w:t>Matthew Agostinelli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, </w:t>
      </w:r>
      <w:r w:rsidRPr="003F22B2">
        <w:rPr>
          <w:rFonts w:ascii="Arial" w:hAnsi="Arial" w:cs="Arial"/>
          <w:b/>
          <w:sz w:val="22"/>
          <w:szCs w:val="22"/>
          <w:lang w:eastAsia="en-GB"/>
        </w:rPr>
        <w:t>Diamond Valley Learning Centre</w:t>
      </w:r>
    </w:p>
    <w:p w14:paraId="2307CF44" w14:textId="563214C8" w:rsidR="004D4B1A" w:rsidRPr="003F22B2" w:rsidRDefault="004D4B1A" w:rsidP="004D4B1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Fonts w:ascii="Arial" w:hAnsi="Arial" w:cs="Arial"/>
          <w:sz w:val="22"/>
          <w:szCs w:val="22"/>
          <w:lang w:eastAsia="en-GB"/>
        </w:rPr>
        <w:t>For the past four years, Matt, 20,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has been a student at Diamond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Valley Learning Centre (DVLC) in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Greensborough.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Despite battling every day with very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high levels of anxiety, Eltham man Matt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has turned his life around and is now a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student mentor and valued volunteer,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helping VCAL students reengage with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education and assisting intellectually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disabled adults in courses at DVLC.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At the start, it was hard for Matt simply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to be at school. But through hard work,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persistence and courage, Matt has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progressively won his battle to manage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his anxiety, has completed a number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of pre-accredited programs, his senior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VCAL certificate and has commenced a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Certificate II in Community Services.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He now plans to undertake a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Teacher’s Aide Certificate III and is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interested in a career supporting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students with disabilities to fully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engage with all aspects of education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and community life.</w:t>
      </w:r>
    </w:p>
    <w:p w14:paraId="5A5430A5" w14:textId="77777777" w:rsidR="00C54C7A" w:rsidRPr="003F22B2" w:rsidRDefault="00C54C7A" w:rsidP="004D4B1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</w:p>
    <w:p w14:paraId="23F24544" w14:textId="3F7A559E" w:rsidR="00C54C7A" w:rsidRPr="003F22B2" w:rsidRDefault="006B5846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b/>
          <w:sz w:val="22"/>
          <w:szCs w:val="22"/>
          <w:lang w:eastAsia="en-GB"/>
        </w:rPr>
      </w:pPr>
      <w:r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Outstanding Practitioner – </w:t>
      </w:r>
      <w:r w:rsidR="004D4B1A" w:rsidRPr="003F22B2">
        <w:rPr>
          <w:rFonts w:ascii="Arial" w:hAnsi="Arial" w:cs="Arial"/>
          <w:b/>
          <w:bCs/>
          <w:sz w:val="22"/>
          <w:szCs w:val="22"/>
          <w:lang w:eastAsia="en-GB"/>
        </w:rPr>
        <w:t>Marj Sjostrom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>,</w:t>
      </w:r>
      <w:r w:rsidR="00C54C7A"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Keysborough Learning Centre</w:t>
      </w:r>
      <w:r w:rsidR="00C54C7A" w:rsidRPr="003F22B2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325A3306" w14:textId="77777777" w:rsidR="00C54C7A" w:rsidRPr="003F22B2" w:rsidRDefault="004D4B1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Fonts w:ascii="Arial" w:hAnsi="Arial" w:cs="Arial"/>
          <w:sz w:val="22"/>
          <w:szCs w:val="22"/>
          <w:lang w:eastAsia="en-GB"/>
        </w:rPr>
        <w:t>Over 30 years, Marj Sjostrom has been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teaching at Keysborough Learning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Centre, dedicated to the delivery of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education in a community setting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and to the building of strong quality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frameworks that empower students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through learning.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Marj has developed considerable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eLearning skills which she uses as a tool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 the classroom with great success.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Her dedication and student support is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evidenced in the respect and affection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her students have for her – many from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limited educational backgrounds,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including people facing barriers due to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disability and personal circumstances.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Marj actively encourages students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by developing classes that meet their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specific needs and has implemented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classes to develop interview skills,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 xml:space="preserve">preparing </w:t>
      </w:r>
      <w:r w:rsidRPr="003F22B2">
        <w:rPr>
          <w:rFonts w:ascii="Arial" w:hAnsi="Arial" w:cs="Arial"/>
          <w:sz w:val="22"/>
          <w:szCs w:val="22"/>
          <w:lang w:eastAsia="en-GB"/>
        </w:rPr>
        <w:lastRenderedPageBreak/>
        <w:t>them to enter the workforce.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Additionally, Marj played a key role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 establishing a unique partnership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program with the local primary school,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working with parents to improve their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literacy, numeracy and computer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skills and also their involvement in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school’s programs. This pre-accredited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program is currently being delivered in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three primary schools.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03BD7E3" w14:textId="77777777" w:rsidR="003F22B2" w:rsidRDefault="003F22B2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029EBBD1" w14:textId="533363F7" w:rsidR="00C54C7A" w:rsidRPr="003F22B2" w:rsidRDefault="00F55D9F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Outstanding Pathways Program – </w:t>
      </w:r>
      <w:r w:rsidR="004D4B1A" w:rsidRPr="003F22B2">
        <w:rPr>
          <w:rFonts w:ascii="Arial" w:hAnsi="Arial" w:cs="Arial"/>
          <w:b/>
          <w:bCs/>
          <w:sz w:val="22"/>
          <w:szCs w:val="22"/>
          <w:lang w:eastAsia="en-GB"/>
        </w:rPr>
        <w:t>Speaking Out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>,</w:t>
      </w:r>
      <w:r w:rsidR="00C54C7A"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Port Melbourne Neighbourhood</w:t>
      </w:r>
      <w:r w:rsidR="00C54C7A" w:rsidRPr="003F22B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Centre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7378C8CE" w14:textId="63A20FD6" w:rsidR="00C54C7A" w:rsidRPr="003F22B2" w:rsidRDefault="004D4B1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Fonts w:ascii="Arial" w:hAnsi="Arial" w:cs="Arial"/>
          <w:sz w:val="22"/>
          <w:szCs w:val="22"/>
          <w:lang w:eastAsia="en-GB"/>
        </w:rPr>
        <w:t>The Voices of the South Side (VoSS)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program targets people who experience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significant disadvantage, such as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homelessness, drug abuse or physical/mental illness, and who live in social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public housing in the City of Port Phillip.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At the core of VoSS is the Speaking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Out course run by Port Melbourne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Neighbourhood Centre; a 10-week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course teaching people public speaking,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advocacy, communication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teamwork skills. Through one-on-one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pathways mentoring, participants learn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how to gain confidence in their own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abilities and to make new connections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within the community. Students are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also referred to counselling services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to help deal with mental health issues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and lifestyle. This practical support, in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combination with a nurturing learning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environment, provides the foundation to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begin the long journey of change. Out of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the 20 participants that have completed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the course, four have been able to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obtain part-time employment and eight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have obtained casual positions.</w:t>
      </w:r>
    </w:p>
    <w:p w14:paraId="02D5EAEC" w14:textId="77777777" w:rsidR="003F22B2" w:rsidRDefault="003F22B2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2B7CADDE" w14:textId="758EE533" w:rsidR="00C54C7A" w:rsidRPr="003F22B2" w:rsidRDefault="00F55D9F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b/>
          <w:sz w:val="22"/>
          <w:szCs w:val="22"/>
          <w:lang w:eastAsia="en-GB"/>
        </w:rPr>
      </w:pPr>
      <w:r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Excellence in Creating Local Solutions –</w:t>
      </w:r>
      <w:r w:rsidR="006B39CC"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D4B1A" w:rsidRPr="003F22B2">
        <w:rPr>
          <w:rFonts w:ascii="Arial" w:hAnsi="Arial" w:cs="Arial"/>
          <w:b/>
          <w:bCs/>
          <w:sz w:val="22"/>
          <w:szCs w:val="22"/>
          <w:lang w:eastAsia="en-GB"/>
        </w:rPr>
        <w:t>BA@Wyndham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>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Wyndham Community and</w:t>
      </w:r>
      <w:r w:rsidR="00C54C7A" w:rsidRPr="003F22B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Education Centre</w:t>
      </w:r>
      <w:r w:rsidR="00C54C7A" w:rsidRPr="003F22B2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3F244118" w14:textId="3BE1FBB7" w:rsidR="00C54C7A" w:rsidRPr="003F22B2" w:rsidRDefault="004D4B1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Fonts w:ascii="Arial" w:hAnsi="Arial" w:cs="Arial"/>
          <w:sz w:val="22"/>
          <w:szCs w:val="22"/>
          <w:lang w:eastAsia="en-GB"/>
        </w:rPr>
        <w:t>The first of its kind, the BA@Wyndham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 xml:space="preserve">program provides </w:t>
      </w:r>
      <w:r w:rsidR="003A4929" w:rsidRPr="003F22B2">
        <w:rPr>
          <w:rFonts w:ascii="Arial" w:hAnsi="Arial" w:cs="Arial"/>
          <w:sz w:val="22"/>
          <w:szCs w:val="22"/>
          <w:lang w:eastAsia="en-GB"/>
        </w:rPr>
        <w:t xml:space="preserve">access </w:t>
      </w:r>
      <w:r w:rsidR="003A4929">
        <w:rPr>
          <w:rFonts w:ascii="Arial" w:hAnsi="Arial" w:cs="Arial"/>
          <w:sz w:val="22"/>
          <w:szCs w:val="22"/>
          <w:lang w:eastAsia="en-GB"/>
        </w:rPr>
        <w:t xml:space="preserve">to </w:t>
      </w:r>
      <w:r w:rsidR="003A4929" w:rsidRPr="003F22B2">
        <w:rPr>
          <w:rFonts w:ascii="Arial" w:hAnsi="Arial" w:cs="Arial"/>
          <w:sz w:val="22"/>
          <w:szCs w:val="22"/>
          <w:lang w:eastAsia="en-GB"/>
        </w:rPr>
        <w:t xml:space="preserve">higher education for people who have previously disengaged from mainstream </w:t>
      </w:r>
      <w:r w:rsidR="003A4929">
        <w:rPr>
          <w:rFonts w:ascii="Arial" w:hAnsi="Arial" w:cs="Arial"/>
          <w:sz w:val="22"/>
          <w:szCs w:val="22"/>
          <w:lang w:eastAsia="en-GB"/>
        </w:rPr>
        <w:t xml:space="preserve">schooling, within the </w:t>
      </w:r>
      <w:r w:rsidR="003A4929" w:rsidRPr="003F22B2">
        <w:rPr>
          <w:rFonts w:ascii="Arial" w:hAnsi="Arial" w:cs="Arial"/>
          <w:sz w:val="22"/>
          <w:szCs w:val="22"/>
          <w:lang w:eastAsia="en-GB"/>
        </w:rPr>
        <w:t xml:space="preserve">safe and supportive environment </w:t>
      </w:r>
      <w:r w:rsidR="003A4929">
        <w:rPr>
          <w:rFonts w:ascii="Arial" w:hAnsi="Arial" w:cs="Arial"/>
          <w:sz w:val="22"/>
          <w:szCs w:val="22"/>
          <w:lang w:eastAsia="en-GB"/>
        </w:rPr>
        <w:t>of</w:t>
      </w:r>
      <w:r w:rsidR="003A4929" w:rsidRPr="003F22B2">
        <w:rPr>
          <w:rFonts w:ascii="Arial" w:hAnsi="Arial" w:cs="Arial"/>
          <w:sz w:val="22"/>
          <w:szCs w:val="22"/>
          <w:lang w:eastAsia="en-GB"/>
        </w:rPr>
        <w:t xml:space="preserve"> a Learn Local organisation</w:t>
      </w:r>
      <w:r w:rsidRPr="003F22B2">
        <w:rPr>
          <w:rFonts w:ascii="Arial" w:hAnsi="Arial" w:cs="Arial"/>
          <w:sz w:val="22"/>
          <w:szCs w:val="22"/>
          <w:lang w:eastAsia="en-GB"/>
        </w:rPr>
        <w:t>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 xml:space="preserve">Launched </w:t>
      </w:r>
      <w:r w:rsidR="00B86438">
        <w:rPr>
          <w:rFonts w:ascii="Arial" w:hAnsi="Arial" w:cs="Arial"/>
          <w:sz w:val="22"/>
          <w:szCs w:val="22"/>
          <w:lang w:eastAsia="en-GB"/>
        </w:rPr>
        <w:t xml:space="preserve">in </w:t>
      </w:r>
      <w:r w:rsidRPr="003F22B2">
        <w:rPr>
          <w:rFonts w:ascii="Arial" w:hAnsi="Arial" w:cs="Arial"/>
          <w:sz w:val="22"/>
          <w:szCs w:val="22"/>
          <w:lang w:eastAsia="en-GB"/>
        </w:rPr>
        <w:t xml:space="preserve">2015, the program is </w:t>
      </w:r>
      <w:r w:rsidR="003A4929">
        <w:rPr>
          <w:rFonts w:ascii="Arial" w:hAnsi="Arial" w:cs="Arial"/>
          <w:sz w:val="22"/>
          <w:szCs w:val="22"/>
          <w:lang w:eastAsia="en-GB"/>
        </w:rPr>
        <w:t>a</w:t>
      </w:r>
      <w:r w:rsidRPr="003F22B2">
        <w:rPr>
          <w:rFonts w:ascii="Arial" w:hAnsi="Arial" w:cs="Arial"/>
          <w:sz w:val="22"/>
          <w:szCs w:val="22"/>
          <w:lang w:eastAsia="en-GB"/>
        </w:rPr>
        <w:t xml:space="preserve"> partnership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between Federation University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Wyndham Community and Education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Centre. It aims to address a trend that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more than one in five young people leave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school early in Wyndham and Hobsons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Bay with Year 12 completion rates almost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2% lower than the state average.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The program provides university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pathways through the Bachelor of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Arts. All 30 students who have entered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the program so far were significantly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disengaged from education and are now the first in their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family to undertake higher education.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 2015, two students received a Dean’s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commendation and one student was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accepted into a Bachelor of International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Studies at Monash University on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strength of her first year in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BA@Wyndham.</w:t>
      </w:r>
    </w:p>
    <w:p w14:paraId="787E4039" w14:textId="77777777" w:rsidR="00C54C7A" w:rsidRPr="003F22B2" w:rsidRDefault="00C54C7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 w:themeFill="background1"/>
        </w:rPr>
      </w:pPr>
    </w:p>
    <w:p w14:paraId="7B80ACE1" w14:textId="05FBDA01" w:rsidR="00C54C7A" w:rsidRPr="003F22B2" w:rsidRDefault="006B5846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b/>
          <w:sz w:val="22"/>
          <w:szCs w:val="22"/>
          <w:lang w:eastAsia="en-GB"/>
        </w:rPr>
      </w:pPr>
      <w:r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AMES Diversity Innovation Award </w:t>
      </w:r>
      <w:r w:rsidR="00140969" w:rsidRPr="003F22B2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 w:themeFill="background1"/>
        </w:rPr>
        <w:t>–</w:t>
      </w:r>
      <w:r w:rsidR="006B39CC" w:rsidRPr="003F22B2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</w:t>
      </w:r>
      <w:r w:rsidR="004D4B1A" w:rsidRPr="003F22B2">
        <w:rPr>
          <w:rFonts w:ascii="Arial" w:hAnsi="Arial" w:cs="Arial"/>
          <w:b/>
          <w:bCs/>
          <w:sz w:val="22"/>
          <w:szCs w:val="22"/>
          <w:lang w:eastAsia="en-GB"/>
        </w:rPr>
        <w:t>CALD Education and</w:t>
      </w:r>
      <w:r w:rsidR="00C54C7A"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bCs/>
          <w:sz w:val="22"/>
          <w:szCs w:val="22"/>
          <w:lang w:eastAsia="en-GB"/>
        </w:rPr>
        <w:t>Employment Pathways</w:t>
      </w:r>
      <w:r w:rsidR="003F22B2" w:rsidRPr="003F22B2">
        <w:rPr>
          <w:rFonts w:ascii="Arial" w:hAnsi="Arial" w:cs="Arial"/>
          <w:b/>
          <w:bCs/>
          <w:sz w:val="22"/>
          <w:szCs w:val="22"/>
          <w:lang w:eastAsia="en-GB"/>
        </w:rPr>
        <w:t>,</w:t>
      </w:r>
      <w:r w:rsidR="00C54C7A" w:rsidRPr="003F22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4D4B1A" w:rsidRPr="003F22B2">
        <w:rPr>
          <w:rFonts w:ascii="Arial" w:hAnsi="Arial" w:cs="Arial"/>
          <w:b/>
          <w:sz w:val="22"/>
          <w:szCs w:val="22"/>
          <w:lang w:eastAsia="en-GB"/>
        </w:rPr>
        <w:t>Ballarat Neighbourhood Centre</w:t>
      </w:r>
    </w:p>
    <w:p w14:paraId="750DAFA6" w14:textId="68BEBDA5" w:rsidR="004D4B1A" w:rsidRPr="003F22B2" w:rsidRDefault="004D4B1A" w:rsidP="00C54C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3F22B2">
        <w:rPr>
          <w:rFonts w:ascii="Arial" w:hAnsi="Arial" w:cs="Arial"/>
          <w:sz w:val="22"/>
          <w:szCs w:val="22"/>
          <w:lang w:eastAsia="en-GB"/>
        </w:rPr>
        <w:t>Ballarat Neighbourhood Centre’s CALD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Education and Employment Pathways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Program (CEEP) aims to enhance social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inclusion, employment and educational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pathways. Over 106 diverse learners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from over 26 countries have been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involved with the project.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Supporting learners to understand their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own strengths and weaknesses, setting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goals and empowering independence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is essential for the success of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program. Activities and resources are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developed with a clear linkage to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overall purpose of the program: to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increase employability of participants.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Core programs include Living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Working in Australia and Make It Work,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 program based around acquiring the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basic skills for job seeking.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The program continues to enable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participants to better navigate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Australian life, increase their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participation in the community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build their capacity as individuals and</w:t>
      </w:r>
      <w:r w:rsidR="00C54C7A" w:rsidRPr="003F22B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F22B2">
        <w:rPr>
          <w:rFonts w:ascii="Arial" w:hAnsi="Arial" w:cs="Arial"/>
          <w:sz w:val="22"/>
          <w:szCs w:val="22"/>
          <w:lang w:eastAsia="en-GB"/>
        </w:rPr>
        <w:t>members of the wider society</w:t>
      </w:r>
    </w:p>
    <w:p w14:paraId="29F0CB4D" w14:textId="77777777" w:rsidR="004A1570" w:rsidRPr="003F22B2" w:rsidRDefault="004A1570" w:rsidP="004A1570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14:paraId="4D251908" w14:textId="77777777" w:rsidR="00F55D9F" w:rsidRPr="003F22B2" w:rsidRDefault="00F55D9F" w:rsidP="004A1570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b/>
          <w:sz w:val="22"/>
          <w:szCs w:val="22"/>
        </w:rPr>
      </w:pPr>
      <w:r w:rsidRPr="003F22B2">
        <w:rPr>
          <w:rFonts w:ascii="Arial" w:hAnsi="Arial" w:cs="Arial"/>
          <w:b/>
          <w:sz w:val="22"/>
          <w:szCs w:val="22"/>
        </w:rPr>
        <w:t>Learn Local Legends:</w:t>
      </w:r>
    </w:p>
    <w:tbl>
      <w:tblPr>
        <w:tblW w:w="9792" w:type="dxa"/>
        <w:tblInd w:w="-186" w:type="dxa"/>
        <w:tblLook w:val="04A0" w:firstRow="1" w:lastRow="0" w:firstColumn="1" w:lastColumn="0" w:noHBand="0" w:noVBand="1"/>
      </w:tblPr>
      <w:tblGrid>
        <w:gridCol w:w="9792"/>
      </w:tblGrid>
      <w:tr w:rsidR="003F22B2" w:rsidRPr="003A4929" w14:paraId="234ADAEC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233E2CD6" w14:textId="5DA6121D" w:rsidR="00140969" w:rsidRPr="003A4929" w:rsidRDefault="00113F3C" w:rsidP="00113F3C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Barwon South Western 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Bellarine Living and Learning Centre</w:t>
            </w:r>
          </w:p>
        </w:tc>
      </w:tr>
      <w:tr w:rsidR="003F22B2" w:rsidRPr="003A4929" w14:paraId="3D4C7A57" w14:textId="77777777" w:rsidTr="002A7D1E">
        <w:trPr>
          <w:trHeight w:val="300"/>
        </w:trPr>
        <w:tc>
          <w:tcPr>
            <w:tcW w:w="9792" w:type="dxa"/>
            <w:shd w:val="clear" w:color="000000" w:fill="FFFFFF"/>
            <w:noWrap/>
            <w:vAlign w:val="bottom"/>
            <w:hideMark/>
          </w:tcPr>
          <w:p w14:paraId="09BD46A9" w14:textId="5AAC1DB7" w:rsidR="00140969" w:rsidRPr="003A4929" w:rsidRDefault="00113F3C" w:rsidP="002A7D1E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Eastern </w:t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>Metropolitan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 Regional Council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3A4929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Vermont South Community House</w:t>
            </w:r>
          </w:p>
        </w:tc>
      </w:tr>
      <w:tr w:rsidR="003F22B2" w:rsidRPr="003A4929" w14:paraId="689A24FB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39FE373E" w14:textId="60239E95" w:rsidR="00140969" w:rsidRPr="003A4929" w:rsidRDefault="00113F3C" w:rsidP="00113F3C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Gippsland 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Gippsland Employment Skills Training</w:t>
            </w:r>
          </w:p>
        </w:tc>
      </w:tr>
      <w:tr w:rsidR="003F22B2" w:rsidRPr="003A4929" w14:paraId="4602DBB1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7C899AC1" w14:textId="2CEC3FE4" w:rsidR="00140969" w:rsidRPr="003A4929" w:rsidRDefault="00113F3C" w:rsidP="00113F3C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Grampians 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Nhill Learning Centre</w:t>
            </w:r>
          </w:p>
        </w:tc>
      </w:tr>
      <w:tr w:rsidR="003F22B2" w:rsidRPr="003A4929" w14:paraId="4C056D4C" w14:textId="77777777" w:rsidTr="002A7D1E">
        <w:trPr>
          <w:trHeight w:val="300"/>
        </w:trPr>
        <w:tc>
          <w:tcPr>
            <w:tcW w:w="9792" w:type="dxa"/>
            <w:shd w:val="clear" w:color="000000" w:fill="FFFFFF"/>
            <w:noWrap/>
            <w:vAlign w:val="bottom"/>
            <w:hideMark/>
          </w:tcPr>
          <w:p w14:paraId="76B2FF9F" w14:textId="10791F73" w:rsidR="00140969" w:rsidRPr="003A4929" w:rsidRDefault="00113F3C" w:rsidP="00113F3C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Hume 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Myrtleford Neighbourhood Centre</w:t>
            </w:r>
          </w:p>
        </w:tc>
      </w:tr>
      <w:tr w:rsidR="003F22B2" w:rsidRPr="003A4929" w14:paraId="12C0F3EA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073EE417" w14:textId="128021DD" w:rsidR="00140969" w:rsidRPr="003A4929" w:rsidRDefault="00113F3C" w:rsidP="004A1570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Loddon Mallee 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2A7D1E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Macedon Ranges Further Education</w:t>
            </w:r>
            <w:r w:rsidR="00FC4A82">
              <w:rPr>
                <w:rFonts w:ascii="Arial" w:hAnsi="Arial" w:cs="Arial"/>
                <w:sz w:val="21"/>
                <w:szCs w:val="21"/>
                <w:lang w:eastAsia="en-GB"/>
              </w:rPr>
              <w:t xml:space="preserve"> Centre</w:t>
            </w:r>
          </w:p>
        </w:tc>
      </w:tr>
      <w:tr w:rsidR="003F22B2" w:rsidRPr="003A4929" w14:paraId="0EFB48C1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0F5A1C45" w14:textId="17FCD3AB" w:rsidR="00140969" w:rsidRPr="003A4929" w:rsidRDefault="002A7D1E" w:rsidP="004A1570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North Western Metropolitan </w:t>
            </w:r>
            <w:r w:rsidR="00113F3C" w:rsidRPr="003A4929">
              <w:rPr>
                <w:rFonts w:ascii="Arial" w:hAnsi="Arial" w:cs="Arial"/>
                <w:bCs/>
                <w:sz w:val="21"/>
                <w:szCs w:val="21"/>
              </w:rPr>
              <w:t xml:space="preserve">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3A4929"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Djerriwarrh Community and Education Services</w:t>
            </w:r>
          </w:p>
        </w:tc>
      </w:tr>
      <w:tr w:rsidR="003F22B2" w:rsidRPr="003A4929" w14:paraId="25E28272" w14:textId="77777777" w:rsidTr="002A7D1E">
        <w:trPr>
          <w:trHeight w:val="300"/>
        </w:trPr>
        <w:tc>
          <w:tcPr>
            <w:tcW w:w="9792" w:type="dxa"/>
            <w:shd w:val="clear" w:color="auto" w:fill="auto"/>
            <w:noWrap/>
            <w:vAlign w:val="bottom"/>
            <w:hideMark/>
          </w:tcPr>
          <w:p w14:paraId="5922C4BE" w14:textId="4EAC616B" w:rsidR="00140969" w:rsidRPr="003A4929" w:rsidRDefault="002A7D1E" w:rsidP="004A1570">
            <w:pPr>
              <w:overflowPunct/>
              <w:autoSpaceDE/>
              <w:autoSpaceDN/>
              <w:adjustRightInd/>
              <w:ind w:left="-98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3A4929">
              <w:rPr>
                <w:rFonts w:ascii="Arial" w:hAnsi="Arial" w:cs="Arial"/>
                <w:bCs/>
                <w:sz w:val="21"/>
                <w:szCs w:val="21"/>
              </w:rPr>
              <w:t xml:space="preserve">Southern Metropolitan </w:t>
            </w:r>
            <w:r w:rsidR="00113F3C" w:rsidRPr="003A4929">
              <w:rPr>
                <w:rFonts w:ascii="Arial" w:hAnsi="Arial" w:cs="Arial"/>
                <w:bCs/>
                <w:sz w:val="21"/>
                <w:szCs w:val="21"/>
              </w:rPr>
              <w:t xml:space="preserve">Regional Council </w:t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3A4929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4D4B1A" w:rsidRPr="003A4929">
              <w:rPr>
                <w:rFonts w:ascii="Arial" w:hAnsi="Arial" w:cs="Arial"/>
                <w:sz w:val="21"/>
                <w:szCs w:val="21"/>
                <w:lang w:eastAsia="en-GB"/>
              </w:rPr>
              <w:t>Glen Eira Adult Learning Centre</w:t>
            </w:r>
          </w:p>
        </w:tc>
      </w:tr>
    </w:tbl>
    <w:p w14:paraId="7DB30595" w14:textId="77777777" w:rsidR="007B548B" w:rsidRPr="003F22B2" w:rsidRDefault="007B548B" w:rsidP="004A1570">
      <w:pPr>
        <w:ind w:left="-284"/>
        <w:rPr>
          <w:rFonts w:ascii="Arial" w:hAnsi="Arial" w:cs="Arial"/>
          <w:sz w:val="22"/>
          <w:szCs w:val="22"/>
        </w:rPr>
      </w:pPr>
    </w:p>
    <w:p w14:paraId="4E8709F4" w14:textId="6C91B66A" w:rsidR="000C6148" w:rsidRPr="003F22B2" w:rsidRDefault="00140969" w:rsidP="004A1570">
      <w:pPr>
        <w:ind w:left="-284"/>
        <w:rPr>
          <w:rFonts w:ascii="Arial" w:hAnsi="Arial" w:cs="Arial"/>
          <w:sz w:val="22"/>
          <w:szCs w:val="22"/>
        </w:rPr>
      </w:pPr>
      <w:r w:rsidRPr="003F22B2">
        <w:rPr>
          <w:rFonts w:ascii="Arial" w:hAnsi="Arial" w:cs="Arial"/>
          <w:sz w:val="22"/>
          <w:szCs w:val="22"/>
        </w:rPr>
        <w:t>Congratulations to all of this year’s winners!</w:t>
      </w:r>
    </w:p>
    <w:sectPr w:rsidR="000C6148" w:rsidRPr="003F22B2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CA5C" w14:textId="77777777" w:rsidR="002633D6" w:rsidRDefault="002633D6" w:rsidP="00846881">
      <w:r>
        <w:separator/>
      </w:r>
    </w:p>
  </w:endnote>
  <w:endnote w:type="continuationSeparator" w:id="0">
    <w:p w14:paraId="51C52D79" w14:textId="77777777" w:rsidR="002633D6" w:rsidRDefault="002633D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2E9B" w14:textId="77777777" w:rsidR="00113F3C" w:rsidRPr="009D5D01" w:rsidRDefault="00113F3C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7181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7A8D935" w14:textId="77777777" w:rsidR="00113F3C" w:rsidRDefault="0011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B6E1" w14:textId="77777777" w:rsidR="002633D6" w:rsidRDefault="002633D6" w:rsidP="00846881">
      <w:r>
        <w:separator/>
      </w:r>
    </w:p>
  </w:footnote>
  <w:footnote w:type="continuationSeparator" w:id="0">
    <w:p w14:paraId="5FBA5345" w14:textId="77777777" w:rsidR="002633D6" w:rsidRDefault="002633D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38A4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F1555"/>
    <w:multiLevelType w:val="hybridMultilevel"/>
    <w:tmpl w:val="3812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793A"/>
    <w:multiLevelType w:val="hybridMultilevel"/>
    <w:tmpl w:val="E8C69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84C25"/>
    <w:rsid w:val="000901F6"/>
    <w:rsid w:val="000A28AF"/>
    <w:rsid w:val="000C3753"/>
    <w:rsid w:val="000C6148"/>
    <w:rsid w:val="000C782C"/>
    <w:rsid w:val="00105130"/>
    <w:rsid w:val="001079BD"/>
    <w:rsid w:val="00113F3C"/>
    <w:rsid w:val="001214D4"/>
    <w:rsid w:val="00125617"/>
    <w:rsid w:val="00140969"/>
    <w:rsid w:val="001411A4"/>
    <w:rsid w:val="001664F8"/>
    <w:rsid w:val="00181F47"/>
    <w:rsid w:val="001C0117"/>
    <w:rsid w:val="001C4930"/>
    <w:rsid w:val="001D136C"/>
    <w:rsid w:val="001D2F77"/>
    <w:rsid w:val="001E2BA0"/>
    <w:rsid w:val="00206E94"/>
    <w:rsid w:val="00213CB1"/>
    <w:rsid w:val="002340FB"/>
    <w:rsid w:val="00234DCA"/>
    <w:rsid w:val="00241DCD"/>
    <w:rsid w:val="002633D6"/>
    <w:rsid w:val="00264866"/>
    <w:rsid w:val="002831C1"/>
    <w:rsid w:val="00284B19"/>
    <w:rsid w:val="002A24E2"/>
    <w:rsid w:val="002A7D1E"/>
    <w:rsid w:val="00312BEB"/>
    <w:rsid w:val="00340366"/>
    <w:rsid w:val="00352C50"/>
    <w:rsid w:val="00384947"/>
    <w:rsid w:val="003A3934"/>
    <w:rsid w:val="003A4929"/>
    <w:rsid w:val="003B7B63"/>
    <w:rsid w:val="003D454C"/>
    <w:rsid w:val="003F0B63"/>
    <w:rsid w:val="003F22B2"/>
    <w:rsid w:val="003F3D59"/>
    <w:rsid w:val="003F640F"/>
    <w:rsid w:val="004304A3"/>
    <w:rsid w:val="00453CAD"/>
    <w:rsid w:val="004604A8"/>
    <w:rsid w:val="0048144F"/>
    <w:rsid w:val="004A1570"/>
    <w:rsid w:val="004B182C"/>
    <w:rsid w:val="004C32C0"/>
    <w:rsid w:val="004C7772"/>
    <w:rsid w:val="004D4B1A"/>
    <w:rsid w:val="004E42D2"/>
    <w:rsid w:val="004F0D0F"/>
    <w:rsid w:val="00505EC2"/>
    <w:rsid w:val="00506F42"/>
    <w:rsid w:val="00514906"/>
    <w:rsid w:val="00540C9F"/>
    <w:rsid w:val="005543E8"/>
    <w:rsid w:val="00580A07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479F"/>
    <w:rsid w:val="00651785"/>
    <w:rsid w:val="00666B07"/>
    <w:rsid w:val="00687039"/>
    <w:rsid w:val="006935A8"/>
    <w:rsid w:val="00696854"/>
    <w:rsid w:val="006A1696"/>
    <w:rsid w:val="006A5387"/>
    <w:rsid w:val="006B39CC"/>
    <w:rsid w:val="006B5846"/>
    <w:rsid w:val="006D4561"/>
    <w:rsid w:val="006E528F"/>
    <w:rsid w:val="00717852"/>
    <w:rsid w:val="007602BC"/>
    <w:rsid w:val="0076398D"/>
    <w:rsid w:val="00764A0A"/>
    <w:rsid w:val="00770AF9"/>
    <w:rsid w:val="007716FE"/>
    <w:rsid w:val="00772628"/>
    <w:rsid w:val="00785C3C"/>
    <w:rsid w:val="00790C20"/>
    <w:rsid w:val="007951E1"/>
    <w:rsid w:val="007968EE"/>
    <w:rsid w:val="007A3F91"/>
    <w:rsid w:val="007B548B"/>
    <w:rsid w:val="007E59F5"/>
    <w:rsid w:val="00813D34"/>
    <w:rsid w:val="00846881"/>
    <w:rsid w:val="00864538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3769A"/>
    <w:rsid w:val="00965E53"/>
    <w:rsid w:val="009706F1"/>
    <w:rsid w:val="00971819"/>
    <w:rsid w:val="009843BA"/>
    <w:rsid w:val="009910B2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33E4F"/>
    <w:rsid w:val="00B41E45"/>
    <w:rsid w:val="00B5136F"/>
    <w:rsid w:val="00B632F5"/>
    <w:rsid w:val="00B82E94"/>
    <w:rsid w:val="00B86438"/>
    <w:rsid w:val="00C151BB"/>
    <w:rsid w:val="00C373FC"/>
    <w:rsid w:val="00C54C7A"/>
    <w:rsid w:val="00C75A39"/>
    <w:rsid w:val="00C83B90"/>
    <w:rsid w:val="00CA0D2E"/>
    <w:rsid w:val="00CA2AC4"/>
    <w:rsid w:val="00CB16A1"/>
    <w:rsid w:val="00CD0632"/>
    <w:rsid w:val="00CE69B8"/>
    <w:rsid w:val="00CF6891"/>
    <w:rsid w:val="00D33418"/>
    <w:rsid w:val="00D53A53"/>
    <w:rsid w:val="00D650B8"/>
    <w:rsid w:val="00DA7396"/>
    <w:rsid w:val="00DD6095"/>
    <w:rsid w:val="00DD6855"/>
    <w:rsid w:val="00E320A4"/>
    <w:rsid w:val="00E740A8"/>
    <w:rsid w:val="00E91E6B"/>
    <w:rsid w:val="00EE4BD9"/>
    <w:rsid w:val="00EE5B03"/>
    <w:rsid w:val="00EE5E95"/>
    <w:rsid w:val="00F11CAC"/>
    <w:rsid w:val="00F17667"/>
    <w:rsid w:val="00F24B4E"/>
    <w:rsid w:val="00F30F82"/>
    <w:rsid w:val="00F343D3"/>
    <w:rsid w:val="00F55D9F"/>
    <w:rsid w:val="00F8781E"/>
    <w:rsid w:val="00FC4A82"/>
    <w:rsid w:val="00FC6923"/>
    <w:rsid w:val="00FD0A5D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7C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F55D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F55D9F"/>
    <w:rPr>
      <w:b/>
      <w:bCs/>
    </w:rPr>
  </w:style>
  <w:style w:type="paragraph" w:styleId="Title">
    <w:name w:val="Title"/>
    <w:basedOn w:val="Normal"/>
    <w:next w:val="Normal"/>
    <w:link w:val="TitleChar"/>
    <w:qFormat/>
    <w:rsid w:val="0011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F55D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F55D9F"/>
    <w:rPr>
      <w:b/>
      <w:bCs/>
    </w:rPr>
  </w:style>
  <w:style w:type="paragraph" w:styleId="Title">
    <w:name w:val="Title"/>
    <w:basedOn w:val="Normal"/>
    <w:next w:val="Normal"/>
    <w:link w:val="TitleChar"/>
    <w:qFormat/>
    <w:rsid w:val="0011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mier.vic.gov.au/2016-learn-local-awards-winners-announced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8A685-5268-4755-96FF-D0C47DA22E0E}"/>
</file>

<file path=customXml/itemProps2.xml><?xml version="1.0" encoding="utf-8"?>
<ds:datastoreItem xmlns:ds="http://schemas.openxmlformats.org/officeDocument/2006/customXml" ds:itemID="{8ECFF0AA-355F-4987-8D13-084C73C28714}"/>
</file>

<file path=customXml/itemProps3.xml><?xml version="1.0" encoding="utf-8"?>
<ds:datastoreItem xmlns:ds="http://schemas.openxmlformats.org/officeDocument/2006/customXml" ds:itemID="{05CC130C-BA64-488B-932C-10C2CA3DC629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08306670</dc:creator>
  <cp:lastModifiedBy>Masters, Mary M</cp:lastModifiedBy>
  <cp:revision>3</cp:revision>
  <cp:lastPrinted>2016-09-08T23:23:00Z</cp:lastPrinted>
  <dcterms:created xsi:type="dcterms:W3CDTF">2016-09-09T01:38:00Z</dcterms:created>
  <dcterms:modified xsi:type="dcterms:W3CDTF">2016-09-09T02:45:00Z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2010700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  <property fmtid="{D5CDD505-2E9C-101B-9397-08002B2CF9AE}" pid="12" name="DET_EDRMS_RCS">
    <vt:lpwstr>20;#1.2.2 Project Documentation|a3ce4c3c-7960-4756-834e-8cbbf9028802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{b731327e-dde1-4362-ab85-4b03d633e5ee}</vt:lpwstr>
  </property>
  <property fmtid="{D5CDD505-2E9C-101B-9397-08002B2CF9AE}" pid="19" name="RecordPoint_ActiveItemUniqueId">
    <vt:lpwstr>{9bb0e582-4d7c-4f67-9db6-9fdc9ec73630}</vt:lpwstr>
  </property>
  <property fmtid="{D5CDD505-2E9C-101B-9397-08002B2CF9AE}" pid="20" name="RecordPoint_RecordNumberSubmitted">
    <vt:lpwstr>R0000448149</vt:lpwstr>
  </property>
  <property fmtid="{D5CDD505-2E9C-101B-9397-08002B2CF9AE}" pid="21" name="RecordPoint_SubmissionCompleted">
    <vt:lpwstr>2016-09-05T17:11:59.5337838+10:00</vt:lpwstr>
  </property>
</Properties>
</file>