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4EAFC895" w14:textId="77777777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FC894" w14:textId="77777777"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EAFC8BE" wp14:editId="4EAFC8BF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AFC8C6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4EAFC8C7" w14:textId="77777777"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EAFC8C8" w14:textId="77777777"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AFC8C9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AFC8CA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4EAFC8CB" w14:textId="77777777"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4EAFC896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EAFC897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EAFC89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EAFC899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EAFC89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EAFC89B" w14:textId="77777777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1C4834">
        <w:rPr>
          <w:rFonts w:ascii="Arial" w:hAnsi="Arial"/>
          <w:i/>
          <w:color w:val="000000"/>
          <w:sz w:val="22"/>
          <w:szCs w:val="24"/>
          <w:lang w:val="en-GB" w:eastAsia="en-US"/>
        </w:rPr>
        <w:t>6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1C4834">
        <w:rPr>
          <w:rFonts w:ascii="Arial" w:hAnsi="Arial"/>
          <w:i/>
          <w:color w:val="000000"/>
          <w:sz w:val="22"/>
          <w:szCs w:val="24"/>
          <w:lang w:val="en-GB" w:eastAsia="en-US"/>
        </w:rPr>
        <w:t>June</w:t>
      </w:r>
      <w:r w:rsidR="002B15E5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9551AF">
        <w:rPr>
          <w:rFonts w:ascii="Arial" w:hAnsi="Arial"/>
          <w:i/>
          <w:color w:val="000000"/>
          <w:sz w:val="22"/>
          <w:szCs w:val="24"/>
          <w:lang w:val="en-GB" w:eastAsia="en-US"/>
        </w:rPr>
        <w:t>/</w:t>
      </w:r>
      <w:r w:rsidR="001C4834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9551AF">
        <w:rPr>
          <w:rFonts w:ascii="Arial" w:hAnsi="Arial"/>
          <w:i/>
          <w:color w:val="000000"/>
          <w:sz w:val="22"/>
          <w:szCs w:val="24"/>
          <w:lang w:val="en-GB" w:eastAsia="en-US"/>
        </w:rPr>
        <w:t>20</w:t>
      </w:r>
    </w:p>
    <w:p w14:paraId="4EAFC89C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4EAFC8A2" w14:textId="77777777" w:rsidTr="006834B9">
        <w:tc>
          <w:tcPr>
            <w:tcW w:w="3119" w:type="dxa"/>
            <w:shd w:val="clear" w:color="auto" w:fill="auto"/>
          </w:tcPr>
          <w:p w14:paraId="4EAFC89D" w14:textId="77777777"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4EAFC89E" w14:textId="77777777" w:rsidR="009D5D01" w:rsidRPr="006F3F2F" w:rsidRDefault="009D5D01" w:rsidP="002B7B17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4EAFC89F" w14:textId="77777777"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14:paraId="4EAFC8A0" w14:textId="77777777"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4EAFC8A1" w14:textId="77777777"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14:paraId="4EAFC8A7" w14:textId="77777777" w:rsidTr="00037116">
        <w:trPr>
          <w:trHeight w:val="426"/>
        </w:trPr>
        <w:tc>
          <w:tcPr>
            <w:tcW w:w="3119" w:type="dxa"/>
            <w:shd w:val="clear" w:color="auto" w:fill="auto"/>
          </w:tcPr>
          <w:p w14:paraId="4EAFC8A3" w14:textId="77777777"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4EAFC8A4" w14:textId="77777777"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14:paraId="4EAFC8A5" w14:textId="77777777"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14:paraId="4EAFC8A6" w14:textId="77777777"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4EAFC8A8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4EAFC8A9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Ryan Collins, D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irector, Participation Branch</w:t>
      </w:r>
    </w:p>
    <w:p w14:paraId="4EAFC8AA" w14:textId="77777777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1C4834">
        <w:rPr>
          <w:rFonts w:ascii="Arial" w:hAnsi="Arial"/>
          <w:color w:val="000000"/>
          <w:sz w:val="22"/>
          <w:lang w:val="en-GB" w:eastAsia="en-US"/>
        </w:rPr>
        <w:t>20</w:t>
      </w:r>
      <w:r w:rsidR="009551AF">
        <w:rPr>
          <w:rFonts w:ascii="Arial" w:hAnsi="Arial"/>
          <w:color w:val="000000"/>
          <w:sz w:val="22"/>
          <w:lang w:val="en-GB" w:eastAsia="en-US"/>
        </w:rPr>
        <w:t>/</w:t>
      </w:r>
      <w:r w:rsidR="001C4834">
        <w:rPr>
          <w:rFonts w:ascii="Arial" w:hAnsi="Arial"/>
          <w:color w:val="000000"/>
          <w:sz w:val="22"/>
          <w:lang w:val="en-GB" w:eastAsia="en-US"/>
        </w:rPr>
        <w:t>0</w:t>
      </w:r>
      <w:r w:rsidR="009551AF">
        <w:rPr>
          <w:rFonts w:ascii="Arial" w:hAnsi="Arial"/>
          <w:color w:val="000000"/>
          <w:sz w:val="22"/>
          <w:lang w:val="en-GB" w:eastAsia="en-US"/>
        </w:rPr>
        <w:t>6</w:t>
      </w:r>
      <w:r w:rsidR="001C4834">
        <w:rPr>
          <w:rFonts w:ascii="Arial" w:hAnsi="Arial"/>
          <w:color w:val="000000"/>
          <w:sz w:val="22"/>
          <w:lang w:val="en-GB" w:eastAsia="en-US"/>
        </w:rPr>
        <w:t>/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>2016</w:t>
      </w:r>
    </w:p>
    <w:p w14:paraId="4EAFC8AB" w14:textId="77777777" w:rsidR="009D5D01" w:rsidRPr="00B572C9" w:rsidRDefault="009D5D01" w:rsidP="00B572C9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jc w:val="both"/>
        <w:rPr>
          <w:rFonts w:ascii="Arial" w:hAnsi="Arial"/>
          <w:b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8A3609">
        <w:rPr>
          <w:rFonts w:ascii="Arial" w:hAnsi="Arial"/>
          <w:b/>
          <w:color w:val="000000"/>
          <w:sz w:val="22"/>
          <w:lang w:val="en-GB" w:eastAsia="en-US"/>
        </w:rPr>
        <w:t>Pre-accredited training under the jobactive program</w:t>
      </w:r>
    </w:p>
    <w:p w14:paraId="4EAFC8AC" w14:textId="77777777"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14:paraId="4EAFC8AD" w14:textId="77777777" w:rsidR="009D5D01" w:rsidRDefault="009D5D01" w:rsidP="0064438C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4EAFC8AE" w14:textId="0C1DC4B1" w:rsidR="0029046F" w:rsidRPr="009525CB" w:rsidRDefault="009525CB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4233F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Under changes to the Commonwealth jobactive program,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="004233F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 new Employment Fund category named ‘Targeted Pre-Employment Preparation</w:t>
      </w:r>
      <w:r w:rsidR="00F32E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’ has been introduced in order to improve job seekers’ employability and foundation skills. </w:t>
      </w:r>
      <w:r w:rsidR="0003711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Jobactive providers are required to develop and submit courses under this category to the Commonwealth Department of </w:t>
      </w:r>
      <w:r w:rsidR="006E50B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Employment</w:t>
      </w:r>
      <w:bookmarkStart w:id="0" w:name="_GoBack"/>
      <w:bookmarkEnd w:id="0"/>
      <w:r w:rsidR="0003711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for approval. This training can be non-accredited. </w:t>
      </w:r>
    </w:p>
    <w:p w14:paraId="4EAFC8AF" w14:textId="77777777" w:rsidR="009525CB" w:rsidRDefault="009525CB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4EAFC8B0" w14:textId="77777777" w:rsidR="00B775D4" w:rsidRDefault="00AF6943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Department of Education and Training has successfully sought Commonwealth </w:t>
      </w:r>
      <w:r w:rsidR="0022742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authorisation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for Victorian jobactive provider</w:t>
      </w:r>
      <w:r w:rsidR="000072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 to</w:t>
      </w:r>
      <w:r w:rsidR="00764B1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use pre-accredited training delivered by Learn Local providers for co</w:t>
      </w:r>
      <w:r w:rsidR="004233F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urses under this new category, subject to departmental approval. </w:t>
      </w:r>
    </w:p>
    <w:p w14:paraId="4EAFC8B1" w14:textId="77777777" w:rsidR="00B775D4" w:rsidRDefault="00B775D4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4EAFC8B2" w14:textId="77777777" w:rsidR="0029046F" w:rsidRDefault="00764B1E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Jobactive providers can</w:t>
      </w:r>
      <w:r w:rsidR="000072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submit the Learn Local A-frame cours</w:t>
      </w:r>
      <w:r w:rsidR="00143A2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e plan document whilst seeking d</w:t>
      </w:r>
      <w:r w:rsidR="000072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epartmental approval </w:t>
      </w:r>
      <w:r w:rsidR="002C481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for Targeted Pre-</w:t>
      </w:r>
      <w:r w:rsidR="0090275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Employment Preparation courses, with the following additional information</w:t>
      </w:r>
      <w:r w:rsidR="00B775D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required separately </w:t>
      </w:r>
      <w:r w:rsidR="002C481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in their Targeted Pre-employment Preparation training proposals: </w:t>
      </w:r>
    </w:p>
    <w:p w14:paraId="4EAFC8B3" w14:textId="77777777" w:rsidR="00C349BD" w:rsidRDefault="00C349B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4EAFC8B4" w14:textId="77777777" w:rsidR="00C349BD" w:rsidRDefault="005116CF" w:rsidP="004233F9">
      <w:pPr>
        <w:pStyle w:val="ListParagraph"/>
        <w:numPr>
          <w:ilvl w:val="0"/>
          <w:numId w:val="14"/>
        </w:numPr>
        <w:tabs>
          <w:tab w:val="left" w:pos="142"/>
          <w:tab w:val="left" w:pos="1080"/>
        </w:tabs>
        <w:spacing w:line="240" w:lineRule="auto"/>
        <w:ind w:left="426" w:right="397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The</w:t>
      </w:r>
      <w:r w:rsidR="00C349BD">
        <w:rPr>
          <w:rFonts w:ascii="Arial" w:hAnsi="Arial" w:cs="Arial"/>
          <w:bCs/>
          <w:color w:val="000000"/>
          <w:lang w:val="en-GB"/>
        </w:rPr>
        <w:t xml:space="preserve"> course cost </w:t>
      </w:r>
      <w:r w:rsidR="00E879EC">
        <w:rPr>
          <w:rFonts w:ascii="Arial" w:hAnsi="Arial" w:cs="Arial"/>
          <w:bCs/>
          <w:color w:val="000000"/>
          <w:lang w:val="en-GB"/>
        </w:rPr>
        <w:t xml:space="preserve">– </w:t>
      </w:r>
      <w:r w:rsidR="007A0E5B">
        <w:rPr>
          <w:rFonts w:ascii="Arial" w:hAnsi="Arial" w:cs="Arial"/>
          <w:bCs/>
          <w:color w:val="000000"/>
          <w:lang w:val="en-GB"/>
        </w:rPr>
        <w:t xml:space="preserve">it is expected that </w:t>
      </w:r>
      <w:r w:rsidR="00E879EC">
        <w:rPr>
          <w:rFonts w:ascii="Arial" w:hAnsi="Arial" w:cs="Arial"/>
          <w:bCs/>
          <w:color w:val="000000"/>
          <w:lang w:val="en-GB"/>
        </w:rPr>
        <w:t xml:space="preserve">Learn Local training providers </w:t>
      </w:r>
      <w:r w:rsidR="007A0E5B">
        <w:rPr>
          <w:rFonts w:ascii="Arial" w:hAnsi="Arial" w:cs="Arial"/>
          <w:bCs/>
          <w:color w:val="000000"/>
          <w:lang w:val="en-GB"/>
        </w:rPr>
        <w:t>will</w:t>
      </w:r>
      <w:r w:rsidR="00E879EC">
        <w:rPr>
          <w:rFonts w:ascii="Arial" w:hAnsi="Arial" w:cs="Arial"/>
          <w:bCs/>
          <w:color w:val="000000"/>
          <w:lang w:val="en-GB"/>
        </w:rPr>
        <w:t xml:space="preserve"> charge </w:t>
      </w:r>
      <w:r w:rsidR="007A0E5B">
        <w:rPr>
          <w:rFonts w:ascii="Arial" w:hAnsi="Arial" w:cs="Arial"/>
          <w:bCs/>
          <w:color w:val="000000"/>
          <w:lang w:val="en-GB"/>
        </w:rPr>
        <w:t>no more than</w:t>
      </w:r>
      <w:r w:rsidR="00E879EC">
        <w:rPr>
          <w:rFonts w:ascii="Arial" w:hAnsi="Arial" w:cs="Arial"/>
          <w:bCs/>
          <w:color w:val="000000"/>
          <w:lang w:val="en-GB"/>
        </w:rPr>
        <w:t xml:space="preserve"> $1.08 per SCH, plus materials for these courses. The funding that providers can claim is capped at $300 (GST exclusive) for Stream B job seekers, and at $500 (GST exclusive) for Stream C job seekers; and</w:t>
      </w:r>
    </w:p>
    <w:p w14:paraId="4EAFC8B5" w14:textId="77777777" w:rsidR="00E879EC" w:rsidRDefault="00E879EC" w:rsidP="00E879EC">
      <w:pPr>
        <w:pStyle w:val="ListParagraph"/>
        <w:tabs>
          <w:tab w:val="left" w:pos="0"/>
          <w:tab w:val="left" w:pos="1080"/>
        </w:tabs>
        <w:ind w:left="76" w:right="397"/>
        <w:rPr>
          <w:rFonts w:ascii="Arial" w:hAnsi="Arial" w:cs="Arial"/>
          <w:bCs/>
          <w:color w:val="000000"/>
          <w:lang w:val="en-GB"/>
        </w:rPr>
      </w:pPr>
    </w:p>
    <w:p w14:paraId="4EAFC8B6" w14:textId="77777777" w:rsidR="0064438C" w:rsidRPr="0064438C" w:rsidRDefault="00143A2E" w:rsidP="004233F9">
      <w:pPr>
        <w:pStyle w:val="ListParagraph"/>
        <w:numPr>
          <w:ilvl w:val="0"/>
          <w:numId w:val="14"/>
        </w:numPr>
        <w:tabs>
          <w:tab w:val="left" w:pos="426"/>
          <w:tab w:val="left" w:pos="1080"/>
        </w:tabs>
        <w:spacing w:line="240" w:lineRule="auto"/>
        <w:ind w:left="426" w:right="397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D</w:t>
      </w:r>
      <w:r w:rsidR="00E879EC">
        <w:rPr>
          <w:rFonts w:ascii="Arial" w:hAnsi="Arial" w:cs="Arial"/>
          <w:bCs/>
          <w:color w:val="000000"/>
          <w:lang w:val="en-GB"/>
        </w:rPr>
        <w:t xml:space="preserve">etail regarding how the training will help job seekers prepare for employment and meet the requirements of employers – </w:t>
      </w:r>
      <w:r w:rsidR="005116CF">
        <w:rPr>
          <w:rFonts w:ascii="Arial" w:hAnsi="Arial" w:cs="Arial"/>
          <w:bCs/>
          <w:color w:val="000000"/>
          <w:lang w:val="en-GB"/>
        </w:rPr>
        <w:t>this</w:t>
      </w:r>
      <w:r>
        <w:rPr>
          <w:rFonts w:ascii="Arial" w:hAnsi="Arial" w:cs="Arial"/>
          <w:bCs/>
          <w:color w:val="000000"/>
          <w:lang w:val="en-GB"/>
        </w:rPr>
        <w:t xml:space="preserve"> specific</w:t>
      </w:r>
      <w:r w:rsidR="005116CF">
        <w:rPr>
          <w:rFonts w:ascii="Arial" w:hAnsi="Arial" w:cs="Arial"/>
          <w:bCs/>
          <w:color w:val="000000"/>
          <w:lang w:val="en-GB"/>
        </w:rPr>
        <w:t xml:space="preserve"> requirement of Targeted Pre-employment Preparation training is not addressed in the</w:t>
      </w:r>
      <w:r w:rsidR="00E879EC">
        <w:rPr>
          <w:rFonts w:ascii="Arial" w:hAnsi="Arial" w:cs="Arial"/>
          <w:bCs/>
          <w:color w:val="000000"/>
          <w:lang w:val="en-GB"/>
        </w:rPr>
        <w:t xml:space="preserve"> A-frame course plan</w:t>
      </w:r>
      <w:r w:rsidR="005116CF">
        <w:rPr>
          <w:rFonts w:ascii="Arial" w:hAnsi="Arial" w:cs="Arial"/>
          <w:bCs/>
          <w:color w:val="000000"/>
          <w:lang w:val="en-GB"/>
        </w:rPr>
        <w:t>; t</w:t>
      </w:r>
      <w:r w:rsidR="007A0E5B">
        <w:rPr>
          <w:rFonts w:ascii="Arial" w:hAnsi="Arial" w:cs="Arial"/>
          <w:bCs/>
          <w:color w:val="000000"/>
          <w:lang w:val="en-GB"/>
        </w:rPr>
        <w:t>he A-frame course plan only requires</w:t>
      </w:r>
      <w:r w:rsidR="00E879EC">
        <w:rPr>
          <w:rFonts w:ascii="Arial" w:hAnsi="Arial" w:cs="Arial"/>
          <w:bCs/>
          <w:color w:val="000000"/>
          <w:lang w:val="en-GB"/>
        </w:rPr>
        <w:t xml:space="preserve"> </w:t>
      </w:r>
      <w:r w:rsidR="007A0E5B">
        <w:rPr>
          <w:rFonts w:ascii="Arial" w:hAnsi="Arial" w:cs="Arial"/>
          <w:bCs/>
          <w:color w:val="000000"/>
          <w:lang w:val="en-GB"/>
        </w:rPr>
        <w:t xml:space="preserve">Learn Local providers to broadly </w:t>
      </w:r>
      <w:r w:rsidR="00E879EC">
        <w:rPr>
          <w:rFonts w:ascii="Arial" w:hAnsi="Arial" w:cs="Arial"/>
          <w:bCs/>
          <w:color w:val="000000"/>
          <w:lang w:val="en-GB"/>
        </w:rPr>
        <w:t>expla</w:t>
      </w:r>
      <w:r w:rsidR="007A0E5B">
        <w:rPr>
          <w:rFonts w:ascii="Arial" w:hAnsi="Arial" w:cs="Arial"/>
          <w:bCs/>
          <w:color w:val="000000"/>
          <w:lang w:val="en-GB"/>
        </w:rPr>
        <w:t xml:space="preserve">in </w:t>
      </w:r>
      <w:r w:rsidR="00E879EC">
        <w:rPr>
          <w:rFonts w:ascii="Arial" w:hAnsi="Arial" w:cs="Arial"/>
          <w:bCs/>
          <w:color w:val="000000"/>
          <w:lang w:val="en-GB"/>
        </w:rPr>
        <w:t>how the training provides a ‘pathway to further courses, accredited training or employment’</w:t>
      </w:r>
      <w:r w:rsidR="005116CF">
        <w:rPr>
          <w:rFonts w:ascii="Arial" w:hAnsi="Arial" w:cs="Arial"/>
          <w:bCs/>
          <w:color w:val="000000"/>
          <w:lang w:val="en-GB"/>
        </w:rPr>
        <w:t xml:space="preserve">. </w:t>
      </w:r>
    </w:p>
    <w:p w14:paraId="4EAFC8B7" w14:textId="77777777" w:rsidR="0064438C" w:rsidRDefault="0064438C" w:rsidP="0064438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64438C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Note: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j</w:t>
      </w:r>
      <w:r w:rsidRPr="0064438C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obactive providers will not be required to include course codes for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the LearnLocal applications, as the train</w:t>
      </w:r>
      <w:r w:rsidR="007A0E5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ing will have already undergone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a stringent approval process. </w:t>
      </w:r>
    </w:p>
    <w:p w14:paraId="4EAFC8B8" w14:textId="77777777" w:rsidR="0064438C" w:rsidRDefault="0064438C" w:rsidP="0064438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</w:p>
    <w:p w14:paraId="4EAFC8B9" w14:textId="77777777" w:rsidR="00764B1E" w:rsidRDefault="00764B1E" w:rsidP="0064438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F32E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We encourage Learn Local Organisations to talk to </w:t>
      </w:r>
      <w:r w:rsidR="00F32E7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their jobactive providers abou</w:t>
      </w:r>
      <w:r w:rsidR="002176CD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 </w:t>
      </w:r>
      <w:r w:rsidR="0043606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potential </w:t>
      </w:r>
      <w:r w:rsidR="0003711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Pre-accredited A-Frames that could be provided as </w:t>
      </w:r>
      <w:r w:rsidR="002176CD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Targeted Pre-Employment Preparation courses</w:t>
      </w:r>
      <w:r w:rsidR="0012469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. </w:t>
      </w:r>
    </w:p>
    <w:p w14:paraId="4EAFC8BA" w14:textId="77777777" w:rsidR="00764B1E" w:rsidRDefault="00764B1E" w:rsidP="0064438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4EAFC8BB" w14:textId="77777777" w:rsidR="0064438C" w:rsidRDefault="0064438C" w:rsidP="0064438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Jobactive providers who are not aware of these arrangements should talk to their respective Account Manager. </w:t>
      </w:r>
    </w:p>
    <w:p w14:paraId="4EAFC8BC" w14:textId="77777777" w:rsidR="0064438C" w:rsidRDefault="0064438C" w:rsidP="0064438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4EAFC8BD" w14:textId="77777777" w:rsidR="0064438C" w:rsidRPr="0064438C" w:rsidRDefault="002379CE" w:rsidP="0064438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For any queries</w:t>
      </w:r>
      <w:r w:rsidR="0022742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or</w:t>
      </w:r>
      <w:r w:rsidR="0028262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for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further information</w:t>
      </w:r>
      <w:r w:rsidR="003C1A0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relating to these requirements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, please contac</w:t>
      </w:r>
      <w:r w:rsidR="0028262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 </w:t>
      </w:r>
      <w:r w:rsidR="0003711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Verna Kearney on (03) 9637 3797</w:t>
      </w:r>
      <w:r w:rsidR="003055C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. </w:t>
      </w:r>
    </w:p>
    <w:sectPr w:rsidR="0064438C" w:rsidRPr="0064438C" w:rsidSect="00037116">
      <w:footerReference w:type="first" r:id="rId11"/>
      <w:pgSz w:w="11907" w:h="16840" w:code="9"/>
      <w:pgMar w:top="70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FC8C2" w14:textId="77777777" w:rsidR="004C131B" w:rsidRDefault="004C131B" w:rsidP="00846881">
      <w:r>
        <w:separator/>
      </w:r>
    </w:p>
  </w:endnote>
  <w:endnote w:type="continuationSeparator" w:id="0">
    <w:p w14:paraId="4EAFC8C3" w14:textId="77777777" w:rsidR="004C131B" w:rsidRDefault="004C131B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FC8C4" w14:textId="77777777"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6E50BA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4EAFC8C5" w14:textId="77777777"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FC8C0" w14:textId="77777777" w:rsidR="004C131B" w:rsidRDefault="004C131B" w:rsidP="00846881">
      <w:r>
        <w:separator/>
      </w:r>
    </w:p>
  </w:footnote>
  <w:footnote w:type="continuationSeparator" w:id="0">
    <w:p w14:paraId="4EAFC8C1" w14:textId="77777777" w:rsidR="004C131B" w:rsidRDefault="004C131B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17EB6"/>
    <w:multiLevelType w:val="hybridMultilevel"/>
    <w:tmpl w:val="E2D8F8C6"/>
    <w:lvl w:ilvl="0" w:tplc="78EEDF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12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0723B"/>
    <w:rsid w:val="00021555"/>
    <w:rsid w:val="0002288F"/>
    <w:rsid w:val="0002677B"/>
    <w:rsid w:val="00037116"/>
    <w:rsid w:val="000425DB"/>
    <w:rsid w:val="00060214"/>
    <w:rsid w:val="00060EA4"/>
    <w:rsid w:val="000701E5"/>
    <w:rsid w:val="0008021C"/>
    <w:rsid w:val="000901F6"/>
    <w:rsid w:val="000A28AF"/>
    <w:rsid w:val="000C1C1C"/>
    <w:rsid w:val="000C3753"/>
    <w:rsid w:val="000C782C"/>
    <w:rsid w:val="00105130"/>
    <w:rsid w:val="001079BD"/>
    <w:rsid w:val="001126C4"/>
    <w:rsid w:val="001214D4"/>
    <w:rsid w:val="0012469F"/>
    <w:rsid w:val="00125617"/>
    <w:rsid w:val="001411A4"/>
    <w:rsid w:val="00143A2E"/>
    <w:rsid w:val="00181F47"/>
    <w:rsid w:val="001C0117"/>
    <w:rsid w:val="001C4834"/>
    <w:rsid w:val="001C4930"/>
    <w:rsid w:val="001D2F77"/>
    <w:rsid w:val="00206E94"/>
    <w:rsid w:val="00213CB1"/>
    <w:rsid w:val="002176CD"/>
    <w:rsid w:val="00227425"/>
    <w:rsid w:val="00234DCA"/>
    <w:rsid w:val="002379CE"/>
    <w:rsid w:val="00240F66"/>
    <w:rsid w:val="00241DCD"/>
    <w:rsid w:val="00264866"/>
    <w:rsid w:val="002774C1"/>
    <w:rsid w:val="00282625"/>
    <w:rsid w:val="002831C1"/>
    <w:rsid w:val="00284B19"/>
    <w:rsid w:val="0029046F"/>
    <w:rsid w:val="002A24E2"/>
    <w:rsid w:val="002B15E5"/>
    <w:rsid w:val="002B18B6"/>
    <w:rsid w:val="002B7B17"/>
    <w:rsid w:val="002C4818"/>
    <w:rsid w:val="003055C2"/>
    <w:rsid w:val="00340366"/>
    <w:rsid w:val="00352C50"/>
    <w:rsid w:val="00384947"/>
    <w:rsid w:val="003966A5"/>
    <w:rsid w:val="003B7B63"/>
    <w:rsid w:val="003C1A05"/>
    <w:rsid w:val="003C5122"/>
    <w:rsid w:val="003D454C"/>
    <w:rsid w:val="003F0B63"/>
    <w:rsid w:val="003F3D59"/>
    <w:rsid w:val="003F640F"/>
    <w:rsid w:val="004233F9"/>
    <w:rsid w:val="004304A3"/>
    <w:rsid w:val="0043360E"/>
    <w:rsid w:val="00436062"/>
    <w:rsid w:val="00453CAD"/>
    <w:rsid w:val="004604A8"/>
    <w:rsid w:val="0048144F"/>
    <w:rsid w:val="004B182C"/>
    <w:rsid w:val="004C131B"/>
    <w:rsid w:val="004C32C0"/>
    <w:rsid w:val="004C7772"/>
    <w:rsid w:val="004D2E9C"/>
    <w:rsid w:val="004E42D2"/>
    <w:rsid w:val="00502528"/>
    <w:rsid w:val="00505EC2"/>
    <w:rsid w:val="00506F42"/>
    <w:rsid w:val="0051043D"/>
    <w:rsid w:val="005116CF"/>
    <w:rsid w:val="005301F2"/>
    <w:rsid w:val="00540C9F"/>
    <w:rsid w:val="005543E8"/>
    <w:rsid w:val="00583630"/>
    <w:rsid w:val="00590B75"/>
    <w:rsid w:val="005B4815"/>
    <w:rsid w:val="005E1085"/>
    <w:rsid w:val="005F153D"/>
    <w:rsid w:val="006203E7"/>
    <w:rsid w:val="006254CC"/>
    <w:rsid w:val="00626260"/>
    <w:rsid w:val="006344F3"/>
    <w:rsid w:val="006409D9"/>
    <w:rsid w:val="0064438C"/>
    <w:rsid w:val="00651785"/>
    <w:rsid w:val="006834B9"/>
    <w:rsid w:val="00687039"/>
    <w:rsid w:val="006935A8"/>
    <w:rsid w:val="00696854"/>
    <w:rsid w:val="006A1696"/>
    <w:rsid w:val="006A5387"/>
    <w:rsid w:val="006A66CC"/>
    <w:rsid w:val="006C53C7"/>
    <w:rsid w:val="006C7DA7"/>
    <w:rsid w:val="006D4561"/>
    <w:rsid w:val="006E50BA"/>
    <w:rsid w:val="00717852"/>
    <w:rsid w:val="007602BC"/>
    <w:rsid w:val="0076398D"/>
    <w:rsid w:val="00764A0A"/>
    <w:rsid w:val="00764B1E"/>
    <w:rsid w:val="00770AF9"/>
    <w:rsid w:val="007716FE"/>
    <w:rsid w:val="00772628"/>
    <w:rsid w:val="00790C20"/>
    <w:rsid w:val="007951E1"/>
    <w:rsid w:val="007A0E5B"/>
    <w:rsid w:val="007A3F91"/>
    <w:rsid w:val="007E59F5"/>
    <w:rsid w:val="008317C7"/>
    <w:rsid w:val="00846881"/>
    <w:rsid w:val="00865959"/>
    <w:rsid w:val="00867D3A"/>
    <w:rsid w:val="00880ACA"/>
    <w:rsid w:val="0089186A"/>
    <w:rsid w:val="008A3609"/>
    <w:rsid w:val="008E2680"/>
    <w:rsid w:val="008E2DD6"/>
    <w:rsid w:val="008E53DE"/>
    <w:rsid w:val="008F3646"/>
    <w:rsid w:val="00902759"/>
    <w:rsid w:val="00903B41"/>
    <w:rsid w:val="00933C17"/>
    <w:rsid w:val="009525CB"/>
    <w:rsid w:val="009551AF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71440"/>
    <w:rsid w:val="00A83FB3"/>
    <w:rsid w:val="00A9135E"/>
    <w:rsid w:val="00AD0AF3"/>
    <w:rsid w:val="00AF0514"/>
    <w:rsid w:val="00AF6943"/>
    <w:rsid w:val="00B05E0A"/>
    <w:rsid w:val="00B24031"/>
    <w:rsid w:val="00B33E4F"/>
    <w:rsid w:val="00B41E45"/>
    <w:rsid w:val="00B5136F"/>
    <w:rsid w:val="00B572C9"/>
    <w:rsid w:val="00B632F5"/>
    <w:rsid w:val="00B775D4"/>
    <w:rsid w:val="00BB4A46"/>
    <w:rsid w:val="00C151BB"/>
    <w:rsid w:val="00C349BD"/>
    <w:rsid w:val="00C373FC"/>
    <w:rsid w:val="00C75A39"/>
    <w:rsid w:val="00C83B90"/>
    <w:rsid w:val="00CA0D2E"/>
    <w:rsid w:val="00CB16A1"/>
    <w:rsid w:val="00CB3905"/>
    <w:rsid w:val="00CD0632"/>
    <w:rsid w:val="00CE69B8"/>
    <w:rsid w:val="00CF3C70"/>
    <w:rsid w:val="00CF6891"/>
    <w:rsid w:val="00D33418"/>
    <w:rsid w:val="00D53A53"/>
    <w:rsid w:val="00DD6095"/>
    <w:rsid w:val="00DD6855"/>
    <w:rsid w:val="00E04767"/>
    <w:rsid w:val="00E320A4"/>
    <w:rsid w:val="00E879EC"/>
    <w:rsid w:val="00E91E6B"/>
    <w:rsid w:val="00EB0B8B"/>
    <w:rsid w:val="00EE4BD9"/>
    <w:rsid w:val="00EE5E95"/>
    <w:rsid w:val="00F11CAC"/>
    <w:rsid w:val="00F17667"/>
    <w:rsid w:val="00F24B4E"/>
    <w:rsid w:val="00F30F82"/>
    <w:rsid w:val="00F32E7F"/>
    <w:rsid w:val="00F343D3"/>
    <w:rsid w:val="00F53572"/>
    <w:rsid w:val="00F73864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FC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1C5B927-7028-4807-AEB0-53B0A821A1B4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227</TotalTime>
  <Pages>1</Pages>
  <Words>360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2588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Morrow, Jackie A</cp:lastModifiedBy>
  <cp:revision>24</cp:revision>
  <cp:lastPrinted>2007-01-10T22:20:00Z</cp:lastPrinted>
  <dcterms:created xsi:type="dcterms:W3CDTF">2016-06-16T04:40:00Z</dcterms:created>
  <dcterms:modified xsi:type="dcterms:W3CDTF">2016-08-16T02:15:00Z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