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0829BE" w:rsidRPr="000829BE" w14:paraId="1BF22C9C" w14:textId="77777777" w:rsidTr="00D0223C">
        <w:trPr>
          <w:trHeight w:val="241"/>
        </w:trPr>
        <w:tc>
          <w:tcPr>
            <w:tcW w:w="11087" w:type="dxa"/>
            <w:tcBorders>
              <w:top w:val="nil"/>
              <w:left w:val="nil"/>
              <w:bottom w:val="nil"/>
              <w:right w:val="nil"/>
            </w:tcBorders>
            <w:shd w:val="clear" w:color="auto" w:fill="auto"/>
          </w:tcPr>
          <w:p w14:paraId="53856019" w14:textId="77777777" w:rsidR="000829BE" w:rsidRPr="000829BE" w:rsidRDefault="000829BE" w:rsidP="000829BE">
            <w:pPr>
              <w:overflowPunct w:val="0"/>
              <w:autoSpaceDE w:val="0"/>
              <w:autoSpaceDN w:val="0"/>
              <w:adjustRightInd w:val="0"/>
              <w:spacing w:after="0" w:line="240" w:lineRule="auto"/>
              <w:ind w:left="432" w:right="397"/>
              <w:textAlignment w:val="baseline"/>
              <w:rPr>
                <w:rFonts w:ascii="Arial" w:eastAsia="Times New Roman" w:hAnsi="Arial" w:cs="Arial"/>
                <w:sz w:val="24"/>
                <w:szCs w:val="20"/>
                <w:lang w:eastAsia="en-AU"/>
              </w:rPr>
            </w:pPr>
            <w:r w:rsidRPr="000829BE">
              <w:rPr>
                <w:rFonts w:ascii="Arial" w:eastAsia="Times New Roman" w:hAnsi="Arial" w:cs="Arial"/>
                <w:noProof/>
                <w:sz w:val="24"/>
                <w:szCs w:val="20"/>
                <w:lang w:eastAsia="en-AU"/>
              </w:rPr>
              <mc:AlternateContent>
                <mc:Choice Requires="wpg">
                  <w:drawing>
                    <wp:anchor distT="0" distB="0" distL="114300" distR="114300" simplePos="0" relativeHeight="251659264" behindDoc="0" locked="0" layoutInCell="1" allowOverlap="1" wp14:anchorId="6BFF3450" wp14:editId="3886D8B9">
                      <wp:simplePos x="0" y="0"/>
                      <wp:positionH relativeFrom="column">
                        <wp:posOffset>146685</wp:posOffset>
                      </wp:positionH>
                      <wp:positionV relativeFrom="paragraph">
                        <wp:posOffset>-56515</wp:posOffset>
                      </wp:positionV>
                      <wp:extent cx="6731707" cy="1276350"/>
                      <wp:effectExtent l="0" t="0" r="12065" b="1905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707" cy="1276350"/>
                                <a:chOff x="1031" y="474"/>
                                <a:chExt cx="9515" cy="2405"/>
                              </a:xfrm>
                            </wpg:grpSpPr>
                            <wps:wsp>
                              <wps:cNvPr id="2" name="Text Box 2"/>
                              <wps:cNvSpPr txBox="1">
                                <a:spLocks noChangeArrowheads="1"/>
                              </wps:cNvSpPr>
                              <wps:spPr bwMode="auto">
                                <a:xfrm>
                                  <a:off x="1031" y="1066"/>
                                  <a:ext cx="9515" cy="1813"/>
                                </a:xfrm>
                                <a:prstGeom prst="rect">
                                  <a:avLst/>
                                </a:prstGeom>
                                <a:solidFill>
                                  <a:srgbClr val="000000"/>
                                </a:solidFill>
                                <a:ln w="9525">
                                  <a:solidFill>
                                    <a:srgbClr val="000000"/>
                                  </a:solidFill>
                                  <a:miter lim="800000"/>
                                  <a:headEnd/>
                                  <a:tailEnd/>
                                </a:ln>
                              </wps:spPr>
                              <wps:txbx>
                                <w:txbxContent>
                                  <w:p w14:paraId="64CE224F" w14:textId="77777777" w:rsidR="000829BE" w:rsidRPr="00633C39" w:rsidRDefault="000829BE" w:rsidP="000829BE">
                                    <w:pPr>
                                      <w:rPr>
                                        <w:rFonts w:ascii="Arial" w:hAnsi="Arial" w:cs="Arial"/>
                                        <w:szCs w:val="24"/>
                                      </w:rPr>
                                    </w:pPr>
                                    <w:r w:rsidRPr="00633C39">
                                      <w:rPr>
                                        <w:rFonts w:ascii="Arial" w:hAnsi="Arial" w:cs="Arial"/>
                                        <w:szCs w:val="24"/>
                                      </w:rPr>
                                      <w:t>Higher Education and Skills Group</w:t>
                                    </w:r>
                                  </w:p>
                                  <w:p w14:paraId="53071F84" w14:textId="77777777" w:rsidR="000829BE" w:rsidRPr="006F3F2F" w:rsidRDefault="000829BE" w:rsidP="000829BE">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1031" y="2735"/>
                                  <a:ext cx="9514" cy="144"/>
                                </a:xfrm>
                                <a:prstGeom prst="rect">
                                  <a:avLst/>
                                </a:prstGeom>
                                <a:solidFill>
                                  <a:srgbClr val="BFBFBF"/>
                                </a:solidFill>
                                <a:ln w="9525">
                                  <a:solidFill>
                                    <a:srgbClr val="000000"/>
                                  </a:solidFill>
                                  <a:miter lim="800000"/>
                                  <a:headEnd/>
                                  <a:tailEnd/>
                                </a:ln>
                              </wps:spPr>
                              <wps:txbx>
                                <w:txbxContent>
                                  <w:p w14:paraId="38C1F912" w14:textId="77777777" w:rsidR="000829BE" w:rsidRPr="00633C39" w:rsidRDefault="000829BE" w:rsidP="000829BE">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592"/>
                                </a:xfrm>
                                <a:prstGeom prst="rect">
                                  <a:avLst/>
                                </a:prstGeom>
                                <a:solidFill>
                                  <a:srgbClr val="1F497D"/>
                                </a:solidFill>
                                <a:ln w="9525">
                                  <a:solidFill>
                                    <a:srgbClr val="000000"/>
                                  </a:solidFill>
                                  <a:miter lim="800000"/>
                                  <a:headEnd/>
                                  <a:tailEnd/>
                                </a:ln>
                              </wps:spPr>
                              <wps:txbx>
                                <w:txbxContent>
                                  <w:p w14:paraId="10775AF9" w14:textId="77777777" w:rsidR="000829BE" w:rsidRPr="00633C39" w:rsidRDefault="000829BE" w:rsidP="000829BE">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4DE9C332" w14:textId="77777777" w:rsidR="000829BE" w:rsidRDefault="000829BE" w:rsidP="000829B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55pt;margin-top:-4.45pt;width:530.05pt;height:100.5pt;z-index:251659264" coordorigin="1031,474" coordsize="9515,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">
                      <v:shapetype id="_x0000_t202" coordsize="21600,21600" o:spt="202" path="m,l,21600r21600,l21600,xe">
                        <v:stroke joinstyle="miter"/>
                        <v:path gradientshapeok="t" o:connecttype="rect"/>
                      </v:shapetype>
                      <v:shape id="Text Box 2" o:spid="_x0000_s1027" type="#_x0000_t202" style="position:absolute;left:1031;top:1066;width:9515;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vhMIA&#10;AADaAAAADwAAAGRycy9kb3ducmV2LnhtbESPQYvCMBSE74L/ITzBm6Z6EOkapQiKl6LrKnp8NM+2&#10;2ryUJmrdX2+EhT0OM/MNM1u0phIPalxpWcFoGIEgzqwuOVdw+FkNpiCcR9ZYWSYFL3KwmHc7M4y1&#10;ffI3PfY+FwHCLkYFhfd1LKXLCjLohrYmDt7FNgZ9kE0udYPPADeVHEfRRBosOSwUWNOyoOy2vxsF&#10;2+NuurknrfXJ9Zyf1r/pIT2mSvV7bfIFwlPr/8N/7Y1WMIbPlXAD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nS+EwgAAANoAAAAPAAAAAAAAAAAAAAAAAJgCAABkcnMvZG93&#10;bnJldi54bWxQSwUGAAAAAAQABAD1AAAAhwMAAAAA&#10;" fillcolor="black">
                        <v:textbox>
                          <w:txbxContent>
                            <w:p w:rsidR="000829BE" w:rsidRPr="00633C39" w:rsidRDefault="000829BE" w:rsidP="000829BE">
                              <w:pPr>
                                <w:rPr>
                                  <w:rFonts w:ascii="Arial" w:hAnsi="Arial" w:cs="Arial"/>
                                  <w:szCs w:val="24"/>
                                </w:rPr>
                              </w:pPr>
                              <w:r w:rsidRPr="00633C39">
                                <w:rPr>
                                  <w:rFonts w:ascii="Arial" w:hAnsi="Arial" w:cs="Arial"/>
                                  <w:szCs w:val="24"/>
                                </w:rPr>
                                <w:t>Higher Education and Skills Group</w:t>
                              </w:r>
                            </w:p>
                            <w:p w:rsidR="000829BE" w:rsidRPr="006F3F2F" w:rsidRDefault="000829BE" w:rsidP="000829BE">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735;width:951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rsidR="000829BE" w:rsidRPr="00633C39" w:rsidRDefault="000829BE" w:rsidP="000829BE">
                              <w:pPr>
                                <w:rPr>
                                  <w:rFonts w:ascii="Arial" w:hAnsi="Arial" w:cs="Arial"/>
                                  <w:b/>
                                  <w:sz w:val="28"/>
                                  <w:szCs w:val="28"/>
                                </w:rPr>
                              </w:pPr>
                            </w:p>
                          </w:txbxContent>
                        </v:textbox>
                      </v:shape>
                      <v:shape id="Text Box 2" o:spid="_x0000_s1029" type="#_x0000_t202" style="position:absolute;left:1031;top:474;width:9514;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rsidR="000829BE" w:rsidRPr="00633C39" w:rsidRDefault="000829BE" w:rsidP="000829BE">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rsidR="000829BE" w:rsidRDefault="000829BE" w:rsidP="000829BE"/>
                          </w:txbxContent>
                        </v:textbox>
                      </v:shape>
                    </v:group>
                  </w:pict>
                </mc:Fallback>
              </mc:AlternateContent>
            </w:r>
          </w:p>
        </w:tc>
      </w:tr>
    </w:tbl>
    <w:p w14:paraId="34A60F2D" w14:textId="77777777" w:rsidR="000829BE" w:rsidRPr="000829BE" w:rsidRDefault="000829BE" w:rsidP="000829BE">
      <w:pPr>
        <w:tabs>
          <w:tab w:val="left" w:pos="1080"/>
        </w:tabs>
        <w:overflowPunct w:val="0"/>
        <w:autoSpaceDE w:val="0"/>
        <w:autoSpaceDN w:val="0"/>
        <w:adjustRightInd w:val="0"/>
        <w:spacing w:before="60" w:after="0" w:line="240" w:lineRule="auto"/>
        <w:ind w:right="397"/>
        <w:textAlignment w:val="baseline"/>
        <w:rPr>
          <w:rFonts w:ascii="Arial" w:eastAsia="Times New Roman" w:hAnsi="Arial" w:cs="Times New Roman"/>
          <w:b/>
          <w:color w:val="000000"/>
          <w:szCs w:val="24"/>
          <w:lang w:val="en-GB"/>
        </w:rPr>
      </w:pPr>
    </w:p>
    <w:p w14:paraId="61A0F528" w14:textId="77777777" w:rsidR="000829BE" w:rsidRPr="000829BE" w:rsidRDefault="000829BE" w:rsidP="000829BE">
      <w:pPr>
        <w:tabs>
          <w:tab w:val="left" w:pos="1080"/>
        </w:tabs>
        <w:overflowPunct w:val="0"/>
        <w:autoSpaceDE w:val="0"/>
        <w:autoSpaceDN w:val="0"/>
        <w:adjustRightInd w:val="0"/>
        <w:spacing w:before="60" w:after="0" w:line="240" w:lineRule="auto"/>
        <w:ind w:right="397"/>
        <w:textAlignment w:val="baseline"/>
        <w:rPr>
          <w:rFonts w:ascii="Arial" w:eastAsia="Times New Roman" w:hAnsi="Arial" w:cs="Times New Roman"/>
          <w:b/>
          <w:color w:val="000000"/>
          <w:szCs w:val="24"/>
          <w:lang w:val="en-GB"/>
        </w:rPr>
      </w:pPr>
    </w:p>
    <w:p w14:paraId="76E9E821" w14:textId="77777777" w:rsidR="000829BE" w:rsidRPr="000829BE" w:rsidRDefault="000829BE" w:rsidP="000829BE">
      <w:pPr>
        <w:tabs>
          <w:tab w:val="left" w:pos="1080"/>
        </w:tabs>
        <w:overflowPunct w:val="0"/>
        <w:autoSpaceDE w:val="0"/>
        <w:autoSpaceDN w:val="0"/>
        <w:adjustRightInd w:val="0"/>
        <w:spacing w:before="60" w:after="0" w:line="240" w:lineRule="auto"/>
        <w:ind w:right="397"/>
        <w:textAlignment w:val="baseline"/>
        <w:rPr>
          <w:rFonts w:ascii="Arial" w:eastAsia="Times New Roman" w:hAnsi="Arial" w:cs="Times New Roman"/>
          <w:b/>
          <w:color w:val="000000"/>
          <w:szCs w:val="24"/>
          <w:lang w:val="en-GB"/>
        </w:rPr>
      </w:pPr>
    </w:p>
    <w:p w14:paraId="067B29B6" w14:textId="77777777" w:rsidR="000829BE" w:rsidRPr="000829BE" w:rsidRDefault="000829BE" w:rsidP="000829BE">
      <w:pPr>
        <w:tabs>
          <w:tab w:val="left" w:pos="1080"/>
        </w:tabs>
        <w:overflowPunct w:val="0"/>
        <w:autoSpaceDE w:val="0"/>
        <w:autoSpaceDN w:val="0"/>
        <w:adjustRightInd w:val="0"/>
        <w:spacing w:before="60" w:after="0" w:line="240" w:lineRule="auto"/>
        <w:ind w:right="397"/>
        <w:textAlignment w:val="baseline"/>
        <w:rPr>
          <w:rFonts w:ascii="Arial" w:eastAsia="Times New Roman" w:hAnsi="Arial" w:cs="Times New Roman"/>
          <w:b/>
          <w:color w:val="000000"/>
          <w:szCs w:val="24"/>
          <w:lang w:val="en-GB"/>
        </w:rPr>
      </w:pPr>
    </w:p>
    <w:p w14:paraId="3DFBD800" w14:textId="77777777" w:rsidR="000829BE" w:rsidRPr="000829BE" w:rsidRDefault="000829BE" w:rsidP="000829BE">
      <w:pPr>
        <w:tabs>
          <w:tab w:val="left" w:pos="1080"/>
        </w:tabs>
        <w:overflowPunct w:val="0"/>
        <w:autoSpaceDE w:val="0"/>
        <w:autoSpaceDN w:val="0"/>
        <w:adjustRightInd w:val="0"/>
        <w:spacing w:before="60" w:after="0" w:line="240" w:lineRule="auto"/>
        <w:ind w:right="397"/>
        <w:textAlignment w:val="baseline"/>
        <w:rPr>
          <w:rFonts w:ascii="Arial" w:eastAsia="Times New Roman" w:hAnsi="Arial" w:cs="Times New Roman"/>
          <w:b/>
          <w:color w:val="000000"/>
          <w:szCs w:val="24"/>
          <w:lang w:val="en-GB"/>
        </w:rPr>
      </w:pPr>
    </w:p>
    <w:p w14:paraId="019A4A47" w14:textId="77777777" w:rsidR="000829BE" w:rsidRPr="000829BE" w:rsidRDefault="000829BE" w:rsidP="000829BE">
      <w:pPr>
        <w:tabs>
          <w:tab w:val="left" w:pos="1080"/>
        </w:tabs>
        <w:overflowPunct w:val="0"/>
        <w:autoSpaceDE w:val="0"/>
        <w:autoSpaceDN w:val="0"/>
        <w:adjustRightInd w:val="0"/>
        <w:spacing w:before="60" w:after="0" w:line="240" w:lineRule="auto"/>
        <w:ind w:left="-284" w:right="-453"/>
        <w:jc w:val="right"/>
        <w:textAlignment w:val="baseline"/>
        <w:rPr>
          <w:rFonts w:ascii="Arial" w:eastAsia="Times New Roman" w:hAnsi="Arial" w:cs="Times New Roman"/>
          <w:i/>
          <w:color w:val="000000"/>
          <w:szCs w:val="24"/>
          <w:lang w:val="en-GB"/>
        </w:rPr>
      </w:pPr>
      <w:r w:rsidRPr="000829BE">
        <w:rPr>
          <w:rFonts w:ascii="Arial" w:eastAsia="Times New Roman" w:hAnsi="Arial" w:cs="Times New Roman"/>
          <w:b/>
          <w:i/>
          <w:color w:val="000000"/>
          <w:szCs w:val="24"/>
          <w:lang w:val="en-GB"/>
        </w:rPr>
        <w:t xml:space="preserve">NUMBER: </w:t>
      </w:r>
      <w:r w:rsidRPr="000829BE">
        <w:rPr>
          <w:rFonts w:ascii="Arial" w:eastAsia="Times New Roman" w:hAnsi="Arial" w:cs="Times New Roman"/>
          <w:i/>
          <w:color w:val="000000"/>
          <w:szCs w:val="24"/>
          <w:lang w:val="en-GB"/>
        </w:rPr>
        <w:t xml:space="preserve">2015 / </w:t>
      </w:r>
      <w:r w:rsidR="0059685D">
        <w:rPr>
          <w:rFonts w:ascii="Arial" w:eastAsia="Times New Roman" w:hAnsi="Arial" w:cs="Times New Roman"/>
          <w:i/>
          <w:color w:val="000000"/>
          <w:szCs w:val="24"/>
          <w:lang w:val="en-GB"/>
        </w:rPr>
        <w:t xml:space="preserve">December </w:t>
      </w:r>
      <w:r w:rsidRPr="000829BE">
        <w:rPr>
          <w:rFonts w:ascii="Arial" w:eastAsia="Times New Roman" w:hAnsi="Arial" w:cs="Times New Roman"/>
          <w:i/>
          <w:color w:val="000000"/>
          <w:szCs w:val="24"/>
          <w:lang w:val="en-GB"/>
        </w:rPr>
        <w:t xml:space="preserve">/ </w:t>
      </w:r>
      <w:r w:rsidR="0059685D">
        <w:rPr>
          <w:rFonts w:ascii="Arial" w:eastAsia="Times New Roman" w:hAnsi="Arial" w:cs="Times New Roman"/>
          <w:i/>
          <w:color w:val="000000"/>
          <w:szCs w:val="24"/>
          <w:lang w:val="en-GB"/>
        </w:rPr>
        <w:t>16</w:t>
      </w:r>
    </w:p>
    <w:p w14:paraId="172023D8" w14:textId="77777777" w:rsidR="000829BE" w:rsidRPr="000829BE" w:rsidRDefault="000829BE" w:rsidP="000829BE">
      <w:pPr>
        <w:tabs>
          <w:tab w:val="left" w:pos="1080"/>
        </w:tabs>
        <w:overflowPunct w:val="0"/>
        <w:autoSpaceDE w:val="0"/>
        <w:autoSpaceDN w:val="0"/>
        <w:adjustRightInd w:val="0"/>
        <w:spacing w:before="60" w:after="0" w:line="240" w:lineRule="auto"/>
        <w:ind w:left="-284" w:right="397"/>
        <w:textAlignment w:val="baseline"/>
        <w:rPr>
          <w:rFonts w:ascii="Arial" w:eastAsia="Times New Roman" w:hAnsi="Arial" w:cs="Times New Roman"/>
          <w:b/>
          <w:color w:val="000000"/>
          <w:szCs w:val="24"/>
          <w:lang w:val="en-GB"/>
        </w:rPr>
      </w:pPr>
      <w:r w:rsidRPr="000829BE">
        <w:rPr>
          <w:rFonts w:ascii="Arial" w:eastAsia="Times New Roman" w:hAnsi="Arial" w:cs="Times New Roman"/>
          <w:b/>
          <w:color w:val="000000"/>
          <w:szCs w:val="24"/>
          <w:lang w:val="en-GB"/>
        </w:rPr>
        <w:t>TO:</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0829BE" w:rsidRPr="000829BE" w14:paraId="13424F0E" w14:textId="77777777" w:rsidTr="00D0223C">
        <w:tc>
          <w:tcPr>
            <w:tcW w:w="3119" w:type="dxa"/>
            <w:shd w:val="clear" w:color="auto" w:fill="auto"/>
          </w:tcPr>
          <w:p w14:paraId="470BC2BA" w14:textId="77777777" w:rsidR="000829BE" w:rsidRPr="000829BE" w:rsidRDefault="000829BE" w:rsidP="000829BE">
            <w:pPr>
              <w:tabs>
                <w:tab w:val="left" w:pos="1080"/>
              </w:tabs>
              <w:overflowPunct w:val="0"/>
              <w:autoSpaceDE w:val="0"/>
              <w:autoSpaceDN w:val="0"/>
              <w:adjustRightInd w:val="0"/>
              <w:spacing w:before="60" w:after="0" w:line="240" w:lineRule="auto"/>
              <w:ind w:right="34"/>
              <w:textAlignment w:val="baseline"/>
              <w:rPr>
                <w:rFonts w:ascii="Arial" w:eastAsia="Times New Roman" w:hAnsi="Arial" w:cs="Times New Roman"/>
                <w:color w:val="000000"/>
                <w:szCs w:val="24"/>
                <w:lang w:val="en-GB"/>
              </w:rPr>
            </w:pPr>
            <w:r w:rsidRPr="000829BE">
              <w:rPr>
                <w:rFonts w:ascii="Arial" w:eastAsia="Times New Roman" w:hAnsi="Arial" w:cs="Times New Roman"/>
                <w:color w:val="000000"/>
                <w:szCs w:val="24"/>
                <w:lang w:val="en-GB"/>
              </w:rPr>
              <w:t xml:space="preserve">Learn Local organisations </w:t>
            </w:r>
          </w:p>
          <w:p w14:paraId="293A33D3" w14:textId="2DD3ABF4" w:rsidR="000829BE" w:rsidRPr="000829BE" w:rsidRDefault="000829BE" w:rsidP="0066591C">
            <w:pPr>
              <w:tabs>
                <w:tab w:val="left" w:pos="1080"/>
              </w:tabs>
              <w:overflowPunct w:val="0"/>
              <w:autoSpaceDE w:val="0"/>
              <w:autoSpaceDN w:val="0"/>
              <w:adjustRightInd w:val="0"/>
              <w:spacing w:before="60" w:after="0" w:line="240" w:lineRule="auto"/>
              <w:ind w:right="34"/>
              <w:textAlignment w:val="baseline"/>
              <w:rPr>
                <w:rFonts w:ascii="Arial" w:eastAsia="Times New Roman" w:hAnsi="Arial" w:cs="Times New Roman"/>
                <w:color w:val="000000"/>
                <w:szCs w:val="24"/>
                <w:lang w:val="en-GB"/>
              </w:rPr>
            </w:pPr>
          </w:p>
        </w:tc>
        <w:tc>
          <w:tcPr>
            <w:tcW w:w="3261" w:type="dxa"/>
            <w:shd w:val="clear" w:color="auto" w:fill="auto"/>
          </w:tcPr>
          <w:p w14:paraId="735725A5" w14:textId="128655C0" w:rsidR="000829BE" w:rsidRPr="000829BE" w:rsidRDefault="0066591C" w:rsidP="0066591C">
            <w:pPr>
              <w:tabs>
                <w:tab w:val="left" w:pos="1080"/>
              </w:tabs>
              <w:overflowPunct w:val="0"/>
              <w:autoSpaceDE w:val="0"/>
              <w:autoSpaceDN w:val="0"/>
              <w:adjustRightInd w:val="0"/>
              <w:spacing w:before="60" w:after="0" w:line="240" w:lineRule="auto"/>
              <w:ind w:right="397"/>
              <w:textAlignment w:val="baseline"/>
              <w:rPr>
                <w:rFonts w:ascii="Arial" w:eastAsia="Times New Roman" w:hAnsi="Arial" w:cs="Times New Roman"/>
                <w:color w:val="000000"/>
                <w:szCs w:val="24"/>
                <w:lang w:val="en-GB"/>
              </w:rPr>
            </w:pPr>
            <w:r w:rsidRPr="000829BE">
              <w:rPr>
                <w:rFonts w:ascii="Arial" w:eastAsia="Times New Roman" w:hAnsi="Arial" w:cs="Times New Roman"/>
                <w:color w:val="000000"/>
                <w:szCs w:val="24"/>
                <w:lang w:val="en-GB"/>
              </w:rPr>
              <w:t>Regional Participation and Facilitation Fund (RPFF)</w:t>
            </w:r>
          </w:p>
        </w:tc>
        <w:tc>
          <w:tcPr>
            <w:tcW w:w="4110" w:type="dxa"/>
            <w:shd w:val="clear" w:color="auto" w:fill="auto"/>
          </w:tcPr>
          <w:p w14:paraId="714C32B5" w14:textId="02987B2B" w:rsidR="000829BE" w:rsidRPr="002C6F6E" w:rsidRDefault="0066591C" w:rsidP="000829BE">
            <w:pPr>
              <w:tabs>
                <w:tab w:val="left" w:pos="1080"/>
              </w:tabs>
              <w:overflowPunct w:val="0"/>
              <w:autoSpaceDE w:val="0"/>
              <w:autoSpaceDN w:val="0"/>
              <w:adjustRightInd w:val="0"/>
              <w:spacing w:before="60" w:after="0" w:line="240" w:lineRule="auto"/>
              <w:ind w:right="397"/>
              <w:textAlignment w:val="baseline"/>
              <w:rPr>
                <w:rFonts w:ascii="Arial" w:eastAsia="Times New Roman" w:hAnsi="Arial" w:cs="Times New Roman"/>
                <w:strike/>
                <w:color w:val="000000"/>
                <w:szCs w:val="24"/>
                <w:lang w:val="en-GB"/>
              </w:rPr>
            </w:pPr>
            <w:r w:rsidRPr="000829BE">
              <w:rPr>
                <w:rFonts w:ascii="Arial" w:eastAsia="Times New Roman" w:hAnsi="Arial" w:cs="Times New Roman"/>
                <w:color w:val="000000"/>
                <w:szCs w:val="24"/>
                <w:lang w:val="en-GB"/>
              </w:rPr>
              <w:t>Workplace Learning Coordinators</w:t>
            </w:r>
          </w:p>
        </w:tc>
      </w:tr>
      <w:tr w:rsidR="000829BE" w:rsidRPr="000829BE" w14:paraId="122E3F11" w14:textId="77777777" w:rsidTr="00D0223C">
        <w:tc>
          <w:tcPr>
            <w:tcW w:w="3119" w:type="dxa"/>
            <w:shd w:val="clear" w:color="auto" w:fill="auto"/>
          </w:tcPr>
          <w:p w14:paraId="71DF84F4" w14:textId="77777777" w:rsidR="000829BE" w:rsidRPr="000829BE" w:rsidRDefault="000829BE" w:rsidP="000829BE">
            <w:pPr>
              <w:tabs>
                <w:tab w:val="left" w:pos="1080"/>
              </w:tabs>
              <w:overflowPunct w:val="0"/>
              <w:autoSpaceDE w:val="0"/>
              <w:autoSpaceDN w:val="0"/>
              <w:adjustRightInd w:val="0"/>
              <w:spacing w:before="60" w:after="0" w:line="240" w:lineRule="auto"/>
              <w:ind w:right="34"/>
              <w:textAlignment w:val="baseline"/>
              <w:rPr>
                <w:rFonts w:ascii="Arial" w:eastAsia="Times New Roman" w:hAnsi="Arial" w:cs="Times New Roman"/>
                <w:i/>
                <w:color w:val="000000"/>
                <w:szCs w:val="24"/>
                <w:lang w:val="en-GB"/>
              </w:rPr>
            </w:pPr>
            <w:r w:rsidRPr="000829BE">
              <w:rPr>
                <w:rFonts w:ascii="Arial" w:eastAsia="Times New Roman" w:hAnsi="Arial" w:cs="Times New Roman"/>
                <w:color w:val="000000"/>
                <w:szCs w:val="24"/>
                <w:lang w:val="en-GB"/>
              </w:rPr>
              <w:t>Adult Education Institutions</w:t>
            </w:r>
          </w:p>
        </w:tc>
        <w:tc>
          <w:tcPr>
            <w:tcW w:w="3261" w:type="dxa"/>
            <w:shd w:val="clear" w:color="auto" w:fill="auto"/>
          </w:tcPr>
          <w:p w14:paraId="26FC7FAD" w14:textId="77777777" w:rsidR="000829BE" w:rsidRPr="000829BE" w:rsidRDefault="000829BE" w:rsidP="000829BE">
            <w:pPr>
              <w:tabs>
                <w:tab w:val="left" w:pos="1080"/>
              </w:tabs>
              <w:overflowPunct w:val="0"/>
              <w:autoSpaceDE w:val="0"/>
              <w:autoSpaceDN w:val="0"/>
              <w:adjustRightInd w:val="0"/>
              <w:spacing w:before="60" w:after="0" w:line="240" w:lineRule="auto"/>
              <w:ind w:right="397"/>
              <w:textAlignment w:val="baseline"/>
              <w:rPr>
                <w:rFonts w:ascii="Arial" w:eastAsia="Times New Roman" w:hAnsi="Arial" w:cs="Times New Roman"/>
                <w:i/>
                <w:color w:val="000000"/>
                <w:szCs w:val="24"/>
                <w:lang w:val="en-GB"/>
              </w:rPr>
            </w:pPr>
            <w:r w:rsidRPr="000829BE">
              <w:rPr>
                <w:rFonts w:ascii="Arial" w:eastAsia="Times New Roman" w:hAnsi="Arial" w:cs="Times New Roman"/>
                <w:color w:val="000000"/>
                <w:szCs w:val="24"/>
                <w:lang w:val="en-GB"/>
              </w:rPr>
              <w:t xml:space="preserve">Learn Local stakeholders </w:t>
            </w:r>
          </w:p>
          <w:p w14:paraId="3FBACD37" w14:textId="77777777" w:rsidR="000829BE" w:rsidRPr="000829BE" w:rsidRDefault="000829BE" w:rsidP="000829BE">
            <w:pPr>
              <w:tabs>
                <w:tab w:val="left" w:pos="1080"/>
              </w:tabs>
              <w:overflowPunct w:val="0"/>
              <w:autoSpaceDE w:val="0"/>
              <w:autoSpaceDN w:val="0"/>
              <w:adjustRightInd w:val="0"/>
              <w:spacing w:before="60" w:after="0" w:line="240" w:lineRule="auto"/>
              <w:ind w:right="397"/>
              <w:textAlignment w:val="baseline"/>
              <w:rPr>
                <w:rFonts w:ascii="Arial" w:eastAsia="Times New Roman" w:hAnsi="Arial" w:cs="Times New Roman"/>
                <w:i/>
                <w:color w:val="000000"/>
                <w:szCs w:val="24"/>
                <w:lang w:val="en-GB"/>
              </w:rPr>
            </w:pPr>
          </w:p>
        </w:tc>
        <w:tc>
          <w:tcPr>
            <w:tcW w:w="4110" w:type="dxa"/>
            <w:shd w:val="clear" w:color="auto" w:fill="auto"/>
          </w:tcPr>
          <w:p w14:paraId="7C5F87C0" w14:textId="77777777" w:rsidR="000829BE" w:rsidRPr="000829BE" w:rsidRDefault="000829BE" w:rsidP="000829BE">
            <w:pPr>
              <w:tabs>
                <w:tab w:val="left" w:pos="1080"/>
              </w:tabs>
              <w:overflowPunct w:val="0"/>
              <w:autoSpaceDE w:val="0"/>
              <w:autoSpaceDN w:val="0"/>
              <w:adjustRightInd w:val="0"/>
              <w:spacing w:before="60" w:after="0" w:line="240" w:lineRule="auto"/>
              <w:ind w:right="397"/>
              <w:textAlignment w:val="baseline"/>
              <w:rPr>
                <w:rFonts w:ascii="Arial" w:eastAsia="Times New Roman" w:hAnsi="Arial" w:cs="Times New Roman"/>
                <w:color w:val="000000"/>
                <w:szCs w:val="24"/>
                <w:lang w:val="en-GB"/>
              </w:rPr>
            </w:pPr>
            <w:r w:rsidRPr="000829BE">
              <w:rPr>
                <w:rFonts w:ascii="Arial" w:eastAsia="Times New Roman" w:hAnsi="Arial" w:cs="Times New Roman"/>
                <w:color w:val="000000"/>
                <w:szCs w:val="24"/>
                <w:lang w:val="en-GB"/>
              </w:rPr>
              <w:t xml:space="preserve">LLENs </w:t>
            </w:r>
          </w:p>
          <w:p w14:paraId="77E7C99B" w14:textId="77777777" w:rsidR="000829BE" w:rsidRPr="000829BE" w:rsidRDefault="000829BE" w:rsidP="00A26B13">
            <w:pPr>
              <w:tabs>
                <w:tab w:val="left" w:pos="1080"/>
              </w:tabs>
              <w:overflowPunct w:val="0"/>
              <w:autoSpaceDE w:val="0"/>
              <w:autoSpaceDN w:val="0"/>
              <w:adjustRightInd w:val="0"/>
              <w:spacing w:before="60" w:after="0" w:line="240" w:lineRule="auto"/>
              <w:ind w:right="397"/>
              <w:textAlignment w:val="baseline"/>
              <w:rPr>
                <w:rFonts w:ascii="Arial" w:eastAsia="Times New Roman" w:hAnsi="Arial" w:cs="Times New Roman"/>
                <w:color w:val="000000"/>
                <w:szCs w:val="24"/>
                <w:lang w:val="en-GB"/>
              </w:rPr>
            </w:pPr>
            <w:r w:rsidRPr="000829BE">
              <w:rPr>
                <w:rFonts w:ascii="Arial" w:eastAsia="Times New Roman" w:hAnsi="Arial" w:cs="Times New Roman"/>
                <w:i/>
                <w:color w:val="000000"/>
                <w:szCs w:val="24"/>
                <w:lang w:val="en-GB"/>
              </w:rPr>
              <w:t xml:space="preserve">– Chairs </w:t>
            </w:r>
            <w:r w:rsidRPr="000829BE">
              <w:rPr>
                <w:rFonts w:ascii="Arial" w:eastAsia="Times New Roman" w:hAnsi="Arial" w:cs="Times New Roman"/>
                <w:i/>
                <w:color w:val="000000"/>
                <w:szCs w:val="24"/>
                <w:u w:val="single"/>
                <w:lang w:val="en-GB"/>
              </w:rPr>
              <w:t xml:space="preserve">and </w:t>
            </w:r>
            <w:r w:rsidRPr="000829BE">
              <w:rPr>
                <w:rFonts w:ascii="Arial" w:eastAsia="Times New Roman" w:hAnsi="Arial" w:cs="Times New Roman"/>
                <w:i/>
                <w:color w:val="000000"/>
                <w:szCs w:val="24"/>
                <w:lang w:val="en-GB"/>
              </w:rPr>
              <w:t>Executive Officers</w:t>
            </w:r>
          </w:p>
        </w:tc>
      </w:tr>
    </w:tbl>
    <w:p w14:paraId="6B163B36" w14:textId="77777777" w:rsidR="000829BE" w:rsidRPr="000829BE" w:rsidRDefault="000829BE" w:rsidP="000829BE">
      <w:pPr>
        <w:tabs>
          <w:tab w:val="left" w:pos="1080"/>
          <w:tab w:val="left" w:pos="9356"/>
        </w:tabs>
        <w:overflowPunct w:val="0"/>
        <w:autoSpaceDE w:val="0"/>
        <w:autoSpaceDN w:val="0"/>
        <w:adjustRightInd w:val="0"/>
        <w:spacing w:before="60" w:after="0" w:line="240" w:lineRule="auto"/>
        <w:ind w:left="-284" w:right="397"/>
        <w:textAlignment w:val="baseline"/>
        <w:rPr>
          <w:rFonts w:ascii="Arial" w:eastAsia="Times New Roman" w:hAnsi="Arial" w:cs="Times New Roman"/>
          <w:b/>
          <w:color w:val="000000"/>
          <w:sz w:val="8"/>
          <w:szCs w:val="8"/>
          <w:lang w:val="en-GB"/>
        </w:rPr>
      </w:pPr>
    </w:p>
    <w:p w14:paraId="4EEA6E05" w14:textId="77777777" w:rsidR="000829BE" w:rsidRPr="000829BE" w:rsidRDefault="000829BE" w:rsidP="000829BE">
      <w:pPr>
        <w:tabs>
          <w:tab w:val="left" w:pos="1080"/>
          <w:tab w:val="left" w:pos="9356"/>
        </w:tabs>
        <w:overflowPunct w:val="0"/>
        <w:autoSpaceDE w:val="0"/>
        <w:autoSpaceDN w:val="0"/>
        <w:adjustRightInd w:val="0"/>
        <w:spacing w:before="60" w:after="0" w:line="240" w:lineRule="auto"/>
        <w:ind w:left="-284" w:right="397"/>
        <w:textAlignment w:val="baseline"/>
        <w:rPr>
          <w:rFonts w:ascii="Arial" w:eastAsia="Times New Roman" w:hAnsi="Arial" w:cs="Times New Roman"/>
          <w:color w:val="000000"/>
          <w:szCs w:val="24"/>
          <w:lang w:val="en-GB"/>
        </w:rPr>
      </w:pPr>
      <w:r w:rsidRPr="000829BE">
        <w:rPr>
          <w:rFonts w:ascii="Arial" w:eastAsia="Times New Roman" w:hAnsi="Arial" w:cs="Times New Roman"/>
          <w:b/>
          <w:color w:val="000000"/>
          <w:szCs w:val="20"/>
          <w:lang w:val="en-GB"/>
        </w:rPr>
        <w:t>FROM:</w:t>
      </w:r>
      <w:r w:rsidRPr="000829BE">
        <w:rPr>
          <w:rFonts w:ascii="Arial" w:eastAsia="Times New Roman" w:hAnsi="Arial" w:cs="Times New Roman"/>
          <w:b/>
          <w:color w:val="000000"/>
          <w:szCs w:val="20"/>
          <w:lang w:val="en-GB"/>
        </w:rPr>
        <w:tab/>
      </w:r>
      <w:r w:rsidRPr="000829BE">
        <w:rPr>
          <w:rFonts w:ascii="Arial" w:eastAsia="Times New Roman" w:hAnsi="Arial" w:cs="Times New Roman"/>
          <w:color w:val="000000"/>
          <w:szCs w:val="24"/>
          <w:lang w:val="en-GB"/>
        </w:rPr>
        <w:t xml:space="preserve">Bronwen Heathfield, Director, </w:t>
      </w:r>
      <w:proofErr w:type="gramStart"/>
      <w:r w:rsidRPr="000829BE">
        <w:rPr>
          <w:rFonts w:ascii="Arial" w:eastAsia="Times New Roman" w:hAnsi="Arial" w:cs="Times New Roman"/>
          <w:color w:val="000000"/>
          <w:szCs w:val="24"/>
          <w:lang w:val="en-GB"/>
        </w:rPr>
        <w:t>Participation</w:t>
      </w:r>
      <w:proofErr w:type="gramEnd"/>
      <w:r w:rsidRPr="000829BE">
        <w:rPr>
          <w:rFonts w:ascii="Arial" w:eastAsia="Times New Roman" w:hAnsi="Arial" w:cs="Times New Roman"/>
          <w:color w:val="000000"/>
          <w:szCs w:val="24"/>
          <w:lang w:val="en-GB"/>
        </w:rPr>
        <w:t xml:space="preserve"> Branch</w:t>
      </w:r>
    </w:p>
    <w:p w14:paraId="128B82C5" w14:textId="77777777" w:rsidR="000829BE" w:rsidRPr="000829BE" w:rsidRDefault="000829BE" w:rsidP="000829BE">
      <w:pPr>
        <w:tabs>
          <w:tab w:val="left" w:pos="1080"/>
        </w:tabs>
        <w:overflowPunct w:val="0"/>
        <w:autoSpaceDE w:val="0"/>
        <w:autoSpaceDN w:val="0"/>
        <w:adjustRightInd w:val="0"/>
        <w:spacing w:before="60" w:after="0" w:line="240" w:lineRule="auto"/>
        <w:ind w:left="-284" w:right="397"/>
        <w:textAlignment w:val="baseline"/>
        <w:rPr>
          <w:rFonts w:ascii="Arial" w:eastAsia="Times New Roman" w:hAnsi="Arial" w:cs="Times New Roman"/>
          <w:b/>
          <w:color w:val="000000"/>
          <w:szCs w:val="24"/>
          <w:lang w:val="en-GB"/>
        </w:rPr>
      </w:pPr>
      <w:r w:rsidRPr="000829BE">
        <w:rPr>
          <w:rFonts w:ascii="Arial" w:eastAsia="Times New Roman" w:hAnsi="Arial" w:cs="Times New Roman"/>
          <w:b/>
          <w:color w:val="000000"/>
          <w:szCs w:val="20"/>
          <w:lang w:val="en-GB"/>
        </w:rPr>
        <w:t>DATE:</w:t>
      </w:r>
      <w:r w:rsidRPr="000829BE">
        <w:rPr>
          <w:rFonts w:ascii="Arial" w:eastAsia="Times New Roman" w:hAnsi="Arial" w:cs="Times New Roman"/>
          <w:b/>
          <w:color w:val="000000"/>
          <w:szCs w:val="20"/>
          <w:lang w:val="en-GB"/>
        </w:rPr>
        <w:tab/>
      </w:r>
      <w:r>
        <w:rPr>
          <w:rFonts w:ascii="Arial" w:eastAsia="Times New Roman" w:hAnsi="Arial" w:cs="Times New Roman"/>
          <w:color w:val="000000"/>
          <w:szCs w:val="20"/>
          <w:lang w:val="en-GB"/>
        </w:rPr>
        <w:t>16/12/2015</w:t>
      </w:r>
    </w:p>
    <w:p w14:paraId="0D2487F3" w14:textId="77777777" w:rsidR="000829BE" w:rsidRPr="000829BE" w:rsidRDefault="000829BE" w:rsidP="000829BE">
      <w:pPr>
        <w:pBdr>
          <w:bottom w:val="single" w:sz="12" w:space="1" w:color="auto"/>
        </w:pBdr>
        <w:tabs>
          <w:tab w:val="left" w:pos="1080"/>
          <w:tab w:val="left" w:pos="9753"/>
        </w:tabs>
        <w:overflowPunct w:val="0"/>
        <w:autoSpaceDE w:val="0"/>
        <w:autoSpaceDN w:val="0"/>
        <w:adjustRightInd w:val="0"/>
        <w:spacing w:before="60" w:after="0" w:line="240" w:lineRule="auto"/>
        <w:ind w:left="-284" w:right="-424"/>
        <w:textAlignment w:val="baseline"/>
        <w:rPr>
          <w:rFonts w:ascii="Arial" w:eastAsia="Times New Roman" w:hAnsi="Arial" w:cs="Times New Roman"/>
          <w:color w:val="000000"/>
          <w:szCs w:val="20"/>
          <w:lang w:val="en-GB"/>
        </w:rPr>
      </w:pPr>
      <w:r w:rsidRPr="000829BE">
        <w:rPr>
          <w:rFonts w:ascii="Arial" w:eastAsia="Times New Roman" w:hAnsi="Arial" w:cs="Times New Roman"/>
          <w:b/>
          <w:color w:val="000000"/>
          <w:szCs w:val="20"/>
          <w:lang w:val="en-GB"/>
        </w:rPr>
        <w:t>SUBJECT:</w:t>
      </w:r>
      <w:r w:rsidRPr="000829BE">
        <w:rPr>
          <w:rFonts w:ascii="Arial" w:eastAsia="Times New Roman" w:hAnsi="Arial" w:cs="Times New Roman"/>
          <w:b/>
          <w:color w:val="000000"/>
          <w:szCs w:val="20"/>
          <w:lang w:val="en-GB"/>
        </w:rPr>
        <w:tab/>
      </w:r>
      <w:r>
        <w:rPr>
          <w:rFonts w:ascii="Arial" w:eastAsia="Times New Roman" w:hAnsi="Arial" w:cs="Times New Roman"/>
          <w:i/>
          <w:color w:val="000000"/>
          <w:szCs w:val="20"/>
          <w:lang w:val="en-GB"/>
        </w:rPr>
        <w:t>Victorian Government Response to the VET Funding Review</w:t>
      </w:r>
      <w:bookmarkStart w:id="0" w:name="_GoBack"/>
      <w:bookmarkEnd w:id="0"/>
    </w:p>
    <w:p w14:paraId="4D803A96" w14:textId="77777777" w:rsidR="000829BE" w:rsidRPr="000829BE" w:rsidRDefault="000829BE" w:rsidP="000829BE">
      <w:pPr>
        <w:shd w:val="clear" w:color="auto" w:fill="FFFFFF"/>
        <w:overflowPunct w:val="0"/>
        <w:autoSpaceDE w:val="0"/>
        <w:autoSpaceDN w:val="0"/>
        <w:adjustRightInd w:val="0"/>
        <w:spacing w:after="0" w:line="240" w:lineRule="auto"/>
        <w:ind w:left="-284" w:right="397"/>
        <w:textAlignment w:val="baseline"/>
        <w:rPr>
          <w:rFonts w:ascii="Arial" w:eastAsia="ヒラギノ角ゴ Pro W3" w:hAnsi="Arial" w:cs="Arial"/>
          <w:color w:val="000000"/>
          <w:lang w:val="en-GB"/>
        </w:rPr>
      </w:pPr>
    </w:p>
    <w:p w14:paraId="4B546701" w14:textId="77777777" w:rsidR="005449BA" w:rsidRDefault="0059685D" w:rsidP="0059685D">
      <w:pPr>
        <w:tabs>
          <w:tab w:val="left" w:pos="0"/>
          <w:tab w:val="left" w:pos="1080"/>
        </w:tabs>
        <w:spacing w:after="0" w:line="240" w:lineRule="auto"/>
        <w:ind w:left="-284" w:right="397"/>
        <w:jc w:val="both"/>
        <w:rPr>
          <w:rFonts w:ascii="Arial" w:eastAsia="Times New Roman" w:hAnsi="Arial" w:cs="Arial"/>
          <w:bCs/>
          <w:color w:val="000000"/>
          <w:lang w:val="en-GB"/>
        </w:rPr>
      </w:pPr>
      <w:r w:rsidRPr="0059685D">
        <w:rPr>
          <w:rFonts w:ascii="Arial" w:eastAsia="Times New Roman" w:hAnsi="Arial" w:cs="Arial"/>
          <w:bCs/>
          <w:color w:val="000000"/>
          <w:lang w:val="en-GB"/>
        </w:rPr>
        <w:t>T</w:t>
      </w:r>
      <w:r>
        <w:rPr>
          <w:rFonts w:ascii="Arial" w:eastAsia="Times New Roman" w:hAnsi="Arial" w:cs="Arial"/>
          <w:bCs/>
          <w:color w:val="000000"/>
          <w:lang w:val="en-GB"/>
        </w:rPr>
        <w:t>oday t</w:t>
      </w:r>
      <w:r w:rsidRPr="0059685D">
        <w:rPr>
          <w:rFonts w:ascii="Arial" w:eastAsia="Times New Roman" w:hAnsi="Arial" w:cs="Arial"/>
          <w:bCs/>
          <w:color w:val="000000"/>
          <w:lang w:val="en-GB"/>
        </w:rPr>
        <w:t>he Minister for Training and Skills</w:t>
      </w:r>
      <w:r>
        <w:rPr>
          <w:rFonts w:ascii="Arial" w:eastAsia="Times New Roman" w:hAnsi="Arial" w:cs="Arial"/>
          <w:bCs/>
          <w:color w:val="000000"/>
          <w:lang w:val="en-GB"/>
        </w:rPr>
        <w:t>, the Hon.</w:t>
      </w:r>
      <w:r w:rsidRPr="0059685D">
        <w:rPr>
          <w:rFonts w:ascii="Arial" w:eastAsia="Times New Roman" w:hAnsi="Arial" w:cs="Arial"/>
          <w:bCs/>
          <w:color w:val="000000"/>
          <w:lang w:val="en-GB"/>
        </w:rPr>
        <w:t xml:space="preserve"> Steve Herbert</w:t>
      </w:r>
      <w:r>
        <w:rPr>
          <w:rFonts w:ascii="Arial" w:eastAsia="Times New Roman" w:hAnsi="Arial" w:cs="Arial"/>
          <w:bCs/>
          <w:color w:val="000000"/>
          <w:lang w:val="en-GB"/>
        </w:rPr>
        <w:t>, MP,</w:t>
      </w:r>
      <w:r w:rsidRPr="0059685D">
        <w:rPr>
          <w:rFonts w:ascii="Arial" w:eastAsia="Times New Roman" w:hAnsi="Arial" w:cs="Arial"/>
          <w:bCs/>
          <w:color w:val="000000"/>
          <w:lang w:val="en-GB"/>
        </w:rPr>
        <w:t xml:space="preserve"> released the </w:t>
      </w:r>
      <w:r>
        <w:rPr>
          <w:rFonts w:ascii="Arial" w:eastAsia="Times New Roman" w:hAnsi="Arial" w:cs="Arial"/>
          <w:bCs/>
          <w:color w:val="000000"/>
          <w:lang w:val="en-GB"/>
        </w:rPr>
        <w:t xml:space="preserve">Victorian </w:t>
      </w:r>
      <w:r w:rsidRPr="0059685D">
        <w:rPr>
          <w:rFonts w:ascii="Arial" w:eastAsia="Times New Roman" w:hAnsi="Arial" w:cs="Arial"/>
          <w:bCs/>
          <w:color w:val="000000"/>
          <w:lang w:val="en-GB"/>
        </w:rPr>
        <w:t xml:space="preserve">Government’s response to the </w:t>
      </w:r>
      <w:r>
        <w:rPr>
          <w:rFonts w:ascii="Arial" w:eastAsia="Times New Roman" w:hAnsi="Arial" w:cs="Arial"/>
          <w:bCs/>
          <w:color w:val="000000"/>
          <w:lang w:val="en-GB"/>
        </w:rPr>
        <w:t xml:space="preserve">VET Funding </w:t>
      </w:r>
      <w:r w:rsidRPr="0059685D">
        <w:rPr>
          <w:rFonts w:ascii="Arial" w:eastAsia="Times New Roman" w:hAnsi="Arial" w:cs="Arial"/>
          <w:bCs/>
          <w:color w:val="000000"/>
          <w:lang w:val="en-GB"/>
        </w:rPr>
        <w:t>Review</w:t>
      </w:r>
      <w:r>
        <w:rPr>
          <w:rFonts w:ascii="Arial" w:eastAsia="Times New Roman" w:hAnsi="Arial" w:cs="Arial"/>
          <w:bCs/>
          <w:color w:val="000000"/>
          <w:lang w:val="en-GB"/>
        </w:rPr>
        <w:t>, chaired by Bruce Mackenzie</w:t>
      </w:r>
      <w:r w:rsidRPr="0059685D">
        <w:rPr>
          <w:rFonts w:ascii="Arial" w:eastAsia="Times New Roman" w:hAnsi="Arial" w:cs="Arial"/>
          <w:bCs/>
          <w:color w:val="000000"/>
          <w:lang w:val="en-GB"/>
        </w:rPr>
        <w:t xml:space="preserve">. </w:t>
      </w:r>
      <w:r w:rsidR="00AA1010" w:rsidRPr="00AA1010">
        <w:rPr>
          <w:rFonts w:ascii="Arial" w:eastAsia="Times New Roman" w:hAnsi="Arial" w:cs="Arial"/>
          <w:bCs/>
          <w:color w:val="000000"/>
          <w:lang w:val="en-GB"/>
        </w:rPr>
        <w:t xml:space="preserve">The Response sets out the Government’s vision for </w:t>
      </w:r>
      <w:r w:rsidR="00CD25C3">
        <w:rPr>
          <w:rFonts w:ascii="Arial" w:eastAsia="Times New Roman" w:hAnsi="Arial" w:cs="Arial"/>
          <w:bCs/>
          <w:color w:val="000000"/>
          <w:lang w:val="en-GB"/>
        </w:rPr>
        <w:t xml:space="preserve">the future of VET in Victoria. </w:t>
      </w:r>
    </w:p>
    <w:p w14:paraId="00007B64" w14:textId="77777777" w:rsidR="00AA1010" w:rsidRPr="0059685D" w:rsidRDefault="00AA1010" w:rsidP="0059685D">
      <w:pPr>
        <w:tabs>
          <w:tab w:val="left" w:pos="0"/>
          <w:tab w:val="left" w:pos="1080"/>
        </w:tabs>
        <w:spacing w:after="0" w:line="240" w:lineRule="auto"/>
        <w:ind w:left="-284" w:right="397"/>
        <w:jc w:val="both"/>
        <w:rPr>
          <w:rFonts w:ascii="Arial" w:eastAsia="Times New Roman" w:hAnsi="Arial" w:cs="Arial"/>
          <w:bCs/>
          <w:color w:val="000000"/>
          <w:lang w:val="en-GB"/>
        </w:rPr>
      </w:pPr>
    </w:p>
    <w:p w14:paraId="2D8A5FA1" w14:textId="77777777" w:rsidR="00CD25C3" w:rsidRDefault="0059685D" w:rsidP="005449BA">
      <w:pPr>
        <w:tabs>
          <w:tab w:val="left" w:pos="0"/>
          <w:tab w:val="left" w:pos="1080"/>
        </w:tabs>
        <w:spacing w:after="0" w:line="240" w:lineRule="auto"/>
        <w:ind w:left="-284" w:right="397"/>
        <w:jc w:val="both"/>
        <w:rPr>
          <w:rFonts w:ascii="Arial" w:eastAsia="Times New Roman" w:hAnsi="Arial" w:cs="Arial"/>
          <w:bCs/>
          <w:color w:val="000000"/>
        </w:rPr>
      </w:pPr>
      <w:r>
        <w:rPr>
          <w:rFonts w:ascii="Arial" w:eastAsia="Times New Roman" w:hAnsi="Arial" w:cs="Arial"/>
          <w:bCs/>
          <w:color w:val="000000"/>
          <w:lang w:val="en-GB"/>
        </w:rPr>
        <w:t xml:space="preserve">The Response outlines </w:t>
      </w:r>
      <w:r w:rsidRPr="0059685D">
        <w:rPr>
          <w:rFonts w:ascii="Arial" w:eastAsia="Times New Roman" w:hAnsi="Arial" w:cs="Arial"/>
          <w:bCs/>
          <w:color w:val="000000"/>
        </w:rPr>
        <w:t xml:space="preserve">three overarching objectives </w:t>
      </w:r>
      <w:r w:rsidR="00CD25C3">
        <w:rPr>
          <w:rFonts w:ascii="Arial" w:eastAsia="Times New Roman" w:hAnsi="Arial" w:cs="Arial"/>
          <w:bCs/>
          <w:color w:val="000000"/>
        </w:rPr>
        <w:t xml:space="preserve">and </w:t>
      </w:r>
      <w:r w:rsidR="00CD25C3">
        <w:rPr>
          <w:rFonts w:ascii="Arial" w:eastAsia="Times New Roman" w:hAnsi="Arial" w:cs="Arial"/>
          <w:bCs/>
          <w:color w:val="000000"/>
          <w:lang w:val="en-GB"/>
        </w:rPr>
        <w:t xml:space="preserve">six themes </w:t>
      </w:r>
      <w:r w:rsidR="00CD25C3" w:rsidRPr="0059685D">
        <w:rPr>
          <w:rFonts w:ascii="Arial" w:eastAsia="Times New Roman" w:hAnsi="Arial" w:cs="Arial"/>
          <w:bCs/>
          <w:color w:val="000000"/>
        </w:rPr>
        <w:t xml:space="preserve">for reform </w:t>
      </w:r>
      <w:r w:rsidR="00CD25C3">
        <w:rPr>
          <w:rFonts w:ascii="Arial" w:eastAsia="Times New Roman" w:hAnsi="Arial" w:cs="Arial"/>
          <w:bCs/>
          <w:color w:val="000000"/>
        </w:rPr>
        <w:t xml:space="preserve">for the sector. </w:t>
      </w:r>
    </w:p>
    <w:p w14:paraId="30837516" w14:textId="77777777" w:rsidR="00CD25C3" w:rsidRDefault="00CD25C3" w:rsidP="005449BA">
      <w:pPr>
        <w:tabs>
          <w:tab w:val="left" w:pos="0"/>
          <w:tab w:val="left" w:pos="1080"/>
        </w:tabs>
        <w:spacing w:after="0" w:line="240" w:lineRule="auto"/>
        <w:ind w:left="-284" w:right="397"/>
        <w:jc w:val="both"/>
        <w:rPr>
          <w:rFonts w:ascii="Arial" w:eastAsia="Times New Roman" w:hAnsi="Arial" w:cs="Arial"/>
          <w:bCs/>
          <w:color w:val="000000"/>
        </w:rPr>
      </w:pPr>
    </w:p>
    <w:p w14:paraId="3E2FAD33" w14:textId="77777777" w:rsidR="005449BA" w:rsidRDefault="00CD25C3" w:rsidP="005449BA">
      <w:pPr>
        <w:tabs>
          <w:tab w:val="left" w:pos="0"/>
          <w:tab w:val="left" w:pos="1080"/>
        </w:tabs>
        <w:spacing w:after="0" w:line="240" w:lineRule="auto"/>
        <w:ind w:left="-284" w:right="397"/>
        <w:jc w:val="both"/>
        <w:rPr>
          <w:rFonts w:ascii="Arial" w:eastAsia="Times New Roman" w:hAnsi="Arial" w:cs="Arial"/>
          <w:bCs/>
          <w:color w:val="000000"/>
        </w:rPr>
      </w:pPr>
      <w:r>
        <w:rPr>
          <w:rFonts w:ascii="Arial" w:eastAsia="Times New Roman" w:hAnsi="Arial" w:cs="Arial"/>
          <w:bCs/>
          <w:color w:val="000000"/>
        </w:rPr>
        <w:t>The three objectives are:</w:t>
      </w:r>
    </w:p>
    <w:p w14:paraId="4614600F" w14:textId="77777777" w:rsidR="0059685D" w:rsidRPr="005449BA" w:rsidRDefault="0059685D" w:rsidP="005449BA">
      <w:pPr>
        <w:pStyle w:val="ListParagraph"/>
        <w:numPr>
          <w:ilvl w:val="0"/>
          <w:numId w:val="5"/>
        </w:numPr>
        <w:tabs>
          <w:tab w:val="left" w:pos="0"/>
          <w:tab w:val="left" w:pos="1080"/>
        </w:tabs>
        <w:spacing w:after="0" w:line="240" w:lineRule="auto"/>
        <w:ind w:right="397"/>
        <w:jc w:val="both"/>
        <w:rPr>
          <w:rFonts w:ascii="Arial" w:eastAsia="Times New Roman" w:hAnsi="Arial" w:cs="Arial"/>
          <w:bCs/>
          <w:color w:val="000000"/>
        </w:rPr>
      </w:pPr>
      <w:r w:rsidRPr="005449BA">
        <w:rPr>
          <w:rFonts w:ascii="Arial" w:eastAsia="Times New Roman" w:hAnsi="Arial" w:cs="Arial"/>
          <w:bCs/>
          <w:color w:val="000000"/>
        </w:rPr>
        <w:t>Delivering quality training that meets current and future industry needs.</w:t>
      </w:r>
    </w:p>
    <w:p w14:paraId="16B5F3D2" w14:textId="77777777" w:rsidR="0059685D" w:rsidRPr="0059685D" w:rsidRDefault="0059685D" w:rsidP="005449BA">
      <w:pPr>
        <w:pStyle w:val="ListParagraph"/>
        <w:numPr>
          <w:ilvl w:val="0"/>
          <w:numId w:val="5"/>
        </w:numPr>
        <w:tabs>
          <w:tab w:val="left" w:pos="0"/>
          <w:tab w:val="left" w:pos="1080"/>
        </w:tabs>
        <w:spacing w:after="0" w:line="240" w:lineRule="auto"/>
        <w:ind w:right="397"/>
        <w:jc w:val="both"/>
        <w:rPr>
          <w:rFonts w:ascii="Arial" w:eastAsia="Times New Roman" w:hAnsi="Arial" w:cs="Arial"/>
          <w:bCs/>
          <w:color w:val="000000"/>
        </w:rPr>
      </w:pPr>
      <w:r w:rsidRPr="0059685D">
        <w:rPr>
          <w:rFonts w:ascii="Arial" w:eastAsia="Times New Roman" w:hAnsi="Arial" w:cs="Arial"/>
          <w:bCs/>
          <w:color w:val="000000"/>
        </w:rPr>
        <w:t>Growing employment and further education outcomes</w:t>
      </w:r>
      <w:r w:rsidR="00A26B13">
        <w:rPr>
          <w:rFonts w:ascii="Arial" w:eastAsia="Times New Roman" w:hAnsi="Arial" w:cs="Arial"/>
          <w:bCs/>
          <w:color w:val="000000"/>
        </w:rPr>
        <w:t>.</w:t>
      </w:r>
      <w:r w:rsidRPr="0059685D">
        <w:rPr>
          <w:rFonts w:ascii="Arial" w:eastAsia="Times New Roman" w:hAnsi="Arial" w:cs="Arial"/>
          <w:bCs/>
          <w:color w:val="000000"/>
        </w:rPr>
        <w:t xml:space="preserve"> </w:t>
      </w:r>
    </w:p>
    <w:p w14:paraId="5D5786FE" w14:textId="77777777" w:rsidR="00CD25C3" w:rsidRDefault="0059685D" w:rsidP="00CD25C3">
      <w:pPr>
        <w:pStyle w:val="ListParagraph"/>
        <w:numPr>
          <w:ilvl w:val="0"/>
          <w:numId w:val="5"/>
        </w:numPr>
        <w:tabs>
          <w:tab w:val="left" w:pos="0"/>
          <w:tab w:val="left" w:pos="1080"/>
        </w:tabs>
        <w:spacing w:after="0" w:line="240" w:lineRule="auto"/>
        <w:ind w:right="397"/>
        <w:jc w:val="both"/>
        <w:rPr>
          <w:rFonts w:ascii="Arial" w:eastAsia="Times New Roman" w:hAnsi="Arial" w:cs="Arial"/>
          <w:bCs/>
          <w:color w:val="000000"/>
        </w:rPr>
      </w:pPr>
      <w:r w:rsidRPr="0059685D">
        <w:rPr>
          <w:rFonts w:ascii="Arial" w:eastAsia="Times New Roman" w:hAnsi="Arial" w:cs="Arial"/>
          <w:bCs/>
          <w:color w:val="000000"/>
        </w:rPr>
        <w:t>Promoting equity and addressing disadvantage.</w:t>
      </w:r>
    </w:p>
    <w:p w14:paraId="01E2B7F6" w14:textId="77777777" w:rsidR="00CD25C3" w:rsidRDefault="00CD25C3" w:rsidP="00CD25C3">
      <w:pPr>
        <w:spacing w:after="0" w:line="240" w:lineRule="auto"/>
        <w:ind w:left="-284" w:right="397"/>
        <w:jc w:val="both"/>
        <w:rPr>
          <w:rFonts w:ascii="Arial" w:eastAsia="Times New Roman" w:hAnsi="Arial" w:cs="Arial"/>
          <w:bCs/>
          <w:color w:val="000000"/>
        </w:rPr>
      </w:pPr>
    </w:p>
    <w:p w14:paraId="71B80B3E" w14:textId="77777777" w:rsidR="00CD25C3" w:rsidRDefault="00CD25C3" w:rsidP="00CD25C3">
      <w:pPr>
        <w:spacing w:after="0" w:line="240" w:lineRule="auto"/>
        <w:ind w:left="-284" w:right="397"/>
        <w:jc w:val="both"/>
        <w:rPr>
          <w:rFonts w:ascii="Arial" w:eastAsia="Times New Roman" w:hAnsi="Arial" w:cs="Arial"/>
          <w:bCs/>
          <w:color w:val="000000"/>
        </w:rPr>
      </w:pPr>
      <w:r>
        <w:rPr>
          <w:rFonts w:ascii="Arial" w:eastAsia="Times New Roman" w:hAnsi="Arial" w:cs="Arial"/>
          <w:bCs/>
          <w:color w:val="000000"/>
        </w:rPr>
        <w:t>The six themes for reform are:</w:t>
      </w:r>
    </w:p>
    <w:p w14:paraId="3C94302E" w14:textId="77777777" w:rsidR="00CD25C3" w:rsidRPr="00CD25C3" w:rsidRDefault="00CD25C3" w:rsidP="00CD25C3">
      <w:pPr>
        <w:pStyle w:val="ListParagraph"/>
        <w:numPr>
          <w:ilvl w:val="0"/>
          <w:numId w:val="6"/>
        </w:numPr>
        <w:spacing w:after="0" w:line="240" w:lineRule="auto"/>
        <w:ind w:right="397"/>
        <w:jc w:val="both"/>
        <w:rPr>
          <w:rFonts w:ascii="Arial" w:eastAsia="Times New Roman" w:hAnsi="Arial" w:cs="Arial"/>
          <w:bCs/>
          <w:color w:val="000000"/>
        </w:rPr>
      </w:pPr>
      <w:r w:rsidRPr="00CD25C3">
        <w:rPr>
          <w:rFonts w:ascii="Arial" w:eastAsia="Times New Roman" w:hAnsi="Arial" w:cs="Arial"/>
          <w:bCs/>
          <w:color w:val="000000"/>
        </w:rPr>
        <w:t>Establishing a clear vision for what Government expects from the VET system</w:t>
      </w:r>
      <w:r>
        <w:rPr>
          <w:rFonts w:ascii="Arial" w:eastAsia="Times New Roman" w:hAnsi="Arial" w:cs="Arial"/>
          <w:bCs/>
          <w:color w:val="000000"/>
        </w:rPr>
        <w:t>.</w:t>
      </w:r>
    </w:p>
    <w:p w14:paraId="1C09196C" w14:textId="77777777" w:rsidR="00CD25C3" w:rsidRPr="00CD25C3" w:rsidRDefault="00CD25C3" w:rsidP="00CD25C3">
      <w:pPr>
        <w:pStyle w:val="ListParagraph"/>
        <w:numPr>
          <w:ilvl w:val="0"/>
          <w:numId w:val="6"/>
        </w:numPr>
        <w:spacing w:after="0" w:line="240" w:lineRule="auto"/>
        <w:ind w:right="397"/>
        <w:jc w:val="both"/>
        <w:rPr>
          <w:rFonts w:ascii="Arial" w:eastAsia="Times New Roman" w:hAnsi="Arial" w:cs="Arial"/>
          <w:bCs/>
          <w:color w:val="000000"/>
        </w:rPr>
      </w:pPr>
      <w:r w:rsidRPr="00CD25C3">
        <w:rPr>
          <w:rFonts w:ascii="Arial" w:eastAsia="Times New Roman" w:hAnsi="Arial" w:cs="Arial"/>
          <w:bCs/>
          <w:color w:val="000000"/>
        </w:rPr>
        <w:t>Implementing a new stable and sustainable funding model</w:t>
      </w:r>
      <w:r>
        <w:rPr>
          <w:rFonts w:ascii="Arial" w:eastAsia="Times New Roman" w:hAnsi="Arial" w:cs="Arial"/>
          <w:bCs/>
          <w:color w:val="000000"/>
        </w:rPr>
        <w:t>.</w:t>
      </w:r>
    </w:p>
    <w:p w14:paraId="24210D5E" w14:textId="77777777" w:rsidR="00CD25C3" w:rsidRPr="00CD25C3" w:rsidRDefault="00CD25C3" w:rsidP="00CD25C3">
      <w:pPr>
        <w:pStyle w:val="ListParagraph"/>
        <w:numPr>
          <w:ilvl w:val="0"/>
          <w:numId w:val="6"/>
        </w:numPr>
        <w:spacing w:after="0" w:line="240" w:lineRule="auto"/>
        <w:ind w:right="397"/>
        <w:jc w:val="both"/>
        <w:rPr>
          <w:rFonts w:ascii="Arial" w:eastAsia="Times New Roman" w:hAnsi="Arial" w:cs="Arial"/>
          <w:bCs/>
          <w:color w:val="000000"/>
        </w:rPr>
      </w:pPr>
      <w:r w:rsidRPr="00CD25C3">
        <w:rPr>
          <w:rFonts w:ascii="Arial" w:eastAsia="Times New Roman" w:hAnsi="Arial" w:cs="Arial"/>
          <w:bCs/>
          <w:color w:val="000000"/>
        </w:rPr>
        <w:t>Rebuilding strong and sustainable TAFEs and Learn Locals</w:t>
      </w:r>
      <w:r>
        <w:rPr>
          <w:rFonts w:ascii="Arial" w:eastAsia="Times New Roman" w:hAnsi="Arial" w:cs="Arial"/>
          <w:bCs/>
          <w:color w:val="000000"/>
        </w:rPr>
        <w:t>.</w:t>
      </w:r>
    </w:p>
    <w:p w14:paraId="230A8D6A" w14:textId="77777777" w:rsidR="00CD25C3" w:rsidRPr="00CD25C3" w:rsidRDefault="00CD25C3" w:rsidP="00CD25C3">
      <w:pPr>
        <w:pStyle w:val="ListParagraph"/>
        <w:numPr>
          <w:ilvl w:val="0"/>
          <w:numId w:val="6"/>
        </w:numPr>
        <w:spacing w:after="0" w:line="240" w:lineRule="auto"/>
        <w:ind w:right="397"/>
        <w:jc w:val="both"/>
        <w:rPr>
          <w:rFonts w:ascii="Arial" w:eastAsia="Times New Roman" w:hAnsi="Arial" w:cs="Arial"/>
          <w:bCs/>
          <w:color w:val="000000"/>
        </w:rPr>
      </w:pPr>
      <w:r w:rsidRPr="00CD25C3">
        <w:rPr>
          <w:rFonts w:ascii="Arial" w:eastAsia="Times New Roman" w:hAnsi="Arial" w:cs="Arial"/>
          <w:bCs/>
          <w:color w:val="000000"/>
        </w:rPr>
        <w:t>Putting students, industry and employers first, in order to boost jobs and productivity</w:t>
      </w:r>
      <w:r>
        <w:rPr>
          <w:rFonts w:ascii="Arial" w:eastAsia="Times New Roman" w:hAnsi="Arial" w:cs="Arial"/>
          <w:bCs/>
          <w:color w:val="000000"/>
        </w:rPr>
        <w:t>.</w:t>
      </w:r>
    </w:p>
    <w:p w14:paraId="66DFF32C" w14:textId="77777777" w:rsidR="00CD25C3" w:rsidRPr="00CD25C3" w:rsidRDefault="00CD25C3" w:rsidP="00CD25C3">
      <w:pPr>
        <w:pStyle w:val="ListParagraph"/>
        <w:numPr>
          <w:ilvl w:val="0"/>
          <w:numId w:val="6"/>
        </w:numPr>
        <w:spacing w:after="0" w:line="240" w:lineRule="auto"/>
        <w:ind w:right="397"/>
        <w:jc w:val="both"/>
        <w:rPr>
          <w:rFonts w:ascii="Arial" w:eastAsia="Times New Roman" w:hAnsi="Arial" w:cs="Arial"/>
          <w:bCs/>
          <w:color w:val="000000"/>
        </w:rPr>
      </w:pPr>
      <w:r w:rsidRPr="00CD25C3">
        <w:rPr>
          <w:rFonts w:ascii="Arial" w:eastAsia="Times New Roman" w:hAnsi="Arial" w:cs="Arial"/>
          <w:bCs/>
          <w:color w:val="000000"/>
        </w:rPr>
        <w:t>Ensuring a fair and equitable funding system</w:t>
      </w:r>
      <w:r>
        <w:rPr>
          <w:rFonts w:ascii="Arial" w:eastAsia="Times New Roman" w:hAnsi="Arial" w:cs="Arial"/>
          <w:bCs/>
          <w:color w:val="000000"/>
        </w:rPr>
        <w:t>.</w:t>
      </w:r>
    </w:p>
    <w:p w14:paraId="3880CCC1" w14:textId="77777777" w:rsidR="00CD25C3" w:rsidRPr="00CD25C3" w:rsidRDefault="00CD25C3" w:rsidP="00CD25C3">
      <w:pPr>
        <w:pStyle w:val="ListParagraph"/>
        <w:numPr>
          <w:ilvl w:val="0"/>
          <w:numId w:val="6"/>
        </w:numPr>
        <w:spacing w:after="0" w:line="240" w:lineRule="auto"/>
        <w:ind w:right="397"/>
        <w:jc w:val="both"/>
        <w:rPr>
          <w:rFonts w:ascii="Arial" w:eastAsia="Times New Roman" w:hAnsi="Arial" w:cs="Arial"/>
          <w:bCs/>
          <w:color w:val="000000"/>
        </w:rPr>
      </w:pPr>
      <w:r w:rsidRPr="00CD25C3">
        <w:rPr>
          <w:rFonts w:ascii="Arial" w:eastAsia="Times New Roman" w:hAnsi="Arial" w:cs="Arial"/>
          <w:bCs/>
          <w:color w:val="000000"/>
        </w:rPr>
        <w:t>Placing quality and continuous improvement at the heart of VET.</w:t>
      </w:r>
    </w:p>
    <w:p w14:paraId="403BE5EC" w14:textId="77777777" w:rsidR="005449BA" w:rsidRPr="005449BA" w:rsidRDefault="005449BA" w:rsidP="005449BA">
      <w:pPr>
        <w:tabs>
          <w:tab w:val="left" w:pos="0"/>
          <w:tab w:val="left" w:pos="1080"/>
        </w:tabs>
        <w:spacing w:after="0" w:line="240" w:lineRule="auto"/>
        <w:ind w:left="720" w:right="397"/>
        <w:jc w:val="both"/>
        <w:rPr>
          <w:rFonts w:ascii="Arial" w:eastAsia="Times New Roman" w:hAnsi="Arial" w:cs="Arial"/>
          <w:bCs/>
          <w:color w:val="000000"/>
        </w:rPr>
      </w:pPr>
    </w:p>
    <w:p w14:paraId="54F07875" w14:textId="77777777" w:rsidR="00CD25C3" w:rsidRDefault="00CD25C3" w:rsidP="00CD25C3">
      <w:pPr>
        <w:tabs>
          <w:tab w:val="left" w:pos="0"/>
          <w:tab w:val="left" w:pos="1080"/>
        </w:tabs>
        <w:spacing w:after="0" w:line="240" w:lineRule="auto"/>
        <w:ind w:left="-284" w:right="397"/>
        <w:jc w:val="both"/>
        <w:rPr>
          <w:rFonts w:ascii="Arial" w:eastAsia="Times New Roman" w:hAnsi="Arial" w:cs="Arial"/>
          <w:bCs/>
          <w:color w:val="000000"/>
          <w:lang w:val="en-GB"/>
        </w:rPr>
      </w:pPr>
      <w:r>
        <w:rPr>
          <w:rFonts w:ascii="Arial" w:eastAsia="Times New Roman" w:hAnsi="Arial" w:cs="Arial"/>
          <w:bCs/>
          <w:color w:val="000000"/>
          <w:lang w:val="en-GB"/>
        </w:rPr>
        <w:t>S</w:t>
      </w:r>
      <w:proofErr w:type="spellStart"/>
      <w:r w:rsidR="005449BA" w:rsidRPr="00CD25C3">
        <w:rPr>
          <w:rFonts w:ascii="Arial" w:eastAsia="Times New Roman" w:hAnsi="Arial" w:cs="Arial"/>
          <w:bCs/>
          <w:color w:val="000000"/>
          <w:lang w:val="en-US"/>
        </w:rPr>
        <w:t>ocial</w:t>
      </w:r>
      <w:proofErr w:type="spellEnd"/>
      <w:r w:rsidR="005449BA" w:rsidRPr="00CD25C3">
        <w:rPr>
          <w:rFonts w:ascii="Arial" w:eastAsia="Times New Roman" w:hAnsi="Arial" w:cs="Arial"/>
          <w:bCs/>
          <w:color w:val="000000"/>
          <w:lang w:val="en-US"/>
        </w:rPr>
        <w:t xml:space="preserve"> inclusion, equity and addressing disadvantage are key objectives f</w:t>
      </w:r>
      <w:r w:rsidR="00AA1010" w:rsidRPr="00CD25C3">
        <w:rPr>
          <w:rFonts w:ascii="Arial" w:eastAsia="Times New Roman" w:hAnsi="Arial" w:cs="Arial"/>
          <w:bCs/>
          <w:color w:val="000000"/>
          <w:lang w:val="en-US"/>
        </w:rPr>
        <w:t>or the reformed training system</w:t>
      </w:r>
      <w:r>
        <w:rPr>
          <w:rFonts w:ascii="Arial" w:eastAsia="Times New Roman" w:hAnsi="Arial" w:cs="Arial"/>
          <w:bCs/>
          <w:color w:val="000000"/>
          <w:lang w:val="en-US"/>
        </w:rPr>
        <w:t>. The response will give</w:t>
      </w:r>
      <w:r w:rsidR="00AA1010" w:rsidRPr="005449BA">
        <w:rPr>
          <w:rFonts w:ascii="Arial" w:eastAsia="Times New Roman" w:hAnsi="Arial" w:cs="Arial"/>
          <w:bCs/>
          <w:color w:val="000000"/>
          <w:lang w:val="en-US"/>
        </w:rPr>
        <w:t xml:space="preserve"> Victorians confidence that community providers are able to deliver quality training under a sustainable funding mode</w:t>
      </w:r>
      <w:r>
        <w:rPr>
          <w:rFonts w:ascii="Arial" w:eastAsia="Times New Roman" w:hAnsi="Arial" w:cs="Arial"/>
          <w:bCs/>
          <w:color w:val="000000"/>
          <w:lang w:val="en-US"/>
        </w:rPr>
        <w:t>l.</w:t>
      </w:r>
      <w:r>
        <w:rPr>
          <w:rFonts w:ascii="Arial" w:eastAsia="Times New Roman" w:hAnsi="Arial" w:cs="Arial"/>
          <w:bCs/>
          <w:color w:val="000000"/>
          <w:lang w:val="en-GB"/>
        </w:rPr>
        <w:t xml:space="preserve"> </w:t>
      </w:r>
    </w:p>
    <w:p w14:paraId="284A05A9" w14:textId="77777777" w:rsidR="00CD25C3" w:rsidRDefault="00CD25C3" w:rsidP="00CD25C3">
      <w:pPr>
        <w:tabs>
          <w:tab w:val="left" w:pos="0"/>
          <w:tab w:val="left" w:pos="1080"/>
        </w:tabs>
        <w:spacing w:after="0" w:line="240" w:lineRule="auto"/>
        <w:ind w:left="-284" w:right="397"/>
        <w:jc w:val="both"/>
        <w:rPr>
          <w:rFonts w:ascii="Arial" w:eastAsia="Times New Roman" w:hAnsi="Arial" w:cs="Arial"/>
          <w:bCs/>
          <w:color w:val="000000"/>
          <w:lang w:val="en-GB"/>
        </w:rPr>
      </w:pPr>
    </w:p>
    <w:p w14:paraId="3AC7E01D" w14:textId="77777777" w:rsidR="00AA1010" w:rsidRPr="00CD25C3" w:rsidRDefault="00CD25C3" w:rsidP="00CD25C3">
      <w:pPr>
        <w:tabs>
          <w:tab w:val="left" w:pos="0"/>
          <w:tab w:val="left" w:pos="1080"/>
        </w:tabs>
        <w:spacing w:after="0" w:line="240" w:lineRule="auto"/>
        <w:ind w:left="-284" w:right="397"/>
        <w:jc w:val="both"/>
        <w:rPr>
          <w:rFonts w:ascii="Arial" w:eastAsia="Times New Roman" w:hAnsi="Arial" w:cs="Arial"/>
          <w:bCs/>
          <w:color w:val="000000"/>
          <w:lang w:val="en-GB"/>
        </w:rPr>
      </w:pPr>
      <w:r>
        <w:rPr>
          <w:rFonts w:ascii="Arial" w:eastAsia="Times New Roman" w:hAnsi="Arial" w:cs="Arial"/>
          <w:bCs/>
          <w:color w:val="000000"/>
          <w:lang w:val="en-GB"/>
        </w:rPr>
        <w:t>The Government will ensure</w:t>
      </w:r>
      <w:r w:rsidR="00AA1010" w:rsidRPr="00CD25C3">
        <w:rPr>
          <w:rFonts w:ascii="Arial" w:eastAsia="Times New Roman" w:hAnsi="Arial" w:cs="Arial"/>
          <w:bCs/>
          <w:color w:val="000000"/>
          <w:lang w:val="en-GB"/>
        </w:rPr>
        <w:t xml:space="preserve"> </w:t>
      </w:r>
      <w:r w:rsidR="00AA1010" w:rsidRPr="00CD25C3">
        <w:rPr>
          <w:rFonts w:ascii="Arial" w:eastAsia="Times New Roman" w:hAnsi="Arial" w:cs="Arial"/>
          <w:bCs/>
          <w:color w:val="000000"/>
          <w:lang w:val="en-US"/>
        </w:rPr>
        <w:t>a more holistic range of supports for higher needs and disadvantaged learners:</w:t>
      </w:r>
    </w:p>
    <w:p w14:paraId="20ED8976" w14:textId="77777777" w:rsidR="00AA1010" w:rsidRPr="00CD25C3" w:rsidRDefault="00AA1010" w:rsidP="00CD25C3">
      <w:pPr>
        <w:pStyle w:val="ListParagraph"/>
        <w:numPr>
          <w:ilvl w:val="0"/>
          <w:numId w:val="6"/>
        </w:numPr>
        <w:spacing w:after="0" w:line="240" w:lineRule="auto"/>
        <w:ind w:right="397"/>
        <w:jc w:val="both"/>
        <w:rPr>
          <w:rFonts w:ascii="Arial" w:eastAsia="Times New Roman" w:hAnsi="Arial" w:cs="Arial"/>
          <w:bCs/>
          <w:color w:val="000000"/>
        </w:rPr>
      </w:pPr>
      <w:r w:rsidRPr="00CD25C3">
        <w:rPr>
          <w:rFonts w:ascii="Arial" w:eastAsia="Times New Roman" w:hAnsi="Arial" w:cs="Arial"/>
          <w:bCs/>
          <w:color w:val="000000"/>
        </w:rPr>
        <w:t>Build a better understanding of how best to tailor support for disadvantaged learners to allow Learn Local and other community providers to meet the diverse needs of their students.</w:t>
      </w:r>
    </w:p>
    <w:p w14:paraId="53BF2DF0" w14:textId="77777777" w:rsidR="00AA1010" w:rsidRPr="00CD25C3" w:rsidRDefault="00AA1010" w:rsidP="00CD25C3">
      <w:pPr>
        <w:pStyle w:val="ListParagraph"/>
        <w:numPr>
          <w:ilvl w:val="0"/>
          <w:numId w:val="6"/>
        </w:numPr>
        <w:spacing w:after="0" w:line="240" w:lineRule="auto"/>
        <w:ind w:right="397"/>
        <w:jc w:val="both"/>
        <w:rPr>
          <w:rFonts w:ascii="Arial" w:eastAsia="Times New Roman" w:hAnsi="Arial" w:cs="Arial"/>
          <w:bCs/>
          <w:color w:val="000000"/>
        </w:rPr>
      </w:pPr>
      <w:r w:rsidRPr="00CD25C3">
        <w:rPr>
          <w:rFonts w:ascii="Arial" w:eastAsia="Times New Roman" w:hAnsi="Arial" w:cs="Arial"/>
          <w:bCs/>
          <w:color w:val="000000"/>
        </w:rPr>
        <w:t>Place a renewed focus on the delivery of foundation skills, including developing ways to better address the literacy and numeracy needs of learners.</w:t>
      </w:r>
    </w:p>
    <w:p w14:paraId="68522142" w14:textId="77777777" w:rsidR="00AA1010" w:rsidRPr="00CD25C3" w:rsidRDefault="00AA1010" w:rsidP="00CD25C3">
      <w:pPr>
        <w:pStyle w:val="ListParagraph"/>
        <w:numPr>
          <w:ilvl w:val="0"/>
          <w:numId w:val="6"/>
        </w:numPr>
        <w:spacing w:after="0" w:line="240" w:lineRule="auto"/>
        <w:ind w:right="397"/>
        <w:jc w:val="both"/>
        <w:rPr>
          <w:rFonts w:ascii="Arial" w:eastAsia="Times New Roman" w:hAnsi="Arial" w:cs="Arial"/>
          <w:bCs/>
          <w:color w:val="000000"/>
        </w:rPr>
      </w:pPr>
      <w:r w:rsidRPr="00CD25C3">
        <w:rPr>
          <w:rFonts w:ascii="Arial" w:eastAsia="Times New Roman" w:hAnsi="Arial" w:cs="Arial"/>
          <w:bCs/>
          <w:color w:val="000000"/>
        </w:rPr>
        <w:t>Promote genuine partnerships between community providers, industry, schools, TAFEs, employers, universities, focusing on ensuring that student pathways are supported and stronger links are formed.</w:t>
      </w:r>
    </w:p>
    <w:p w14:paraId="31D2CF59" w14:textId="77777777" w:rsidR="00AA1010" w:rsidRPr="00CD25C3" w:rsidRDefault="00AA1010" w:rsidP="00CD25C3">
      <w:pPr>
        <w:pStyle w:val="ListParagraph"/>
        <w:spacing w:after="0" w:line="240" w:lineRule="auto"/>
        <w:ind w:left="436" w:right="397"/>
        <w:jc w:val="both"/>
        <w:rPr>
          <w:rFonts w:ascii="Arial" w:eastAsia="Times New Roman" w:hAnsi="Arial" w:cs="Arial"/>
          <w:bCs/>
          <w:color w:val="000000"/>
        </w:rPr>
      </w:pPr>
    </w:p>
    <w:p w14:paraId="7F695229" w14:textId="77777777" w:rsidR="00573814" w:rsidRDefault="00573814" w:rsidP="005449BA">
      <w:pPr>
        <w:tabs>
          <w:tab w:val="left" w:pos="0"/>
          <w:tab w:val="left" w:pos="1080"/>
        </w:tabs>
        <w:spacing w:after="0" w:line="240" w:lineRule="auto"/>
        <w:ind w:left="-284" w:right="397"/>
        <w:jc w:val="both"/>
        <w:rPr>
          <w:rFonts w:ascii="Arial" w:eastAsia="Times New Roman" w:hAnsi="Arial" w:cs="Arial"/>
          <w:bCs/>
          <w:color w:val="000000"/>
          <w:lang w:val="en-US"/>
        </w:rPr>
      </w:pPr>
    </w:p>
    <w:p w14:paraId="0681DE04" w14:textId="77777777" w:rsidR="005449BA" w:rsidRDefault="00573814" w:rsidP="005449BA">
      <w:pPr>
        <w:tabs>
          <w:tab w:val="left" w:pos="0"/>
          <w:tab w:val="left" w:pos="1080"/>
        </w:tabs>
        <w:spacing w:after="0" w:line="240" w:lineRule="auto"/>
        <w:ind w:left="-284" w:right="397"/>
        <w:jc w:val="both"/>
        <w:rPr>
          <w:rFonts w:ascii="Arial" w:eastAsia="Times New Roman" w:hAnsi="Arial" w:cs="Arial"/>
          <w:bCs/>
          <w:color w:val="000000"/>
          <w:lang w:val="en-US"/>
        </w:rPr>
      </w:pPr>
      <w:r>
        <w:rPr>
          <w:rFonts w:ascii="Arial" w:eastAsia="Times New Roman" w:hAnsi="Arial" w:cs="Arial"/>
          <w:bCs/>
          <w:color w:val="000000"/>
          <w:lang w:val="en-US"/>
        </w:rPr>
        <w:t xml:space="preserve">The work emerging from the response will further build on the Government’s investment in the sector. </w:t>
      </w:r>
      <w:r w:rsidR="005449BA" w:rsidRPr="005449BA">
        <w:rPr>
          <w:rFonts w:ascii="Arial" w:eastAsia="Times New Roman" w:hAnsi="Arial" w:cs="Arial"/>
          <w:bCs/>
          <w:color w:val="000000"/>
          <w:lang w:val="en-US"/>
        </w:rPr>
        <w:t>In 2015, the</w:t>
      </w:r>
      <w:r w:rsidR="00AA1010">
        <w:rPr>
          <w:rFonts w:ascii="Arial" w:eastAsia="Times New Roman" w:hAnsi="Arial" w:cs="Arial"/>
          <w:bCs/>
          <w:color w:val="000000"/>
          <w:lang w:val="en-US"/>
        </w:rPr>
        <w:t xml:space="preserve"> </w:t>
      </w:r>
      <w:r w:rsidR="005449BA" w:rsidRPr="005449BA">
        <w:rPr>
          <w:rFonts w:ascii="Arial" w:eastAsia="Times New Roman" w:hAnsi="Arial" w:cs="Arial"/>
          <w:bCs/>
          <w:color w:val="000000"/>
          <w:lang w:val="en-US"/>
        </w:rPr>
        <w:t xml:space="preserve">Government increased funding to the sector to support pre-accredited </w:t>
      </w:r>
      <w:r w:rsidR="005449BA" w:rsidRPr="005449BA">
        <w:rPr>
          <w:rFonts w:ascii="Arial" w:eastAsia="Times New Roman" w:hAnsi="Arial" w:cs="Arial"/>
          <w:bCs/>
          <w:color w:val="000000"/>
          <w:lang w:val="en-US"/>
        </w:rPr>
        <w:lastRenderedPageBreak/>
        <w:t xml:space="preserve">training, and announced a $20 million </w:t>
      </w:r>
      <w:r w:rsidR="005449BA" w:rsidRPr="005449BA">
        <w:rPr>
          <w:rFonts w:ascii="Arial" w:eastAsia="Times New Roman" w:hAnsi="Arial" w:cs="Arial"/>
          <w:bCs/>
          <w:i/>
          <w:color w:val="000000"/>
          <w:lang w:val="en-US"/>
        </w:rPr>
        <w:t>Reconnect</w:t>
      </w:r>
      <w:r w:rsidR="005449BA" w:rsidRPr="005449BA">
        <w:rPr>
          <w:rFonts w:ascii="Arial" w:eastAsia="Times New Roman" w:hAnsi="Arial" w:cs="Arial"/>
          <w:bCs/>
          <w:color w:val="000000"/>
          <w:lang w:val="en-US"/>
        </w:rPr>
        <w:t xml:space="preserve"> program for </w:t>
      </w:r>
      <w:r w:rsidR="000554BE">
        <w:rPr>
          <w:rFonts w:ascii="Arial" w:eastAsia="Times New Roman" w:hAnsi="Arial" w:cs="Arial"/>
          <w:bCs/>
          <w:color w:val="000000"/>
          <w:lang w:val="en-US"/>
        </w:rPr>
        <w:t xml:space="preserve">early school leavers to </w:t>
      </w:r>
      <w:r w:rsidR="005449BA" w:rsidRPr="005449BA">
        <w:rPr>
          <w:rFonts w:ascii="Arial" w:eastAsia="Times New Roman" w:hAnsi="Arial" w:cs="Arial"/>
          <w:bCs/>
          <w:color w:val="000000"/>
          <w:lang w:val="en-US"/>
        </w:rPr>
        <w:t>get back into education and training.</w:t>
      </w:r>
    </w:p>
    <w:p w14:paraId="3F2F0151" w14:textId="77777777" w:rsidR="00E537B4" w:rsidRDefault="00E537B4" w:rsidP="005449BA">
      <w:pPr>
        <w:tabs>
          <w:tab w:val="left" w:pos="0"/>
          <w:tab w:val="left" w:pos="1080"/>
        </w:tabs>
        <w:spacing w:after="0" w:line="240" w:lineRule="auto"/>
        <w:ind w:left="-284" w:right="397"/>
        <w:jc w:val="both"/>
        <w:rPr>
          <w:rFonts w:ascii="Arial" w:eastAsia="Times New Roman" w:hAnsi="Arial" w:cs="Arial"/>
          <w:bCs/>
          <w:color w:val="000000"/>
          <w:lang w:val="en-US"/>
        </w:rPr>
      </w:pPr>
    </w:p>
    <w:p w14:paraId="09524D4E" w14:textId="77777777" w:rsidR="00E537B4" w:rsidRPr="005449BA" w:rsidRDefault="00E537B4" w:rsidP="005449BA">
      <w:pPr>
        <w:tabs>
          <w:tab w:val="left" w:pos="0"/>
          <w:tab w:val="left" w:pos="1080"/>
        </w:tabs>
        <w:spacing w:after="0" w:line="240" w:lineRule="auto"/>
        <w:ind w:left="-284" w:right="397"/>
        <w:jc w:val="both"/>
        <w:rPr>
          <w:rFonts w:ascii="Arial" w:eastAsia="Times New Roman" w:hAnsi="Arial" w:cs="Arial"/>
          <w:bCs/>
          <w:color w:val="000000"/>
          <w:lang w:val="en-US"/>
        </w:rPr>
      </w:pPr>
      <w:r>
        <w:rPr>
          <w:rFonts w:ascii="Arial" w:eastAsia="Times New Roman" w:hAnsi="Arial" w:cs="Arial"/>
          <w:bCs/>
          <w:color w:val="000000"/>
          <w:lang w:val="en-US"/>
        </w:rPr>
        <w:t>Learn Locals and other community providers will be supported through a fair and equitable funding system to meet the diverse needs of their students with the current subsidy loadings undergoing review. There will be a greater focus on understanding how to best support disadvantaged learners including ways to better address the literacy and numeracy needs of learners.</w:t>
      </w:r>
    </w:p>
    <w:p w14:paraId="356C6AC0" w14:textId="77777777" w:rsidR="00AA1010" w:rsidRDefault="00AA1010" w:rsidP="00AA1010">
      <w:pPr>
        <w:tabs>
          <w:tab w:val="left" w:pos="0"/>
          <w:tab w:val="left" w:pos="1080"/>
        </w:tabs>
        <w:spacing w:after="0" w:line="240" w:lineRule="auto"/>
        <w:ind w:left="-284" w:right="397"/>
        <w:jc w:val="both"/>
      </w:pPr>
    </w:p>
    <w:p w14:paraId="1B48112F" w14:textId="77777777" w:rsidR="00D22F6B" w:rsidRDefault="00AA1010" w:rsidP="00D22F6B">
      <w:pPr>
        <w:tabs>
          <w:tab w:val="left" w:pos="0"/>
          <w:tab w:val="left" w:pos="1080"/>
        </w:tabs>
        <w:spacing w:after="0" w:line="240" w:lineRule="auto"/>
        <w:ind w:left="-284" w:right="397"/>
        <w:jc w:val="both"/>
        <w:rPr>
          <w:rFonts w:ascii="Arial" w:eastAsia="Times New Roman" w:hAnsi="Arial" w:cs="Arial"/>
          <w:bCs/>
          <w:color w:val="000000"/>
          <w:lang w:val="en-GB"/>
        </w:rPr>
      </w:pPr>
      <w:r w:rsidRPr="00AA1010">
        <w:rPr>
          <w:rFonts w:ascii="Arial" w:eastAsia="Times New Roman" w:hAnsi="Arial" w:cs="Arial"/>
          <w:bCs/>
          <w:color w:val="000000"/>
          <w:lang w:val="en-GB"/>
        </w:rPr>
        <w:t xml:space="preserve">From </w:t>
      </w:r>
      <w:r>
        <w:rPr>
          <w:rFonts w:ascii="Arial" w:eastAsia="Times New Roman" w:hAnsi="Arial" w:cs="Arial"/>
          <w:bCs/>
          <w:color w:val="000000"/>
          <w:lang w:val="en-GB"/>
        </w:rPr>
        <w:t>today</w:t>
      </w:r>
      <w:r w:rsidRPr="00AA1010">
        <w:rPr>
          <w:rFonts w:ascii="Arial" w:eastAsia="Times New Roman" w:hAnsi="Arial" w:cs="Arial"/>
          <w:bCs/>
          <w:color w:val="000000"/>
          <w:lang w:val="en-GB"/>
        </w:rPr>
        <w:t xml:space="preserve">, </w:t>
      </w:r>
      <w:r w:rsidR="00A26B13">
        <w:rPr>
          <w:rFonts w:ascii="Arial" w:eastAsia="Times New Roman" w:hAnsi="Arial" w:cs="Arial"/>
          <w:bCs/>
          <w:color w:val="000000"/>
          <w:lang w:val="en-GB"/>
        </w:rPr>
        <w:t xml:space="preserve">I would encourage you to engage with the Response by visiting the website: </w:t>
      </w:r>
      <w:hyperlink r:id="rId12" w:history="1">
        <w:r w:rsidR="00A26B13" w:rsidRPr="00C11F28">
          <w:rPr>
            <w:rStyle w:val="Hyperlink"/>
            <w:rFonts w:ascii="Arial" w:eastAsia="Times New Roman" w:hAnsi="Arial" w:cs="Arial"/>
            <w:bCs/>
            <w:lang w:val="en-GB"/>
          </w:rPr>
          <w:t>www.education.vic.gov.au/vetfundingresponse</w:t>
        </w:r>
      </w:hyperlink>
      <w:r w:rsidR="00A26B13">
        <w:rPr>
          <w:rFonts w:ascii="Arial" w:eastAsia="Times New Roman" w:hAnsi="Arial" w:cs="Arial"/>
          <w:bCs/>
          <w:color w:val="000000"/>
          <w:lang w:val="en-GB"/>
        </w:rPr>
        <w:t>. On the website you can read</w:t>
      </w:r>
      <w:r w:rsidRPr="00AA1010">
        <w:rPr>
          <w:rFonts w:ascii="Arial" w:eastAsia="Times New Roman" w:hAnsi="Arial" w:cs="Arial"/>
          <w:bCs/>
          <w:color w:val="000000"/>
          <w:lang w:val="en-GB"/>
        </w:rPr>
        <w:t xml:space="preserve"> the VET Funding Review Final Report and the Government Response, request a hard copy of the Report, and provide feedback</w:t>
      </w:r>
      <w:r w:rsidR="00A26B13">
        <w:rPr>
          <w:rFonts w:ascii="Arial" w:eastAsia="Times New Roman" w:hAnsi="Arial" w:cs="Arial"/>
          <w:bCs/>
          <w:color w:val="000000"/>
          <w:lang w:val="en-GB"/>
        </w:rPr>
        <w:t xml:space="preserve"> via the link at the bottom</w:t>
      </w:r>
      <w:r w:rsidR="00CD25C3">
        <w:rPr>
          <w:rFonts w:ascii="Arial" w:eastAsia="Times New Roman" w:hAnsi="Arial" w:cs="Arial"/>
          <w:bCs/>
          <w:color w:val="000000"/>
          <w:lang w:val="en-GB"/>
        </w:rPr>
        <w:t xml:space="preserve">. You can also find a series of fact sheets to help you understand the focus of the </w:t>
      </w:r>
      <w:r w:rsidR="00D22F6B">
        <w:rPr>
          <w:rFonts w:ascii="Arial" w:eastAsia="Times New Roman" w:hAnsi="Arial" w:cs="Arial"/>
          <w:bCs/>
          <w:color w:val="000000"/>
          <w:lang w:val="en-GB"/>
        </w:rPr>
        <w:t>response and what it may mean for you, other parts of the VET sector and Victoria more broadly:</w:t>
      </w:r>
    </w:p>
    <w:p w14:paraId="36C7EBDA" w14:textId="77777777" w:rsidR="00D22F6B" w:rsidRPr="00D22F6B" w:rsidRDefault="00D22F6B" w:rsidP="00D22F6B">
      <w:pPr>
        <w:pStyle w:val="ListParagraph"/>
        <w:numPr>
          <w:ilvl w:val="0"/>
          <w:numId w:val="6"/>
        </w:numPr>
        <w:spacing w:after="0" w:line="240" w:lineRule="auto"/>
        <w:ind w:right="397"/>
        <w:jc w:val="both"/>
        <w:rPr>
          <w:rFonts w:ascii="Arial" w:eastAsia="Times New Roman" w:hAnsi="Arial" w:cs="Arial"/>
          <w:bCs/>
          <w:color w:val="000000"/>
        </w:rPr>
      </w:pPr>
      <w:r w:rsidRPr="00D22F6B">
        <w:rPr>
          <w:rFonts w:ascii="Arial" w:eastAsia="Times New Roman" w:hAnsi="Arial" w:cs="Arial"/>
          <w:bCs/>
          <w:color w:val="000000"/>
        </w:rPr>
        <w:t xml:space="preserve">Fact Sheet - our vision for industry </w:t>
      </w:r>
    </w:p>
    <w:p w14:paraId="2EAFD161" w14:textId="77777777" w:rsidR="00D22F6B" w:rsidRPr="00D22F6B" w:rsidRDefault="00D22F6B" w:rsidP="00D22F6B">
      <w:pPr>
        <w:pStyle w:val="ListParagraph"/>
        <w:numPr>
          <w:ilvl w:val="0"/>
          <w:numId w:val="6"/>
        </w:numPr>
        <w:spacing w:after="0" w:line="240" w:lineRule="auto"/>
        <w:ind w:right="397"/>
        <w:jc w:val="both"/>
        <w:rPr>
          <w:rFonts w:ascii="Arial" w:eastAsia="Times New Roman" w:hAnsi="Arial" w:cs="Arial"/>
          <w:bCs/>
          <w:color w:val="000000"/>
        </w:rPr>
      </w:pPr>
      <w:r w:rsidRPr="00D22F6B">
        <w:rPr>
          <w:rFonts w:ascii="Arial" w:eastAsia="Times New Roman" w:hAnsi="Arial" w:cs="Arial"/>
          <w:bCs/>
          <w:color w:val="000000"/>
        </w:rPr>
        <w:t xml:space="preserve">Fact Sheet - our vision for regions </w:t>
      </w:r>
    </w:p>
    <w:p w14:paraId="2A003F25" w14:textId="77777777" w:rsidR="00D22F6B" w:rsidRPr="00D22F6B" w:rsidRDefault="00D22F6B" w:rsidP="00D22F6B">
      <w:pPr>
        <w:pStyle w:val="ListParagraph"/>
        <w:numPr>
          <w:ilvl w:val="0"/>
          <w:numId w:val="6"/>
        </w:numPr>
        <w:spacing w:after="0" w:line="240" w:lineRule="auto"/>
        <w:ind w:right="397"/>
        <w:jc w:val="both"/>
        <w:rPr>
          <w:rFonts w:ascii="Arial" w:eastAsia="Times New Roman" w:hAnsi="Arial" w:cs="Arial"/>
          <w:bCs/>
          <w:color w:val="000000"/>
        </w:rPr>
      </w:pPr>
      <w:r w:rsidRPr="00D22F6B">
        <w:rPr>
          <w:rFonts w:ascii="Arial" w:eastAsia="Times New Roman" w:hAnsi="Arial" w:cs="Arial"/>
          <w:bCs/>
          <w:color w:val="000000"/>
        </w:rPr>
        <w:t xml:space="preserve">Fact Sheet - our vision for community providers </w:t>
      </w:r>
    </w:p>
    <w:p w14:paraId="66833E2A" w14:textId="77777777" w:rsidR="00D22F6B" w:rsidRPr="00D22F6B" w:rsidRDefault="00D22F6B" w:rsidP="00D22F6B">
      <w:pPr>
        <w:pStyle w:val="ListParagraph"/>
        <w:numPr>
          <w:ilvl w:val="0"/>
          <w:numId w:val="6"/>
        </w:numPr>
        <w:spacing w:after="0" w:line="240" w:lineRule="auto"/>
        <w:ind w:right="397"/>
        <w:jc w:val="both"/>
        <w:rPr>
          <w:rFonts w:ascii="Arial" w:eastAsia="Times New Roman" w:hAnsi="Arial" w:cs="Arial"/>
          <w:bCs/>
          <w:color w:val="000000"/>
        </w:rPr>
      </w:pPr>
      <w:r w:rsidRPr="00D22F6B">
        <w:rPr>
          <w:rFonts w:ascii="Arial" w:eastAsia="Times New Roman" w:hAnsi="Arial" w:cs="Arial"/>
          <w:bCs/>
          <w:color w:val="000000"/>
        </w:rPr>
        <w:t>Fact Sheet - our vision for training providers</w:t>
      </w:r>
    </w:p>
    <w:p w14:paraId="53F4B549" w14:textId="77777777" w:rsidR="00D22F6B" w:rsidRPr="00D22F6B" w:rsidRDefault="00D22F6B" w:rsidP="00D22F6B">
      <w:pPr>
        <w:pStyle w:val="ListParagraph"/>
        <w:numPr>
          <w:ilvl w:val="0"/>
          <w:numId w:val="6"/>
        </w:numPr>
        <w:spacing w:after="0" w:line="240" w:lineRule="auto"/>
        <w:ind w:right="397"/>
        <w:jc w:val="both"/>
        <w:rPr>
          <w:rFonts w:ascii="Arial" w:eastAsia="Times New Roman" w:hAnsi="Arial" w:cs="Arial"/>
          <w:bCs/>
          <w:color w:val="000000"/>
        </w:rPr>
      </w:pPr>
      <w:r w:rsidRPr="00D22F6B">
        <w:rPr>
          <w:rFonts w:ascii="Arial" w:eastAsia="Times New Roman" w:hAnsi="Arial" w:cs="Arial"/>
          <w:bCs/>
          <w:color w:val="000000"/>
        </w:rPr>
        <w:t xml:space="preserve">Fact Sheet - our vision for TAFEs </w:t>
      </w:r>
    </w:p>
    <w:p w14:paraId="6DDB9E2A" w14:textId="77777777" w:rsidR="00D22F6B" w:rsidRPr="00D22F6B" w:rsidRDefault="00D22F6B" w:rsidP="00D22F6B">
      <w:pPr>
        <w:pStyle w:val="ListParagraph"/>
        <w:numPr>
          <w:ilvl w:val="0"/>
          <w:numId w:val="6"/>
        </w:numPr>
        <w:spacing w:after="0" w:line="240" w:lineRule="auto"/>
        <w:ind w:right="397"/>
        <w:jc w:val="both"/>
        <w:rPr>
          <w:rFonts w:ascii="Arial" w:eastAsia="Times New Roman" w:hAnsi="Arial" w:cs="Arial"/>
          <w:bCs/>
          <w:color w:val="000000"/>
        </w:rPr>
      </w:pPr>
      <w:r w:rsidRPr="00D22F6B">
        <w:rPr>
          <w:rFonts w:ascii="Arial" w:eastAsia="Times New Roman" w:hAnsi="Arial" w:cs="Arial"/>
          <w:bCs/>
          <w:color w:val="000000"/>
        </w:rPr>
        <w:t xml:space="preserve">Fact Sheet - our vision for students </w:t>
      </w:r>
    </w:p>
    <w:p w14:paraId="1D4F99A3" w14:textId="77777777" w:rsidR="00D22F6B" w:rsidRPr="00D22F6B" w:rsidRDefault="00D22F6B" w:rsidP="00D22F6B">
      <w:pPr>
        <w:pStyle w:val="ListParagraph"/>
        <w:numPr>
          <w:ilvl w:val="0"/>
          <w:numId w:val="6"/>
        </w:numPr>
        <w:spacing w:after="0" w:line="240" w:lineRule="auto"/>
        <w:ind w:right="397"/>
        <w:jc w:val="both"/>
        <w:rPr>
          <w:rFonts w:ascii="Arial" w:eastAsia="Times New Roman" w:hAnsi="Arial" w:cs="Arial"/>
          <w:bCs/>
          <w:color w:val="000000"/>
        </w:rPr>
      </w:pPr>
      <w:r w:rsidRPr="00D22F6B">
        <w:rPr>
          <w:rFonts w:ascii="Arial" w:eastAsia="Times New Roman" w:hAnsi="Arial" w:cs="Arial"/>
          <w:bCs/>
          <w:color w:val="000000"/>
        </w:rPr>
        <w:t xml:space="preserve">Media Q&amp;As </w:t>
      </w:r>
    </w:p>
    <w:p w14:paraId="11C5B6BE" w14:textId="77777777" w:rsidR="00A26B13" w:rsidRDefault="00A26B13" w:rsidP="005449BA">
      <w:pPr>
        <w:tabs>
          <w:tab w:val="left" w:pos="0"/>
          <w:tab w:val="left" w:pos="1080"/>
        </w:tabs>
        <w:spacing w:after="0" w:line="240" w:lineRule="auto"/>
        <w:ind w:left="-284" w:right="397"/>
        <w:jc w:val="both"/>
        <w:rPr>
          <w:rFonts w:ascii="Arial" w:eastAsia="Times New Roman" w:hAnsi="Arial" w:cs="Arial"/>
          <w:bCs/>
          <w:color w:val="000000"/>
          <w:lang w:val="en-GB"/>
        </w:rPr>
      </w:pPr>
    </w:p>
    <w:p w14:paraId="69005729" w14:textId="77777777" w:rsidR="00A26B13" w:rsidRPr="005449BA" w:rsidRDefault="00E537B4" w:rsidP="005449BA">
      <w:pPr>
        <w:tabs>
          <w:tab w:val="left" w:pos="0"/>
          <w:tab w:val="left" w:pos="1080"/>
        </w:tabs>
        <w:spacing w:after="0" w:line="240" w:lineRule="auto"/>
        <w:ind w:left="-284" w:right="397"/>
        <w:jc w:val="both"/>
        <w:rPr>
          <w:rFonts w:ascii="Arial" w:eastAsia="Times New Roman" w:hAnsi="Arial" w:cs="Arial"/>
          <w:bCs/>
          <w:color w:val="000000"/>
          <w:lang w:val="en-GB"/>
        </w:rPr>
      </w:pPr>
      <w:r>
        <w:rPr>
          <w:rFonts w:ascii="Arial" w:eastAsia="Times New Roman" w:hAnsi="Arial" w:cs="Arial"/>
          <w:bCs/>
          <w:color w:val="000000"/>
          <w:lang w:val="en-GB"/>
        </w:rPr>
        <w:t xml:space="preserve">From early 2016, </w:t>
      </w:r>
      <w:r w:rsidR="00D22F6B">
        <w:rPr>
          <w:rFonts w:ascii="Arial" w:eastAsia="Times New Roman" w:hAnsi="Arial" w:cs="Arial"/>
          <w:bCs/>
          <w:color w:val="000000"/>
          <w:lang w:val="en-GB"/>
        </w:rPr>
        <w:t xml:space="preserve">Government </w:t>
      </w:r>
      <w:r>
        <w:rPr>
          <w:rFonts w:ascii="Arial" w:eastAsia="Times New Roman" w:hAnsi="Arial" w:cs="Arial"/>
          <w:bCs/>
          <w:color w:val="000000"/>
          <w:lang w:val="en-GB"/>
        </w:rPr>
        <w:t xml:space="preserve">will engage with key stakeholders, and develop and </w:t>
      </w:r>
      <w:r w:rsidR="00D22F6B">
        <w:rPr>
          <w:rFonts w:ascii="Arial" w:eastAsia="Times New Roman" w:hAnsi="Arial" w:cs="Arial"/>
          <w:bCs/>
          <w:color w:val="000000"/>
          <w:lang w:val="en-GB"/>
        </w:rPr>
        <w:t xml:space="preserve">refine the </w:t>
      </w:r>
      <w:r>
        <w:rPr>
          <w:rFonts w:ascii="Arial" w:eastAsia="Times New Roman" w:hAnsi="Arial" w:cs="Arial"/>
          <w:bCs/>
          <w:color w:val="000000"/>
          <w:lang w:val="en-GB"/>
        </w:rPr>
        <w:t xml:space="preserve">design of the </w:t>
      </w:r>
      <w:r w:rsidR="00D22F6B">
        <w:rPr>
          <w:rFonts w:ascii="Arial" w:eastAsia="Times New Roman" w:hAnsi="Arial" w:cs="Arial"/>
          <w:bCs/>
          <w:color w:val="000000"/>
          <w:lang w:val="en-GB"/>
        </w:rPr>
        <w:t>funding model</w:t>
      </w:r>
      <w:r>
        <w:rPr>
          <w:rFonts w:ascii="Arial" w:eastAsia="Times New Roman" w:hAnsi="Arial" w:cs="Arial"/>
          <w:bCs/>
          <w:color w:val="000000"/>
          <w:lang w:val="en-GB"/>
        </w:rPr>
        <w:t>. Modelling will be conducted to analyse the costs and impacts to participants in the system. The exact details of the new model will be communicated to the sector in advance of implementation, which will commence</w:t>
      </w:r>
      <w:r w:rsidR="00D22F6B">
        <w:rPr>
          <w:rFonts w:ascii="Arial" w:eastAsia="Times New Roman" w:hAnsi="Arial" w:cs="Arial"/>
          <w:bCs/>
          <w:color w:val="000000"/>
          <w:lang w:val="en-GB"/>
        </w:rPr>
        <w:t xml:space="preserve"> progressively from 2017</w:t>
      </w:r>
      <w:r w:rsidR="00A26B13">
        <w:rPr>
          <w:rFonts w:ascii="Arial" w:eastAsia="Times New Roman" w:hAnsi="Arial" w:cs="Arial"/>
          <w:bCs/>
          <w:color w:val="000000"/>
          <w:lang w:val="en-GB"/>
        </w:rPr>
        <w:t xml:space="preserve">. </w:t>
      </w:r>
    </w:p>
    <w:sectPr w:rsidR="00A26B13" w:rsidRPr="005449BA" w:rsidSect="00A2083F">
      <w:footerReference w:type="first" r:id="rId13"/>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C4D0F" w14:textId="77777777" w:rsidR="004C4CE8" w:rsidRDefault="004C4CE8">
      <w:pPr>
        <w:spacing w:after="0" w:line="240" w:lineRule="auto"/>
      </w:pPr>
      <w:r>
        <w:separator/>
      </w:r>
    </w:p>
  </w:endnote>
  <w:endnote w:type="continuationSeparator" w:id="0">
    <w:p w14:paraId="1F74F5AB" w14:textId="77777777" w:rsidR="004C4CE8" w:rsidRDefault="004C4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304DF" w14:textId="77777777" w:rsidR="00846881" w:rsidRPr="009D5D01" w:rsidRDefault="00BC2D15"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66591C">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61BEA31F" w14:textId="77777777" w:rsidR="00846881" w:rsidRDefault="00665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4BA5F" w14:textId="77777777" w:rsidR="004C4CE8" w:rsidRDefault="004C4CE8">
      <w:pPr>
        <w:spacing w:after="0" w:line="240" w:lineRule="auto"/>
      </w:pPr>
      <w:r>
        <w:separator/>
      </w:r>
    </w:p>
  </w:footnote>
  <w:footnote w:type="continuationSeparator" w:id="0">
    <w:p w14:paraId="23EEADBF" w14:textId="77777777" w:rsidR="004C4CE8" w:rsidRDefault="004C4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371B5"/>
    <w:multiLevelType w:val="hybridMultilevel"/>
    <w:tmpl w:val="8EEA53C0"/>
    <w:lvl w:ilvl="0" w:tplc="81DC6D24">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1">
    <w:nsid w:val="3BE32B7D"/>
    <w:multiLevelType w:val="hybridMultilevel"/>
    <w:tmpl w:val="25D2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028D9"/>
    <w:multiLevelType w:val="hybridMultilevel"/>
    <w:tmpl w:val="8D1A8E7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EAB57F8"/>
    <w:multiLevelType w:val="hybridMultilevel"/>
    <w:tmpl w:val="8806B19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nsid w:val="72056DD5"/>
    <w:multiLevelType w:val="hybridMultilevel"/>
    <w:tmpl w:val="B2BA024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nsid w:val="76D17116"/>
    <w:multiLevelType w:val="hybridMultilevel"/>
    <w:tmpl w:val="546E628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BE"/>
    <w:rsid w:val="00000164"/>
    <w:rsid w:val="000554BE"/>
    <w:rsid w:val="000829BE"/>
    <w:rsid w:val="000A6F21"/>
    <w:rsid w:val="002C6F6E"/>
    <w:rsid w:val="002F3BE3"/>
    <w:rsid w:val="004C4CE8"/>
    <w:rsid w:val="005449BA"/>
    <w:rsid w:val="00573814"/>
    <w:rsid w:val="0059685D"/>
    <w:rsid w:val="0066591C"/>
    <w:rsid w:val="00804D00"/>
    <w:rsid w:val="00A26B13"/>
    <w:rsid w:val="00AA1010"/>
    <w:rsid w:val="00BC2D15"/>
    <w:rsid w:val="00CD25C3"/>
    <w:rsid w:val="00D22F6B"/>
    <w:rsid w:val="00E035F0"/>
    <w:rsid w:val="00E53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29BE"/>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customStyle="1" w:styleId="FooterChar">
    <w:name w:val="Footer Char"/>
    <w:basedOn w:val="DefaultParagraphFont"/>
    <w:link w:val="Footer"/>
    <w:uiPriority w:val="99"/>
    <w:rsid w:val="000829BE"/>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5449BA"/>
    <w:pPr>
      <w:ind w:left="720"/>
      <w:contextualSpacing/>
    </w:pPr>
  </w:style>
  <w:style w:type="character" w:styleId="Hyperlink">
    <w:name w:val="Hyperlink"/>
    <w:basedOn w:val="DefaultParagraphFont"/>
    <w:uiPriority w:val="99"/>
    <w:unhideWhenUsed/>
    <w:rsid w:val="00AA1010"/>
    <w:rPr>
      <w:color w:val="0000FF" w:themeColor="hyperlink"/>
      <w:u w:val="single"/>
    </w:rPr>
  </w:style>
  <w:style w:type="paragraph" w:styleId="BalloonText">
    <w:name w:val="Balloon Text"/>
    <w:basedOn w:val="Normal"/>
    <w:link w:val="BalloonTextChar"/>
    <w:uiPriority w:val="99"/>
    <w:semiHidden/>
    <w:unhideWhenUsed/>
    <w:rsid w:val="0057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29BE"/>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customStyle="1" w:styleId="FooterChar">
    <w:name w:val="Footer Char"/>
    <w:basedOn w:val="DefaultParagraphFont"/>
    <w:link w:val="Footer"/>
    <w:uiPriority w:val="99"/>
    <w:rsid w:val="000829BE"/>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5449BA"/>
    <w:pPr>
      <w:ind w:left="720"/>
      <w:contextualSpacing/>
    </w:pPr>
  </w:style>
  <w:style w:type="character" w:styleId="Hyperlink">
    <w:name w:val="Hyperlink"/>
    <w:basedOn w:val="DefaultParagraphFont"/>
    <w:uiPriority w:val="99"/>
    <w:unhideWhenUsed/>
    <w:rsid w:val="00AA1010"/>
    <w:rPr>
      <w:color w:val="0000FF" w:themeColor="hyperlink"/>
      <w:u w:val="single"/>
    </w:rPr>
  </w:style>
  <w:style w:type="paragraph" w:styleId="BalloonText">
    <w:name w:val="Balloon Text"/>
    <w:basedOn w:val="Normal"/>
    <w:link w:val="BalloonTextChar"/>
    <w:uiPriority w:val="99"/>
    <w:semiHidden/>
    <w:unhideWhenUsed/>
    <w:rsid w:val="0057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ducation.vic.gov.au/vetfundingrespon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101</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5083A-E3DB-4F76-8DA3-F9CE93CA4F70}"/>
</file>

<file path=customXml/itemProps2.xml><?xml version="1.0" encoding="utf-8"?>
<ds:datastoreItem xmlns:ds="http://schemas.openxmlformats.org/officeDocument/2006/customXml" ds:itemID="{2D450DAB-E197-4C45-BA48-683AA943E15D}"/>
</file>

<file path=customXml/itemProps3.xml><?xml version="1.0" encoding="utf-8"?>
<ds:datastoreItem xmlns:ds="http://schemas.openxmlformats.org/officeDocument/2006/customXml" ds:itemID="{0A420685-D87B-43A1-AF53-FC1DF68D557E}"/>
</file>

<file path=customXml/itemProps4.xml><?xml version="1.0" encoding="utf-8"?>
<ds:datastoreItem xmlns:ds="http://schemas.openxmlformats.org/officeDocument/2006/customXml" ds:itemID="{369993E7-37E2-41CD-8146-CBC20ED6C865}"/>
</file>

<file path=docProps/app.xml><?xml version="1.0" encoding="utf-8"?>
<Properties xmlns="http://schemas.openxmlformats.org/officeDocument/2006/extended-properties" xmlns:vt="http://schemas.openxmlformats.org/officeDocument/2006/docPropsVTypes">
  <Template>Normal.dotm</Template>
  <TotalTime>99</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Victorian Government Response to the VET Funding Review</vt:lpstr>
    </vt:vector>
  </TitlesOfParts>
  <Company>DEECD</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Government Response to the VET Funding Review</dc:title>
  <dc:creator>Smith, Morven M</dc:creator>
  <cp:lastModifiedBy>Morrow, Jackie A</cp:lastModifiedBy>
  <cp:revision>10</cp:revision>
  <cp:lastPrinted>2015-12-16T00:45:00Z</cp:lastPrinted>
  <dcterms:created xsi:type="dcterms:W3CDTF">2015-12-15T22:46:00Z</dcterms:created>
  <dcterms:modified xsi:type="dcterms:W3CDTF">2015-12-16T04:49:00Z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{16516dd7-90b4-4957-9633-a3c36c1ec2b6}</vt:lpwstr>
  </property>
  <property fmtid="{D5CDD505-2E9C-101B-9397-08002B2CF9AE}" pid="8" name="RecordPoint_ActiveItemWebId">
    <vt:lpwstr>{2448c47a-0c10-4e7b-b9c8-5b12d6d373e0}</vt:lpwstr>
  </property>
  <property fmtid="{D5CDD505-2E9C-101B-9397-08002B2CF9AE}" pid="9" name="RecordPoint_ActiveItemSiteId">
    <vt:lpwstr>{03dc8113-b288-4f44-a289-6e7ea0196235}</vt:lpwstr>
  </property>
  <property fmtid="{D5CDD505-2E9C-101B-9397-08002B2CF9AE}" pid="10" name="RecordPoint_ActiveItemListId">
    <vt:lpwstr>{364123dc-505d-4420-ba46-755d10439c57}</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ies>
</file>