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734A2A" w:rsidRPr="00734A2A" w:rsidTr="004A25C4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A2A" w:rsidRPr="00734A2A" w:rsidRDefault="00734A2A" w:rsidP="00734A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2" w:right="397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734A2A">
              <w:rPr>
                <w:rFonts w:ascii="Arial" w:eastAsia="Times New Roman" w:hAnsi="Arial" w:cs="Arial"/>
                <w:noProof/>
                <w:sz w:val="24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0566B2" wp14:editId="6641851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-189865</wp:posOffset>
                      </wp:positionV>
                      <wp:extent cx="6731707" cy="1527175"/>
                      <wp:effectExtent l="0" t="0" r="12065" b="15875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707" cy="1527175"/>
                                <a:chOff x="1031" y="474"/>
                                <a:chExt cx="9515" cy="2405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5" cy="19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4A2A" w:rsidRPr="00633C39" w:rsidRDefault="00734A2A" w:rsidP="00734A2A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734A2A" w:rsidRPr="006F3F2F" w:rsidRDefault="00734A2A" w:rsidP="00734A2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34A2A" w:rsidRPr="006F3F2F" w:rsidRDefault="00734A2A" w:rsidP="00734A2A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556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4A2A" w:rsidRPr="00633C39" w:rsidRDefault="00734A2A" w:rsidP="00734A2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4A2A" w:rsidRPr="00633C39" w:rsidRDefault="00734A2A" w:rsidP="00734A2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734A2A" w:rsidRDefault="00734A2A" w:rsidP="00734A2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3.9pt;margin-top:-14.95pt;width:530.05pt;height:120.25pt;z-index:251659264" coordorigin="1031,474" coordsize="9515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5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734A2A" w:rsidRPr="00633C39" w:rsidRDefault="00734A2A" w:rsidP="00734A2A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734A2A" w:rsidRPr="006F3F2F" w:rsidRDefault="00734A2A" w:rsidP="00734A2A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734A2A" w:rsidRPr="006F3F2F" w:rsidRDefault="00734A2A" w:rsidP="00734A2A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556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734A2A" w:rsidRPr="00633C39" w:rsidRDefault="00734A2A" w:rsidP="00734A2A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734A2A" w:rsidRPr="00633C39" w:rsidRDefault="00734A2A" w:rsidP="00734A2A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734A2A" w:rsidRDefault="00734A2A" w:rsidP="00734A2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734A2A" w:rsidRPr="00734A2A" w:rsidRDefault="00734A2A" w:rsidP="00734A2A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734A2A" w:rsidRPr="00734A2A" w:rsidRDefault="00734A2A" w:rsidP="00734A2A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734A2A" w:rsidRPr="00734A2A" w:rsidRDefault="00734A2A" w:rsidP="00734A2A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734A2A" w:rsidRPr="00734A2A" w:rsidRDefault="00734A2A" w:rsidP="00734A2A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734A2A" w:rsidRPr="00734A2A" w:rsidRDefault="00734A2A" w:rsidP="00734A2A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734A2A" w:rsidRPr="00734A2A" w:rsidRDefault="00734A2A" w:rsidP="00734A2A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-453"/>
        <w:jc w:val="right"/>
        <w:textAlignment w:val="baseline"/>
        <w:rPr>
          <w:rFonts w:ascii="Arial" w:eastAsia="Times New Roman" w:hAnsi="Arial" w:cs="Times New Roman"/>
          <w:i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b/>
          <w:i/>
          <w:color w:val="000000"/>
          <w:szCs w:val="24"/>
          <w:lang w:val="en-GB"/>
        </w:rPr>
        <w:t xml:space="preserve">NUMBER: </w:t>
      </w:r>
      <w:r w:rsidRPr="00734A2A">
        <w:rPr>
          <w:rFonts w:ascii="Arial" w:eastAsia="Times New Roman" w:hAnsi="Arial" w:cs="Times New Roman"/>
          <w:i/>
          <w:color w:val="000000"/>
          <w:szCs w:val="24"/>
          <w:lang w:val="en-GB"/>
        </w:rPr>
        <w:t>2015 / February / 17</w:t>
      </w:r>
    </w:p>
    <w:p w:rsidR="00FD13C4" w:rsidRPr="00FD13C4" w:rsidRDefault="00FD13C4" w:rsidP="00FD13C4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-453"/>
        <w:jc w:val="right"/>
        <w:textAlignment w:val="baseline"/>
        <w:rPr>
          <w:rFonts w:ascii="Arial" w:eastAsia="Times New Roman" w:hAnsi="Arial" w:cs="Times New Roman"/>
          <w:i/>
          <w:color w:val="000000"/>
          <w:szCs w:val="24"/>
          <w:lang w:val="en-GB"/>
        </w:rPr>
      </w:pPr>
      <w:r>
        <w:rPr>
          <w:rFonts w:ascii="Arial" w:eastAsia="Times New Roman" w:hAnsi="Arial" w:cs="Times New Roman"/>
          <w:b/>
          <w:i/>
          <w:color w:val="000000"/>
          <w:szCs w:val="24"/>
          <w:lang w:val="en-GB"/>
        </w:rPr>
        <w:t>NUMBER:  2015/October/19</w:t>
      </w:r>
      <w:r w:rsidRPr="00FD13C4">
        <w:rPr>
          <w:rFonts w:ascii="Arial" w:eastAsia="Times New Roman" w:hAnsi="Arial" w:cs="Times New Roman"/>
          <w:b/>
          <w:i/>
          <w:color w:val="000000"/>
          <w:szCs w:val="24"/>
          <w:lang w:val="en-GB"/>
        </w:rPr>
        <w:t xml:space="preserve">   </w:t>
      </w:r>
    </w:p>
    <w:p w:rsidR="00FD13C4" w:rsidRDefault="00FD13C4" w:rsidP="00734A2A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  <w:bookmarkStart w:id="0" w:name="_GoBack"/>
      <w:bookmarkEnd w:id="0"/>
    </w:p>
    <w:p w:rsidR="00734A2A" w:rsidRDefault="00734A2A" w:rsidP="00734A2A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b/>
          <w:color w:val="000000"/>
          <w:szCs w:val="24"/>
          <w:lang w:val="en-GB"/>
        </w:rPr>
        <w:t>TO:</w:t>
      </w:r>
    </w:p>
    <w:p w:rsidR="00DB189E" w:rsidRPr="00734A2A" w:rsidRDefault="00DB189E" w:rsidP="00734A2A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DB189E" w:rsidRPr="006F3F2F" w:rsidTr="007869EB">
        <w:tc>
          <w:tcPr>
            <w:tcW w:w="3119" w:type="dxa"/>
            <w:shd w:val="clear" w:color="auto" w:fill="auto"/>
          </w:tcPr>
          <w:p w:rsidR="00DB189E" w:rsidRPr="006F3F2F" w:rsidRDefault="00DB189E" w:rsidP="007869EB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Cs w:val="24"/>
                <w:lang w:val="en-GB"/>
              </w:rPr>
            </w:pPr>
            <w:r>
              <w:rPr>
                <w:rFonts w:ascii="Arial" w:hAnsi="Arial"/>
                <w:color w:val="000000"/>
                <w:szCs w:val="24"/>
                <w:lang w:val="en-GB"/>
              </w:rPr>
              <w:t xml:space="preserve">All </w:t>
            </w:r>
            <w:r w:rsidRPr="006F3F2F">
              <w:rPr>
                <w:rFonts w:ascii="Arial" w:hAnsi="Arial"/>
                <w:color w:val="000000"/>
                <w:szCs w:val="24"/>
                <w:lang w:val="en-GB"/>
              </w:rPr>
              <w:t xml:space="preserve">Learn Local organisations </w:t>
            </w:r>
          </w:p>
        </w:tc>
        <w:tc>
          <w:tcPr>
            <w:tcW w:w="3544" w:type="dxa"/>
            <w:shd w:val="clear" w:color="auto" w:fill="auto"/>
          </w:tcPr>
          <w:p w:rsidR="00DB189E" w:rsidRPr="006F3F2F" w:rsidRDefault="00DB189E" w:rsidP="007869EB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Cs w:val="24"/>
                <w:lang w:val="en-GB"/>
              </w:rPr>
            </w:pPr>
            <w:r w:rsidRPr="006F3F2F">
              <w:rPr>
                <w:rFonts w:ascii="Arial" w:hAnsi="Arial"/>
                <w:color w:val="000000"/>
                <w:szCs w:val="24"/>
                <w:lang w:val="en-GB"/>
              </w:rPr>
              <w:t>Adult Education Institutions</w:t>
            </w:r>
          </w:p>
        </w:tc>
        <w:tc>
          <w:tcPr>
            <w:tcW w:w="3827" w:type="dxa"/>
            <w:shd w:val="clear" w:color="auto" w:fill="auto"/>
          </w:tcPr>
          <w:p w:rsidR="00DB189E" w:rsidRPr="006F3F2F" w:rsidRDefault="00DB189E" w:rsidP="007869EB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Cs w:val="24"/>
                <w:lang w:val="en-GB"/>
              </w:rPr>
            </w:pPr>
            <w:r w:rsidRPr="006F3F2F">
              <w:rPr>
                <w:rFonts w:ascii="Arial" w:hAnsi="Arial"/>
                <w:color w:val="000000"/>
                <w:szCs w:val="24"/>
                <w:lang w:val="en-GB"/>
              </w:rPr>
              <w:t>ACFE Regional Councils</w:t>
            </w:r>
          </w:p>
        </w:tc>
      </w:tr>
      <w:tr w:rsidR="00DB189E" w:rsidRPr="006F3F2F" w:rsidTr="007869EB">
        <w:tc>
          <w:tcPr>
            <w:tcW w:w="3119" w:type="dxa"/>
            <w:shd w:val="clear" w:color="auto" w:fill="auto"/>
          </w:tcPr>
          <w:p w:rsidR="00DB189E" w:rsidRPr="001336DE" w:rsidRDefault="00DB189E" w:rsidP="00DB189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Cs w:val="24"/>
                <w:lang w:val="en-GB"/>
              </w:rPr>
            </w:pPr>
            <w:r w:rsidRPr="006F3F2F">
              <w:rPr>
                <w:rFonts w:ascii="Arial" w:hAnsi="Arial"/>
                <w:color w:val="000000"/>
                <w:szCs w:val="24"/>
                <w:lang w:val="en-GB"/>
              </w:rPr>
              <w:t>Learn Local stakeholders</w:t>
            </w:r>
            <w:r>
              <w:rPr>
                <w:rFonts w:ascii="Arial" w:hAnsi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B189E" w:rsidRPr="00807408" w:rsidRDefault="00DB189E" w:rsidP="007869EB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DB189E" w:rsidRPr="006F3F2F" w:rsidRDefault="00DB189E" w:rsidP="007869EB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Cs w:val="24"/>
                <w:lang w:val="en-GB"/>
              </w:rPr>
            </w:pPr>
          </w:p>
        </w:tc>
      </w:tr>
    </w:tbl>
    <w:p w:rsidR="00DB189E" w:rsidRDefault="00DB189E" w:rsidP="00734A2A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b/>
          <w:color w:val="000000"/>
          <w:szCs w:val="20"/>
          <w:lang w:val="en-GB"/>
        </w:rPr>
      </w:pPr>
      <w:r>
        <w:rPr>
          <w:rFonts w:ascii="Arial" w:eastAsia="Times New Roman" w:hAnsi="Arial" w:cs="Times New Roman"/>
          <w:b/>
          <w:color w:val="000000"/>
          <w:szCs w:val="20"/>
          <w:lang w:val="en-GB"/>
        </w:rPr>
        <w:t xml:space="preserve">Cc: </w:t>
      </w:r>
      <w:r>
        <w:rPr>
          <w:rFonts w:ascii="Arial" w:eastAsia="Times New Roman" w:hAnsi="Arial" w:cs="Times New Roman"/>
          <w:b/>
          <w:color w:val="000000"/>
          <w:szCs w:val="20"/>
          <w:lang w:val="en-GB"/>
        </w:rPr>
        <w:tab/>
      </w:r>
      <w:r w:rsidRPr="00FC5F99">
        <w:rPr>
          <w:rFonts w:ascii="Arial" w:eastAsia="Times New Roman" w:hAnsi="Arial" w:cs="Times New Roman"/>
          <w:color w:val="000000"/>
          <w:szCs w:val="20"/>
          <w:lang w:val="en-GB"/>
        </w:rPr>
        <w:t>P</w:t>
      </w:r>
      <w:r w:rsidRPr="00FC5F99">
        <w:rPr>
          <w:rFonts w:ascii="Arial" w:hAnsi="Arial"/>
          <w:color w:val="000000"/>
          <w:szCs w:val="24"/>
          <w:lang w:val="en-GB"/>
        </w:rPr>
        <w:t>articipation Branch Staff</w:t>
      </w:r>
    </w:p>
    <w:p w:rsidR="00DB189E" w:rsidRDefault="00DB189E" w:rsidP="00734A2A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b/>
          <w:color w:val="000000"/>
          <w:szCs w:val="20"/>
          <w:lang w:val="en-GB"/>
        </w:rPr>
      </w:pPr>
    </w:p>
    <w:p w:rsidR="00734A2A" w:rsidRPr="00734A2A" w:rsidRDefault="00734A2A" w:rsidP="00734A2A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b/>
          <w:color w:val="000000"/>
          <w:szCs w:val="20"/>
          <w:lang w:val="en-GB"/>
        </w:rPr>
        <w:t>FROM:</w:t>
      </w:r>
      <w:r w:rsidRPr="00734A2A">
        <w:rPr>
          <w:rFonts w:ascii="Arial" w:eastAsia="Times New Roman" w:hAnsi="Arial" w:cs="Times New Roman"/>
          <w:b/>
          <w:color w:val="000000"/>
          <w:szCs w:val="20"/>
          <w:lang w:val="en-GB"/>
        </w:rPr>
        <w:tab/>
      </w: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 xml:space="preserve">Bronwen Heathfield, Director, </w:t>
      </w:r>
      <w:proofErr w:type="gramStart"/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>Participation</w:t>
      </w:r>
      <w:proofErr w:type="gramEnd"/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 xml:space="preserve"> Branch</w:t>
      </w:r>
    </w:p>
    <w:p w:rsidR="00734A2A" w:rsidRPr="00734A2A" w:rsidRDefault="00734A2A" w:rsidP="00734A2A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szCs w:val="20"/>
          <w:lang w:val="en-GB"/>
        </w:rPr>
      </w:pPr>
      <w:r w:rsidRPr="00734A2A">
        <w:rPr>
          <w:rFonts w:ascii="Arial" w:eastAsia="Times New Roman" w:hAnsi="Arial" w:cs="Times New Roman"/>
          <w:b/>
          <w:color w:val="000000"/>
          <w:szCs w:val="20"/>
          <w:lang w:val="en-GB"/>
        </w:rPr>
        <w:t>DATE:</w:t>
      </w:r>
      <w:r w:rsidRPr="00734A2A">
        <w:rPr>
          <w:rFonts w:ascii="Arial" w:eastAsia="Times New Roman" w:hAnsi="Arial" w:cs="Times New Roman"/>
          <w:b/>
          <w:color w:val="000000"/>
          <w:szCs w:val="20"/>
          <w:lang w:val="en-GB"/>
        </w:rPr>
        <w:tab/>
      </w:r>
      <w:r w:rsidR="007D168A">
        <w:rPr>
          <w:rFonts w:ascii="Arial" w:eastAsia="Times New Roman" w:hAnsi="Arial" w:cs="Times New Roman"/>
          <w:color w:val="000000"/>
          <w:szCs w:val="20"/>
          <w:lang w:val="en-GB"/>
        </w:rPr>
        <w:t>19</w:t>
      </w:r>
      <w:r>
        <w:rPr>
          <w:rFonts w:ascii="Arial" w:eastAsia="Times New Roman" w:hAnsi="Arial" w:cs="Times New Roman"/>
          <w:color w:val="000000"/>
          <w:szCs w:val="20"/>
          <w:lang w:val="en-GB"/>
        </w:rPr>
        <w:t xml:space="preserve"> October</w:t>
      </w:r>
      <w:r w:rsidRPr="00734A2A">
        <w:rPr>
          <w:rFonts w:ascii="Arial" w:eastAsia="Times New Roman" w:hAnsi="Arial" w:cs="Times New Roman"/>
          <w:color w:val="000000"/>
          <w:szCs w:val="20"/>
          <w:lang w:val="en-GB"/>
        </w:rPr>
        <w:t xml:space="preserve"> 2015</w:t>
      </w:r>
    </w:p>
    <w:p w:rsidR="00734A2A" w:rsidRPr="00734A2A" w:rsidRDefault="00734A2A" w:rsidP="00734A2A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-126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b/>
          <w:color w:val="000000"/>
          <w:szCs w:val="20"/>
          <w:lang w:val="en-GB"/>
        </w:rPr>
        <w:t>SUBJECT:</w:t>
      </w:r>
      <w:r w:rsidRPr="00734A2A">
        <w:rPr>
          <w:rFonts w:ascii="Arial" w:eastAsia="Times New Roman" w:hAnsi="Arial" w:cs="Times New Roman"/>
          <w:b/>
          <w:color w:val="000000"/>
          <w:szCs w:val="20"/>
          <w:lang w:val="en-GB"/>
        </w:rPr>
        <w:tab/>
      </w:r>
      <w:r w:rsidRPr="00734A2A">
        <w:rPr>
          <w:rFonts w:ascii="Arial" w:eastAsia="Times New Roman" w:hAnsi="Arial" w:cs="Times New Roman"/>
          <w:b/>
          <w:bCs/>
          <w:color w:val="000000"/>
          <w:szCs w:val="24"/>
          <w:lang w:val="en-GB"/>
        </w:rPr>
        <w:t xml:space="preserve">Applications open for the ACFE Board Capacity and Innovation Fund </w:t>
      </w:r>
      <w:r>
        <w:rPr>
          <w:rFonts w:ascii="Arial" w:eastAsia="Times New Roman" w:hAnsi="Arial" w:cs="Times New Roman"/>
          <w:b/>
          <w:bCs/>
          <w:color w:val="000000"/>
          <w:szCs w:val="24"/>
          <w:lang w:val="en-GB"/>
        </w:rPr>
        <w:t>8</w:t>
      </w:r>
      <w:r w:rsidRPr="00734A2A">
        <w:rPr>
          <w:rFonts w:ascii="Arial" w:eastAsia="Times New Roman" w:hAnsi="Arial" w:cs="Times New Roman"/>
          <w:b/>
          <w:bCs/>
          <w:color w:val="000000"/>
          <w:szCs w:val="24"/>
          <w:lang w:val="en-GB"/>
        </w:rPr>
        <w:t>.</w:t>
      </w:r>
    </w:p>
    <w:p w:rsidR="00734A2A" w:rsidRPr="00734A2A" w:rsidRDefault="00734A2A" w:rsidP="00734A2A">
      <w:pPr>
        <w:pBdr>
          <w:bottom w:val="single" w:sz="12" w:space="1" w:color="auto"/>
        </w:pBdr>
        <w:tabs>
          <w:tab w:val="left" w:pos="1080"/>
          <w:tab w:val="left" w:pos="9753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-424"/>
        <w:textAlignment w:val="baseline"/>
        <w:rPr>
          <w:rFonts w:ascii="Arial" w:eastAsia="Times New Roman" w:hAnsi="Arial" w:cs="Times New Roman"/>
          <w:color w:val="000000"/>
          <w:szCs w:val="20"/>
          <w:lang w:val="en-GB"/>
        </w:rPr>
      </w:pPr>
    </w:p>
    <w:p w:rsidR="00734A2A" w:rsidRPr="00734A2A" w:rsidRDefault="00734A2A" w:rsidP="00734A2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 w:right="397"/>
        <w:textAlignment w:val="baseline"/>
        <w:rPr>
          <w:rFonts w:ascii="Arial" w:eastAsia="ヒラギノ角ゴ Pro W3" w:hAnsi="Arial" w:cs="Arial"/>
          <w:color w:val="000000"/>
          <w:lang w:val="en-GB"/>
        </w:rPr>
      </w:pPr>
    </w:p>
    <w:p w:rsidR="00734A2A" w:rsidRPr="00BA3565" w:rsidRDefault="00734A2A" w:rsidP="00734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after="0" w:line="240" w:lineRule="auto"/>
        <w:ind w:left="-284" w:right="-312"/>
        <w:rPr>
          <w:rFonts w:ascii="Arial" w:eastAsia="Times New Roman" w:hAnsi="Arial" w:cs="Arial"/>
          <w:b/>
          <w:bCs/>
          <w:color w:val="000000" w:themeColor="text1"/>
          <w:lang w:val="en-GB"/>
        </w:rPr>
      </w:pPr>
      <w:r w:rsidRPr="00BA3565">
        <w:rPr>
          <w:rFonts w:ascii="Arial" w:eastAsia="Times New Roman" w:hAnsi="Arial" w:cs="Arial"/>
          <w:b/>
          <w:bCs/>
          <w:color w:val="000000" w:themeColor="text1"/>
          <w:lang w:val="en-GB"/>
        </w:rPr>
        <w:t>ACTIONS / CRITICAL DATES:</w:t>
      </w:r>
    </w:p>
    <w:p w:rsidR="00734A2A" w:rsidRPr="00BA3565" w:rsidRDefault="00734A2A" w:rsidP="00292D9D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 w:val="0"/>
        <w:autoSpaceDE w:val="0"/>
        <w:autoSpaceDN w:val="0"/>
        <w:adjustRightInd w:val="0"/>
        <w:spacing w:after="0" w:line="240" w:lineRule="auto"/>
        <w:ind w:right="-312"/>
        <w:contextualSpacing/>
        <w:textAlignment w:val="baseline"/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</w:pPr>
      <w:r w:rsidRPr="00BA3565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 xml:space="preserve">Submit your application by COB </w:t>
      </w:r>
      <w:r w:rsidR="00292D9D" w:rsidRPr="00BA3565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>Tuesday, 15</w:t>
      </w:r>
      <w:r w:rsidRPr="00BA3565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 xml:space="preserve"> </w:t>
      </w:r>
      <w:r w:rsidR="00292D9D" w:rsidRPr="00BA3565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>Decem</w:t>
      </w:r>
      <w:r w:rsidRPr="00BA3565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>ber, 2015.</w:t>
      </w:r>
    </w:p>
    <w:p w:rsidR="00734A2A" w:rsidRPr="00BA3565" w:rsidRDefault="00734A2A" w:rsidP="00734A2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 w:val="0"/>
        <w:autoSpaceDE w:val="0"/>
        <w:autoSpaceDN w:val="0"/>
        <w:adjustRightInd w:val="0"/>
        <w:spacing w:after="0" w:line="240" w:lineRule="auto"/>
        <w:ind w:right="-312"/>
        <w:contextualSpacing/>
        <w:textAlignment w:val="baseline"/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</w:pPr>
      <w:r w:rsidRPr="00BA3565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>CAIF 8 Guidelines and Application Forms are available in the Learn Local section of the Department of Education and Training website</w:t>
      </w:r>
      <w:r w:rsidR="001213CF" w:rsidRPr="00BA3565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 xml:space="preserve"> </w:t>
      </w:r>
    </w:p>
    <w:p w:rsidR="00734A2A" w:rsidRPr="00BA3565" w:rsidRDefault="00DB189E" w:rsidP="00DB18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42"/>
          <w:tab w:val="left" w:pos="9753"/>
        </w:tabs>
        <w:spacing w:after="0" w:line="240" w:lineRule="auto"/>
        <w:ind w:left="-284" w:right="-312"/>
        <w:rPr>
          <w:rFonts w:ascii="Arial" w:eastAsia="Times New Roman" w:hAnsi="Arial" w:cs="Arial"/>
          <w:b/>
          <w:bCs/>
          <w:color w:val="00B0F0"/>
          <w:lang w:val="en-GB"/>
        </w:rPr>
      </w:pPr>
      <w:r w:rsidRPr="00DB189E">
        <w:rPr>
          <w:rFonts w:ascii="Arial" w:eastAsia="Times New Roman" w:hAnsi="Arial" w:cs="Times New Roman"/>
          <w:color w:val="00B0F0"/>
          <w:lang w:val="en-GB" w:eastAsia="en-AU"/>
        </w:rPr>
        <w:tab/>
      </w:r>
      <w:hyperlink r:id="rId8" w:history="1">
        <w:r w:rsidR="00A14D60" w:rsidRPr="000778C8">
          <w:rPr>
            <w:rStyle w:val="Hyperlink"/>
            <w:rFonts w:ascii="Arial" w:eastAsia="Times New Roman" w:hAnsi="Arial" w:cs="Times New Roman"/>
            <w:lang w:val="en-GB" w:eastAsia="en-AU"/>
          </w:rPr>
          <w:t>http://www.education.vic.gov.au/training/providers/learnlocal/pages/acfeboardfund.aspx</w:t>
        </w:r>
      </w:hyperlink>
    </w:p>
    <w:p w:rsidR="00734A2A" w:rsidRPr="00734A2A" w:rsidRDefault="00734A2A" w:rsidP="00734A2A">
      <w:pPr>
        <w:pBdr>
          <w:bottom w:val="single" w:sz="12" w:space="1" w:color="auto"/>
        </w:pBdr>
        <w:tabs>
          <w:tab w:val="left" w:pos="0"/>
          <w:tab w:val="left" w:pos="1080"/>
        </w:tabs>
        <w:spacing w:after="0" w:line="240" w:lineRule="auto"/>
        <w:ind w:left="-284" w:right="-453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734A2A" w:rsidRPr="00734A2A" w:rsidRDefault="00734A2A" w:rsidP="00734A2A">
      <w:pPr>
        <w:tabs>
          <w:tab w:val="left" w:pos="0"/>
          <w:tab w:val="left" w:pos="1080"/>
        </w:tabs>
        <w:spacing w:after="0" w:line="240" w:lineRule="auto"/>
        <w:ind w:right="-453"/>
        <w:rPr>
          <w:rFonts w:ascii="Arial" w:eastAsia="Times New Roman" w:hAnsi="Arial" w:cs="Arial"/>
          <w:lang w:eastAsia="en-AU"/>
        </w:rPr>
      </w:pPr>
    </w:p>
    <w:p w:rsidR="00734A2A" w:rsidRPr="00734A2A" w:rsidRDefault="00734A2A" w:rsidP="00734A2A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4"/>
          <w:lang w:val="en-GB"/>
        </w:rPr>
      </w:pPr>
    </w:p>
    <w:p w:rsidR="00ED6248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 xml:space="preserve">I am pleased to announce the </w:t>
      </w:r>
      <w:r w:rsidR="005B53FE">
        <w:rPr>
          <w:rFonts w:ascii="Arial" w:eastAsia="Times New Roman" w:hAnsi="Arial" w:cs="Times New Roman"/>
          <w:color w:val="000000"/>
          <w:szCs w:val="24"/>
          <w:lang w:val="en-GB"/>
        </w:rPr>
        <w:t>opening of Capacity and Innovation Fund (CAIF) – Round 8.</w:t>
      </w: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 xml:space="preserve"> </w:t>
      </w:r>
    </w:p>
    <w:p w:rsidR="005B53FE" w:rsidRDefault="005B53FE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szCs w:val="24"/>
          <w:lang w:val="en-GB"/>
        </w:rPr>
      </w:pP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>Applications are now invited from Learn Local organisations for projects that will build organisational capacity and contribute towards improvements in learner engagement, participation and attainment.</w:t>
      </w:r>
    </w:p>
    <w:p w:rsidR="00ED6248" w:rsidRDefault="00ED6248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b/>
          <w:color w:val="000000"/>
          <w:szCs w:val="24"/>
          <w:lang w:val="en-GB"/>
        </w:rPr>
        <w:t>Timelines</w:t>
      </w:r>
    </w:p>
    <w:p w:rsidR="00ED6248" w:rsidRDefault="00ED6248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szCs w:val="24"/>
          <w:lang w:val="en-GB"/>
        </w:rPr>
      </w:pP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 xml:space="preserve">Applications Open: </w:t>
      </w:r>
      <w:r w:rsidR="007D168A">
        <w:rPr>
          <w:rFonts w:ascii="Arial" w:eastAsia="Times New Roman" w:hAnsi="Arial" w:cs="Times New Roman"/>
          <w:color w:val="000000"/>
          <w:szCs w:val="24"/>
          <w:lang w:val="en-GB"/>
        </w:rPr>
        <w:t>19</w:t>
      </w:r>
      <w:r>
        <w:rPr>
          <w:rFonts w:ascii="Arial" w:eastAsia="Times New Roman" w:hAnsi="Arial" w:cs="Times New Roman"/>
          <w:color w:val="000000"/>
          <w:szCs w:val="24"/>
          <w:lang w:val="en-GB"/>
        </w:rPr>
        <w:t xml:space="preserve"> October</w:t>
      </w: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 xml:space="preserve"> 2015</w:t>
      </w:r>
    </w:p>
    <w:p w:rsidR="00734A2A" w:rsidRPr="00734A2A" w:rsidRDefault="00734A2A" w:rsidP="00734A2A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 xml:space="preserve"> </w:t>
      </w: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 xml:space="preserve">Applications Close: </w:t>
      </w:r>
      <w:r w:rsidR="00ED6248">
        <w:rPr>
          <w:rFonts w:ascii="Arial" w:eastAsia="Times New Roman" w:hAnsi="Arial" w:cs="Times New Roman"/>
          <w:color w:val="000000"/>
          <w:szCs w:val="24"/>
          <w:lang w:val="en-GB"/>
        </w:rPr>
        <w:t>15</w:t>
      </w:r>
      <w:r>
        <w:rPr>
          <w:rFonts w:ascii="Arial" w:eastAsia="Times New Roman" w:hAnsi="Arial" w:cs="Times New Roman"/>
          <w:color w:val="000000"/>
          <w:szCs w:val="24"/>
          <w:lang w:val="en-GB"/>
        </w:rPr>
        <w:t xml:space="preserve"> </w:t>
      </w:r>
      <w:r w:rsidR="00ED6248">
        <w:rPr>
          <w:rFonts w:ascii="Arial" w:eastAsia="Times New Roman" w:hAnsi="Arial" w:cs="Times New Roman"/>
          <w:color w:val="000000"/>
          <w:szCs w:val="24"/>
          <w:lang w:val="en-GB"/>
        </w:rPr>
        <w:t>Decem</w:t>
      </w:r>
      <w:r>
        <w:rPr>
          <w:rFonts w:ascii="Arial" w:eastAsia="Times New Roman" w:hAnsi="Arial" w:cs="Times New Roman"/>
          <w:color w:val="000000"/>
          <w:szCs w:val="24"/>
          <w:lang w:val="en-GB"/>
        </w:rPr>
        <w:t>ber</w:t>
      </w: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 xml:space="preserve"> 2015 (5pm)</w:t>
      </w:r>
    </w:p>
    <w:p w:rsidR="00734A2A" w:rsidRPr="00734A2A" w:rsidRDefault="00734A2A" w:rsidP="00734A2A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color w:val="000000"/>
          <w:szCs w:val="24"/>
          <w:lang w:val="en-GB"/>
        </w:rPr>
      </w:pP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szCs w:val="24"/>
          <w:lang w:val="en-GB"/>
        </w:rPr>
      </w:pP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>A</w:t>
      </w:r>
      <w:r w:rsidR="00ED6248">
        <w:rPr>
          <w:rFonts w:ascii="Arial" w:eastAsia="Times New Roman" w:hAnsi="Arial" w:cs="Times New Roman"/>
          <w:color w:val="000000"/>
          <w:szCs w:val="24"/>
          <w:lang w:val="en-GB"/>
        </w:rPr>
        <w:t xml:space="preserve">pplicants notified of outcome: </w:t>
      </w:r>
      <w:r w:rsidR="00221C94">
        <w:rPr>
          <w:rFonts w:ascii="Arial" w:eastAsia="Times New Roman" w:hAnsi="Arial" w:cs="Times New Roman"/>
          <w:szCs w:val="24"/>
          <w:lang w:val="en-GB"/>
        </w:rPr>
        <w:t>April</w:t>
      </w:r>
      <w:r w:rsidRPr="00734A2A">
        <w:rPr>
          <w:rFonts w:ascii="Arial" w:eastAsia="Times New Roman" w:hAnsi="Arial" w:cs="Times New Roman"/>
          <w:szCs w:val="24"/>
          <w:lang w:val="en-GB"/>
        </w:rPr>
        <w:t xml:space="preserve"> 201</w:t>
      </w:r>
      <w:r w:rsidR="002848EB">
        <w:rPr>
          <w:rFonts w:ascii="Arial" w:eastAsia="Times New Roman" w:hAnsi="Arial" w:cs="Times New Roman"/>
          <w:szCs w:val="24"/>
          <w:lang w:val="en-GB"/>
        </w:rPr>
        <w:t>6</w:t>
      </w:r>
    </w:p>
    <w:p w:rsidR="00734A2A" w:rsidRPr="00734A2A" w:rsidRDefault="00734A2A" w:rsidP="00734A2A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Cs w:val="24"/>
          <w:lang w:val="en-GB"/>
        </w:rPr>
      </w:pP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szCs w:val="24"/>
          <w:lang w:val="en-GB"/>
        </w:rPr>
      </w:pPr>
      <w:r w:rsidRPr="00734A2A">
        <w:rPr>
          <w:rFonts w:ascii="Arial" w:eastAsia="Times New Roman" w:hAnsi="Arial" w:cs="Times New Roman"/>
          <w:szCs w:val="24"/>
          <w:lang w:val="en-GB"/>
        </w:rPr>
        <w:t>Pr</w:t>
      </w:r>
      <w:r w:rsidR="00ED6248">
        <w:rPr>
          <w:rFonts w:ascii="Arial" w:eastAsia="Times New Roman" w:hAnsi="Arial" w:cs="Times New Roman"/>
          <w:szCs w:val="24"/>
          <w:lang w:val="en-GB"/>
        </w:rPr>
        <w:t xml:space="preserve">oject deliverables finalised:  </w:t>
      </w:r>
      <w:r w:rsidR="005D2EB9">
        <w:rPr>
          <w:rFonts w:ascii="Arial" w:eastAsia="Times New Roman" w:hAnsi="Arial" w:cs="Times New Roman"/>
          <w:szCs w:val="24"/>
          <w:lang w:val="en-GB"/>
        </w:rPr>
        <w:t>April</w:t>
      </w:r>
      <w:r w:rsidR="002848EB">
        <w:rPr>
          <w:rFonts w:ascii="Arial" w:eastAsia="Times New Roman" w:hAnsi="Arial" w:cs="Times New Roman"/>
          <w:szCs w:val="24"/>
          <w:lang w:val="en-GB"/>
        </w:rPr>
        <w:t xml:space="preserve"> 2016</w:t>
      </w:r>
    </w:p>
    <w:p w:rsidR="00734A2A" w:rsidRPr="00734A2A" w:rsidRDefault="00734A2A" w:rsidP="00734A2A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color w:val="000000"/>
          <w:szCs w:val="24"/>
          <w:lang w:val="en-GB"/>
        </w:rPr>
      </w:pP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 xml:space="preserve">Projects Commence: </w:t>
      </w:r>
      <w:r w:rsidR="00221C94">
        <w:rPr>
          <w:rFonts w:ascii="Arial" w:eastAsia="Times New Roman" w:hAnsi="Arial" w:cs="Times New Roman"/>
          <w:color w:val="000000"/>
          <w:szCs w:val="24"/>
          <w:lang w:val="en-GB"/>
        </w:rPr>
        <w:t xml:space="preserve">May </w:t>
      </w:r>
      <w:r w:rsidR="002848EB">
        <w:rPr>
          <w:rFonts w:ascii="Arial" w:eastAsia="Times New Roman" w:hAnsi="Arial" w:cs="Times New Roman"/>
          <w:color w:val="000000"/>
          <w:szCs w:val="24"/>
          <w:lang w:val="en-GB"/>
        </w:rPr>
        <w:t>2016</w:t>
      </w:r>
    </w:p>
    <w:p w:rsidR="00ED6248" w:rsidRDefault="00ED6248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szCs w:val="24"/>
          <w:lang w:val="en-GB"/>
        </w:rPr>
      </w:pPr>
    </w:p>
    <w:p w:rsidR="003911C4" w:rsidRDefault="003911C4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3911C4" w:rsidRDefault="003911C4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3911C4" w:rsidRDefault="003911C4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  <w:r w:rsidRPr="00ED6248">
        <w:rPr>
          <w:rFonts w:ascii="Arial" w:eastAsia="Times New Roman" w:hAnsi="Arial" w:cs="Times New Roman"/>
          <w:b/>
          <w:color w:val="000000"/>
          <w:szCs w:val="24"/>
          <w:lang w:val="en-GB"/>
        </w:rPr>
        <w:t>CAIF Round 8</w:t>
      </w:r>
    </w:p>
    <w:p w:rsidR="00ED6248" w:rsidRPr="00ED6248" w:rsidRDefault="00ED6248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ED6248" w:rsidRDefault="009E2621" w:rsidP="00ED624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The funding available for CAIF Round 8 is </w:t>
      </w:r>
      <w:r w:rsidR="005B53FE">
        <w:rPr>
          <w:rFonts w:ascii="Arial" w:eastAsia="Times New Roman" w:hAnsi="Arial" w:cs="Arial"/>
          <w:color w:val="000000"/>
          <w:lang w:val="en-GB"/>
        </w:rPr>
        <w:t>$2 mill</w:t>
      </w:r>
      <w:r w:rsidR="00E97F95">
        <w:rPr>
          <w:rFonts w:ascii="Arial" w:eastAsia="Times New Roman" w:hAnsi="Arial" w:cs="Arial"/>
          <w:color w:val="000000"/>
          <w:lang w:val="en-GB"/>
        </w:rPr>
        <w:t>i</w:t>
      </w:r>
      <w:r w:rsidR="005B53FE">
        <w:rPr>
          <w:rFonts w:ascii="Arial" w:eastAsia="Times New Roman" w:hAnsi="Arial" w:cs="Arial"/>
          <w:color w:val="000000"/>
          <w:lang w:val="en-GB"/>
        </w:rPr>
        <w:t>on</w:t>
      </w:r>
      <w:r>
        <w:rPr>
          <w:rFonts w:ascii="Arial" w:eastAsia="Times New Roman" w:hAnsi="Arial" w:cs="Arial"/>
          <w:color w:val="000000"/>
          <w:lang w:val="en-GB"/>
        </w:rPr>
        <w:t>.</w:t>
      </w:r>
      <w:r w:rsidR="005B53FE">
        <w:rPr>
          <w:rFonts w:ascii="Arial" w:eastAsia="Times New Roman" w:hAnsi="Arial" w:cs="Arial"/>
          <w:color w:val="000000"/>
          <w:lang w:val="en-GB"/>
        </w:rPr>
        <w:t xml:space="preserve"> It is anticipated that this</w:t>
      </w:r>
      <w:r w:rsidR="00221BC8">
        <w:rPr>
          <w:rFonts w:ascii="Arial" w:eastAsia="Times New Roman" w:hAnsi="Arial" w:cs="Arial"/>
          <w:color w:val="000000"/>
          <w:lang w:val="en-GB"/>
        </w:rPr>
        <w:t xml:space="preserve"> will be a highly competitive round</w:t>
      </w:r>
      <w:r w:rsidR="00F049BC">
        <w:rPr>
          <w:rFonts w:ascii="Arial" w:eastAsia="Times New Roman" w:hAnsi="Arial" w:cs="Arial"/>
          <w:color w:val="000000"/>
          <w:lang w:val="en-GB"/>
        </w:rPr>
        <w:t>,</w:t>
      </w:r>
      <w:r w:rsidR="00221BC8">
        <w:rPr>
          <w:rFonts w:ascii="Arial" w:eastAsia="Times New Roman" w:hAnsi="Arial" w:cs="Arial"/>
          <w:color w:val="000000"/>
          <w:lang w:val="en-GB"/>
        </w:rPr>
        <w:t xml:space="preserve"> therefore w</w:t>
      </w:r>
      <w:r w:rsidR="00D8241E">
        <w:rPr>
          <w:rFonts w:ascii="Arial" w:eastAsia="Times New Roman" w:hAnsi="Arial" w:cs="Arial"/>
          <w:color w:val="000000"/>
          <w:lang w:val="en-GB"/>
        </w:rPr>
        <w:t xml:space="preserve">ell-developed applications </w:t>
      </w:r>
      <w:r w:rsidR="00221BC8">
        <w:rPr>
          <w:rFonts w:ascii="Arial" w:eastAsia="Times New Roman" w:hAnsi="Arial" w:cs="Arial"/>
          <w:color w:val="000000"/>
          <w:lang w:val="en-GB"/>
        </w:rPr>
        <w:t>are essential.</w:t>
      </w:r>
      <w:r w:rsidR="00D8241E">
        <w:rPr>
          <w:rFonts w:ascii="Arial" w:eastAsia="Times New Roman" w:hAnsi="Arial" w:cs="Arial"/>
          <w:color w:val="000000"/>
          <w:lang w:val="en-GB"/>
        </w:rPr>
        <w:t xml:space="preserve"> </w:t>
      </w:r>
    </w:p>
    <w:p w:rsidR="00ED6248" w:rsidRDefault="00ED6248" w:rsidP="00ED6248">
      <w:pPr>
        <w:overflowPunct w:val="0"/>
        <w:autoSpaceDE w:val="0"/>
        <w:autoSpaceDN w:val="0"/>
        <w:adjustRightInd w:val="0"/>
        <w:spacing w:after="120" w:line="240" w:lineRule="auto"/>
        <w:ind w:left="284"/>
        <w:contextualSpacing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ED6248" w:rsidRDefault="00221BC8" w:rsidP="00ED624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Project </w:t>
      </w:r>
      <w:r w:rsidR="009E2621">
        <w:rPr>
          <w:rFonts w:ascii="Arial" w:eastAsia="Times New Roman" w:hAnsi="Arial" w:cs="Arial"/>
          <w:color w:val="000000"/>
          <w:lang w:val="en-GB"/>
        </w:rPr>
        <w:t xml:space="preserve">budgets </w:t>
      </w:r>
      <w:r>
        <w:rPr>
          <w:rFonts w:ascii="Arial" w:eastAsia="Times New Roman" w:hAnsi="Arial" w:cs="Arial"/>
          <w:color w:val="000000"/>
          <w:lang w:val="en-GB"/>
        </w:rPr>
        <w:t>should be carefully prepared reflecting an accurate</w:t>
      </w:r>
      <w:r w:rsidR="009E2621"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>assessment of project costs</w:t>
      </w:r>
      <w:r w:rsidR="009E2621">
        <w:rPr>
          <w:rFonts w:ascii="Arial" w:eastAsia="Times New Roman" w:hAnsi="Arial" w:cs="Arial"/>
          <w:color w:val="000000"/>
          <w:lang w:val="en-GB"/>
        </w:rPr>
        <w:t>.</w:t>
      </w:r>
    </w:p>
    <w:p w:rsidR="00734A2A" w:rsidRPr="00734A2A" w:rsidRDefault="00734A2A" w:rsidP="00ED624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734A2A" w:rsidRDefault="00734A2A" w:rsidP="00734A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lang w:val="en-GB"/>
        </w:rPr>
      </w:pPr>
      <w:r w:rsidRPr="00734A2A">
        <w:rPr>
          <w:rFonts w:ascii="Arial" w:eastAsia="Times New Roman" w:hAnsi="Arial" w:cs="Arial"/>
          <w:color w:val="000000"/>
          <w:lang w:val="en-GB"/>
        </w:rPr>
        <w:t xml:space="preserve">A </w:t>
      </w:r>
      <w:r w:rsidRPr="00734A2A">
        <w:rPr>
          <w:rFonts w:ascii="Arial" w:eastAsia="Times New Roman" w:hAnsi="Arial" w:cs="Arial"/>
          <w:color w:val="000000"/>
          <w:u w:val="single"/>
          <w:lang w:val="en-GB"/>
        </w:rPr>
        <w:t>single application</w:t>
      </w:r>
      <w:r w:rsidRPr="00734A2A">
        <w:rPr>
          <w:rFonts w:ascii="Arial" w:eastAsia="Times New Roman" w:hAnsi="Arial" w:cs="Arial"/>
          <w:color w:val="000000"/>
          <w:lang w:val="en-GB"/>
        </w:rPr>
        <w:t xml:space="preserve"> </w:t>
      </w:r>
      <w:r w:rsidR="001213CF">
        <w:rPr>
          <w:rFonts w:ascii="Arial" w:eastAsia="Times New Roman" w:hAnsi="Arial" w:cs="Arial"/>
          <w:color w:val="000000"/>
          <w:lang w:val="en-GB"/>
        </w:rPr>
        <w:t>ONLY</w:t>
      </w:r>
      <w:r w:rsidR="001213CF" w:rsidRPr="00734A2A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734A2A">
        <w:rPr>
          <w:rFonts w:ascii="Arial" w:eastAsia="Times New Roman" w:hAnsi="Arial" w:cs="Arial"/>
          <w:color w:val="000000"/>
          <w:lang w:val="en-GB"/>
        </w:rPr>
        <w:t>is required to be completed and submitted.</w:t>
      </w:r>
      <w:r w:rsidR="00221BC8">
        <w:rPr>
          <w:rFonts w:ascii="Arial" w:eastAsia="Times New Roman" w:hAnsi="Arial" w:cs="Arial"/>
          <w:color w:val="000000"/>
          <w:lang w:val="en-GB"/>
        </w:rPr>
        <w:t xml:space="preserve"> Expressions of Interest are not required.</w:t>
      </w:r>
    </w:p>
    <w:p w:rsidR="00221BC8" w:rsidRPr="00734A2A" w:rsidRDefault="00221BC8" w:rsidP="00221BC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734A2A" w:rsidRPr="00734A2A" w:rsidRDefault="009E2621" w:rsidP="00734A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The </w:t>
      </w:r>
      <w:r w:rsidR="00734A2A" w:rsidRPr="00734A2A">
        <w:rPr>
          <w:rFonts w:ascii="Arial" w:eastAsia="Times New Roman" w:hAnsi="Arial" w:cs="Arial"/>
          <w:color w:val="000000"/>
          <w:lang w:val="en-GB"/>
        </w:rPr>
        <w:t xml:space="preserve">maximum project duration </w:t>
      </w:r>
      <w:r>
        <w:rPr>
          <w:rFonts w:ascii="Arial" w:eastAsia="Times New Roman" w:hAnsi="Arial" w:cs="Arial"/>
          <w:color w:val="000000"/>
          <w:lang w:val="en-GB"/>
        </w:rPr>
        <w:t>for CAIF Round 8 is</w:t>
      </w:r>
      <w:r w:rsidR="00734A2A" w:rsidRPr="00734A2A">
        <w:rPr>
          <w:rFonts w:ascii="Arial" w:eastAsia="Times New Roman" w:hAnsi="Arial" w:cs="Arial"/>
          <w:color w:val="000000"/>
          <w:lang w:val="en-GB"/>
        </w:rPr>
        <w:t xml:space="preserve"> 18 months. </w:t>
      </w:r>
    </w:p>
    <w:p w:rsidR="00734A2A" w:rsidRPr="00734A2A" w:rsidRDefault="00734A2A" w:rsidP="00ED6248">
      <w:pPr>
        <w:tabs>
          <w:tab w:val="left" w:pos="567"/>
        </w:tabs>
        <w:spacing w:after="120"/>
        <w:contextualSpacing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Arial"/>
          <w:b/>
          <w:color w:val="000000"/>
          <w:lang w:val="en-GB" w:eastAsia="en-AU"/>
        </w:rPr>
      </w:pPr>
      <w:r w:rsidRPr="00734A2A">
        <w:rPr>
          <w:rFonts w:ascii="Arial" w:eastAsia="Times New Roman" w:hAnsi="Arial" w:cs="Arial"/>
          <w:b/>
          <w:color w:val="000000"/>
          <w:lang w:val="en-GB" w:eastAsia="en-AU"/>
        </w:rPr>
        <w:t xml:space="preserve">Funding Streams for CAIF </w:t>
      </w:r>
      <w:r w:rsidR="009E2621">
        <w:rPr>
          <w:rFonts w:ascii="Arial" w:eastAsia="Times New Roman" w:hAnsi="Arial" w:cs="Arial"/>
          <w:b/>
          <w:color w:val="000000"/>
          <w:lang w:val="en-GB" w:eastAsia="en-AU"/>
        </w:rPr>
        <w:t>8</w:t>
      </w:r>
      <w:r w:rsidRPr="00734A2A">
        <w:rPr>
          <w:rFonts w:ascii="Arial" w:eastAsia="Times New Roman" w:hAnsi="Arial" w:cs="Arial"/>
          <w:b/>
          <w:color w:val="000000"/>
          <w:lang w:val="en-GB" w:eastAsia="en-AU"/>
        </w:rPr>
        <w:t xml:space="preserve"> </w:t>
      </w:r>
    </w:p>
    <w:p w:rsidR="00ED6248" w:rsidRDefault="00ED6248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Arial"/>
          <w:color w:val="000000"/>
          <w:lang w:val="en-GB" w:eastAsia="en-AU"/>
        </w:rPr>
      </w:pPr>
    </w:p>
    <w:p w:rsid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Arial"/>
          <w:color w:val="000000"/>
          <w:lang w:val="en-GB" w:eastAsia="en-AU"/>
        </w:rPr>
      </w:pPr>
      <w:r w:rsidRPr="00734A2A">
        <w:rPr>
          <w:rFonts w:ascii="Arial" w:eastAsia="Times New Roman" w:hAnsi="Arial" w:cs="Arial"/>
          <w:color w:val="000000"/>
          <w:lang w:val="en-GB" w:eastAsia="en-AU"/>
        </w:rPr>
        <w:t>Applications are invited for funding under the following streams:</w:t>
      </w:r>
    </w:p>
    <w:p w:rsidR="001213CF" w:rsidRPr="00734A2A" w:rsidRDefault="001213CF" w:rsidP="00734A2A">
      <w:p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color w:val="000000"/>
          <w:lang w:val="en-GB" w:eastAsia="en-AU"/>
        </w:rPr>
      </w:pP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>Stream 1: Engaging Learners on Pathways for Achievement</w:t>
      </w: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>Stream 2: Communities of Practice for Quality</w:t>
      </w: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Arial"/>
          <w:color w:val="000000"/>
          <w:lang w:val="en-GB"/>
        </w:rPr>
      </w:pP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 xml:space="preserve">Stream 3: Partnerships for Access </w:t>
      </w:r>
      <w:r w:rsidR="00C71FE3">
        <w:rPr>
          <w:rFonts w:ascii="Arial" w:eastAsia="Times New Roman" w:hAnsi="Arial" w:cs="Times New Roman"/>
          <w:color w:val="000000"/>
          <w:szCs w:val="24"/>
          <w:lang w:val="en-GB"/>
        </w:rPr>
        <w:t>(Implementation only)</w:t>
      </w: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Arial"/>
          <w:color w:val="000000"/>
          <w:lang w:val="en-GB"/>
        </w:rPr>
      </w:pP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>Stream 4: Strengthening Learn Local Provision</w:t>
      </w:r>
    </w:p>
    <w:p w:rsidR="00734A2A" w:rsidRPr="00734A2A" w:rsidRDefault="00734A2A" w:rsidP="00734A2A">
      <w:pPr>
        <w:tabs>
          <w:tab w:val="left" w:pos="567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70C0"/>
          <w:lang w:val="en-GB" w:eastAsia="en-AU"/>
        </w:rPr>
      </w:pPr>
      <w:r w:rsidRPr="00734A2A">
        <w:rPr>
          <w:rFonts w:ascii="Arial" w:eastAsia="Times New Roman" w:hAnsi="Arial" w:cs="Times New Roman"/>
          <w:color w:val="000000"/>
          <w:lang w:val="en-GB" w:eastAsia="en-AU"/>
        </w:rPr>
        <w:t xml:space="preserve">Further information on the Capacity and Innovation Fund and application process can be found in the CAIF </w:t>
      </w:r>
      <w:r w:rsidR="009E2621">
        <w:rPr>
          <w:rFonts w:ascii="Arial" w:eastAsia="Times New Roman" w:hAnsi="Arial" w:cs="Times New Roman"/>
          <w:color w:val="000000"/>
          <w:lang w:val="en-GB" w:eastAsia="en-AU"/>
        </w:rPr>
        <w:t>8</w:t>
      </w:r>
      <w:r w:rsidRPr="00734A2A">
        <w:rPr>
          <w:rFonts w:ascii="Arial" w:eastAsia="Times New Roman" w:hAnsi="Arial" w:cs="Times New Roman"/>
          <w:color w:val="000000"/>
          <w:lang w:val="en-GB" w:eastAsia="en-AU"/>
        </w:rPr>
        <w:t xml:space="preserve"> Funding Guidelines, including a description of the </w:t>
      </w:r>
      <w:r w:rsidR="001213CF">
        <w:rPr>
          <w:rFonts w:ascii="Arial" w:eastAsia="Times New Roman" w:hAnsi="Arial" w:cs="Times New Roman"/>
          <w:color w:val="000000"/>
          <w:lang w:val="en-GB" w:eastAsia="en-AU"/>
        </w:rPr>
        <w:t>f</w:t>
      </w:r>
      <w:r w:rsidRPr="00734A2A">
        <w:rPr>
          <w:rFonts w:ascii="Arial" w:eastAsia="Times New Roman" w:hAnsi="Arial" w:cs="Times New Roman"/>
          <w:color w:val="000000"/>
          <w:lang w:val="en-GB" w:eastAsia="en-AU"/>
        </w:rPr>
        <w:t xml:space="preserve">unding </w:t>
      </w:r>
      <w:r w:rsidR="001213CF">
        <w:rPr>
          <w:rFonts w:ascii="Arial" w:eastAsia="Times New Roman" w:hAnsi="Arial" w:cs="Times New Roman"/>
          <w:color w:val="000000"/>
          <w:lang w:val="en-GB" w:eastAsia="en-AU"/>
        </w:rPr>
        <w:t>s</w:t>
      </w:r>
      <w:r w:rsidRPr="00734A2A">
        <w:rPr>
          <w:rFonts w:ascii="Arial" w:eastAsia="Times New Roman" w:hAnsi="Arial" w:cs="Times New Roman"/>
          <w:color w:val="000000"/>
          <w:lang w:val="en-GB" w:eastAsia="en-AU"/>
        </w:rPr>
        <w:t xml:space="preserve">treams and assessment criteria.  The CAIF </w:t>
      </w:r>
      <w:r w:rsidR="009E2621">
        <w:rPr>
          <w:rFonts w:ascii="Arial" w:eastAsia="Times New Roman" w:hAnsi="Arial" w:cs="Times New Roman"/>
          <w:color w:val="000000"/>
          <w:lang w:val="en-GB" w:eastAsia="en-AU"/>
        </w:rPr>
        <w:t xml:space="preserve">8 </w:t>
      </w:r>
      <w:r w:rsidRPr="00734A2A">
        <w:rPr>
          <w:rFonts w:ascii="Arial" w:eastAsia="Times New Roman" w:hAnsi="Arial" w:cs="Times New Roman"/>
          <w:lang w:val="en-GB" w:eastAsia="en-AU"/>
        </w:rPr>
        <w:t xml:space="preserve">Guidelines and </w:t>
      </w:r>
      <w:r w:rsidR="001213CF">
        <w:rPr>
          <w:rFonts w:ascii="Arial" w:eastAsia="Times New Roman" w:hAnsi="Arial" w:cs="Times New Roman"/>
          <w:lang w:val="en-GB" w:eastAsia="en-AU"/>
        </w:rPr>
        <w:t>a</w:t>
      </w:r>
      <w:r w:rsidRPr="00734A2A">
        <w:rPr>
          <w:rFonts w:ascii="Arial" w:eastAsia="Times New Roman" w:hAnsi="Arial" w:cs="Times New Roman"/>
          <w:lang w:val="en-GB" w:eastAsia="en-AU"/>
        </w:rPr>
        <w:t xml:space="preserve">pplication documents </w:t>
      </w:r>
      <w:r w:rsidRPr="00734A2A">
        <w:rPr>
          <w:rFonts w:ascii="Arial" w:eastAsia="Times New Roman" w:hAnsi="Arial" w:cs="Times New Roman"/>
          <w:color w:val="000000"/>
          <w:lang w:val="en-GB" w:eastAsia="en-AU"/>
        </w:rPr>
        <w:t xml:space="preserve">are available on the Department of Education and Training (DET) website: </w:t>
      </w:r>
      <w:hyperlink r:id="rId9" w:history="1">
        <w:r w:rsidRPr="00734A2A">
          <w:rPr>
            <w:rFonts w:ascii="Arial" w:eastAsia="Times New Roman" w:hAnsi="Arial" w:cs="Times New Roman"/>
            <w:color w:val="0000FF"/>
            <w:u w:val="single"/>
            <w:lang w:val="en-GB" w:eastAsia="en-AU"/>
          </w:rPr>
          <w:t>http://www.education.vic.gov.au/training/providers/learnlocal/pages/acfeboardfund.aspx</w:t>
        </w:r>
      </w:hyperlink>
    </w:p>
    <w:p w:rsidR="00734A2A" w:rsidRPr="00153B4F" w:rsidRDefault="00734A2A" w:rsidP="00734A2A">
      <w:p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GB" w:eastAsia="en-AU"/>
        </w:rPr>
      </w:pPr>
      <w:r w:rsidRPr="00153B4F">
        <w:rPr>
          <w:rFonts w:ascii="Arial" w:eastAsia="Times New Roman" w:hAnsi="Arial" w:cs="Times New Roman"/>
          <w:lang w:val="en-GB" w:eastAsia="en-AU"/>
        </w:rPr>
        <w:t xml:space="preserve"> </w:t>
      </w: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lang w:val="en-GB" w:eastAsia="en-AU"/>
        </w:rPr>
      </w:pPr>
      <w:r w:rsidRPr="00734A2A">
        <w:rPr>
          <w:rFonts w:ascii="Arial" w:eastAsia="Times New Roman" w:hAnsi="Arial" w:cs="Times New Roman"/>
          <w:color w:val="000000"/>
          <w:lang w:val="en-GB" w:eastAsia="en-AU"/>
        </w:rPr>
        <w:t xml:space="preserve">Learn Local organisations are encouraged to contact regional Training Participation Support staff with questions regarding regional priorities and policy contexts for project ideas. Questions relating to completing the application forms </w:t>
      </w:r>
      <w:r w:rsidR="004948C8">
        <w:rPr>
          <w:rFonts w:ascii="Arial" w:eastAsia="Times New Roman" w:hAnsi="Arial" w:cs="Times New Roman"/>
          <w:color w:val="000000"/>
          <w:lang w:val="en-GB" w:eastAsia="en-AU"/>
        </w:rPr>
        <w:t>can also be directed to regional staff</w:t>
      </w:r>
      <w:r w:rsidRPr="00734A2A">
        <w:rPr>
          <w:rFonts w:ascii="Arial" w:eastAsia="Times New Roman" w:hAnsi="Arial" w:cs="Times New Roman"/>
          <w:color w:val="000000"/>
          <w:lang w:val="en-GB" w:eastAsia="en-AU"/>
        </w:rPr>
        <w:t>.</w:t>
      </w:r>
    </w:p>
    <w:p w:rsidR="00D8241E" w:rsidRDefault="00D8241E" w:rsidP="00734A2A">
      <w:pPr>
        <w:tabs>
          <w:tab w:val="left" w:pos="1080"/>
        </w:tabs>
        <w:spacing w:before="120" w:after="120" w:line="240" w:lineRule="auto"/>
        <w:rPr>
          <w:rFonts w:ascii="Arial" w:eastAsia="Times New Roman" w:hAnsi="Arial" w:cs="Times New Roman"/>
          <w:color w:val="000000"/>
          <w:szCs w:val="24"/>
          <w:lang w:val="en-GB"/>
        </w:rPr>
      </w:pPr>
    </w:p>
    <w:p w:rsidR="00734A2A" w:rsidRPr="00734A2A" w:rsidRDefault="00734A2A" w:rsidP="00ED6248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60" w:after="0" w:line="240" w:lineRule="auto"/>
        <w:ind w:left="-284" w:right="397"/>
        <w:textAlignment w:val="baseline"/>
        <w:rPr>
          <w:rFonts w:ascii="Arial" w:eastAsia="Times New Roman" w:hAnsi="Arial" w:cs="Times New Roman"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color w:val="000000"/>
          <w:szCs w:val="24"/>
          <w:lang w:val="en-GB"/>
        </w:rPr>
        <w:t>On behalf of the ACFE Board I encourage you to participate in this significant program.</w:t>
      </w:r>
    </w:p>
    <w:p w:rsidR="00D8241E" w:rsidRDefault="00D8241E" w:rsidP="00734A2A">
      <w:pPr>
        <w:tabs>
          <w:tab w:val="left" w:pos="0"/>
          <w:tab w:val="left" w:pos="1080"/>
        </w:tabs>
        <w:spacing w:after="0" w:line="240" w:lineRule="auto"/>
        <w:ind w:left="-240"/>
        <w:rPr>
          <w:rFonts w:ascii="Arial" w:eastAsia="Times New Roman" w:hAnsi="Arial" w:cs="Times New Roman"/>
          <w:b/>
          <w:bCs/>
          <w:color w:val="000000"/>
          <w:szCs w:val="24"/>
          <w:lang w:val="en-GB"/>
        </w:rPr>
      </w:pPr>
    </w:p>
    <w:p w:rsidR="00D8241E" w:rsidRDefault="00D8241E" w:rsidP="00734A2A">
      <w:pPr>
        <w:tabs>
          <w:tab w:val="left" w:pos="0"/>
          <w:tab w:val="left" w:pos="1080"/>
        </w:tabs>
        <w:spacing w:after="0" w:line="240" w:lineRule="auto"/>
        <w:ind w:left="-240"/>
        <w:rPr>
          <w:rFonts w:ascii="Arial" w:eastAsia="Times New Roman" w:hAnsi="Arial" w:cs="Times New Roman"/>
          <w:b/>
          <w:bCs/>
          <w:color w:val="000000"/>
          <w:szCs w:val="24"/>
          <w:lang w:val="en-GB"/>
        </w:rPr>
      </w:pPr>
    </w:p>
    <w:p w:rsidR="00977C91" w:rsidRDefault="00977C91"/>
    <w:sectPr w:rsidR="00977C91" w:rsidSect="00A2083F">
      <w:footerReference w:type="first" r:id="rId10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94" w:rsidRDefault="00FF4394">
      <w:pPr>
        <w:spacing w:after="0" w:line="240" w:lineRule="auto"/>
      </w:pPr>
      <w:r>
        <w:separator/>
      </w:r>
    </w:p>
  </w:endnote>
  <w:endnote w:type="continuationSeparator" w:id="0">
    <w:p w:rsidR="00FF4394" w:rsidRDefault="00FF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77" w:rsidRPr="009D5D01" w:rsidRDefault="004948C8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FD13C4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5F2277" w:rsidRDefault="00FF4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94" w:rsidRDefault="00FF4394">
      <w:pPr>
        <w:spacing w:after="0" w:line="240" w:lineRule="auto"/>
      </w:pPr>
      <w:r>
        <w:separator/>
      </w:r>
    </w:p>
  </w:footnote>
  <w:footnote w:type="continuationSeparator" w:id="0">
    <w:p w:rsidR="00FF4394" w:rsidRDefault="00FF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0DE"/>
    <w:multiLevelType w:val="hybridMultilevel"/>
    <w:tmpl w:val="8BD0573E"/>
    <w:lvl w:ilvl="0" w:tplc="104C9C7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CD8587D"/>
    <w:multiLevelType w:val="hybridMultilevel"/>
    <w:tmpl w:val="FF76E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FB1299"/>
    <w:multiLevelType w:val="hybridMultilevel"/>
    <w:tmpl w:val="A9A47F9A"/>
    <w:lvl w:ilvl="0" w:tplc="68F88CEC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522C2396"/>
    <w:multiLevelType w:val="hybridMultilevel"/>
    <w:tmpl w:val="4A286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2A"/>
    <w:rsid w:val="001213CF"/>
    <w:rsid w:val="00153B4F"/>
    <w:rsid w:val="00185774"/>
    <w:rsid w:val="001957CD"/>
    <w:rsid w:val="00221BC8"/>
    <w:rsid w:val="00221C94"/>
    <w:rsid w:val="00254738"/>
    <w:rsid w:val="002848EB"/>
    <w:rsid w:val="00292D9D"/>
    <w:rsid w:val="003911C4"/>
    <w:rsid w:val="00413D9F"/>
    <w:rsid w:val="004948C8"/>
    <w:rsid w:val="004B5645"/>
    <w:rsid w:val="005414BC"/>
    <w:rsid w:val="005A045E"/>
    <w:rsid w:val="005B53FE"/>
    <w:rsid w:val="005D2EB9"/>
    <w:rsid w:val="00734A2A"/>
    <w:rsid w:val="007D168A"/>
    <w:rsid w:val="0091419B"/>
    <w:rsid w:val="00977C91"/>
    <w:rsid w:val="009E2621"/>
    <w:rsid w:val="00A14D60"/>
    <w:rsid w:val="00BA3565"/>
    <w:rsid w:val="00C71FE3"/>
    <w:rsid w:val="00CB064E"/>
    <w:rsid w:val="00D05B31"/>
    <w:rsid w:val="00D8241E"/>
    <w:rsid w:val="00DB189E"/>
    <w:rsid w:val="00E97F95"/>
    <w:rsid w:val="00ED6248"/>
    <w:rsid w:val="00F049BC"/>
    <w:rsid w:val="00F154B8"/>
    <w:rsid w:val="00F32E04"/>
    <w:rsid w:val="00FC3E9D"/>
    <w:rsid w:val="00FC5F99"/>
    <w:rsid w:val="00FD13C4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4A2A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34A2A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34A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4A2A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34A2A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34A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training/providers/learnlocal/pages/acfeboardfund.aspx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ining/providers/learnlocal/pages/acfeboardfund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3E91C-192D-425E-82C5-37345A79418C}"/>
</file>

<file path=customXml/itemProps2.xml><?xml version="1.0" encoding="utf-8"?>
<ds:datastoreItem xmlns:ds="http://schemas.openxmlformats.org/officeDocument/2006/customXml" ds:itemID="{35EFAC4B-A0A2-4DA8-8C33-128331C9280B}"/>
</file>

<file path=customXml/itemProps3.xml><?xml version="1.0" encoding="utf-8"?>
<ds:datastoreItem xmlns:ds="http://schemas.openxmlformats.org/officeDocument/2006/customXml" ds:itemID="{80CA86AA-3052-44CF-8D5B-1F97E2F37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open for ACFE Board Capacity and Innovation Fund 8</dc:title>
  <dc:subject/>
  <dc:creator>Downie, Robyn M</dc:creator>
  <cp:keywords/>
  <dc:description/>
  <cp:lastModifiedBy>Morrow, Jackie A</cp:lastModifiedBy>
  <cp:revision>22</cp:revision>
  <cp:lastPrinted>2015-10-06T04:30:00Z</cp:lastPrinted>
  <dcterms:created xsi:type="dcterms:W3CDTF">2015-10-06T02:48:00Z</dcterms:created>
  <dcterms:modified xsi:type="dcterms:W3CDTF">2015-10-19T05:44:00Z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