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6238F4" w:rsidRPr="008F3646" w:rsidTr="00D1411B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6238F4" w:rsidRPr="008F3646" w:rsidRDefault="006238F4" w:rsidP="00D1411B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262443" wp14:editId="0E4A128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49BA" w:rsidRPr="00633C39" w:rsidRDefault="000949BA" w:rsidP="006238F4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0949BA" w:rsidRPr="006F3F2F" w:rsidRDefault="000949BA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949BA" w:rsidRPr="006F3F2F" w:rsidRDefault="000949BA" w:rsidP="006238F4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49BA" w:rsidRPr="00633C39" w:rsidRDefault="000949BA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49BA" w:rsidRPr="00633C39" w:rsidRDefault="000949BA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:rsidR="000949BA" w:rsidRDefault="000949BA" w:rsidP="006238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r8AA&#10;AADaAAAADwAAAGRycy9kb3ducmV2LnhtbESPQYvCMBSE74L/ITzB25pqcZFqFBEEb2KVhb09mmdT&#10;bF5iE7X77zcLCx6HmfmGWW1624ondaFxrGA6yUAQV043XCu4nPcfCxAhImtsHZOCHwqwWQ8HKyy0&#10;e/GJnmWsRYJwKFCBidEXUobKkMUwcZ44eVfXWYxJdrXUHb4S3LZylmWf0mLDacGgp52h6lY+rILv&#10;/Ouu/bHcVa2Z5j738jTPpFLjUb9dgojUx3f4v33QCubwdyXd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zrr8AAAADaAAAADwAAAAAAAAAAAAAAAACYAgAAZHJzL2Rvd25y&#10;ZXYueG1sUEsFBgAAAAAEAAQA9QAAAIUDAAAAAA==&#10;" fillcolor="black">
                        <v:textbox style="mso-fit-shape-to-text:t">
                          <w:txbxContent>
                            <w:p w:rsidR="000949BA" w:rsidRPr="00633C39" w:rsidRDefault="000949BA" w:rsidP="006238F4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0949BA" w:rsidRPr="006F3F2F" w:rsidRDefault="000949BA" w:rsidP="006238F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0949BA" w:rsidRPr="006F3F2F" w:rsidRDefault="000949BA" w:rsidP="006238F4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VGr8A&#10;AADaAAAADwAAAGRycy9kb3ducmV2LnhtbESPQYvCMBSE74L/ITzBS9FUBZVqFCmIexPdxfOjebbF&#10;5qU0qa3/3iwIHoeZ+YbZ7ntTiSc1rrSsYDaNQRBnVpecK/j7PU7WIJxH1lhZJgUvcrDfDQdbTLTt&#10;+ELPq89FgLBLUEHhfZ1I6bKCDLqprYmDd7eNQR9kk0vdYBfgppLzOF5KgyWHhQJrSgvKHtfWBEq3&#10;OkWz0+JWPaLWp3iOUulapcaj/rAB4an33/Cn/aMVLOH/Srg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lUavwAAANoAAAAPAAAAAAAAAAAAAAAAAJgCAABkcnMvZG93bnJl&#10;di54bWxQSwUGAAAAAAQABAD1AAAAhAMAAAAA&#10;" fillcolor="#bfbfbf">
                        <v:textbox>
                          <w:txbxContent>
                            <w:p w:rsidR="000949BA" w:rsidRPr="00633C39" w:rsidRDefault="000949BA" w:rsidP="006238F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xQMQA&#10;AADaAAAADwAAAGRycy9kb3ducmV2LnhtbESPzW7CMBCE70i8g7VIXFBxqBBpUwzqX6DHNuEBVvE2&#10;SROvo9hAeHuMhNTjaGa+0ay3g2nFiXpXW1awmEcgiAuray4VHPL04QmE88gaW8uk4EIOtpvxaI2J&#10;tmf+oVPmSxEg7BJUUHnfJVK6oiKDbm474uD92t6gD7Ivpe7xHOCmlY9RtJIGaw4LFXb0XlHRZEej&#10;oClXy7w9uLe/73hPu8VzM0s/PpWaTobXFxCeBv8fvre/tIIYblfC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5cUDEAAAA2gAAAA8AAAAAAAAAAAAAAAAAmAIAAGRycy9k&#10;b3ducmV2LnhtbFBLBQYAAAAABAAEAPUAAACJAwAAAAA=&#10;" fillcolor="#1f497d">
                        <v:textbox>
                          <w:txbxContent>
                            <w:p w:rsidR="000949BA" w:rsidRPr="00633C39" w:rsidRDefault="000949BA" w:rsidP="006238F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:rsidR="000949BA" w:rsidRDefault="000949BA" w:rsidP="006238F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6238F4" w:rsidRPr="00744E0A" w:rsidRDefault="006238F4" w:rsidP="006238F4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95077A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10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95077A">
        <w:rPr>
          <w:rFonts w:ascii="Arial" w:hAnsi="Arial"/>
          <w:i/>
          <w:color w:val="000000"/>
          <w:sz w:val="22"/>
          <w:szCs w:val="24"/>
          <w:lang w:val="en-GB" w:eastAsia="en-US"/>
        </w:rPr>
        <w:t>3</w:t>
      </w:r>
    </w:p>
    <w:p w:rsidR="006238F4" w:rsidRDefault="006238F4" w:rsidP="006238F4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349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969"/>
      </w:tblGrid>
      <w:tr w:rsidR="009537AD" w:rsidRPr="006F3F2F" w:rsidTr="004D7605">
        <w:tc>
          <w:tcPr>
            <w:tcW w:w="3119" w:type="dxa"/>
            <w:shd w:val="clear" w:color="auto" w:fill="auto"/>
          </w:tcPr>
          <w:p w:rsidR="009537AD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537AD" w:rsidRPr="006F3F2F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:rsidR="009537AD" w:rsidRPr="006F3F2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:rsidR="009537AD" w:rsidRPr="006F3F2F" w:rsidRDefault="009537AD" w:rsidP="009537AD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537AD" w:rsidRPr="006F3F2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537AD" w:rsidRPr="006F3F2F" w:rsidTr="004D7605">
        <w:tc>
          <w:tcPr>
            <w:tcW w:w="3119" w:type="dxa"/>
            <w:shd w:val="clear" w:color="auto" w:fill="auto"/>
          </w:tcPr>
          <w:p w:rsidR="009537AD" w:rsidRPr="001336DE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537AD" w:rsidRPr="0052344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537AD" w:rsidRPr="0052344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537AD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s </w:t>
            </w:r>
          </w:p>
          <w:p w:rsidR="009537AD" w:rsidRPr="006F3F2F" w:rsidRDefault="009537AD" w:rsidP="004D7605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– 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Chairs </w:t>
            </w:r>
            <w:r w:rsidRPr="003077B3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>and/or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Executive Officers</w:t>
            </w:r>
          </w:p>
        </w:tc>
      </w:tr>
      <w:tr w:rsidR="009537AD" w:rsidRPr="006F3F2F" w:rsidTr="004D7605">
        <w:tc>
          <w:tcPr>
            <w:tcW w:w="3119" w:type="dxa"/>
            <w:shd w:val="clear" w:color="auto" w:fill="auto"/>
          </w:tcPr>
          <w:p w:rsidR="009537AD" w:rsidRPr="006F3F2F" w:rsidRDefault="009537AD" w:rsidP="009537AD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:rsidR="009537AD" w:rsidRPr="006F3F2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537AD" w:rsidRPr="006F3F2F" w:rsidRDefault="009537AD" w:rsidP="009537AD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6238F4" w:rsidRPr="00044F8A" w:rsidRDefault="006238F4" w:rsidP="006238F4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6238F4" w:rsidRPr="00044F8A" w:rsidRDefault="006238F4" w:rsidP="006238F4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>Verna Kearney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A/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6238F4" w:rsidRPr="001C4930" w:rsidRDefault="006238F4" w:rsidP="006238F4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95077A">
        <w:rPr>
          <w:rFonts w:ascii="Arial" w:hAnsi="Arial"/>
          <w:color w:val="000000"/>
          <w:sz w:val="22"/>
          <w:lang w:val="en-GB" w:eastAsia="en-US"/>
        </w:rPr>
        <w:t>03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95077A">
        <w:rPr>
          <w:rFonts w:ascii="Arial" w:hAnsi="Arial"/>
          <w:color w:val="000000"/>
          <w:sz w:val="22"/>
          <w:lang w:val="en-GB" w:eastAsia="en-US"/>
        </w:rPr>
        <w:t>10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95077A">
        <w:rPr>
          <w:rFonts w:ascii="Arial" w:hAnsi="Arial"/>
          <w:color w:val="000000"/>
          <w:sz w:val="22"/>
          <w:lang w:val="en-GB" w:eastAsia="en-US"/>
        </w:rPr>
        <w:t>2014</w:t>
      </w:r>
    </w:p>
    <w:p w:rsidR="006238F4" w:rsidRPr="009537AD" w:rsidRDefault="006238F4" w:rsidP="006238F4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9537AD" w:rsidRPr="009537A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Applications open for Partnerships for Access </w:t>
      </w:r>
      <w:r w:rsidR="0008556E">
        <w:rPr>
          <w:rFonts w:ascii="Arial" w:hAnsi="Arial"/>
          <w:i/>
          <w:color w:val="000000"/>
          <w:sz w:val="22"/>
          <w:szCs w:val="24"/>
          <w:lang w:val="en-GB" w:eastAsia="en-US"/>
        </w:rPr>
        <w:t>Grant Program</w:t>
      </w:r>
    </w:p>
    <w:p w:rsidR="006238F4" w:rsidRPr="00044F8A" w:rsidRDefault="006238F4" w:rsidP="006238F4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93202" w:rsidTr="004D7605">
        <w:trPr>
          <w:trHeight w:val="1467"/>
        </w:trPr>
        <w:tc>
          <w:tcPr>
            <w:tcW w:w="9640" w:type="dxa"/>
          </w:tcPr>
          <w:p w:rsidR="00793202" w:rsidRPr="00793202" w:rsidRDefault="00793202" w:rsidP="004D7605">
            <w:pPr>
              <w:overflowPunct/>
              <w:autoSpaceDE/>
              <w:autoSpaceDN/>
              <w:adjustRightInd/>
              <w:spacing w:before="60"/>
              <w:ind w:right="-312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7932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  <w:t>ACTIONS:</w:t>
            </w:r>
          </w:p>
          <w:tbl>
            <w:tblPr>
              <w:tblStyle w:val="TableGrid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793202" w:rsidTr="004D7605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3202" w:rsidRPr="00793202" w:rsidRDefault="00316E3C" w:rsidP="00793202">
                  <w:pPr>
                    <w:pStyle w:val="ListParagraph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ind w:right="-312"/>
                    <w:textAlignment w:val="auto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Note the Partnerships for Access</w:t>
                  </w:r>
                  <w:r w:rsidR="00793202" w:rsidRP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Grant Program is now open for applications</w:t>
                  </w:r>
                </w:p>
                <w:p w:rsidR="00793202" w:rsidRPr="00793202" w:rsidRDefault="00316E3C" w:rsidP="00793202">
                  <w:pPr>
                    <w:pStyle w:val="ListParagraph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ind w:right="175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Read the Partnerships for Access</w:t>
                  </w:r>
                  <w:r w:rsidR="00793202" w:rsidRP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Grant Program Information, available </w:t>
                  </w:r>
                  <w:r w:rsid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on</w:t>
                  </w:r>
                  <w:r w:rsidR="00793202" w:rsidRP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the Department’s website</w:t>
                  </w:r>
                </w:p>
                <w:p w:rsidR="00793202" w:rsidRDefault="007509EB" w:rsidP="00CC0440">
                  <w:pPr>
                    <w:pStyle w:val="ListParagraph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ind w:right="-312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Consider </w:t>
                  </w:r>
                  <w:r w:rsidR="006B113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how partnerships </w:t>
                  </w:r>
                  <w:r w:rsidR="00CC0440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could</w:t>
                  </w:r>
                  <w:r w:rsidR="006B113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715CC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support </w:t>
                  </w:r>
                  <w:r w:rsidR="00793202" w:rsidRP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your </w:t>
                  </w:r>
                  <w:r w:rsidR="006B113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o</w:t>
                  </w:r>
                  <w:r w:rsidR="00793202" w:rsidRPr="0079320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rganisation</w:t>
                  </w:r>
                  <w:r w:rsidR="00CC0440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and learners</w:t>
                  </w:r>
                </w:p>
              </w:tc>
            </w:tr>
          </w:tbl>
          <w:p w:rsidR="00793202" w:rsidRDefault="00793202" w:rsidP="00793202">
            <w:pPr>
              <w:tabs>
                <w:tab w:val="left" w:pos="-284"/>
                <w:tab w:val="left" w:pos="1080"/>
                <w:tab w:val="left" w:pos="9753"/>
              </w:tabs>
              <w:overflowPunct/>
              <w:autoSpaceDE/>
              <w:autoSpaceDN/>
              <w:adjustRightInd/>
              <w:ind w:right="-312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:rsidR="006238F4" w:rsidRPr="002D7A7C" w:rsidRDefault="006238F4" w:rsidP="006238F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6238F4" w:rsidRPr="002D7A7C" w:rsidRDefault="006238F4" w:rsidP="006238F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08556E" w:rsidRDefault="009537AD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537A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Applications are now invited from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registered Learn Local Organisations (LLOs) to assist </w:t>
      </w:r>
      <w:r w:rsid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them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implementing  partnerships across the Learn Local sector that contribute to 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their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ongoing viability and effectiveness in meeting learner needs. Joined-up approaches that help to sustain ongoing Learn Local provision and increase opportunities for learners to access education and training pathways will be considered for funding. With a limited budget, grants will be offered on a competitive basis.</w:t>
      </w:r>
    </w:p>
    <w:p w:rsidR="0008556E" w:rsidRPr="00793202" w:rsidRDefault="0008556E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08556E" w:rsidRPr="0008556E" w:rsidRDefault="005D54B2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The Partnerships for Access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Grant P</w:t>
      </w:r>
      <w:r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rogram acknowledges the benefits available to both LLOs and learners when successful partnership arrangements are established and maintained, and responds to the challenges and opportunities LLOs fac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>e</w:t>
      </w:r>
      <w:r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within a changing training environment.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artnerships between LLOs and with other community-based service organisations were a key direction </w:t>
      </w:r>
      <w:r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identified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</w:t>
      </w:r>
      <w:r w:rsidR="00D56168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‘</w:t>
      </w:r>
      <w:r w:rsidR="00D56168" w:rsidRPr="0008556E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Learn Local: Focusing on the Future</w:t>
      </w:r>
      <w:r w:rsidR="00D56168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’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strategic plan for 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Learn Local 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sector released in August 2013.  </w:t>
      </w:r>
    </w:p>
    <w:p w:rsidR="009537AD" w:rsidRPr="00793202" w:rsidRDefault="009537AD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5D54B2" w:rsidRDefault="005D54B2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D54B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Within the available budget, 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>t</w:t>
      </w:r>
      <w:r w:rsidRPr="005D54B2">
        <w:rPr>
          <w:rFonts w:ascii="Arial" w:hAnsi="Arial" w:cs="Arial"/>
          <w:bCs/>
          <w:color w:val="000000"/>
          <w:sz w:val="22"/>
          <w:szCs w:val="22"/>
          <w:lang w:eastAsia="en-US"/>
        </w:rPr>
        <w:t>he Partnerships for Access Grant Program offer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Pr="005D54B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two types of funding support to eligible LLOs as follows: </w:t>
      </w:r>
    </w:p>
    <w:p w:rsidR="005D54B2" w:rsidRDefault="005D54B2" w:rsidP="009914E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tbl>
      <w:tblPr>
        <w:tblStyle w:val="TableGrid"/>
        <w:tblW w:w="98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764"/>
        <w:gridCol w:w="2940"/>
      </w:tblGrid>
      <w:tr w:rsidR="000949BA" w:rsidRPr="000949BA" w:rsidTr="000949BA">
        <w:trPr>
          <w:trHeight w:val="38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49BA" w:rsidRPr="000949BA" w:rsidRDefault="000949BA" w:rsidP="005D54B2">
            <w:pPr>
              <w:overflowPunct/>
              <w:autoSpaceDE/>
              <w:autoSpaceDN/>
              <w:adjustRightInd/>
              <w:spacing w:line="200" w:lineRule="exac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949BA" w:rsidRPr="000949BA" w:rsidRDefault="000949BA" w:rsidP="005D54B2">
            <w:pPr>
              <w:overflowPunct/>
              <w:autoSpaceDE/>
              <w:autoSpaceDN/>
              <w:adjustRightInd/>
              <w:spacing w:line="200" w:lineRule="exact"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STREAM</w:t>
            </w:r>
          </w:p>
        </w:tc>
        <w:tc>
          <w:tcPr>
            <w:tcW w:w="4764" w:type="dxa"/>
            <w:shd w:val="clear" w:color="auto" w:fill="D9D9D9" w:themeFill="background1" w:themeFillShade="D9"/>
            <w:vAlign w:val="center"/>
          </w:tcPr>
          <w:p w:rsidR="000949BA" w:rsidRPr="000949BA" w:rsidRDefault="000949BA" w:rsidP="005D54B2">
            <w:pPr>
              <w:overflowPunct/>
              <w:autoSpaceDE/>
              <w:autoSpaceDN/>
              <w:adjustRightInd/>
              <w:spacing w:line="200" w:lineRule="exact"/>
              <w:ind w:left="34" w:right="397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PURPOSE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0949BA" w:rsidRPr="000949BA" w:rsidRDefault="000949BA" w:rsidP="005D54B2">
            <w:pPr>
              <w:overflowPunct/>
              <w:autoSpaceDE/>
              <w:autoSpaceDN/>
              <w:adjustRightInd/>
              <w:spacing w:line="200" w:lineRule="exact"/>
              <w:ind w:left="34" w:right="397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VALUE</w:t>
            </w:r>
          </w:p>
        </w:tc>
      </w:tr>
      <w:tr w:rsidR="000949BA" w:rsidRPr="000949BA" w:rsidTr="000949BA">
        <w:trPr>
          <w:trHeight w:val="1103"/>
        </w:trPr>
        <w:tc>
          <w:tcPr>
            <w:tcW w:w="426" w:type="dxa"/>
          </w:tcPr>
          <w:p w:rsidR="000949BA" w:rsidRPr="000949BA" w:rsidRDefault="000949BA" w:rsidP="00D561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1" w:type="dxa"/>
          </w:tcPr>
          <w:p w:rsidR="000949BA" w:rsidRPr="000949BA" w:rsidRDefault="000949BA" w:rsidP="000949BA">
            <w:pPr>
              <w:overflowPunct/>
              <w:autoSpaceDE/>
              <w:autoSpaceDN/>
              <w:adjustRightInd/>
              <w:spacing w:before="120"/>
              <w:ind w:right="34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Partnership development</w:t>
            </w:r>
          </w:p>
        </w:tc>
        <w:tc>
          <w:tcPr>
            <w:tcW w:w="4764" w:type="dxa"/>
          </w:tcPr>
          <w:p w:rsidR="000949BA" w:rsidRPr="000949BA" w:rsidRDefault="000949BA" w:rsidP="00D56168">
            <w:pPr>
              <w:overflowPunct/>
              <w:autoSpaceDE/>
              <w:autoSpaceDN/>
              <w:adjustRightInd/>
              <w:spacing w:before="120"/>
              <w:ind w:left="34" w:right="17"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t>Undertake a business case to decide whether or not to proceed with a partnership</w:t>
            </w:r>
          </w:p>
        </w:tc>
        <w:tc>
          <w:tcPr>
            <w:tcW w:w="2940" w:type="dxa"/>
          </w:tcPr>
          <w:p w:rsidR="000949BA" w:rsidRPr="000949BA" w:rsidRDefault="000949BA" w:rsidP="000949BA">
            <w:pPr>
              <w:pStyle w:val="BodyText"/>
              <w:tabs>
                <w:tab w:val="center" w:pos="8789"/>
              </w:tabs>
              <w:spacing w:before="120"/>
              <w:ind w:left="34" w:right="10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94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  <w:t>Up to $5,000 for individual LLOs and up to $10,000 for LLO consortiums</w:t>
            </w:r>
            <w:r w:rsidR="00316E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  <w:t>,</w:t>
            </w:r>
            <w:r w:rsidRPr="00094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  <w:t xml:space="preserve"> for projects up to six months duration.</w:t>
            </w:r>
          </w:p>
        </w:tc>
      </w:tr>
      <w:tr w:rsidR="000949BA" w:rsidRPr="000949BA" w:rsidTr="000949BA">
        <w:trPr>
          <w:trHeight w:val="1020"/>
        </w:trPr>
        <w:tc>
          <w:tcPr>
            <w:tcW w:w="426" w:type="dxa"/>
          </w:tcPr>
          <w:p w:rsidR="000949BA" w:rsidRPr="000949BA" w:rsidRDefault="000949BA" w:rsidP="00D561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1" w:type="dxa"/>
          </w:tcPr>
          <w:p w:rsidR="000949BA" w:rsidRPr="000949BA" w:rsidRDefault="000949BA" w:rsidP="000949B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Partnership implementation</w:t>
            </w:r>
          </w:p>
        </w:tc>
        <w:tc>
          <w:tcPr>
            <w:tcW w:w="4764" w:type="dxa"/>
          </w:tcPr>
          <w:p w:rsidR="000949BA" w:rsidRPr="000949BA" w:rsidRDefault="000949BA" w:rsidP="00D56168">
            <w:pPr>
              <w:overflowPunct/>
              <w:autoSpaceDE/>
              <w:autoSpaceDN/>
              <w:adjustRightInd/>
              <w:spacing w:before="120"/>
              <w:ind w:left="34" w:right="17"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  <w:r w:rsidRPr="000949BA"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t>Support implementation of a partnership once an evidence base has been established and agreement to proceed has been reached between the partnering organisations</w:t>
            </w:r>
          </w:p>
        </w:tc>
        <w:tc>
          <w:tcPr>
            <w:tcW w:w="2940" w:type="dxa"/>
          </w:tcPr>
          <w:p w:rsidR="000949BA" w:rsidRPr="000949BA" w:rsidRDefault="000949BA" w:rsidP="000949BA">
            <w:pPr>
              <w:pStyle w:val="BodyText"/>
              <w:tabs>
                <w:tab w:val="center" w:pos="8789"/>
              </w:tabs>
              <w:spacing w:before="120"/>
              <w:ind w:left="34" w:right="10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  <w:t>U</w:t>
            </w:r>
            <w:r w:rsidRPr="00094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AU"/>
              </w:rPr>
              <w:t>p to $200,000 per LLO consortium for projects up to 18 months duration.</w:t>
            </w:r>
          </w:p>
          <w:p w:rsidR="000949BA" w:rsidRPr="000949BA" w:rsidRDefault="000949BA" w:rsidP="000949BA">
            <w:pPr>
              <w:overflowPunct/>
              <w:autoSpaceDE/>
              <w:autoSpaceDN/>
              <w:adjustRightInd/>
              <w:spacing w:before="120"/>
              <w:ind w:left="34" w:right="102"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</w:p>
        </w:tc>
      </w:tr>
    </w:tbl>
    <w:p w:rsidR="00D56168" w:rsidRDefault="00D56168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D56168" w:rsidRPr="00457D1C" w:rsidRDefault="00D56168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lastRenderedPageBreak/>
        <w:t xml:space="preserve">Full 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information on 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Partnerships for Access Grant Program 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application process can be found in the </w:t>
      </w:r>
      <w:r w:rsidR="00715CC4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Partnerships for Access 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Grant </w:t>
      </w:r>
      <w:r w:rsidR="000949B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Program 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>g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uidelines and </w:t>
      </w:r>
      <w:r w:rsidR="000949B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Application 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>form</w:t>
      </w:r>
      <w:r w:rsidR="006B1132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which 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are available on the Department of Education and Early Childhood Development (DEECD) website: </w:t>
      </w:r>
      <w:r w:rsidR="000949BA" w:rsidRPr="000949BA">
        <w:t xml:space="preserve"> </w:t>
      </w:r>
      <w:hyperlink r:id="rId8" w:history="1">
        <w:r w:rsidR="000949BA" w:rsidRPr="00316E3C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http://www.education.vic.gov.au/training/providers/learnlocal/Pages/acfeboardfund.aspx</w:t>
        </w:r>
      </w:hyperlink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:rsidR="005D54B2" w:rsidRDefault="005D54B2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457D1C" w:rsidRPr="00457D1C" w:rsidRDefault="009914E8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apply, registered Learn Local organisations must complete and submit electronically an </w:t>
      </w:r>
      <w:r w:rsidR="000949B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Application </w:t>
      </w:r>
      <w:r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>Form</w:t>
      </w:r>
      <w:r w:rsidR="000949B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by the </w:t>
      </w:r>
      <w:r w:rsidR="00457D1C"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>clos</w:t>
      </w:r>
      <w:r w:rsidR="000949B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ing date of </w:t>
      </w:r>
      <w:r w:rsid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5pm</w:t>
      </w:r>
      <w:r w:rsidR="00457D1C"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316E3C">
        <w:rPr>
          <w:rFonts w:ascii="Arial" w:hAnsi="Arial" w:cs="Arial"/>
          <w:bCs/>
          <w:color w:val="000000"/>
          <w:sz w:val="22"/>
          <w:szCs w:val="22"/>
          <w:lang w:eastAsia="en-US"/>
        </w:rPr>
        <w:t>28</w:t>
      </w:r>
      <w:r w:rsid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November </w:t>
      </w:r>
      <w:r w:rsidR="00457D1C" w:rsidRPr="00457D1C">
        <w:rPr>
          <w:rFonts w:ascii="Arial" w:hAnsi="Arial" w:cs="Arial"/>
          <w:bCs/>
          <w:color w:val="000000"/>
          <w:sz w:val="22"/>
          <w:szCs w:val="22"/>
          <w:lang w:eastAsia="en-US"/>
        </w:rPr>
        <w:t>2014.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:rsidR="006238F4" w:rsidRDefault="006238F4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:rsidR="00651B1C" w:rsidRDefault="00651B1C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Applicants will be notified of the outcome of their 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applications 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by 9 </w:t>
      </w:r>
      <w:r w:rsidR="00316E3C">
        <w:rPr>
          <w:rFonts w:ascii="Arial" w:hAnsi="Arial" w:cs="Arial"/>
          <w:bCs/>
          <w:color w:val="000000"/>
          <w:sz w:val="22"/>
          <w:szCs w:val="22"/>
          <w:lang w:eastAsia="en-US"/>
        </w:rPr>
        <w:t>January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201</w:t>
      </w:r>
      <w:r w:rsidR="00316E3C">
        <w:rPr>
          <w:rFonts w:ascii="Arial" w:hAnsi="Arial" w:cs="Arial"/>
          <w:bCs/>
          <w:color w:val="000000"/>
          <w:sz w:val="22"/>
          <w:szCs w:val="22"/>
          <w:lang w:eastAsia="en-US"/>
        </w:rPr>
        <w:t>5</w:t>
      </w: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 Successful projects are expected to commence in </w:t>
      </w:r>
      <w:r w:rsidR="00D561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February </w:t>
      </w: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>201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5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>, at the first grant payment</w:t>
      </w: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651B1C" w:rsidRPr="00651B1C" w:rsidRDefault="00651B1C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651B1C" w:rsidRDefault="00D56168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This Grant Program has been </w:t>
      </w:r>
      <w:r w:rsidR="006B113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informed by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consultation with </w:t>
      </w:r>
      <w:r w:rsid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>LLOs in April/May 2014. Stakeholder f</w:t>
      </w:r>
      <w:r w:rsidR="00793202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eedback from LLOs has been incorporated into the Partnerships for Access </w:t>
      </w:r>
      <w:r w:rsidR="00C022F3">
        <w:rPr>
          <w:rFonts w:ascii="Arial" w:hAnsi="Arial" w:cs="Arial"/>
          <w:bCs/>
          <w:color w:val="000000"/>
          <w:sz w:val="22"/>
          <w:szCs w:val="22"/>
          <w:lang w:eastAsia="en-US"/>
        </w:rPr>
        <w:t>Grant</w:t>
      </w:r>
      <w:r w:rsid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</w:t>
      </w:r>
      <w:r w:rsidR="00793202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>rogram</w:t>
      </w:r>
      <w:r w:rsidR="00C022F3" w:rsidRPr="00C022F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022F3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>guidelines</w:t>
      </w:r>
      <w:r w:rsidR="00793202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 w:rsidR="00651B1C"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>On behalf of the ACFE Board I encourage you to participate in this significant program.</w:t>
      </w:r>
    </w:p>
    <w:p w:rsidR="00651B1C" w:rsidRPr="00651B1C" w:rsidRDefault="00651B1C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8556E" w:rsidRPr="0008556E" w:rsidRDefault="00651B1C" w:rsidP="00D561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141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If you require further information or have questions about the guidelines and application process, please contact your DEECD Regional Manager/Staff in the first instance. They can also provide information about policy and planning contexts for project ideas. For any additional information about the </w:t>
      </w:r>
      <w:r w:rsidR="00715CC4" w:rsidRP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Partnerships for Access 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Grant </w:t>
      </w:r>
      <w:r w:rsidR="0079320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Program </w:t>
      </w:r>
      <w:r w:rsidRPr="00651B1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please </w:t>
      </w:r>
      <w:r w:rsid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contact</w:t>
      </w:r>
      <w:r w:rsidR="0008556E" w:rsidRP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715CC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Amanda Wells, Participation Branch, at </w:t>
      </w:r>
      <w:hyperlink r:id="rId9" w:history="1">
        <w:r w:rsidR="00715CC4" w:rsidRPr="00F724AC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wells.amanda.l@edumail.vic.gov.au</w:t>
        </w:r>
      </w:hyperlink>
      <w:r w:rsidR="0008556E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:rsidR="00651B1C" w:rsidRDefault="00651B1C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651B1C" w:rsidRPr="00651B1C" w:rsidRDefault="00651B1C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sectPr w:rsidR="00651B1C" w:rsidRPr="00651B1C" w:rsidSect="00D1411B">
      <w:headerReference w:type="first" r:id="rId10"/>
      <w:footerReference w:type="first" r:id="rId11"/>
      <w:pgSz w:w="11907" w:h="16840" w:code="9"/>
      <w:pgMar w:top="899" w:right="992" w:bottom="993" w:left="1276" w:header="567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B8" w:rsidRDefault="00120FB8">
      <w:r>
        <w:separator/>
      </w:r>
    </w:p>
  </w:endnote>
  <w:endnote w:type="continuationSeparator" w:id="0">
    <w:p w:rsidR="00120FB8" w:rsidRDefault="001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BA" w:rsidRPr="00056293" w:rsidRDefault="000949BA">
    <w:pPr>
      <w:pStyle w:val="Footer"/>
      <w:jc w:val="right"/>
      <w:rPr>
        <w:rFonts w:ascii="Arial" w:hAnsi="Arial" w:cs="Arial"/>
        <w:sz w:val="20"/>
      </w:rPr>
    </w:pPr>
    <w:r w:rsidRPr="00056293">
      <w:rPr>
        <w:rFonts w:ascii="Arial" w:hAnsi="Arial" w:cs="Arial"/>
        <w:sz w:val="20"/>
      </w:rPr>
      <w:fldChar w:fldCharType="begin"/>
    </w:r>
    <w:r w:rsidRPr="00056293">
      <w:rPr>
        <w:rFonts w:ascii="Arial" w:hAnsi="Arial" w:cs="Arial"/>
        <w:sz w:val="20"/>
      </w:rPr>
      <w:instrText xml:space="preserve"> PAGE   \* MERGEFORMAT </w:instrText>
    </w:r>
    <w:r w:rsidRPr="00056293">
      <w:rPr>
        <w:rFonts w:ascii="Arial" w:hAnsi="Arial" w:cs="Arial"/>
        <w:sz w:val="20"/>
      </w:rPr>
      <w:fldChar w:fldCharType="separate"/>
    </w:r>
    <w:r w:rsidR="00556624">
      <w:rPr>
        <w:rFonts w:ascii="Arial" w:hAnsi="Arial" w:cs="Arial"/>
        <w:noProof/>
        <w:sz w:val="20"/>
      </w:rPr>
      <w:t>1</w:t>
    </w:r>
    <w:r w:rsidRPr="00056293">
      <w:rPr>
        <w:rFonts w:ascii="Arial" w:hAnsi="Arial" w:cs="Arial"/>
        <w:noProof/>
        <w:sz w:val="20"/>
      </w:rPr>
      <w:fldChar w:fldCharType="end"/>
    </w:r>
  </w:p>
  <w:p w:rsidR="000949BA" w:rsidRDefault="00094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B8" w:rsidRDefault="00120FB8">
      <w:r>
        <w:separator/>
      </w:r>
    </w:p>
  </w:footnote>
  <w:footnote w:type="continuationSeparator" w:id="0">
    <w:p w:rsidR="00120FB8" w:rsidRDefault="0012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BA" w:rsidRDefault="00094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51A"/>
    <w:multiLevelType w:val="hybridMultilevel"/>
    <w:tmpl w:val="61A4538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22C2396"/>
    <w:multiLevelType w:val="hybridMultilevel"/>
    <w:tmpl w:val="A87A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4F8"/>
    <w:multiLevelType w:val="hybridMultilevel"/>
    <w:tmpl w:val="DAF45094"/>
    <w:lvl w:ilvl="0" w:tplc="B3682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78"/>
    <w:rsid w:val="0008556E"/>
    <w:rsid w:val="000949BA"/>
    <w:rsid w:val="00120FB8"/>
    <w:rsid w:val="0015631D"/>
    <w:rsid w:val="002C394C"/>
    <w:rsid w:val="002C777E"/>
    <w:rsid w:val="00316E3C"/>
    <w:rsid w:val="0037546D"/>
    <w:rsid w:val="003E54BC"/>
    <w:rsid w:val="00457D1C"/>
    <w:rsid w:val="004D7605"/>
    <w:rsid w:val="00556624"/>
    <w:rsid w:val="005B1B1A"/>
    <w:rsid w:val="005D54B2"/>
    <w:rsid w:val="006238F4"/>
    <w:rsid w:val="00651B1C"/>
    <w:rsid w:val="006B1132"/>
    <w:rsid w:val="00715CC4"/>
    <w:rsid w:val="007509EB"/>
    <w:rsid w:val="00793202"/>
    <w:rsid w:val="007F5278"/>
    <w:rsid w:val="008B2E57"/>
    <w:rsid w:val="0095077A"/>
    <w:rsid w:val="009537AD"/>
    <w:rsid w:val="009914E8"/>
    <w:rsid w:val="009C7265"/>
    <w:rsid w:val="00AE0221"/>
    <w:rsid w:val="00B546D9"/>
    <w:rsid w:val="00C022F3"/>
    <w:rsid w:val="00CB302C"/>
    <w:rsid w:val="00CC0440"/>
    <w:rsid w:val="00D1411B"/>
    <w:rsid w:val="00D2652D"/>
    <w:rsid w:val="00D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08556E"/>
    <w:pPr>
      <w:widowControl w:val="0"/>
      <w:overflowPunct/>
      <w:autoSpaceDE/>
      <w:autoSpaceDN/>
      <w:adjustRightInd/>
      <w:spacing w:before="104"/>
      <w:ind w:left="109"/>
      <w:textAlignment w:val="auto"/>
      <w:outlineLvl w:val="0"/>
    </w:pPr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8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238F4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238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3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A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914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8556E"/>
    <w:rPr>
      <w:rFonts w:ascii="Calibri" w:eastAsia="Calibri" w:hAnsi="Calibri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556E"/>
    <w:pPr>
      <w:widowControl w:val="0"/>
      <w:overflowPunct/>
      <w:autoSpaceDE/>
      <w:autoSpaceDN/>
      <w:adjustRightInd/>
      <w:spacing w:before="56"/>
      <w:ind w:left="109"/>
      <w:textAlignment w:val="auto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556E"/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5D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08556E"/>
    <w:pPr>
      <w:widowControl w:val="0"/>
      <w:overflowPunct/>
      <w:autoSpaceDE/>
      <w:autoSpaceDN/>
      <w:adjustRightInd/>
      <w:spacing w:before="104"/>
      <w:ind w:left="109"/>
      <w:textAlignment w:val="auto"/>
      <w:outlineLvl w:val="0"/>
    </w:pPr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8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238F4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238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3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A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914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8556E"/>
    <w:rPr>
      <w:rFonts w:ascii="Calibri" w:eastAsia="Calibri" w:hAnsi="Calibri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556E"/>
    <w:pPr>
      <w:widowControl w:val="0"/>
      <w:overflowPunct/>
      <w:autoSpaceDE/>
      <w:autoSpaceDN/>
      <w:adjustRightInd/>
      <w:spacing w:before="56"/>
      <w:ind w:left="109"/>
      <w:textAlignment w:val="auto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556E"/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5D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1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27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2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2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22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training/providers/learnlocal/Pages/acfeboardfund.aspx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ls.amanda.l@edumail.vic.gov.a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FE53F53-F0F8-4ED6-8A02-93C36497B172}"/>
</file>

<file path=customXml/itemProps2.xml><?xml version="1.0" encoding="utf-8"?>
<ds:datastoreItem xmlns:ds="http://schemas.openxmlformats.org/officeDocument/2006/customXml" ds:itemID="{9CE94CFB-5BCB-4801-864C-56123784D5E5}"/>
</file>

<file path=customXml/itemProps3.xml><?xml version="1.0" encoding="utf-8"?>
<ds:datastoreItem xmlns:ds="http://schemas.openxmlformats.org/officeDocument/2006/customXml" ds:itemID="{DC1B0589-5DC7-495B-8A44-AC4BF4964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open for Partnerships for Access Grant Program</dc:title>
  <dc:subject/>
  <dc:creator>Bennetts, Darrell J</dc:creator>
  <cp:keywords/>
  <dc:description/>
  <cp:lastModifiedBy>Morrow, Jackie A</cp:lastModifiedBy>
  <cp:revision>2</cp:revision>
  <cp:lastPrinted>2014-10-03T01:44:00Z</cp:lastPrinted>
  <dcterms:created xsi:type="dcterms:W3CDTF">2014-10-06T04:03:00Z</dcterms:created>
  <dcterms:modified xsi:type="dcterms:W3CDTF">2014-10-06T04:03:00Z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