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CB585" w14:textId="0F3C72AB" w:rsidR="00FB15A3" w:rsidRPr="00A63D55" w:rsidRDefault="00FB15A3" w:rsidP="00FB15A3">
      <w:pPr>
        <w:pStyle w:val="Covertitle"/>
      </w:pPr>
      <w:r w:rsidRPr="00FB15A3">
        <w:t xml:space="preserve">PRIMARY MATHEMATICS </w:t>
      </w:r>
      <w:r>
        <w:br/>
      </w:r>
      <w:r w:rsidRPr="00FB15A3">
        <w:t xml:space="preserve">AND SCIENCE SPECIALIST </w:t>
      </w:r>
      <w:r>
        <w:br/>
      </w:r>
      <w:r w:rsidRPr="00FB15A3">
        <w:t>INITIATIVE</w:t>
      </w:r>
    </w:p>
    <w:p w14:paraId="5F79B136" w14:textId="6FD7A533" w:rsidR="00FB15A3" w:rsidRDefault="00FB15A3" w:rsidP="00FB15A3">
      <w:pPr>
        <w:pStyle w:val="Coversubtitle"/>
      </w:pPr>
      <w:r>
        <w:t xml:space="preserve">EXPRESSION OF INTEREST PACK </w:t>
      </w:r>
      <w:r>
        <w:br/>
        <w:t>FOR COHORT FOUR (2017 - 2018)</w:t>
      </w:r>
    </w:p>
    <w:p w14:paraId="0C6C92AD" w14:textId="71C8D1B4" w:rsidR="00FB15A3" w:rsidRPr="00A63D55" w:rsidRDefault="00FB15A3" w:rsidP="00FB15A3">
      <w:r>
        <w:t xml:space="preserve">Completed Expressions of Interest to be emailed </w:t>
      </w:r>
      <w:proofErr w:type="gramStart"/>
      <w:r>
        <w:t>to:</w:t>
      </w:r>
      <w:proofErr w:type="gramEnd"/>
      <w:r>
        <w:t xml:space="preserve"> vicstem@edumail.vic.gov.au </w:t>
      </w:r>
      <w:r>
        <w:br/>
      </w:r>
    </w:p>
    <w:p w14:paraId="3C43A4EE" w14:textId="77777777" w:rsidR="00FB15A3" w:rsidRDefault="00FB15A3" w:rsidP="00FB15A3">
      <w:pPr>
        <w:pStyle w:val="Heading1"/>
        <w:rPr>
          <w:lang w:val="en-AU"/>
        </w:rPr>
        <w:sectPr w:rsidR="00FB15A3" w:rsidSect="00A63D55">
          <w:headerReference w:type="default" r:id="rId8"/>
          <w:footerReference w:type="even" r:id="rId9"/>
          <w:footerReference w:type="default" r:id="rId10"/>
          <w:pgSz w:w="11900" w:h="16840"/>
          <w:pgMar w:top="992" w:right="1134" w:bottom="1701" w:left="1134" w:header="709" w:footer="709" w:gutter="0"/>
          <w:cols w:space="708"/>
          <w:docGrid w:linePitch="360"/>
        </w:sectPr>
      </w:pPr>
    </w:p>
    <w:p w14:paraId="0A95228B" w14:textId="77777777" w:rsidR="00FB15A3" w:rsidRPr="00FB15A3" w:rsidRDefault="00FB15A3" w:rsidP="00FB15A3">
      <w:pPr>
        <w:pStyle w:val="Heading1"/>
        <w:rPr>
          <w:lang w:val="en-AU"/>
        </w:rPr>
      </w:pPr>
      <w:r w:rsidRPr="00FB15A3">
        <w:rPr>
          <w:lang w:val="en-AU"/>
        </w:rPr>
        <w:lastRenderedPageBreak/>
        <w:t xml:space="preserve">WHAT IS THE PRIMARY MATHEMATICS AND SCIENCE SPECIALIST INITIATIVE? </w:t>
      </w:r>
    </w:p>
    <w:p w14:paraId="367C6C10" w14:textId="77777777" w:rsidR="00FB15A3" w:rsidRPr="00FB15A3" w:rsidRDefault="00FB15A3" w:rsidP="00283E8E">
      <w:pPr>
        <w:jc w:val="both"/>
        <w:rPr>
          <w:lang w:val="en-AU"/>
        </w:rPr>
      </w:pPr>
      <w:r w:rsidRPr="00FB15A3">
        <w:rPr>
          <w:lang w:val="en-AU"/>
        </w:rPr>
        <w:t xml:space="preserve">The Primary Mathematics and Science Specialists (PMSS) initiative is a successful Victorian Department of Education and Training (DET) program that upskills primary teachers in government schools to become mathematics or science education specialists. The Victorian Government has provided $27m to train 200 specialists over four years (2016-19), building on the success of the National Partnerships Mathematics Specialists initiative (2010-12) and the Primary Mathematics and Science Specialists initiative (2012-15). </w:t>
      </w:r>
    </w:p>
    <w:p w14:paraId="5E4A714F" w14:textId="77777777" w:rsidR="00FB15A3" w:rsidRPr="00FB15A3" w:rsidRDefault="00FB15A3" w:rsidP="00283E8E">
      <w:pPr>
        <w:jc w:val="both"/>
        <w:rPr>
          <w:lang w:val="en-AU"/>
        </w:rPr>
      </w:pPr>
      <w:r w:rsidRPr="00FB15A3">
        <w:rPr>
          <w:lang w:val="en-AU"/>
        </w:rPr>
        <w:t>The initiative aims to:</w:t>
      </w:r>
    </w:p>
    <w:p w14:paraId="68E9D92F" w14:textId="3CA609DE" w:rsidR="00FB15A3" w:rsidRPr="00FB15A3" w:rsidRDefault="00FB15A3" w:rsidP="00283E8E">
      <w:pPr>
        <w:pStyle w:val="Bullet1"/>
        <w:ind w:left="567"/>
        <w:jc w:val="both"/>
      </w:pPr>
      <w:r w:rsidRPr="00FB15A3">
        <w:t>increase student engagement and achievement in mathematics and science,</w:t>
      </w:r>
    </w:p>
    <w:p w14:paraId="6E3DD915" w14:textId="48D568E2" w:rsidR="00FB15A3" w:rsidRPr="00FB15A3" w:rsidRDefault="00FB15A3" w:rsidP="00283E8E">
      <w:pPr>
        <w:pStyle w:val="Bullet1"/>
        <w:ind w:left="567"/>
        <w:jc w:val="both"/>
      </w:pPr>
      <w:r w:rsidRPr="00FB15A3">
        <w:t>increase teacher confidence and capability in teaching mathematics and science,</w:t>
      </w:r>
    </w:p>
    <w:p w14:paraId="55BDE1E1" w14:textId="3E257AC5" w:rsidR="00FB15A3" w:rsidRPr="00FB15A3" w:rsidRDefault="00FB15A3" w:rsidP="00283E8E">
      <w:pPr>
        <w:pStyle w:val="Bullet1"/>
        <w:ind w:left="567"/>
        <w:jc w:val="both"/>
      </w:pPr>
      <w:r w:rsidRPr="00FB15A3">
        <w:t>increase understanding of Science, Technology, Engineering and Mathematics (STEM),</w:t>
      </w:r>
    </w:p>
    <w:p w14:paraId="708F5A43" w14:textId="3EE3BB26" w:rsidR="00FB15A3" w:rsidRPr="00FB15A3" w:rsidRDefault="00FB15A3" w:rsidP="00283E8E">
      <w:pPr>
        <w:pStyle w:val="Bullet1"/>
        <w:ind w:left="567"/>
        <w:jc w:val="both"/>
      </w:pPr>
      <w:proofErr w:type="gramStart"/>
      <w:r w:rsidRPr="00FB15A3">
        <w:t>have</w:t>
      </w:r>
      <w:proofErr w:type="gramEnd"/>
      <w:r w:rsidRPr="00FB15A3">
        <w:t xml:space="preserve"> a sustainable impact in schools beyond the life of the initiative’s funding.</w:t>
      </w:r>
    </w:p>
    <w:p w14:paraId="3AB10A2C" w14:textId="77777777" w:rsidR="00FB15A3" w:rsidRPr="00FB15A3" w:rsidRDefault="00FB15A3" w:rsidP="00283E8E">
      <w:pPr>
        <w:jc w:val="both"/>
        <w:rPr>
          <w:lang w:val="en-AU"/>
        </w:rPr>
      </w:pPr>
      <w:r w:rsidRPr="00FB15A3">
        <w:rPr>
          <w:lang w:val="en-AU"/>
        </w:rPr>
        <w:t xml:space="preserve">Participating schools nominate mathematics or science as a key priority area. Each participating school will select either two mathematics or two science specialists from the schools’ existing staffing. The specialists will continue to work in their classroom and will work with other teachers to gain greater confidence and capacity in teaching mathematics or science. As a result, students will be more engaged in mathematics or science, leading to improved outcomes. </w:t>
      </w:r>
    </w:p>
    <w:p w14:paraId="34E003DD" w14:textId="77777777" w:rsidR="00FB15A3" w:rsidRPr="00FB15A3" w:rsidRDefault="00FB15A3" w:rsidP="00283E8E">
      <w:pPr>
        <w:jc w:val="both"/>
        <w:rPr>
          <w:lang w:val="en-AU"/>
        </w:rPr>
      </w:pPr>
      <w:r w:rsidRPr="00FB15A3">
        <w:rPr>
          <w:lang w:val="en-AU"/>
        </w:rPr>
        <w:t xml:space="preserve">The fourth cohort of 100 specialists (2018-19) will commence their two-year commitment with an online session in February 2018 and face-to-face professional learning starting in March 2018. </w:t>
      </w:r>
    </w:p>
    <w:p w14:paraId="713DC9D4" w14:textId="3B7AD272" w:rsidR="00FB15A3" w:rsidRPr="00CD25D5" w:rsidRDefault="00FB15A3" w:rsidP="00283E8E">
      <w:pPr>
        <w:jc w:val="both"/>
        <w:rPr>
          <w:b/>
          <w:lang w:val="en-AU"/>
        </w:rPr>
      </w:pPr>
      <w:r w:rsidRPr="00CD25D5">
        <w:rPr>
          <w:b/>
          <w:lang w:val="en-AU"/>
        </w:rPr>
        <w:t xml:space="preserve">Expressions of Interest are to be submitted to the DET STEM Unit by emailing </w:t>
      </w:r>
      <w:r w:rsidR="00CD5491">
        <w:fldChar w:fldCharType="begin"/>
      </w:r>
      <w:r w:rsidR="00CD5491">
        <w:instrText xml:space="preserve"> HYPERLINK "mailto:vicstem@edumail.vic.gov.au" </w:instrText>
      </w:r>
      <w:r w:rsidR="00CD5491">
        <w:fldChar w:fldCharType="separate"/>
      </w:r>
      <w:r w:rsidR="00CD25D5">
        <w:rPr>
          <w:rStyle w:val="Hyperlink"/>
          <w:b/>
          <w:lang w:val="en-AU"/>
        </w:rPr>
        <w:t>vicstem@edumail.vic.gov.au</w:t>
      </w:r>
      <w:r w:rsidR="00CD5491">
        <w:rPr>
          <w:rStyle w:val="Hyperlink"/>
          <w:b/>
          <w:lang w:val="en-AU"/>
        </w:rPr>
        <w:fldChar w:fldCharType="end"/>
      </w:r>
      <w:bookmarkStart w:id="0" w:name="_GoBack"/>
      <w:bookmarkEnd w:id="0"/>
      <w:r w:rsidRPr="00CD25D5">
        <w:rPr>
          <w:b/>
          <w:lang w:val="en-AU"/>
        </w:rPr>
        <w:t>.</w:t>
      </w:r>
    </w:p>
    <w:p w14:paraId="1B4B3171" w14:textId="77777777" w:rsidR="00FB15A3" w:rsidRPr="00FB15A3" w:rsidRDefault="00FB15A3" w:rsidP="00FB15A3">
      <w:pPr>
        <w:pStyle w:val="Heading2"/>
        <w:rPr>
          <w:lang w:val="en-AU"/>
        </w:rPr>
      </w:pPr>
      <w:r w:rsidRPr="00FB15A3">
        <w:rPr>
          <w:lang w:val="en-AU"/>
        </w:rPr>
        <w:t>Professional Learning</w:t>
      </w:r>
    </w:p>
    <w:p w14:paraId="5C71F0D7" w14:textId="77777777" w:rsidR="00FB15A3" w:rsidRPr="00FB15A3" w:rsidRDefault="00FB15A3" w:rsidP="00283E8E">
      <w:pPr>
        <w:jc w:val="both"/>
        <w:rPr>
          <w:lang w:val="en-AU"/>
        </w:rPr>
      </w:pPr>
      <w:r w:rsidRPr="00FB15A3">
        <w:rPr>
          <w:lang w:val="en-AU"/>
        </w:rPr>
        <w:t>Over the two-year commitment, specialists will participate in 20 days of intensive professional learning, delivered by experts in the fields of mathematics, science and STEM education. The professional learning covers the following aspects:</w:t>
      </w:r>
    </w:p>
    <w:p w14:paraId="1A315A4C" w14:textId="418F63A4" w:rsidR="00FB15A3" w:rsidRPr="00FB15A3" w:rsidRDefault="00FB15A3" w:rsidP="00283E8E">
      <w:pPr>
        <w:pStyle w:val="Bullet1"/>
        <w:jc w:val="both"/>
      </w:pPr>
      <w:r w:rsidRPr="00FB15A3">
        <w:t xml:space="preserve">disciplinary and pedagogical content knowledge in mathematics or science, </w:t>
      </w:r>
    </w:p>
    <w:p w14:paraId="7261E88D" w14:textId="34EE6551" w:rsidR="00FB15A3" w:rsidRPr="00FB15A3" w:rsidRDefault="00FB15A3" w:rsidP="00283E8E">
      <w:pPr>
        <w:pStyle w:val="Bullet1"/>
        <w:jc w:val="both"/>
      </w:pPr>
      <w:r w:rsidRPr="00FB15A3">
        <w:t>understanding of high quality approaches for curriculum planning, delivery and assessment,</w:t>
      </w:r>
    </w:p>
    <w:p w14:paraId="31236C59" w14:textId="38B1ACFE" w:rsidR="00FB15A3" w:rsidRPr="00FB15A3" w:rsidRDefault="00FB15A3" w:rsidP="00283E8E">
      <w:pPr>
        <w:pStyle w:val="Bullet1"/>
        <w:jc w:val="both"/>
      </w:pPr>
      <w:r w:rsidRPr="00FB15A3">
        <w:t>knowledge and skills to use student data to inform planning and teaching, including the use of assessment tools,</w:t>
      </w:r>
    </w:p>
    <w:p w14:paraId="37006760" w14:textId="13465A94" w:rsidR="00FB15A3" w:rsidRPr="00FB15A3" w:rsidRDefault="00FB15A3" w:rsidP="00283E8E">
      <w:pPr>
        <w:pStyle w:val="Bullet1"/>
        <w:jc w:val="both"/>
      </w:pPr>
      <w:r w:rsidRPr="00FB15A3">
        <w:t xml:space="preserve">knowledge and skills to lead school-based professional learning and actively support colleagues to improve practice, </w:t>
      </w:r>
    </w:p>
    <w:p w14:paraId="258AADEF" w14:textId="0D0D8C20" w:rsidR="00FB15A3" w:rsidRPr="00FB15A3" w:rsidRDefault="00FB15A3" w:rsidP="00283E8E">
      <w:pPr>
        <w:pStyle w:val="Bullet1"/>
        <w:jc w:val="both"/>
      </w:pPr>
      <w:r w:rsidRPr="00FB15A3">
        <w:t>knowledge of resources to support mathematics and science learning and teaching, and</w:t>
      </w:r>
    </w:p>
    <w:p w14:paraId="543F7E6B" w14:textId="5BC56F7B" w:rsidR="00FB15A3" w:rsidRPr="00FB15A3" w:rsidRDefault="00FB15A3" w:rsidP="00283E8E">
      <w:pPr>
        <w:pStyle w:val="Bullet1"/>
        <w:jc w:val="both"/>
      </w:pPr>
      <w:proofErr w:type="gramStart"/>
      <w:r w:rsidRPr="00FB15A3">
        <w:t>understanding</w:t>
      </w:r>
      <w:proofErr w:type="gramEnd"/>
      <w:r w:rsidRPr="00FB15A3">
        <w:t xml:space="preserve"> STEM.</w:t>
      </w:r>
    </w:p>
    <w:p w14:paraId="467C7B01" w14:textId="77777777" w:rsidR="00FB15A3" w:rsidRPr="00FB15A3" w:rsidRDefault="00FB15A3" w:rsidP="00283E8E">
      <w:pPr>
        <w:jc w:val="both"/>
        <w:rPr>
          <w:lang w:val="en-AU"/>
        </w:rPr>
      </w:pPr>
      <w:r w:rsidRPr="00FB15A3">
        <w:rPr>
          <w:lang w:val="en-AU"/>
        </w:rPr>
        <w:t xml:space="preserve">The professional learning will include online sessions for principals and specialists to support a clear understanding </w:t>
      </w:r>
      <w:proofErr w:type="gramStart"/>
      <w:r w:rsidRPr="00FB15A3">
        <w:rPr>
          <w:lang w:val="en-AU"/>
        </w:rPr>
        <w:t>of</w:t>
      </w:r>
      <w:proofErr w:type="gramEnd"/>
      <w:r w:rsidRPr="00FB15A3">
        <w:rPr>
          <w:lang w:val="en-AU"/>
        </w:rPr>
        <w:t>:</w:t>
      </w:r>
    </w:p>
    <w:p w14:paraId="3087AFBA" w14:textId="4052A2F1" w:rsidR="00FB15A3" w:rsidRPr="00FB15A3" w:rsidRDefault="00FB15A3" w:rsidP="00283E8E">
      <w:pPr>
        <w:pStyle w:val="Bullet1"/>
        <w:jc w:val="both"/>
      </w:pPr>
      <w:r w:rsidRPr="00FB15A3">
        <w:t>the aims of the initiative,</w:t>
      </w:r>
    </w:p>
    <w:p w14:paraId="606D4EA8" w14:textId="3D41C88C" w:rsidR="00FB15A3" w:rsidRPr="00FB15A3" w:rsidRDefault="00FB15A3" w:rsidP="00283E8E">
      <w:pPr>
        <w:pStyle w:val="Bullet1"/>
        <w:jc w:val="both"/>
      </w:pPr>
      <w:r w:rsidRPr="00FB15A3">
        <w:t>the roles of specialists, principals and the Department,</w:t>
      </w:r>
    </w:p>
    <w:p w14:paraId="5C6F65EF" w14:textId="1FB78A43" w:rsidR="00FB15A3" w:rsidRPr="00FB15A3" w:rsidRDefault="00FB15A3" w:rsidP="00283E8E">
      <w:pPr>
        <w:pStyle w:val="Bullet1"/>
        <w:jc w:val="both"/>
      </w:pPr>
      <w:r w:rsidRPr="00FB15A3">
        <w:t>how to participate in the evaluation, and</w:t>
      </w:r>
    </w:p>
    <w:p w14:paraId="38A67909" w14:textId="5F3FF94A" w:rsidR="00FB15A3" w:rsidRPr="00FB15A3" w:rsidRDefault="00FB15A3" w:rsidP="00283E8E">
      <w:pPr>
        <w:pStyle w:val="Bullet1"/>
        <w:jc w:val="both"/>
      </w:pPr>
      <w:proofErr w:type="gramStart"/>
      <w:r w:rsidRPr="00FB15A3">
        <w:t>how</w:t>
      </w:r>
      <w:proofErr w:type="gramEnd"/>
      <w:r w:rsidRPr="00FB15A3">
        <w:t xml:space="preserve"> to plan for sustainability beyond the life of the initiative.</w:t>
      </w:r>
    </w:p>
    <w:p w14:paraId="33C72C7E" w14:textId="77777777" w:rsidR="00FB15A3" w:rsidRPr="00FB15A3" w:rsidRDefault="00FB15A3" w:rsidP="00283E8E">
      <w:pPr>
        <w:pStyle w:val="Heading2"/>
        <w:jc w:val="both"/>
        <w:rPr>
          <w:lang w:val="en-AU"/>
        </w:rPr>
      </w:pPr>
      <w:r w:rsidRPr="00FB15A3">
        <w:rPr>
          <w:lang w:val="en-AU"/>
        </w:rPr>
        <w:lastRenderedPageBreak/>
        <w:t>Implementation</w:t>
      </w:r>
    </w:p>
    <w:p w14:paraId="7B02A567" w14:textId="77777777" w:rsidR="00FB15A3" w:rsidRPr="00FB15A3" w:rsidRDefault="00FB15A3" w:rsidP="00283E8E">
      <w:pPr>
        <w:jc w:val="both"/>
        <w:rPr>
          <w:lang w:val="en-AU"/>
        </w:rPr>
      </w:pPr>
      <w:r w:rsidRPr="00FB15A3">
        <w:rPr>
          <w:lang w:val="en-AU"/>
        </w:rPr>
        <w:t>If successful, two existing teachers from your school will work as mathematics or science specialists. Specialists will remain in their classes with a 0.5 FTE load, working with their students directly, and will be released 0.5 FTE. During this release time, specialists will work with:</w:t>
      </w:r>
    </w:p>
    <w:p w14:paraId="2F905322" w14:textId="344B7AA1" w:rsidR="00FB15A3" w:rsidRPr="00FB15A3" w:rsidRDefault="00FB15A3" w:rsidP="00283E8E">
      <w:pPr>
        <w:pStyle w:val="Bullet1"/>
        <w:jc w:val="both"/>
      </w:pPr>
      <w:r w:rsidRPr="00FB15A3">
        <w:t>their school leadership teams,</w:t>
      </w:r>
    </w:p>
    <w:p w14:paraId="4ED21CC9" w14:textId="4EAC37CC" w:rsidR="00FB15A3" w:rsidRPr="00FB15A3" w:rsidRDefault="00FB15A3" w:rsidP="00283E8E">
      <w:pPr>
        <w:pStyle w:val="Bullet1"/>
        <w:jc w:val="both"/>
      </w:pPr>
      <w:r w:rsidRPr="00FB15A3">
        <w:t>the other specialist within their school,</w:t>
      </w:r>
    </w:p>
    <w:p w14:paraId="6DA73843" w14:textId="3FE567A0" w:rsidR="00FB15A3" w:rsidRPr="00FB15A3" w:rsidRDefault="00FB15A3" w:rsidP="00283E8E">
      <w:pPr>
        <w:pStyle w:val="Bullet1"/>
        <w:jc w:val="both"/>
      </w:pPr>
      <w:r w:rsidRPr="00FB15A3">
        <w:t>the other teachers within their school, and</w:t>
      </w:r>
    </w:p>
    <w:p w14:paraId="43265C19" w14:textId="5EC528C9" w:rsidR="00FB15A3" w:rsidRPr="00FB15A3" w:rsidRDefault="00FB15A3" w:rsidP="00283E8E">
      <w:pPr>
        <w:pStyle w:val="Bullet1"/>
        <w:jc w:val="both"/>
      </w:pPr>
      <w:proofErr w:type="gramStart"/>
      <w:r w:rsidRPr="00FB15A3">
        <w:t>the</w:t>
      </w:r>
      <w:proofErr w:type="gramEnd"/>
      <w:r w:rsidRPr="00FB15A3">
        <w:t xml:space="preserve"> other specialists in other schools within the nominated cluster.</w:t>
      </w:r>
    </w:p>
    <w:p w14:paraId="31A80B5E" w14:textId="77777777" w:rsidR="00FB15A3" w:rsidRPr="00FB15A3" w:rsidRDefault="00FB15A3" w:rsidP="00283E8E">
      <w:pPr>
        <w:jc w:val="both"/>
        <w:rPr>
          <w:lang w:val="en-AU"/>
        </w:rPr>
      </w:pPr>
      <w:r w:rsidRPr="00FB15A3">
        <w:rPr>
          <w:lang w:val="en-AU"/>
        </w:rPr>
        <w:t xml:space="preserve">These collaborations will support school level improvement in teaching mathematics or science at the school level. Your school will receive salary funding to backfill these two teachers 0.5 FTE each through the Student Resource Package (SRP). </w:t>
      </w:r>
    </w:p>
    <w:p w14:paraId="16C8D849" w14:textId="77777777" w:rsidR="00FB15A3" w:rsidRPr="00FB15A3" w:rsidRDefault="00FB15A3" w:rsidP="00283E8E">
      <w:pPr>
        <w:jc w:val="both"/>
        <w:rPr>
          <w:lang w:val="en-AU"/>
        </w:rPr>
      </w:pPr>
      <w:r w:rsidRPr="00FB15A3">
        <w:rPr>
          <w:lang w:val="en-AU"/>
        </w:rPr>
        <w:t>Your school will be required to:</w:t>
      </w:r>
    </w:p>
    <w:p w14:paraId="321E38C5" w14:textId="4CBA81AF" w:rsidR="00FB15A3" w:rsidRPr="00FB15A3" w:rsidRDefault="00FB15A3" w:rsidP="00283E8E">
      <w:pPr>
        <w:pStyle w:val="Bullet1"/>
        <w:jc w:val="both"/>
      </w:pPr>
      <w:r w:rsidRPr="00FB15A3">
        <w:t>undertake a selection process to determine the most appropriate specialists,</w:t>
      </w:r>
    </w:p>
    <w:p w14:paraId="4C74A5A6" w14:textId="2A0DE82C" w:rsidR="00FB15A3" w:rsidRPr="00FB15A3" w:rsidRDefault="00FB15A3" w:rsidP="00283E8E">
      <w:pPr>
        <w:pStyle w:val="Bullet1"/>
        <w:jc w:val="both"/>
      </w:pPr>
      <w:r w:rsidRPr="00FB15A3">
        <w:t>support the specialists in their role, including their participation in professional learning,</w:t>
      </w:r>
    </w:p>
    <w:p w14:paraId="3203A11B" w14:textId="7290B267" w:rsidR="00FB15A3" w:rsidRPr="00FB15A3" w:rsidRDefault="00FB15A3" w:rsidP="00283E8E">
      <w:pPr>
        <w:pStyle w:val="Bullet1"/>
        <w:jc w:val="both"/>
      </w:pPr>
      <w:r w:rsidRPr="00FB15A3">
        <w:t>release the specialists 0.5 FTE to undertake their role,</w:t>
      </w:r>
    </w:p>
    <w:p w14:paraId="50484D71" w14:textId="34191221" w:rsidR="00FB15A3" w:rsidRPr="00FB15A3" w:rsidRDefault="00FB15A3" w:rsidP="00283E8E">
      <w:pPr>
        <w:pStyle w:val="Bullet1"/>
        <w:jc w:val="both"/>
      </w:pPr>
      <w:r w:rsidRPr="00FB15A3">
        <w:t>commit to whole-school improvement in mathematics or science,</w:t>
      </w:r>
    </w:p>
    <w:p w14:paraId="00CFD094" w14:textId="40D94771" w:rsidR="00FB15A3" w:rsidRPr="00FB15A3" w:rsidRDefault="00FB15A3" w:rsidP="00283E8E">
      <w:pPr>
        <w:pStyle w:val="Bullet1"/>
        <w:jc w:val="both"/>
      </w:pPr>
      <w:r w:rsidRPr="00FB15A3">
        <w:t>commit to initiative processes, including funding accountability,</w:t>
      </w:r>
    </w:p>
    <w:p w14:paraId="3F818027" w14:textId="6A969084" w:rsidR="00FB15A3" w:rsidRPr="00FB15A3" w:rsidRDefault="00FB15A3" w:rsidP="00283E8E">
      <w:pPr>
        <w:pStyle w:val="Bullet1"/>
        <w:jc w:val="both"/>
      </w:pPr>
      <w:r w:rsidRPr="00FB15A3">
        <w:t xml:space="preserve">participate fully in the collection and provision of data (whole school student assessments, teacher, specialist and principal attitude data) to the external evaluators, </w:t>
      </w:r>
    </w:p>
    <w:p w14:paraId="661E2F75" w14:textId="2D330952" w:rsidR="00FB15A3" w:rsidRPr="00FB15A3" w:rsidRDefault="00FB15A3" w:rsidP="00283E8E">
      <w:pPr>
        <w:pStyle w:val="Bullet1"/>
        <w:jc w:val="both"/>
      </w:pPr>
      <w:r w:rsidRPr="00FB15A3">
        <w:t>plan for sustainability beyond the life of funding, and</w:t>
      </w:r>
    </w:p>
    <w:p w14:paraId="2F0F9843" w14:textId="19F961D0" w:rsidR="00FB15A3" w:rsidRPr="00FB15A3" w:rsidRDefault="00FB15A3" w:rsidP="00283E8E">
      <w:pPr>
        <w:pStyle w:val="Bullet1"/>
        <w:jc w:val="both"/>
      </w:pPr>
      <w:proofErr w:type="gramStart"/>
      <w:r w:rsidRPr="00FB15A3">
        <w:t>reciprocally</w:t>
      </w:r>
      <w:proofErr w:type="gramEnd"/>
      <w:r w:rsidRPr="00FB15A3">
        <w:t xml:space="preserve"> nominate at least one other school (which may include a FISO group or Professional Learning Community) that will submit an Expression of Interest in PMSS.</w:t>
      </w:r>
    </w:p>
    <w:p w14:paraId="336E6805" w14:textId="77777777" w:rsidR="00FB15A3" w:rsidRPr="00FB15A3" w:rsidRDefault="00FB15A3" w:rsidP="00283E8E">
      <w:pPr>
        <w:jc w:val="both"/>
        <w:rPr>
          <w:lang w:val="en-AU"/>
        </w:rPr>
      </w:pPr>
      <w:r w:rsidRPr="00FB15A3">
        <w:rPr>
          <w:lang w:val="en-AU"/>
        </w:rPr>
        <w:t>The PMSS model supports building the collaborative expertise of the specialists and strengthening the expertise in the school and within a group of schools.</w:t>
      </w:r>
    </w:p>
    <w:p w14:paraId="2D9944CF" w14:textId="77777777" w:rsidR="00FB15A3" w:rsidRPr="00FB15A3" w:rsidRDefault="00FB15A3" w:rsidP="00283E8E">
      <w:pPr>
        <w:pStyle w:val="Heading2"/>
        <w:jc w:val="both"/>
        <w:rPr>
          <w:lang w:val="en-AU"/>
        </w:rPr>
      </w:pPr>
      <w:r w:rsidRPr="00FB15A3">
        <w:rPr>
          <w:lang w:val="en-AU"/>
        </w:rPr>
        <w:t xml:space="preserve">Funding </w:t>
      </w:r>
    </w:p>
    <w:p w14:paraId="6BF18D7E" w14:textId="77777777" w:rsidR="00FB15A3" w:rsidRPr="00FB15A3" w:rsidRDefault="00FB15A3" w:rsidP="00283E8E">
      <w:pPr>
        <w:jc w:val="both"/>
        <w:rPr>
          <w:lang w:val="en-AU"/>
        </w:rPr>
      </w:pPr>
      <w:r w:rsidRPr="00FB15A3">
        <w:rPr>
          <w:lang w:val="en-AU"/>
        </w:rPr>
        <w:t xml:space="preserve">Funding </w:t>
      </w:r>
      <w:proofErr w:type="gramStart"/>
      <w:r w:rsidRPr="00FB15A3">
        <w:rPr>
          <w:lang w:val="en-AU"/>
        </w:rPr>
        <w:t>will be provided</w:t>
      </w:r>
      <w:proofErr w:type="gramEnd"/>
      <w:r w:rsidRPr="00FB15A3">
        <w:rPr>
          <w:lang w:val="en-AU"/>
        </w:rPr>
        <w:t xml:space="preserve"> to schools to support:</w:t>
      </w:r>
    </w:p>
    <w:p w14:paraId="2CCE01E0" w14:textId="0F2A25EF" w:rsidR="00FB15A3" w:rsidRPr="00FB15A3" w:rsidRDefault="00FB15A3" w:rsidP="00283E8E">
      <w:pPr>
        <w:pStyle w:val="Bullet1"/>
        <w:jc w:val="both"/>
      </w:pPr>
      <w:r w:rsidRPr="00FB15A3">
        <w:t>0.5 FTE salary for each specialist for two years (2018 and 2019) using a formula of Classroom Teacher Level 2-5, paid to schools through the SRP,</w:t>
      </w:r>
    </w:p>
    <w:p w14:paraId="762AC5D0" w14:textId="5EFDEC3B" w:rsidR="00FB15A3" w:rsidRPr="00FB15A3" w:rsidRDefault="00FB15A3" w:rsidP="00283E8E">
      <w:pPr>
        <w:pStyle w:val="Bullet1"/>
        <w:jc w:val="both"/>
      </w:pPr>
      <w:r w:rsidRPr="00FB15A3">
        <w:t>20 days professional learning for specialists facilitated by DET, and</w:t>
      </w:r>
    </w:p>
    <w:p w14:paraId="61F3BBCA" w14:textId="4E5C8C4B" w:rsidR="00FB15A3" w:rsidRPr="00FB15A3" w:rsidRDefault="00FB15A3" w:rsidP="00283E8E">
      <w:pPr>
        <w:pStyle w:val="Bullet1"/>
        <w:jc w:val="both"/>
      </w:pPr>
      <w:proofErr w:type="gramStart"/>
      <w:r w:rsidRPr="00FB15A3">
        <w:t>reimbursement</w:t>
      </w:r>
      <w:proofErr w:type="gramEnd"/>
      <w:r w:rsidRPr="00FB15A3">
        <w:t xml:space="preserve"> up to $320 per day for accommodation and meals per specialist from schools more than 100kms from the CBD, administered through the Schools Targeted Funding portal.</w:t>
      </w:r>
    </w:p>
    <w:p w14:paraId="5E781EB4" w14:textId="77777777" w:rsidR="00FB15A3" w:rsidRPr="00FB15A3" w:rsidRDefault="00FB15A3" w:rsidP="00283E8E">
      <w:pPr>
        <w:pStyle w:val="Heading2"/>
        <w:jc w:val="both"/>
        <w:rPr>
          <w:lang w:val="en-AU"/>
        </w:rPr>
      </w:pPr>
      <w:r w:rsidRPr="00FB15A3">
        <w:rPr>
          <w:lang w:val="en-AU"/>
        </w:rPr>
        <w:t>Eligibility</w:t>
      </w:r>
    </w:p>
    <w:p w14:paraId="413ED5ED" w14:textId="77777777" w:rsidR="00FB15A3" w:rsidRPr="00FB15A3" w:rsidRDefault="00FB15A3" w:rsidP="00283E8E">
      <w:pPr>
        <w:jc w:val="both"/>
        <w:rPr>
          <w:lang w:val="en-AU"/>
        </w:rPr>
      </w:pPr>
      <w:r w:rsidRPr="00FB15A3">
        <w:rPr>
          <w:lang w:val="en-AU"/>
        </w:rPr>
        <w:t>Schools must not have previously participated in any iteration of the PMSS initiative.</w:t>
      </w:r>
    </w:p>
    <w:p w14:paraId="22A1CC93" w14:textId="77777777" w:rsidR="00FB15A3" w:rsidRPr="00FB15A3" w:rsidRDefault="00FB15A3" w:rsidP="00283E8E">
      <w:pPr>
        <w:jc w:val="both"/>
        <w:rPr>
          <w:lang w:val="en-AU"/>
        </w:rPr>
      </w:pPr>
      <w:r w:rsidRPr="00FB15A3">
        <w:rPr>
          <w:lang w:val="en-AU"/>
        </w:rPr>
        <w:t>Schools must meet at least one of the following criteria:</w:t>
      </w:r>
    </w:p>
    <w:p w14:paraId="3431F753" w14:textId="4F7EF28F" w:rsidR="00FB15A3" w:rsidRPr="00FB15A3" w:rsidRDefault="00FB15A3" w:rsidP="00283E8E">
      <w:pPr>
        <w:pStyle w:val="Bullet1"/>
        <w:jc w:val="both"/>
      </w:pPr>
      <w:r w:rsidRPr="00FB15A3">
        <w:t>be in a rural or regional area (defined by Local Government Area) and/or</w:t>
      </w:r>
    </w:p>
    <w:p w14:paraId="7BE9EF69" w14:textId="542C4592" w:rsidR="00FB15A3" w:rsidRPr="00FB15A3" w:rsidRDefault="00FB15A3" w:rsidP="00283E8E">
      <w:pPr>
        <w:pStyle w:val="Bullet1"/>
        <w:jc w:val="both"/>
      </w:pPr>
      <w:proofErr w:type="gramStart"/>
      <w:r w:rsidRPr="00FB15A3">
        <w:t>have</w:t>
      </w:r>
      <w:proofErr w:type="gramEnd"/>
      <w:r w:rsidRPr="00FB15A3">
        <w:t xml:space="preserve"> a high Student Family Occupation Education index score.</w:t>
      </w:r>
    </w:p>
    <w:p w14:paraId="58927B31" w14:textId="77777777" w:rsidR="00FB15A3" w:rsidRPr="00FB15A3" w:rsidRDefault="00FB15A3" w:rsidP="00283E8E">
      <w:pPr>
        <w:pStyle w:val="Heading2"/>
        <w:jc w:val="both"/>
        <w:rPr>
          <w:lang w:val="en-AU"/>
        </w:rPr>
      </w:pPr>
      <w:r w:rsidRPr="00FB15A3">
        <w:rPr>
          <w:lang w:val="en-AU"/>
        </w:rPr>
        <w:lastRenderedPageBreak/>
        <w:t>Application Process</w:t>
      </w:r>
    </w:p>
    <w:p w14:paraId="068CDDF2" w14:textId="77777777" w:rsidR="00FB15A3" w:rsidRPr="00FB15A3" w:rsidRDefault="00FB15A3" w:rsidP="00283E8E">
      <w:pPr>
        <w:jc w:val="both"/>
        <w:rPr>
          <w:lang w:val="en-AU"/>
        </w:rPr>
      </w:pPr>
      <w:r w:rsidRPr="00FB15A3">
        <w:rPr>
          <w:lang w:val="en-AU"/>
        </w:rPr>
        <w:t xml:space="preserve">This initiative is only open to Victorian Government primary schools (including P-12 and special schools). Schools should complete the Expression of Interest by filling out the relevant details and addressing the selection criteria. Expressions of Interest will be assessed using responses to </w:t>
      </w:r>
      <w:proofErr w:type="gramStart"/>
      <w:r w:rsidRPr="00FB15A3">
        <w:rPr>
          <w:lang w:val="en-AU"/>
        </w:rPr>
        <w:t>this criteria</w:t>
      </w:r>
      <w:proofErr w:type="gramEnd"/>
      <w:r w:rsidRPr="00FB15A3">
        <w:rPr>
          <w:lang w:val="en-AU"/>
        </w:rPr>
        <w:t>. Principals must endorse the Expression of Interest and if successful, implement the initiative as set out in the Expression of Interest.</w:t>
      </w:r>
    </w:p>
    <w:p w14:paraId="652B49E7" w14:textId="77777777" w:rsidR="00FB15A3" w:rsidRPr="00FB15A3" w:rsidRDefault="00FB15A3" w:rsidP="00283E8E">
      <w:pPr>
        <w:jc w:val="both"/>
        <w:rPr>
          <w:lang w:val="en-AU"/>
        </w:rPr>
      </w:pPr>
      <w:r w:rsidRPr="00FB15A3">
        <w:rPr>
          <w:lang w:val="en-AU"/>
        </w:rPr>
        <w:t>Selection criteria</w:t>
      </w:r>
    </w:p>
    <w:p w14:paraId="48BF1D93" w14:textId="1C9CE6E7" w:rsidR="00FB15A3" w:rsidRPr="00FB15A3" w:rsidRDefault="00FB15A3" w:rsidP="00283E8E">
      <w:pPr>
        <w:pStyle w:val="Numberlist"/>
        <w:jc w:val="both"/>
      </w:pPr>
      <w:r w:rsidRPr="00FB15A3">
        <w:t>Demonstrated whole school commitment to building teacher capacity and improving student learning outcomes in mathematics or science,</w:t>
      </w:r>
    </w:p>
    <w:p w14:paraId="66DE7780" w14:textId="4602D919" w:rsidR="00FB15A3" w:rsidRPr="00FB15A3" w:rsidRDefault="00FB15A3" w:rsidP="00283E8E">
      <w:pPr>
        <w:pStyle w:val="Numberlist"/>
        <w:jc w:val="both"/>
      </w:pPr>
      <w:r w:rsidRPr="00FB15A3">
        <w:t>Demonstrated commitment to using student data to inform planning and teaching,</w:t>
      </w:r>
    </w:p>
    <w:p w14:paraId="7F9B674D" w14:textId="7CF0A2E4" w:rsidR="00FB15A3" w:rsidRPr="00FB15A3" w:rsidRDefault="00FB15A3" w:rsidP="00283E8E">
      <w:pPr>
        <w:pStyle w:val="Numberlist"/>
        <w:jc w:val="both"/>
      </w:pPr>
      <w:r w:rsidRPr="00FB15A3">
        <w:t>Demonstrated capacity to provide structures to enable change and support a culture of success,</w:t>
      </w:r>
    </w:p>
    <w:p w14:paraId="07D6F434" w14:textId="6A805C4F" w:rsidR="00FB15A3" w:rsidRPr="00FB15A3" w:rsidRDefault="00FB15A3" w:rsidP="00283E8E">
      <w:pPr>
        <w:pStyle w:val="Numberlist"/>
        <w:jc w:val="both"/>
      </w:pPr>
      <w:r w:rsidRPr="00FB15A3">
        <w:t xml:space="preserve">Commitment to active participation in the evaluation of the initiative, and </w:t>
      </w:r>
    </w:p>
    <w:p w14:paraId="5C6332D9" w14:textId="678E9854" w:rsidR="00FB15A3" w:rsidRPr="00FB15A3" w:rsidRDefault="00FB15A3" w:rsidP="00283E8E">
      <w:pPr>
        <w:pStyle w:val="Numberlist"/>
        <w:jc w:val="both"/>
      </w:pPr>
      <w:r w:rsidRPr="00FB15A3">
        <w:t>Commitment to sustainability beyond the life of the initiative.</w:t>
      </w:r>
    </w:p>
    <w:p w14:paraId="64A2A55E" w14:textId="77777777" w:rsidR="00FB15A3" w:rsidRPr="00FB15A3" w:rsidRDefault="00FB15A3" w:rsidP="00283E8E">
      <w:pPr>
        <w:jc w:val="both"/>
        <w:rPr>
          <w:lang w:val="en-AU"/>
        </w:rPr>
      </w:pPr>
      <w:r w:rsidRPr="00FB15A3">
        <w:rPr>
          <w:lang w:val="en-AU"/>
        </w:rPr>
        <w:t xml:space="preserve">DET will consider a spread of rural/regional vs metropolitan schools, balanced with the demonstrated ability of schools to embrace a whole school commitment to mathematics or science improvement. </w:t>
      </w:r>
    </w:p>
    <w:p w14:paraId="4EAEEEA0" w14:textId="77777777" w:rsidR="00FB15A3" w:rsidRPr="00FB15A3" w:rsidRDefault="00FB15A3" w:rsidP="00283E8E">
      <w:pPr>
        <w:jc w:val="both"/>
        <w:rPr>
          <w:lang w:val="en-AU"/>
        </w:rPr>
      </w:pPr>
      <w:r w:rsidRPr="00FB15A3">
        <w:rPr>
          <w:lang w:val="en-AU"/>
        </w:rPr>
        <w:t>A selection panel, comprising central office and regional staff will assess each Expression of Interest.</w:t>
      </w:r>
    </w:p>
    <w:p w14:paraId="2805440C" w14:textId="77777777" w:rsidR="00FB15A3" w:rsidRPr="00FB15A3" w:rsidRDefault="00FB15A3" w:rsidP="00283E8E">
      <w:pPr>
        <w:jc w:val="both"/>
        <w:rPr>
          <w:lang w:val="en-AU"/>
        </w:rPr>
      </w:pPr>
      <w:r w:rsidRPr="00FB15A3">
        <w:rPr>
          <w:lang w:val="en-AU"/>
        </w:rPr>
        <w:t xml:space="preserve">Any queries relating to the initiative or the Expression of Interest </w:t>
      </w:r>
      <w:proofErr w:type="gramStart"/>
      <w:r w:rsidRPr="00FB15A3">
        <w:rPr>
          <w:lang w:val="en-AU"/>
        </w:rPr>
        <w:t>can be directed</w:t>
      </w:r>
      <w:proofErr w:type="gramEnd"/>
      <w:r w:rsidRPr="00FB15A3">
        <w:rPr>
          <w:lang w:val="en-AU"/>
        </w:rPr>
        <w:t xml:space="preserve"> to Kate Parker, Manager, STEM Unit on 9097 7381 or parker.katherine.k@edumail.vic.gov.au. </w:t>
      </w:r>
    </w:p>
    <w:p w14:paraId="24254D72" w14:textId="77777777" w:rsidR="00FB15A3" w:rsidRDefault="00FB15A3" w:rsidP="00FB15A3">
      <w:pPr>
        <w:pStyle w:val="Heading2"/>
        <w:rPr>
          <w:lang w:val="en-AU"/>
        </w:rPr>
      </w:pPr>
      <w:r w:rsidRPr="00FB15A3">
        <w:rPr>
          <w:lang w:val="en-AU"/>
        </w:rPr>
        <w:t xml:space="preserve">Important dates </w:t>
      </w:r>
    </w:p>
    <w:tbl>
      <w:tblPr>
        <w:tblStyle w:val="PlainTable2"/>
        <w:tblW w:w="5000" w:type="pct"/>
        <w:tblLook w:val="0400" w:firstRow="0" w:lastRow="0" w:firstColumn="0" w:lastColumn="0" w:noHBand="0" w:noVBand="1"/>
      </w:tblPr>
      <w:tblGrid>
        <w:gridCol w:w="2483"/>
        <w:gridCol w:w="7149"/>
      </w:tblGrid>
      <w:tr w:rsidR="00CD25D5" w:rsidRPr="006D091F" w14:paraId="0C18DD31" w14:textId="77777777" w:rsidTr="00CD25D5">
        <w:trPr>
          <w:cnfStyle w:val="000000100000" w:firstRow="0" w:lastRow="0" w:firstColumn="0" w:lastColumn="0" w:oddVBand="0" w:evenVBand="0" w:oddHBand="1" w:evenHBand="0" w:firstRowFirstColumn="0" w:firstRowLastColumn="0" w:lastRowFirstColumn="0" w:lastRowLastColumn="0"/>
        </w:trPr>
        <w:tc>
          <w:tcPr>
            <w:tcW w:w="2376" w:type="dxa"/>
          </w:tcPr>
          <w:p w14:paraId="6D6A7DB5" w14:textId="4A3846BC" w:rsidR="00CD25D5" w:rsidRPr="00F127CB" w:rsidRDefault="00283E8E" w:rsidP="00CD25D5">
            <w:pPr>
              <w:pStyle w:val="TableHead"/>
            </w:pPr>
            <w:r>
              <w:t>12</w:t>
            </w:r>
            <w:r w:rsidR="00CD25D5" w:rsidRPr="00F127CB">
              <w:t xml:space="preserve"> December 2017</w:t>
            </w:r>
          </w:p>
        </w:tc>
        <w:tc>
          <w:tcPr>
            <w:tcW w:w="6840" w:type="dxa"/>
          </w:tcPr>
          <w:p w14:paraId="29656B70" w14:textId="77777777" w:rsidR="00CD25D5" w:rsidRDefault="00CD25D5" w:rsidP="00CD25D5">
            <w:pPr>
              <w:pStyle w:val="Tablebody"/>
            </w:pPr>
            <w:r w:rsidRPr="00D85B64">
              <w:t>Expressions of Interest due</w:t>
            </w:r>
          </w:p>
          <w:p w14:paraId="32D763B5" w14:textId="11124C42" w:rsidR="00CD25D5" w:rsidRPr="00CD25D5" w:rsidRDefault="00CD25D5" w:rsidP="00CD25D5">
            <w:pPr>
              <w:pStyle w:val="Tablebody"/>
              <w:rPr>
                <w:b/>
              </w:rPr>
            </w:pPr>
            <w:r w:rsidRPr="00CD25D5">
              <w:rPr>
                <w:b/>
              </w:rPr>
              <w:t>Successful and unsuccessful schools will be notified as soon as the selection process has b</w:t>
            </w:r>
            <w:r>
              <w:rPr>
                <w:b/>
              </w:rPr>
              <w:t>e</w:t>
            </w:r>
            <w:r w:rsidRPr="00CD25D5">
              <w:rPr>
                <w:b/>
              </w:rPr>
              <w:t>e</w:t>
            </w:r>
            <w:r>
              <w:rPr>
                <w:b/>
              </w:rPr>
              <w:t>n</w:t>
            </w:r>
            <w:r w:rsidRPr="00CD25D5">
              <w:rPr>
                <w:b/>
              </w:rPr>
              <w:t xml:space="preserve"> finalised</w:t>
            </w:r>
          </w:p>
        </w:tc>
      </w:tr>
      <w:tr w:rsidR="00CD25D5" w:rsidRPr="00D85B64" w14:paraId="25B38A0E" w14:textId="77777777" w:rsidTr="00CD25D5">
        <w:tc>
          <w:tcPr>
            <w:tcW w:w="2376" w:type="dxa"/>
          </w:tcPr>
          <w:p w14:paraId="30EA4A63" w14:textId="77777777" w:rsidR="00CD25D5" w:rsidRPr="00F127CB" w:rsidRDefault="00CD25D5" w:rsidP="00CD25D5">
            <w:pPr>
              <w:pStyle w:val="TableHead"/>
            </w:pPr>
            <w:r w:rsidRPr="00F127CB">
              <w:t>9 February 2018</w:t>
            </w:r>
          </w:p>
        </w:tc>
        <w:tc>
          <w:tcPr>
            <w:tcW w:w="6840" w:type="dxa"/>
          </w:tcPr>
          <w:p w14:paraId="27348A8A" w14:textId="77777777" w:rsidR="00CD25D5" w:rsidRPr="00D85B64" w:rsidRDefault="00CD25D5" w:rsidP="00CD25D5">
            <w:pPr>
              <w:pStyle w:val="Tablebody"/>
            </w:pPr>
            <w:r>
              <w:t>Successful</w:t>
            </w:r>
            <w:r w:rsidRPr="00D85B64">
              <w:t xml:space="preserve"> </w:t>
            </w:r>
            <w:r>
              <w:t>s</w:t>
            </w:r>
            <w:r w:rsidRPr="00D85B64">
              <w:t xml:space="preserve">chools </w:t>
            </w:r>
            <w:r>
              <w:t xml:space="preserve">to </w:t>
            </w:r>
            <w:r w:rsidRPr="00D85B64">
              <w:t xml:space="preserve">provide </w:t>
            </w:r>
            <w:r>
              <w:t>names of participating specialists, by email to vicstem@edumail.vic.gov.au</w:t>
            </w:r>
          </w:p>
        </w:tc>
      </w:tr>
      <w:tr w:rsidR="00CD25D5" w:rsidRPr="00D85B64" w14:paraId="36B79F29" w14:textId="77777777" w:rsidTr="00CD25D5">
        <w:trPr>
          <w:cnfStyle w:val="000000100000" w:firstRow="0" w:lastRow="0" w:firstColumn="0" w:lastColumn="0" w:oddVBand="0" w:evenVBand="0" w:oddHBand="1" w:evenHBand="0" w:firstRowFirstColumn="0" w:firstRowLastColumn="0" w:lastRowFirstColumn="0" w:lastRowLastColumn="0"/>
        </w:trPr>
        <w:tc>
          <w:tcPr>
            <w:tcW w:w="2376" w:type="dxa"/>
          </w:tcPr>
          <w:p w14:paraId="73C3FE38" w14:textId="77777777" w:rsidR="00CD25D5" w:rsidRPr="00F127CB" w:rsidRDefault="00CD25D5" w:rsidP="00CD25D5">
            <w:pPr>
              <w:pStyle w:val="TableHead"/>
            </w:pPr>
            <w:r>
              <w:t>February 2018</w:t>
            </w:r>
          </w:p>
        </w:tc>
        <w:tc>
          <w:tcPr>
            <w:tcW w:w="6840" w:type="dxa"/>
          </w:tcPr>
          <w:p w14:paraId="40FCA0F5" w14:textId="77777777" w:rsidR="00CD25D5" w:rsidRPr="00D85B64" w:rsidRDefault="00CD25D5" w:rsidP="00CD25D5">
            <w:pPr>
              <w:pStyle w:val="Tablebody"/>
            </w:pPr>
            <w:r>
              <w:t>Online session for principals and specialists</w:t>
            </w:r>
          </w:p>
        </w:tc>
      </w:tr>
      <w:tr w:rsidR="00CD25D5" w:rsidRPr="00D85B64" w14:paraId="419A7FF7" w14:textId="77777777" w:rsidTr="00CD25D5">
        <w:tc>
          <w:tcPr>
            <w:tcW w:w="2376" w:type="dxa"/>
          </w:tcPr>
          <w:p w14:paraId="3D61BEA9" w14:textId="77777777" w:rsidR="00CD25D5" w:rsidRPr="00F127CB" w:rsidRDefault="00CD25D5" w:rsidP="00CD25D5">
            <w:pPr>
              <w:pStyle w:val="TableHead"/>
            </w:pPr>
            <w:r w:rsidRPr="00F127CB">
              <w:t>March/April</w:t>
            </w:r>
            <w:r>
              <w:t>/May</w:t>
            </w:r>
            <w:r w:rsidRPr="00F127CB">
              <w:t xml:space="preserve"> 2018</w:t>
            </w:r>
          </w:p>
        </w:tc>
        <w:tc>
          <w:tcPr>
            <w:tcW w:w="6840" w:type="dxa"/>
          </w:tcPr>
          <w:p w14:paraId="69DC4045" w14:textId="77777777" w:rsidR="00CD25D5" w:rsidRPr="00D85B64" w:rsidRDefault="00CD25D5" w:rsidP="00CD25D5">
            <w:pPr>
              <w:pStyle w:val="Tablebody"/>
            </w:pPr>
            <w:r w:rsidRPr="00D85B64">
              <w:t>Ten days professional learning for specialists</w:t>
            </w:r>
            <w:r>
              <w:t>, in 4 and 3 and 3 day blocks</w:t>
            </w:r>
          </w:p>
        </w:tc>
      </w:tr>
      <w:tr w:rsidR="00CD25D5" w:rsidRPr="00D85B64" w14:paraId="4C89A8E3" w14:textId="77777777" w:rsidTr="00CD25D5">
        <w:trPr>
          <w:cnfStyle w:val="000000100000" w:firstRow="0" w:lastRow="0" w:firstColumn="0" w:lastColumn="0" w:oddVBand="0" w:evenVBand="0" w:oddHBand="1" w:evenHBand="0" w:firstRowFirstColumn="0" w:firstRowLastColumn="0" w:lastRowFirstColumn="0" w:lastRowLastColumn="0"/>
        </w:trPr>
        <w:tc>
          <w:tcPr>
            <w:tcW w:w="2376" w:type="dxa"/>
          </w:tcPr>
          <w:p w14:paraId="5F2C0BF5" w14:textId="77777777" w:rsidR="00CD25D5" w:rsidRPr="00F127CB" w:rsidRDefault="00CD25D5" w:rsidP="00CD25D5">
            <w:pPr>
              <w:pStyle w:val="TableHead"/>
            </w:pPr>
            <w:r w:rsidRPr="00F127CB">
              <w:t>March 201</w:t>
            </w:r>
            <w:r>
              <w:t>8</w:t>
            </w:r>
          </w:p>
        </w:tc>
        <w:tc>
          <w:tcPr>
            <w:tcW w:w="6840" w:type="dxa"/>
          </w:tcPr>
          <w:p w14:paraId="37D39F0E" w14:textId="77777777" w:rsidR="00CD25D5" w:rsidRPr="00D85B64" w:rsidRDefault="00CD25D5" w:rsidP="00CD25D5">
            <w:pPr>
              <w:pStyle w:val="Tablebody"/>
            </w:pPr>
            <w:r w:rsidRPr="00D85B64">
              <w:t>Student data to be collected by schools (</w:t>
            </w:r>
            <w:proofErr w:type="spellStart"/>
            <w:r>
              <w:t>e.g</w:t>
            </w:r>
            <w:proofErr w:type="spellEnd"/>
            <w:r>
              <w:t xml:space="preserve"> Mathematics Online Interview, VCAA On Demand: Number, PAT Science, NAPLAN</w:t>
            </w:r>
            <w:r w:rsidRPr="00D85B64">
              <w:t>)</w:t>
            </w:r>
          </w:p>
        </w:tc>
      </w:tr>
      <w:tr w:rsidR="00CD25D5" w:rsidRPr="00D85B64" w14:paraId="3B776DF3" w14:textId="77777777" w:rsidTr="00CD25D5">
        <w:tc>
          <w:tcPr>
            <w:tcW w:w="2376" w:type="dxa"/>
          </w:tcPr>
          <w:p w14:paraId="5820ED45" w14:textId="77777777" w:rsidR="00CD25D5" w:rsidRPr="00F127CB" w:rsidRDefault="00CD25D5" w:rsidP="00CD25D5">
            <w:pPr>
              <w:pStyle w:val="TableHead"/>
            </w:pPr>
            <w:r w:rsidRPr="00F127CB">
              <w:t>August 2018</w:t>
            </w:r>
          </w:p>
        </w:tc>
        <w:tc>
          <w:tcPr>
            <w:tcW w:w="6840" w:type="dxa"/>
          </w:tcPr>
          <w:p w14:paraId="023B63FC" w14:textId="77777777" w:rsidR="00CD25D5" w:rsidRPr="00D85B64" w:rsidRDefault="00CD25D5" w:rsidP="00CD25D5">
            <w:pPr>
              <w:pStyle w:val="Tablebody"/>
            </w:pPr>
            <w:r w:rsidRPr="00D85B64">
              <w:t>Five days professional learning for specialists</w:t>
            </w:r>
            <w:r>
              <w:t>, in 3 and 2 day blocks</w:t>
            </w:r>
          </w:p>
        </w:tc>
      </w:tr>
      <w:tr w:rsidR="00CD25D5" w:rsidRPr="00D85B64" w14:paraId="448F39E3" w14:textId="77777777" w:rsidTr="00CD25D5">
        <w:trPr>
          <w:cnfStyle w:val="000000100000" w:firstRow="0" w:lastRow="0" w:firstColumn="0" w:lastColumn="0" w:oddVBand="0" w:evenVBand="0" w:oddHBand="1" w:evenHBand="0" w:firstRowFirstColumn="0" w:firstRowLastColumn="0" w:lastRowFirstColumn="0" w:lastRowLastColumn="0"/>
        </w:trPr>
        <w:tc>
          <w:tcPr>
            <w:tcW w:w="2376" w:type="dxa"/>
          </w:tcPr>
          <w:p w14:paraId="6FC1CDFB" w14:textId="77777777" w:rsidR="00CD25D5" w:rsidRPr="00F127CB" w:rsidRDefault="00CD25D5" w:rsidP="00CD25D5">
            <w:pPr>
              <w:pStyle w:val="TableHead"/>
            </w:pPr>
            <w:r w:rsidRPr="00F127CB">
              <w:t>September 201</w:t>
            </w:r>
            <w:r>
              <w:t>8</w:t>
            </w:r>
          </w:p>
        </w:tc>
        <w:tc>
          <w:tcPr>
            <w:tcW w:w="6840" w:type="dxa"/>
          </w:tcPr>
          <w:p w14:paraId="79080AB2" w14:textId="77777777" w:rsidR="00CD25D5" w:rsidRPr="00D85B64" w:rsidRDefault="00CD25D5" w:rsidP="00CD25D5">
            <w:pPr>
              <w:pStyle w:val="Tablebody"/>
            </w:pPr>
            <w:r w:rsidRPr="00D85B64">
              <w:t xml:space="preserve">Student </w:t>
            </w:r>
            <w:r>
              <w:t xml:space="preserve">data to be collected by schools </w:t>
            </w:r>
          </w:p>
        </w:tc>
      </w:tr>
      <w:tr w:rsidR="00CD25D5" w14:paraId="5E5FE70D" w14:textId="77777777" w:rsidTr="00CD25D5">
        <w:tc>
          <w:tcPr>
            <w:tcW w:w="2376" w:type="dxa"/>
          </w:tcPr>
          <w:p w14:paraId="45AC909B" w14:textId="77777777" w:rsidR="00CD25D5" w:rsidRDefault="00CD25D5" w:rsidP="00CD25D5">
            <w:pPr>
              <w:pStyle w:val="TableHead"/>
            </w:pPr>
            <w:r>
              <w:t>February 2019</w:t>
            </w:r>
          </w:p>
        </w:tc>
        <w:tc>
          <w:tcPr>
            <w:tcW w:w="6840" w:type="dxa"/>
          </w:tcPr>
          <w:p w14:paraId="08346DAB" w14:textId="77777777" w:rsidR="00CD25D5" w:rsidRDefault="00CD25D5" w:rsidP="00CD25D5">
            <w:pPr>
              <w:pStyle w:val="Tablebody"/>
            </w:pPr>
            <w:r>
              <w:t>Communique regarding interim evaluation outcomes distributed to schools</w:t>
            </w:r>
          </w:p>
        </w:tc>
      </w:tr>
      <w:tr w:rsidR="00CD25D5" w:rsidRPr="00D85B64" w14:paraId="58F03395" w14:textId="77777777" w:rsidTr="00CD25D5">
        <w:trPr>
          <w:cnfStyle w:val="000000100000" w:firstRow="0" w:lastRow="0" w:firstColumn="0" w:lastColumn="0" w:oddVBand="0" w:evenVBand="0" w:oddHBand="1" w:evenHBand="0" w:firstRowFirstColumn="0" w:firstRowLastColumn="0" w:lastRowFirstColumn="0" w:lastRowLastColumn="0"/>
        </w:trPr>
        <w:tc>
          <w:tcPr>
            <w:tcW w:w="2376" w:type="dxa"/>
          </w:tcPr>
          <w:p w14:paraId="202FC4D4" w14:textId="77777777" w:rsidR="00CD25D5" w:rsidRPr="00F127CB" w:rsidRDefault="00CD25D5" w:rsidP="00CD25D5">
            <w:pPr>
              <w:pStyle w:val="TableHead"/>
            </w:pPr>
            <w:r w:rsidRPr="00F127CB">
              <w:t>March/</w:t>
            </w:r>
            <w:r>
              <w:t>May</w:t>
            </w:r>
            <w:r w:rsidRPr="00F127CB">
              <w:t xml:space="preserve"> 201</w:t>
            </w:r>
            <w:r>
              <w:t>9</w:t>
            </w:r>
          </w:p>
        </w:tc>
        <w:tc>
          <w:tcPr>
            <w:tcW w:w="6840" w:type="dxa"/>
          </w:tcPr>
          <w:p w14:paraId="639EAA18" w14:textId="77777777" w:rsidR="00CD25D5" w:rsidRPr="00D85B64" w:rsidRDefault="00CD25D5" w:rsidP="00CD25D5">
            <w:pPr>
              <w:pStyle w:val="Tablebody"/>
            </w:pPr>
            <w:r w:rsidRPr="00D85B64">
              <w:t>Five days professional learning for specialists</w:t>
            </w:r>
            <w:r>
              <w:t>, in 3 and 2 day blocks</w:t>
            </w:r>
          </w:p>
        </w:tc>
      </w:tr>
      <w:tr w:rsidR="00CD25D5" w:rsidRPr="00D85B64" w14:paraId="16EAE7C3" w14:textId="77777777" w:rsidTr="00CD25D5">
        <w:tc>
          <w:tcPr>
            <w:tcW w:w="2376" w:type="dxa"/>
          </w:tcPr>
          <w:p w14:paraId="11F7C54E" w14:textId="77777777" w:rsidR="00CD25D5" w:rsidRPr="00F127CB" w:rsidRDefault="00CD25D5" w:rsidP="00CD25D5">
            <w:pPr>
              <w:pStyle w:val="TableHead"/>
            </w:pPr>
            <w:r w:rsidRPr="00F127CB">
              <w:t>March 201</w:t>
            </w:r>
            <w:r>
              <w:t>9</w:t>
            </w:r>
          </w:p>
        </w:tc>
        <w:tc>
          <w:tcPr>
            <w:tcW w:w="6840" w:type="dxa"/>
          </w:tcPr>
          <w:p w14:paraId="69590392" w14:textId="77777777" w:rsidR="00CD25D5" w:rsidRPr="00D85B64" w:rsidRDefault="00CD25D5" w:rsidP="00CD25D5">
            <w:pPr>
              <w:pStyle w:val="Tablebody"/>
            </w:pPr>
            <w:r w:rsidRPr="00D85B64">
              <w:t xml:space="preserve">Student data to be collected by schools </w:t>
            </w:r>
          </w:p>
        </w:tc>
      </w:tr>
      <w:tr w:rsidR="00CD25D5" w:rsidRPr="00D85B64" w14:paraId="08399835" w14:textId="77777777" w:rsidTr="00CD25D5">
        <w:trPr>
          <w:cnfStyle w:val="000000100000" w:firstRow="0" w:lastRow="0" w:firstColumn="0" w:lastColumn="0" w:oddVBand="0" w:evenVBand="0" w:oddHBand="1" w:evenHBand="0" w:firstRowFirstColumn="0" w:firstRowLastColumn="0" w:lastRowFirstColumn="0" w:lastRowLastColumn="0"/>
        </w:trPr>
        <w:tc>
          <w:tcPr>
            <w:tcW w:w="2376" w:type="dxa"/>
          </w:tcPr>
          <w:p w14:paraId="4CC9D0A6" w14:textId="77777777" w:rsidR="00CD25D5" w:rsidRPr="00F127CB" w:rsidRDefault="00CD25D5" w:rsidP="00CD25D5">
            <w:pPr>
              <w:pStyle w:val="TableHead"/>
            </w:pPr>
            <w:r>
              <w:t>September 2019</w:t>
            </w:r>
          </w:p>
        </w:tc>
        <w:tc>
          <w:tcPr>
            <w:tcW w:w="6840" w:type="dxa"/>
          </w:tcPr>
          <w:p w14:paraId="75563B9B" w14:textId="77777777" w:rsidR="00CD25D5" w:rsidRPr="00D85B64" w:rsidRDefault="00CD25D5" w:rsidP="00CD25D5">
            <w:pPr>
              <w:pStyle w:val="Tablebody"/>
            </w:pPr>
            <w:r w:rsidRPr="00D85B64">
              <w:t xml:space="preserve">Student data to be collected by schools </w:t>
            </w:r>
          </w:p>
        </w:tc>
      </w:tr>
      <w:tr w:rsidR="00CD25D5" w:rsidRPr="00D85B64" w14:paraId="6CD88451" w14:textId="77777777" w:rsidTr="00CD25D5">
        <w:tc>
          <w:tcPr>
            <w:tcW w:w="2376" w:type="dxa"/>
          </w:tcPr>
          <w:p w14:paraId="2490D623" w14:textId="77777777" w:rsidR="00CD25D5" w:rsidRPr="00F127CB" w:rsidRDefault="00CD25D5" w:rsidP="00CD25D5">
            <w:pPr>
              <w:pStyle w:val="TableHead"/>
            </w:pPr>
            <w:r>
              <w:t>October 2019</w:t>
            </w:r>
          </w:p>
        </w:tc>
        <w:tc>
          <w:tcPr>
            <w:tcW w:w="6840" w:type="dxa"/>
          </w:tcPr>
          <w:p w14:paraId="6373CEFC" w14:textId="77777777" w:rsidR="00CD25D5" w:rsidRPr="00D85B64" w:rsidRDefault="00CD25D5" w:rsidP="00CD25D5">
            <w:pPr>
              <w:pStyle w:val="Tablebody"/>
            </w:pPr>
            <w:r>
              <w:t>Online session for principals and specialists</w:t>
            </w:r>
          </w:p>
        </w:tc>
      </w:tr>
      <w:tr w:rsidR="00CD25D5" w14:paraId="3884A25C" w14:textId="77777777" w:rsidTr="00CD25D5">
        <w:trPr>
          <w:cnfStyle w:val="000000100000" w:firstRow="0" w:lastRow="0" w:firstColumn="0" w:lastColumn="0" w:oddVBand="0" w:evenVBand="0" w:oddHBand="1" w:evenHBand="0" w:firstRowFirstColumn="0" w:firstRowLastColumn="0" w:lastRowFirstColumn="0" w:lastRowLastColumn="0"/>
        </w:trPr>
        <w:tc>
          <w:tcPr>
            <w:tcW w:w="2376" w:type="dxa"/>
          </w:tcPr>
          <w:p w14:paraId="49591169" w14:textId="77777777" w:rsidR="00CD25D5" w:rsidRDefault="00CD25D5" w:rsidP="00CD25D5">
            <w:pPr>
              <w:pStyle w:val="TableHead"/>
            </w:pPr>
            <w:r>
              <w:t>February 2020</w:t>
            </w:r>
          </w:p>
        </w:tc>
        <w:tc>
          <w:tcPr>
            <w:tcW w:w="6840" w:type="dxa"/>
          </w:tcPr>
          <w:p w14:paraId="78FDB7E4" w14:textId="77777777" w:rsidR="00CD25D5" w:rsidRDefault="00CD25D5" w:rsidP="00CD25D5">
            <w:pPr>
              <w:pStyle w:val="Tablebody"/>
            </w:pPr>
            <w:r>
              <w:t>Communique regarding final evaluation outcomes distributed to schools</w:t>
            </w:r>
          </w:p>
        </w:tc>
      </w:tr>
    </w:tbl>
    <w:p w14:paraId="0132B252" w14:textId="77777777" w:rsidR="00CD25D5" w:rsidRPr="00CD25D5" w:rsidRDefault="00CD25D5" w:rsidP="00CD25D5">
      <w:pPr>
        <w:rPr>
          <w:lang w:val="en-AU"/>
        </w:rPr>
      </w:pPr>
    </w:p>
    <w:p w14:paraId="0AB84E1B" w14:textId="77777777" w:rsidR="00FB15A3" w:rsidRDefault="00FB15A3" w:rsidP="00FB15A3">
      <w:pPr>
        <w:rPr>
          <w:lang w:val="en-AU"/>
        </w:rPr>
        <w:sectPr w:rsidR="00FB15A3" w:rsidSect="00FB15A3">
          <w:headerReference w:type="default" r:id="rId11"/>
          <w:footerReference w:type="even" r:id="rId12"/>
          <w:footerReference w:type="default" r:id="rId13"/>
          <w:pgSz w:w="11900" w:h="16840"/>
          <w:pgMar w:top="1985" w:right="1134" w:bottom="1701" w:left="1134" w:header="709" w:footer="709" w:gutter="0"/>
          <w:cols w:space="708"/>
          <w:docGrid w:linePitch="360"/>
        </w:sectPr>
      </w:pPr>
    </w:p>
    <w:p w14:paraId="3E7080F5" w14:textId="6EAD558F" w:rsidR="00624A55" w:rsidRPr="00624A55" w:rsidRDefault="00681078" w:rsidP="00624A55">
      <w:pPr>
        <w:pStyle w:val="Heading1"/>
        <w:rPr>
          <w:lang w:val="en-AU"/>
        </w:rPr>
      </w:pPr>
      <w:r w:rsidRPr="00681078">
        <w:rPr>
          <w:lang w:val="en-AU"/>
        </w:rPr>
        <w:lastRenderedPageBreak/>
        <w:t>EXPRESSION OF INTEREST FORM</w:t>
      </w:r>
    </w:p>
    <w:p w14:paraId="5F5E19C7" w14:textId="6EA6B98B" w:rsidR="00CF46D4" w:rsidRDefault="00681078" w:rsidP="00CF46D4">
      <w:pPr>
        <w:pStyle w:val="Heading2"/>
      </w:pPr>
      <w:r w:rsidRPr="00681078">
        <w:t>Section 1: School Details</w:t>
      </w:r>
    </w:p>
    <w:tbl>
      <w:tblPr>
        <w:tblStyle w:val="PlainTable2"/>
        <w:tblW w:w="0" w:type="auto"/>
        <w:tblBorders>
          <w:top w:val="none" w:sz="0" w:space="0" w:color="auto"/>
          <w:bottom w:val="none" w:sz="0" w:space="0" w:color="auto"/>
        </w:tblBorders>
        <w:tblLayout w:type="fixed"/>
        <w:tblLook w:val="0400" w:firstRow="0" w:lastRow="0" w:firstColumn="0" w:lastColumn="0" w:noHBand="0" w:noVBand="1"/>
      </w:tblPr>
      <w:tblGrid>
        <w:gridCol w:w="2122"/>
        <w:gridCol w:w="3969"/>
        <w:gridCol w:w="1417"/>
        <w:gridCol w:w="2114"/>
      </w:tblGrid>
      <w:tr w:rsidR="00681078" w14:paraId="16EF7817" w14:textId="77777777" w:rsidTr="00E46098">
        <w:trPr>
          <w:cnfStyle w:val="000000100000" w:firstRow="0" w:lastRow="0" w:firstColumn="0" w:lastColumn="0" w:oddVBand="0" w:evenVBand="0" w:oddHBand="1" w:evenHBand="0" w:firstRowFirstColumn="0" w:firstRowLastColumn="0" w:lastRowFirstColumn="0" w:lastRowLastColumn="0"/>
          <w:trHeight w:val="329"/>
        </w:trPr>
        <w:tc>
          <w:tcPr>
            <w:tcW w:w="2122" w:type="dxa"/>
          </w:tcPr>
          <w:p w14:paraId="5C0196C9" w14:textId="438F0FC3" w:rsidR="00CF46D4" w:rsidRDefault="00681078" w:rsidP="00CF46D4">
            <w:pPr>
              <w:pStyle w:val="TableHead"/>
            </w:pPr>
            <w:r w:rsidRPr="00681078">
              <w:t>Principal Name</w:t>
            </w:r>
          </w:p>
        </w:tc>
        <w:tc>
          <w:tcPr>
            <w:tcW w:w="7500" w:type="dxa"/>
            <w:gridSpan w:val="3"/>
          </w:tcPr>
          <w:p w14:paraId="5D72C4A9" w14:textId="77777777" w:rsidR="00CF46D4" w:rsidRDefault="00CF46D4" w:rsidP="00CF46D4">
            <w:pPr>
              <w:pStyle w:val="Tablebody"/>
            </w:pPr>
          </w:p>
        </w:tc>
      </w:tr>
      <w:tr w:rsidR="00681078" w14:paraId="3F0F8509" w14:textId="77777777" w:rsidTr="00E46098">
        <w:trPr>
          <w:trHeight w:val="329"/>
        </w:trPr>
        <w:tc>
          <w:tcPr>
            <w:tcW w:w="2122" w:type="dxa"/>
          </w:tcPr>
          <w:p w14:paraId="66B1D6B1" w14:textId="4BE1E981" w:rsidR="00CF46D4" w:rsidRDefault="00681078" w:rsidP="00CF46D4">
            <w:pPr>
              <w:pStyle w:val="TableHead"/>
            </w:pPr>
            <w:r w:rsidRPr="00681078">
              <w:t>School Name</w:t>
            </w:r>
          </w:p>
        </w:tc>
        <w:tc>
          <w:tcPr>
            <w:tcW w:w="7500" w:type="dxa"/>
            <w:gridSpan w:val="3"/>
            <w:tcBorders>
              <w:top w:val="single" w:sz="4" w:space="0" w:color="7F7F7F" w:themeColor="text1" w:themeTint="80"/>
              <w:bottom w:val="single" w:sz="4" w:space="0" w:color="7F7F7F" w:themeColor="text1" w:themeTint="80"/>
            </w:tcBorders>
          </w:tcPr>
          <w:p w14:paraId="6EAB5CAF" w14:textId="77777777" w:rsidR="00CF46D4" w:rsidRDefault="00CF46D4" w:rsidP="00CF46D4">
            <w:pPr>
              <w:pStyle w:val="Tablebody"/>
            </w:pPr>
          </w:p>
        </w:tc>
      </w:tr>
      <w:tr w:rsidR="00681078" w14:paraId="223AC07B" w14:textId="77777777" w:rsidTr="00E46098">
        <w:trPr>
          <w:cnfStyle w:val="000000100000" w:firstRow="0" w:lastRow="0" w:firstColumn="0" w:lastColumn="0" w:oddVBand="0" w:evenVBand="0" w:oddHBand="1" w:evenHBand="0" w:firstRowFirstColumn="0" w:firstRowLastColumn="0" w:lastRowFirstColumn="0" w:lastRowLastColumn="0"/>
          <w:trHeight w:val="329"/>
        </w:trPr>
        <w:tc>
          <w:tcPr>
            <w:tcW w:w="2122" w:type="dxa"/>
          </w:tcPr>
          <w:p w14:paraId="35CF6AFF" w14:textId="11093D90" w:rsidR="00CF46D4" w:rsidRDefault="00681078" w:rsidP="00CF46D4">
            <w:pPr>
              <w:pStyle w:val="TableHead"/>
            </w:pPr>
            <w:r w:rsidRPr="00681078">
              <w:t>School Number</w:t>
            </w:r>
          </w:p>
        </w:tc>
        <w:tc>
          <w:tcPr>
            <w:tcW w:w="7500" w:type="dxa"/>
            <w:gridSpan w:val="3"/>
          </w:tcPr>
          <w:p w14:paraId="20A2D7BA" w14:textId="77777777" w:rsidR="00CF46D4" w:rsidRDefault="00CF46D4" w:rsidP="00CF46D4">
            <w:pPr>
              <w:pStyle w:val="Tablebody"/>
            </w:pPr>
          </w:p>
        </w:tc>
      </w:tr>
      <w:tr w:rsidR="00681078" w14:paraId="2CEADAF6" w14:textId="77777777" w:rsidTr="00E46098">
        <w:trPr>
          <w:trHeight w:val="329"/>
        </w:trPr>
        <w:tc>
          <w:tcPr>
            <w:tcW w:w="2122" w:type="dxa"/>
            <w:vMerge w:val="restart"/>
            <w:tcBorders>
              <w:top w:val="single" w:sz="4" w:space="0" w:color="7F7F7F" w:themeColor="text1" w:themeTint="80"/>
            </w:tcBorders>
          </w:tcPr>
          <w:p w14:paraId="7899C853" w14:textId="654F88AC" w:rsidR="00681078" w:rsidRPr="00681078" w:rsidRDefault="00681078" w:rsidP="00CF46D4">
            <w:pPr>
              <w:pStyle w:val="TableHead"/>
            </w:pPr>
            <w:r w:rsidRPr="00681078">
              <w:t>School Address</w:t>
            </w:r>
          </w:p>
        </w:tc>
        <w:tc>
          <w:tcPr>
            <w:tcW w:w="7500" w:type="dxa"/>
            <w:gridSpan w:val="3"/>
            <w:tcBorders>
              <w:top w:val="single" w:sz="4" w:space="0" w:color="7F7F7F" w:themeColor="text1" w:themeTint="80"/>
              <w:bottom w:val="single" w:sz="4" w:space="0" w:color="7F7F7F" w:themeColor="text1" w:themeTint="80"/>
            </w:tcBorders>
          </w:tcPr>
          <w:p w14:paraId="3EA722B2" w14:textId="77777777" w:rsidR="00681078" w:rsidRDefault="00681078" w:rsidP="00CF46D4">
            <w:pPr>
              <w:pStyle w:val="Tablebody"/>
            </w:pPr>
          </w:p>
        </w:tc>
      </w:tr>
      <w:tr w:rsidR="00681078" w14:paraId="5ACB315A" w14:textId="77777777" w:rsidTr="00E46098">
        <w:trPr>
          <w:cnfStyle w:val="000000100000" w:firstRow="0" w:lastRow="0" w:firstColumn="0" w:lastColumn="0" w:oddVBand="0" w:evenVBand="0" w:oddHBand="1" w:evenHBand="0" w:firstRowFirstColumn="0" w:firstRowLastColumn="0" w:lastRowFirstColumn="0" w:lastRowLastColumn="0"/>
          <w:trHeight w:val="329"/>
        </w:trPr>
        <w:tc>
          <w:tcPr>
            <w:tcW w:w="2122" w:type="dxa"/>
            <w:vMerge/>
          </w:tcPr>
          <w:p w14:paraId="586C371D" w14:textId="77777777" w:rsidR="00681078" w:rsidRPr="00681078" w:rsidRDefault="00681078" w:rsidP="00CF46D4">
            <w:pPr>
              <w:pStyle w:val="TableHead"/>
            </w:pPr>
          </w:p>
        </w:tc>
        <w:tc>
          <w:tcPr>
            <w:tcW w:w="3969" w:type="dxa"/>
          </w:tcPr>
          <w:p w14:paraId="43EEAB63" w14:textId="77777777" w:rsidR="00681078" w:rsidRDefault="00681078" w:rsidP="00CF46D4">
            <w:pPr>
              <w:pStyle w:val="Tablebody"/>
            </w:pPr>
          </w:p>
        </w:tc>
        <w:tc>
          <w:tcPr>
            <w:tcW w:w="1417" w:type="dxa"/>
          </w:tcPr>
          <w:p w14:paraId="03DB0377" w14:textId="66DB5446" w:rsidR="00681078" w:rsidRDefault="00681078" w:rsidP="00681078">
            <w:pPr>
              <w:pStyle w:val="TableHead"/>
            </w:pPr>
            <w:r w:rsidRPr="00681078">
              <w:t>Postcode</w:t>
            </w:r>
          </w:p>
        </w:tc>
        <w:tc>
          <w:tcPr>
            <w:tcW w:w="2114" w:type="dxa"/>
          </w:tcPr>
          <w:p w14:paraId="4A8B3DB5" w14:textId="5C0D4348" w:rsidR="00681078" w:rsidRDefault="00681078" w:rsidP="00CF46D4">
            <w:pPr>
              <w:pStyle w:val="Tablebody"/>
            </w:pPr>
          </w:p>
        </w:tc>
      </w:tr>
      <w:tr w:rsidR="00681078" w14:paraId="6AD4184A" w14:textId="77777777" w:rsidTr="00E46098">
        <w:trPr>
          <w:trHeight w:val="329"/>
        </w:trPr>
        <w:tc>
          <w:tcPr>
            <w:tcW w:w="2122" w:type="dxa"/>
            <w:tcBorders>
              <w:top w:val="single" w:sz="4" w:space="0" w:color="7F7F7F" w:themeColor="text1" w:themeTint="80"/>
              <w:bottom w:val="single" w:sz="4" w:space="0" w:color="7F7F7F" w:themeColor="text1" w:themeTint="80"/>
            </w:tcBorders>
          </w:tcPr>
          <w:p w14:paraId="7C2D6083" w14:textId="0AEBEECA" w:rsidR="00681078" w:rsidRPr="00681078" w:rsidRDefault="00681078" w:rsidP="00CF46D4">
            <w:pPr>
              <w:pStyle w:val="TableHead"/>
            </w:pPr>
            <w:r w:rsidRPr="00681078">
              <w:t>Telephone number</w:t>
            </w:r>
          </w:p>
        </w:tc>
        <w:tc>
          <w:tcPr>
            <w:tcW w:w="7500" w:type="dxa"/>
            <w:gridSpan w:val="3"/>
            <w:tcBorders>
              <w:top w:val="single" w:sz="4" w:space="0" w:color="7F7F7F" w:themeColor="text1" w:themeTint="80"/>
              <w:bottom w:val="single" w:sz="4" w:space="0" w:color="7F7F7F" w:themeColor="text1" w:themeTint="80"/>
            </w:tcBorders>
          </w:tcPr>
          <w:p w14:paraId="73DC707B" w14:textId="77777777" w:rsidR="00681078" w:rsidRDefault="00681078" w:rsidP="00CF46D4">
            <w:pPr>
              <w:pStyle w:val="Tablebody"/>
            </w:pPr>
          </w:p>
        </w:tc>
      </w:tr>
    </w:tbl>
    <w:p w14:paraId="1D1FE8CD" w14:textId="31282702" w:rsidR="00F84E3E" w:rsidRDefault="00F84E3E" w:rsidP="00681078"/>
    <w:tbl>
      <w:tblPr>
        <w:tblStyle w:val="PlainTable2"/>
        <w:tblW w:w="0" w:type="auto"/>
        <w:tblBorders>
          <w:top w:val="none" w:sz="0" w:space="0" w:color="auto"/>
          <w:bottom w:val="none" w:sz="0" w:space="0" w:color="auto"/>
        </w:tblBorders>
        <w:tblLayout w:type="fixed"/>
        <w:tblLook w:val="0400" w:firstRow="0" w:lastRow="0" w:firstColumn="0" w:lastColumn="0" w:noHBand="0" w:noVBand="1"/>
      </w:tblPr>
      <w:tblGrid>
        <w:gridCol w:w="4811"/>
        <w:gridCol w:w="4811"/>
      </w:tblGrid>
      <w:tr w:rsidR="00681078" w14:paraId="5276C81D" w14:textId="77777777" w:rsidTr="00E46098">
        <w:trPr>
          <w:cnfStyle w:val="000000100000" w:firstRow="0" w:lastRow="0" w:firstColumn="0" w:lastColumn="0" w:oddVBand="0" w:evenVBand="0" w:oddHBand="1" w:evenHBand="0" w:firstRowFirstColumn="0" w:firstRowLastColumn="0" w:lastRowFirstColumn="0" w:lastRowLastColumn="0"/>
          <w:trHeight w:val="329"/>
        </w:trPr>
        <w:tc>
          <w:tcPr>
            <w:tcW w:w="9622" w:type="dxa"/>
            <w:gridSpan w:val="2"/>
            <w:shd w:val="clear" w:color="auto" w:fill="F2F2F2" w:themeFill="background1" w:themeFillShade="F2"/>
          </w:tcPr>
          <w:p w14:paraId="6B66667D" w14:textId="149F298B" w:rsidR="00681078" w:rsidRDefault="00681078" w:rsidP="00681078">
            <w:pPr>
              <w:pStyle w:val="TableHead"/>
            </w:pPr>
            <w:r w:rsidRPr="00681078">
              <w:t xml:space="preserve">Please identify your school’s focus </w:t>
            </w:r>
            <w:r>
              <w:t>–</w:t>
            </w:r>
            <w:r w:rsidRPr="00681078">
              <w:t xml:space="preserve"> </w:t>
            </w:r>
            <w:r>
              <w:t>E</w:t>
            </w:r>
            <w:r w:rsidRPr="00681078">
              <w:t>ither mathematics OR science</w:t>
            </w:r>
          </w:p>
        </w:tc>
      </w:tr>
      <w:tr w:rsidR="00681078" w14:paraId="74B8F980" w14:textId="77777777" w:rsidTr="00E46098">
        <w:trPr>
          <w:trHeight w:val="329"/>
        </w:trPr>
        <w:tc>
          <w:tcPr>
            <w:tcW w:w="4811" w:type="dxa"/>
            <w:tcBorders>
              <w:top w:val="single" w:sz="4" w:space="0" w:color="7F7F7F" w:themeColor="text1" w:themeTint="80"/>
              <w:bottom w:val="single" w:sz="4" w:space="0" w:color="7F7F7F" w:themeColor="text1" w:themeTint="80"/>
            </w:tcBorders>
          </w:tcPr>
          <w:p w14:paraId="31E7E05F" w14:textId="4136B25B" w:rsidR="00681078" w:rsidRDefault="00681078" w:rsidP="009E1735">
            <w:pPr>
              <w:pStyle w:val="TableHead"/>
            </w:pPr>
            <w:r>
              <w:fldChar w:fldCharType="begin">
                <w:ffData>
                  <w:name w:val="Check1"/>
                  <w:enabled/>
                  <w:calcOnExit w:val="0"/>
                  <w:checkBox>
                    <w:sizeAuto/>
                    <w:default w:val="0"/>
                  </w:checkBox>
                </w:ffData>
              </w:fldChar>
            </w:r>
            <w:bookmarkStart w:id="1" w:name="Check1"/>
            <w:r>
              <w:instrText xml:space="preserve"> FORMCHECKBOX </w:instrText>
            </w:r>
            <w:r w:rsidR="00CD5491">
              <w:fldChar w:fldCharType="separate"/>
            </w:r>
            <w:r>
              <w:fldChar w:fldCharType="end"/>
            </w:r>
            <w:bookmarkEnd w:id="1"/>
            <w:r>
              <w:t xml:space="preserve">  </w:t>
            </w:r>
            <w:r w:rsidRPr="00681078">
              <w:rPr>
                <w:rStyle w:val="Heading3Char"/>
              </w:rPr>
              <w:t>Mathematics</w:t>
            </w:r>
          </w:p>
        </w:tc>
        <w:tc>
          <w:tcPr>
            <w:tcW w:w="4811" w:type="dxa"/>
            <w:tcBorders>
              <w:top w:val="single" w:sz="4" w:space="0" w:color="7F7F7F" w:themeColor="text1" w:themeTint="80"/>
              <w:bottom w:val="single" w:sz="4" w:space="0" w:color="7F7F7F" w:themeColor="text1" w:themeTint="80"/>
            </w:tcBorders>
          </w:tcPr>
          <w:p w14:paraId="27975C34" w14:textId="68EC9476" w:rsidR="00681078" w:rsidRDefault="00681078" w:rsidP="00681078">
            <w:pPr>
              <w:pStyle w:val="Tablebody"/>
            </w:pPr>
            <w:r>
              <w:fldChar w:fldCharType="begin">
                <w:ffData>
                  <w:name w:val="Check1"/>
                  <w:enabled/>
                  <w:calcOnExit w:val="0"/>
                  <w:checkBox>
                    <w:sizeAuto/>
                    <w:default w:val="0"/>
                  </w:checkBox>
                </w:ffData>
              </w:fldChar>
            </w:r>
            <w:r>
              <w:instrText xml:space="preserve"> FORMCHECKBOX </w:instrText>
            </w:r>
            <w:r w:rsidR="00CD5491">
              <w:fldChar w:fldCharType="separate"/>
            </w:r>
            <w:r>
              <w:fldChar w:fldCharType="end"/>
            </w:r>
            <w:r>
              <w:t xml:space="preserve">  </w:t>
            </w:r>
            <w:r>
              <w:rPr>
                <w:rStyle w:val="Heading3Char"/>
                <w:b w:val="0"/>
              </w:rPr>
              <w:t>Science</w:t>
            </w:r>
          </w:p>
        </w:tc>
      </w:tr>
    </w:tbl>
    <w:p w14:paraId="3E52021B" w14:textId="77777777" w:rsidR="00681078" w:rsidRDefault="00681078" w:rsidP="00681078"/>
    <w:tbl>
      <w:tblPr>
        <w:tblStyle w:val="PlainTable2"/>
        <w:tblW w:w="0" w:type="auto"/>
        <w:tblBorders>
          <w:top w:val="none" w:sz="0" w:space="0" w:color="auto"/>
          <w:bottom w:val="none" w:sz="0" w:space="0" w:color="auto"/>
        </w:tblBorders>
        <w:tblLayout w:type="fixed"/>
        <w:tblLook w:val="0400" w:firstRow="0" w:lastRow="0" w:firstColumn="0" w:lastColumn="0" w:noHBand="0" w:noVBand="1"/>
      </w:tblPr>
      <w:tblGrid>
        <w:gridCol w:w="1980"/>
        <w:gridCol w:w="7642"/>
      </w:tblGrid>
      <w:tr w:rsidR="00681078" w14:paraId="4885D5D0" w14:textId="77777777" w:rsidTr="00E46098">
        <w:trPr>
          <w:cnfStyle w:val="000000100000" w:firstRow="0" w:lastRow="0" w:firstColumn="0" w:lastColumn="0" w:oddVBand="0" w:evenVBand="0" w:oddHBand="1" w:evenHBand="0" w:firstRowFirstColumn="0" w:firstRowLastColumn="0" w:lastRowFirstColumn="0" w:lastRowLastColumn="0"/>
          <w:trHeight w:val="329"/>
        </w:trPr>
        <w:tc>
          <w:tcPr>
            <w:tcW w:w="9622" w:type="dxa"/>
            <w:gridSpan w:val="2"/>
            <w:shd w:val="clear" w:color="auto" w:fill="F2F2F2" w:themeFill="background1" w:themeFillShade="F2"/>
          </w:tcPr>
          <w:p w14:paraId="6A6890BF" w14:textId="79E158D1" w:rsidR="00681078" w:rsidRDefault="00681078" w:rsidP="00681078">
            <w:pPr>
              <w:pStyle w:val="TableHead"/>
            </w:pPr>
            <w:r w:rsidRPr="00681078">
              <w:t>Other participating school/s (NB: nomination should be reciprocal)</w:t>
            </w:r>
          </w:p>
        </w:tc>
      </w:tr>
      <w:tr w:rsidR="00681078" w14:paraId="02E21BCD" w14:textId="77777777" w:rsidTr="00E46098">
        <w:trPr>
          <w:trHeight w:val="329"/>
        </w:trPr>
        <w:tc>
          <w:tcPr>
            <w:tcW w:w="1980" w:type="dxa"/>
            <w:tcBorders>
              <w:bottom w:val="single" w:sz="4" w:space="0" w:color="7F7F7F" w:themeColor="text1" w:themeTint="80"/>
            </w:tcBorders>
          </w:tcPr>
          <w:p w14:paraId="51687204" w14:textId="292F59B5" w:rsidR="00681078" w:rsidRDefault="00681078" w:rsidP="009E1735">
            <w:pPr>
              <w:pStyle w:val="TableHead"/>
            </w:pPr>
            <w:r w:rsidRPr="00681078">
              <w:t>Name of School 1</w:t>
            </w:r>
          </w:p>
        </w:tc>
        <w:tc>
          <w:tcPr>
            <w:tcW w:w="7642" w:type="dxa"/>
            <w:tcBorders>
              <w:top w:val="single" w:sz="4" w:space="0" w:color="7F7F7F" w:themeColor="text1" w:themeTint="80"/>
              <w:bottom w:val="single" w:sz="4" w:space="0" w:color="7F7F7F" w:themeColor="text1" w:themeTint="80"/>
            </w:tcBorders>
          </w:tcPr>
          <w:p w14:paraId="2EEADB0C" w14:textId="77777777" w:rsidR="00681078" w:rsidRDefault="00681078" w:rsidP="009E1735">
            <w:pPr>
              <w:pStyle w:val="Tablebody"/>
            </w:pPr>
          </w:p>
        </w:tc>
      </w:tr>
      <w:tr w:rsidR="00681078" w14:paraId="7D22FFDC" w14:textId="77777777" w:rsidTr="00E46098">
        <w:trPr>
          <w:cnfStyle w:val="000000100000" w:firstRow="0" w:lastRow="0" w:firstColumn="0" w:lastColumn="0" w:oddVBand="0" w:evenVBand="0" w:oddHBand="1" w:evenHBand="0" w:firstRowFirstColumn="0" w:firstRowLastColumn="0" w:lastRowFirstColumn="0" w:lastRowLastColumn="0"/>
          <w:trHeight w:val="329"/>
        </w:trPr>
        <w:tc>
          <w:tcPr>
            <w:tcW w:w="1980" w:type="dxa"/>
          </w:tcPr>
          <w:p w14:paraId="3751430B" w14:textId="603A2707" w:rsidR="00681078" w:rsidRDefault="00681078" w:rsidP="009E1735">
            <w:pPr>
              <w:pStyle w:val="TableHead"/>
            </w:pPr>
            <w:r w:rsidRPr="00681078">
              <w:t xml:space="preserve">Name of School </w:t>
            </w:r>
            <w:r>
              <w:t>2</w:t>
            </w:r>
          </w:p>
        </w:tc>
        <w:tc>
          <w:tcPr>
            <w:tcW w:w="7642" w:type="dxa"/>
          </w:tcPr>
          <w:p w14:paraId="4385BFFC" w14:textId="77777777" w:rsidR="00681078" w:rsidRDefault="00681078" w:rsidP="009E1735">
            <w:pPr>
              <w:pStyle w:val="Tablebody"/>
            </w:pPr>
          </w:p>
        </w:tc>
      </w:tr>
      <w:tr w:rsidR="00681078" w14:paraId="2A992EC8" w14:textId="77777777" w:rsidTr="00E46098">
        <w:trPr>
          <w:trHeight w:val="329"/>
        </w:trPr>
        <w:tc>
          <w:tcPr>
            <w:tcW w:w="1980" w:type="dxa"/>
            <w:tcBorders>
              <w:top w:val="single" w:sz="4" w:space="0" w:color="7F7F7F" w:themeColor="text1" w:themeTint="80"/>
            </w:tcBorders>
          </w:tcPr>
          <w:p w14:paraId="185F5460" w14:textId="187163BA" w:rsidR="00681078" w:rsidRPr="00681078" w:rsidRDefault="00681078" w:rsidP="009E1735">
            <w:pPr>
              <w:pStyle w:val="TableHead"/>
            </w:pPr>
            <w:r w:rsidRPr="00681078">
              <w:t xml:space="preserve">Name of School </w:t>
            </w:r>
            <w:r>
              <w:t>3</w:t>
            </w:r>
          </w:p>
        </w:tc>
        <w:tc>
          <w:tcPr>
            <w:tcW w:w="7642" w:type="dxa"/>
            <w:tcBorders>
              <w:top w:val="single" w:sz="4" w:space="0" w:color="7F7F7F" w:themeColor="text1" w:themeTint="80"/>
            </w:tcBorders>
          </w:tcPr>
          <w:p w14:paraId="1C34A48B" w14:textId="77777777" w:rsidR="00681078" w:rsidRDefault="00681078" w:rsidP="009E1735">
            <w:pPr>
              <w:pStyle w:val="Tablebody"/>
            </w:pPr>
          </w:p>
        </w:tc>
      </w:tr>
      <w:tr w:rsidR="00681078" w14:paraId="7627500A" w14:textId="77777777" w:rsidTr="00E46098">
        <w:trPr>
          <w:cnfStyle w:val="000000100000" w:firstRow="0" w:lastRow="0" w:firstColumn="0" w:lastColumn="0" w:oddVBand="0" w:evenVBand="0" w:oddHBand="1" w:evenHBand="0" w:firstRowFirstColumn="0" w:firstRowLastColumn="0" w:lastRowFirstColumn="0" w:lastRowLastColumn="0"/>
          <w:trHeight w:val="329"/>
        </w:trPr>
        <w:tc>
          <w:tcPr>
            <w:tcW w:w="1980" w:type="dxa"/>
          </w:tcPr>
          <w:p w14:paraId="3F12F25C" w14:textId="46733539" w:rsidR="00681078" w:rsidRPr="00681078" w:rsidRDefault="00681078" w:rsidP="009E1735">
            <w:pPr>
              <w:pStyle w:val="TableHead"/>
            </w:pPr>
            <w:r w:rsidRPr="00681078">
              <w:t xml:space="preserve">Name of School </w:t>
            </w:r>
            <w:r>
              <w:t>4</w:t>
            </w:r>
          </w:p>
        </w:tc>
        <w:tc>
          <w:tcPr>
            <w:tcW w:w="7642" w:type="dxa"/>
          </w:tcPr>
          <w:p w14:paraId="54E87D9A" w14:textId="77777777" w:rsidR="00681078" w:rsidRDefault="00681078" w:rsidP="009E1735">
            <w:pPr>
              <w:pStyle w:val="Tablebody"/>
            </w:pPr>
          </w:p>
        </w:tc>
      </w:tr>
    </w:tbl>
    <w:p w14:paraId="30C8E495" w14:textId="77777777" w:rsidR="00681078" w:rsidRDefault="00681078" w:rsidP="00681078"/>
    <w:p w14:paraId="122CBE2F" w14:textId="77777777" w:rsidR="00E46098" w:rsidRDefault="00E46098">
      <w:pPr>
        <w:spacing w:after="0"/>
        <w:rPr>
          <w:rFonts w:asciiTheme="majorHAnsi" w:eastAsiaTheme="majorEastAsia" w:hAnsiTheme="majorHAnsi" w:cstheme="majorBidi"/>
          <w:b/>
          <w:caps/>
          <w:color w:val="AF272F" w:themeColor="accent1"/>
          <w:sz w:val="26"/>
          <w:szCs w:val="26"/>
        </w:rPr>
      </w:pPr>
      <w:r>
        <w:br w:type="page"/>
      </w:r>
    </w:p>
    <w:p w14:paraId="1822A367" w14:textId="322D629C" w:rsidR="00E46098" w:rsidRDefault="00E46098" w:rsidP="00E46098">
      <w:pPr>
        <w:pStyle w:val="Heading2"/>
      </w:pPr>
      <w:r>
        <w:lastRenderedPageBreak/>
        <w:t>SECTION 2: Selection Criteria</w:t>
      </w:r>
    </w:p>
    <w:p w14:paraId="46245F08" w14:textId="65DD5C80" w:rsidR="00E46098" w:rsidRDefault="00E46098" w:rsidP="00E46098">
      <w:r>
        <w:t>Please respond to each of the following:</w:t>
      </w:r>
    </w:p>
    <w:tbl>
      <w:tblPr>
        <w:tblStyle w:val="PlainTable2"/>
        <w:tblW w:w="0" w:type="auto"/>
        <w:tblBorders>
          <w:top w:val="none" w:sz="0" w:space="0" w:color="auto"/>
          <w:bottom w:val="none" w:sz="0" w:space="0" w:color="auto"/>
        </w:tblBorders>
        <w:tblLayout w:type="fixed"/>
        <w:tblLook w:val="0400" w:firstRow="0" w:lastRow="0" w:firstColumn="0" w:lastColumn="0" w:noHBand="0" w:noVBand="1"/>
      </w:tblPr>
      <w:tblGrid>
        <w:gridCol w:w="9622"/>
      </w:tblGrid>
      <w:tr w:rsidR="00E46098" w14:paraId="256F349B" w14:textId="77777777" w:rsidTr="00E46098">
        <w:trPr>
          <w:cnfStyle w:val="000000100000" w:firstRow="0" w:lastRow="0" w:firstColumn="0" w:lastColumn="0" w:oddVBand="0" w:evenVBand="0" w:oddHBand="1" w:evenHBand="0" w:firstRowFirstColumn="0" w:firstRowLastColumn="0" w:lastRowFirstColumn="0" w:lastRowLastColumn="0"/>
          <w:trHeight w:val="329"/>
        </w:trPr>
        <w:tc>
          <w:tcPr>
            <w:tcW w:w="9622" w:type="dxa"/>
            <w:shd w:val="clear" w:color="auto" w:fill="F2F2F2" w:themeFill="background1" w:themeFillShade="F2"/>
          </w:tcPr>
          <w:p w14:paraId="7DF237EF" w14:textId="5E131C68" w:rsidR="00E46098" w:rsidRPr="00E46098" w:rsidRDefault="00E46098" w:rsidP="00E46098">
            <w:pPr>
              <w:pStyle w:val="Numberlist"/>
              <w:spacing w:before="120"/>
              <w:rPr>
                <w:b/>
                <w:color w:val="AF272F" w:themeColor="accent1"/>
              </w:rPr>
            </w:pPr>
            <w:r w:rsidRPr="00E46098">
              <w:rPr>
                <w:b/>
                <w:color w:val="AF272F" w:themeColor="accent1"/>
              </w:rPr>
              <w:t xml:space="preserve">Demonstrated whole school commitment to building teacher capacity and improving </w:t>
            </w:r>
            <w:proofErr w:type="gramStart"/>
            <w:r w:rsidRPr="00E46098">
              <w:rPr>
                <w:b/>
                <w:color w:val="AF272F" w:themeColor="accent1"/>
              </w:rPr>
              <w:t>student learning</w:t>
            </w:r>
            <w:proofErr w:type="gramEnd"/>
            <w:r w:rsidRPr="00E46098">
              <w:rPr>
                <w:b/>
                <w:color w:val="AF272F" w:themeColor="accent1"/>
              </w:rPr>
              <w:t xml:space="preserve"> outcomes in mathematics or science.</w:t>
            </w:r>
          </w:p>
          <w:p w14:paraId="5058B8EB" w14:textId="77777777" w:rsidR="00E46098" w:rsidRDefault="00E46098" w:rsidP="00E46098">
            <w:pPr>
              <w:pStyle w:val="Tablebody"/>
            </w:pPr>
            <w:r>
              <w:t>You may wish to discuss any of the following when writing your response:</w:t>
            </w:r>
          </w:p>
          <w:p w14:paraId="76BAFB31" w14:textId="7FA8C3C3" w:rsidR="00E46098" w:rsidRDefault="00E46098" w:rsidP="00E46098">
            <w:pPr>
              <w:pStyle w:val="Bullet1"/>
            </w:pPr>
            <w:r>
              <w:t>School’s shared vision and strategy</w:t>
            </w:r>
          </w:p>
          <w:p w14:paraId="7E436F3F" w14:textId="0D565321" w:rsidR="00E46098" w:rsidRDefault="00E46098" w:rsidP="00E46098">
            <w:pPr>
              <w:pStyle w:val="Bullet1"/>
            </w:pPr>
            <w:r>
              <w:t>Professional learning teams; professional learning</w:t>
            </w:r>
          </w:p>
          <w:p w14:paraId="3FFE9A38" w14:textId="2DE8FBDD" w:rsidR="00E46098" w:rsidRDefault="00E46098" w:rsidP="00E46098">
            <w:pPr>
              <w:pStyle w:val="Bullet1"/>
            </w:pPr>
            <w:r>
              <w:t>Leadership’s support and advocacy of the specialists to the school and broader school community.</w:t>
            </w:r>
          </w:p>
        </w:tc>
      </w:tr>
      <w:tr w:rsidR="00E46098" w14:paraId="1C51607C" w14:textId="77777777" w:rsidTr="0010710B">
        <w:trPr>
          <w:trHeight w:val="1134"/>
        </w:trPr>
        <w:tc>
          <w:tcPr>
            <w:tcW w:w="9622" w:type="dxa"/>
            <w:tcBorders>
              <w:bottom w:val="single" w:sz="4" w:space="0" w:color="7F7F7F" w:themeColor="text1" w:themeTint="80"/>
            </w:tcBorders>
          </w:tcPr>
          <w:p w14:paraId="18FF7C54" w14:textId="1F550289" w:rsidR="00E46098" w:rsidRDefault="00E46098" w:rsidP="00E46098">
            <w:pPr>
              <w:pStyle w:val="Tablebody"/>
            </w:pPr>
          </w:p>
        </w:tc>
      </w:tr>
    </w:tbl>
    <w:p w14:paraId="1B4F1731" w14:textId="77777777" w:rsidR="00E46098" w:rsidRDefault="00E46098" w:rsidP="00E46098"/>
    <w:tbl>
      <w:tblPr>
        <w:tblStyle w:val="PlainTable2"/>
        <w:tblW w:w="0" w:type="auto"/>
        <w:tblBorders>
          <w:top w:val="none" w:sz="0" w:space="0" w:color="auto"/>
          <w:bottom w:val="none" w:sz="0" w:space="0" w:color="auto"/>
        </w:tblBorders>
        <w:tblLayout w:type="fixed"/>
        <w:tblLook w:val="0400" w:firstRow="0" w:lastRow="0" w:firstColumn="0" w:lastColumn="0" w:noHBand="0" w:noVBand="1"/>
      </w:tblPr>
      <w:tblGrid>
        <w:gridCol w:w="9622"/>
      </w:tblGrid>
      <w:tr w:rsidR="00E46098" w14:paraId="4FF48B5F" w14:textId="77777777" w:rsidTr="009E1735">
        <w:trPr>
          <w:cnfStyle w:val="000000100000" w:firstRow="0" w:lastRow="0" w:firstColumn="0" w:lastColumn="0" w:oddVBand="0" w:evenVBand="0" w:oddHBand="1" w:evenHBand="0" w:firstRowFirstColumn="0" w:firstRowLastColumn="0" w:lastRowFirstColumn="0" w:lastRowLastColumn="0"/>
          <w:trHeight w:val="329"/>
        </w:trPr>
        <w:tc>
          <w:tcPr>
            <w:tcW w:w="9622" w:type="dxa"/>
            <w:shd w:val="clear" w:color="auto" w:fill="F2F2F2" w:themeFill="background1" w:themeFillShade="F2"/>
          </w:tcPr>
          <w:p w14:paraId="44891063" w14:textId="0053F93F" w:rsidR="00E46098" w:rsidRPr="00E46098" w:rsidRDefault="00E46098" w:rsidP="009E1735">
            <w:pPr>
              <w:pStyle w:val="Numberlist"/>
              <w:spacing w:before="120"/>
              <w:rPr>
                <w:b/>
                <w:color w:val="AF272F" w:themeColor="accent1"/>
              </w:rPr>
            </w:pPr>
            <w:r w:rsidRPr="00E46098">
              <w:rPr>
                <w:b/>
                <w:color w:val="AF272F" w:themeColor="accent1"/>
              </w:rPr>
              <w:t>Demonstrated commitment to using student data to inform planning and teaching.</w:t>
            </w:r>
          </w:p>
          <w:p w14:paraId="594674F0" w14:textId="77777777" w:rsidR="00E46098" w:rsidRDefault="00E46098" w:rsidP="009E1735">
            <w:pPr>
              <w:pStyle w:val="Tablebody"/>
            </w:pPr>
            <w:r>
              <w:t>You may wish to discuss any of the following when writing your response:</w:t>
            </w:r>
          </w:p>
          <w:p w14:paraId="36982ECB" w14:textId="08C566A9" w:rsidR="00E46098" w:rsidRDefault="00E46098" w:rsidP="00E46098">
            <w:pPr>
              <w:pStyle w:val="Bullet1"/>
            </w:pPr>
            <w:r>
              <w:t>Assessment for learning</w:t>
            </w:r>
          </w:p>
          <w:p w14:paraId="48F73D39" w14:textId="5541CB4A" w:rsidR="00E46098" w:rsidRDefault="00E46098" w:rsidP="00E46098">
            <w:pPr>
              <w:pStyle w:val="Bullet1"/>
            </w:pPr>
            <w:r>
              <w:t>Identified need.</w:t>
            </w:r>
          </w:p>
        </w:tc>
      </w:tr>
      <w:tr w:rsidR="00E46098" w14:paraId="02D20CF8" w14:textId="77777777" w:rsidTr="0010710B">
        <w:trPr>
          <w:trHeight w:val="1134"/>
        </w:trPr>
        <w:tc>
          <w:tcPr>
            <w:tcW w:w="9622" w:type="dxa"/>
            <w:tcBorders>
              <w:bottom w:val="single" w:sz="4" w:space="0" w:color="7F7F7F" w:themeColor="text1" w:themeTint="80"/>
            </w:tcBorders>
          </w:tcPr>
          <w:p w14:paraId="7393A947" w14:textId="77777777" w:rsidR="00E46098" w:rsidRDefault="00E46098" w:rsidP="009E1735">
            <w:pPr>
              <w:pStyle w:val="Tablebody"/>
            </w:pPr>
          </w:p>
        </w:tc>
      </w:tr>
    </w:tbl>
    <w:p w14:paraId="521D2E61" w14:textId="77777777" w:rsidR="00E46098" w:rsidRDefault="00E46098" w:rsidP="00E46098"/>
    <w:tbl>
      <w:tblPr>
        <w:tblStyle w:val="PlainTable2"/>
        <w:tblW w:w="0" w:type="auto"/>
        <w:tblBorders>
          <w:top w:val="none" w:sz="0" w:space="0" w:color="auto"/>
          <w:bottom w:val="none" w:sz="0" w:space="0" w:color="auto"/>
        </w:tblBorders>
        <w:tblLayout w:type="fixed"/>
        <w:tblLook w:val="0400" w:firstRow="0" w:lastRow="0" w:firstColumn="0" w:lastColumn="0" w:noHBand="0" w:noVBand="1"/>
      </w:tblPr>
      <w:tblGrid>
        <w:gridCol w:w="9622"/>
      </w:tblGrid>
      <w:tr w:rsidR="00E46098" w14:paraId="3E34D1D6" w14:textId="77777777" w:rsidTr="009E1735">
        <w:trPr>
          <w:cnfStyle w:val="000000100000" w:firstRow="0" w:lastRow="0" w:firstColumn="0" w:lastColumn="0" w:oddVBand="0" w:evenVBand="0" w:oddHBand="1" w:evenHBand="0" w:firstRowFirstColumn="0" w:firstRowLastColumn="0" w:lastRowFirstColumn="0" w:lastRowLastColumn="0"/>
          <w:trHeight w:val="329"/>
        </w:trPr>
        <w:tc>
          <w:tcPr>
            <w:tcW w:w="9622" w:type="dxa"/>
            <w:shd w:val="clear" w:color="auto" w:fill="F2F2F2" w:themeFill="background1" w:themeFillShade="F2"/>
          </w:tcPr>
          <w:p w14:paraId="613F40E4" w14:textId="452ABB3A" w:rsidR="00E46098" w:rsidRPr="00E46098" w:rsidRDefault="00E46098" w:rsidP="009E1735">
            <w:pPr>
              <w:pStyle w:val="Numberlist"/>
              <w:spacing w:before="120"/>
              <w:rPr>
                <w:b/>
                <w:color w:val="AF272F" w:themeColor="accent1"/>
              </w:rPr>
            </w:pPr>
            <w:r w:rsidRPr="00E46098">
              <w:rPr>
                <w:b/>
                <w:color w:val="AF272F" w:themeColor="accent1"/>
              </w:rPr>
              <w:t>Demonstrated capacity to provide structures to enable change and support a culture of success.</w:t>
            </w:r>
          </w:p>
          <w:p w14:paraId="52A94737" w14:textId="77777777" w:rsidR="00E46098" w:rsidRDefault="00E46098" w:rsidP="009E1735">
            <w:pPr>
              <w:pStyle w:val="Tablebody"/>
            </w:pPr>
            <w:r>
              <w:t>You may wish to discuss any of the following when writing your response:</w:t>
            </w:r>
          </w:p>
          <w:p w14:paraId="4D01E48A" w14:textId="3717A892" w:rsidR="00E46098" w:rsidRDefault="00E46098" w:rsidP="00E46098">
            <w:pPr>
              <w:pStyle w:val="Bullet1"/>
            </w:pPr>
            <w:r>
              <w:t>School structures such as staffing, facilities and resources</w:t>
            </w:r>
          </w:p>
          <w:p w14:paraId="5CA94FFB" w14:textId="7A62D127" w:rsidR="00E46098" w:rsidRDefault="00E46098" w:rsidP="00E46098">
            <w:pPr>
              <w:pStyle w:val="Bullet1"/>
            </w:pPr>
            <w:r>
              <w:t>Selection process of specialists</w:t>
            </w:r>
          </w:p>
          <w:p w14:paraId="666E45D2" w14:textId="3DC7835E" w:rsidR="00E46098" w:rsidRDefault="00E46098" w:rsidP="00E46098">
            <w:pPr>
              <w:pStyle w:val="Bullet1"/>
            </w:pPr>
            <w:r>
              <w:t>How the specialists will work with school leadership, with other specialists, with other teachers in your school and in partner schools Current and/or past initiatives in either mathematics or science</w:t>
            </w:r>
          </w:p>
          <w:p w14:paraId="6C5CC66A" w14:textId="7998BA6A" w:rsidR="00E46098" w:rsidRDefault="00E46098" w:rsidP="00E46098">
            <w:pPr>
              <w:pStyle w:val="Bullet1"/>
            </w:pPr>
            <w:r>
              <w:t>Partnerships with other schools.</w:t>
            </w:r>
          </w:p>
        </w:tc>
      </w:tr>
      <w:tr w:rsidR="00E46098" w14:paraId="6752BDDF" w14:textId="77777777" w:rsidTr="0010710B">
        <w:trPr>
          <w:trHeight w:val="1134"/>
        </w:trPr>
        <w:tc>
          <w:tcPr>
            <w:tcW w:w="9622" w:type="dxa"/>
            <w:tcBorders>
              <w:bottom w:val="single" w:sz="4" w:space="0" w:color="7F7F7F" w:themeColor="text1" w:themeTint="80"/>
            </w:tcBorders>
          </w:tcPr>
          <w:p w14:paraId="0B62C601" w14:textId="77777777" w:rsidR="00E46098" w:rsidRDefault="00E46098" w:rsidP="009E1735">
            <w:pPr>
              <w:pStyle w:val="Tablebody"/>
            </w:pPr>
          </w:p>
        </w:tc>
      </w:tr>
    </w:tbl>
    <w:p w14:paraId="10E6A8B9" w14:textId="602A2D19" w:rsidR="00FB15A3" w:rsidRDefault="00FB15A3" w:rsidP="00E46098">
      <w:r>
        <w:br w:type="page"/>
      </w:r>
    </w:p>
    <w:tbl>
      <w:tblPr>
        <w:tblStyle w:val="PlainTable2"/>
        <w:tblW w:w="0" w:type="auto"/>
        <w:tblBorders>
          <w:top w:val="none" w:sz="0" w:space="0" w:color="auto"/>
          <w:bottom w:val="none" w:sz="0" w:space="0" w:color="auto"/>
        </w:tblBorders>
        <w:tblLayout w:type="fixed"/>
        <w:tblLook w:val="0400" w:firstRow="0" w:lastRow="0" w:firstColumn="0" w:lastColumn="0" w:noHBand="0" w:noVBand="1"/>
      </w:tblPr>
      <w:tblGrid>
        <w:gridCol w:w="9622"/>
      </w:tblGrid>
      <w:tr w:rsidR="00E46098" w14:paraId="5BF8EA97" w14:textId="77777777" w:rsidTr="009E1735">
        <w:trPr>
          <w:cnfStyle w:val="000000100000" w:firstRow="0" w:lastRow="0" w:firstColumn="0" w:lastColumn="0" w:oddVBand="0" w:evenVBand="0" w:oddHBand="1" w:evenHBand="0" w:firstRowFirstColumn="0" w:firstRowLastColumn="0" w:lastRowFirstColumn="0" w:lastRowLastColumn="0"/>
          <w:trHeight w:val="329"/>
        </w:trPr>
        <w:tc>
          <w:tcPr>
            <w:tcW w:w="9622" w:type="dxa"/>
            <w:shd w:val="clear" w:color="auto" w:fill="F2F2F2" w:themeFill="background1" w:themeFillShade="F2"/>
          </w:tcPr>
          <w:p w14:paraId="7C0A9389" w14:textId="0F294332" w:rsidR="00E46098" w:rsidRPr="00E46098" w:rsidRDefault="00E46098" w:rsidP="009E1735">
            <w:pPr>
              <w:pStyle w:val="Numberlist"/>
              <w:spacing w:before="120"/>
              <w:rPr>
                <w:b/>
                <w:color w:val="AF272F" w:themeColor="accent1"/>
              </w:rPr>
            </w:pPr>
            <w:r w:rsidRPr="00E46098">
              <w:rPr>
                <w:b/>
                <w:color w:val="AF272F" w:themeColor="accent1"/>
              </w:rPr>
              <w:lastRenderedPageBreak/>
              <w:t>Demonstrated commitment to sustaining the positive impact of the initiative beyond the life of funding.</w:t>
            </w:r>
          </w:p>
          <w:p w14:paraId="3CCAF26B" w14:textId="77777777" w:rsidR="00E46098" w:rsidRDefault="00E46098" w:rsidP="009E1735">
            <w:pPr>
              <w:pStyle w:val="Tablebody"/>
            </w:pPr>
            <w:r>
              <w:t>You may wish to discuss any of the following when writing your response:</w:t>
            </w:r>
          </w:p>
          <w:p w14:paraId="61822B7E" w14:textId="60CCF699" w:rsidR="00E46098" w:rsidRDefault="00E46098" w:rsidP="00E46098">
            <w:pPr>
              <w:pStyle w:val="Bullet1"/>
            </w:pPr>
            <w:r>
              <w:t>Planning for success</w:t>
            </w:r>
          </w:p>
          <w:p w14:paraId="4FFA9A29" w14:textId="25E352DF" w:rsidR="00E46098" w:rsidRDefault="00E46098" w:rsidP="00E46098">
            <w:pPr>
              <w:pStyle w:val="Bullet1"/>
            </w:pPr>
            <w:r>
              <w:t>School structure and staffing beyond funding.</w:t>
            </w:r>
          </w:p>
        </w:tc>
      </w:tr>
      <w:tr w:rsidR="00E46098" w14:paraId="4BBA7173" w14:textId="77777777" w:rsidTr="0010710B">
        <w:trPr>
          <w:trHeight w:val="1134"/>
        </w:trPr>
        <w:tc>
          <w:tcPr>
            <w:tcW w:w="9622" w:type="dxa"/>
            <w:tcBorders>
              <w:bottom w:val="single" w:sz="4" w:space="0" w:color="7F7F7F" w:themeColor="text1" w:themeTint="80"/>
            </w:tcBorders>
          </w:tcPr>
          <w:p w14:paraId="774C7892" w14:textId="77777777" w:rsidR="00E46098" w:rsidRDefault="00E46098" w:rsidP="009E1735">
            <w:pPr>
              <w:pStyle w:val="Tablebody"/>
            </w:pPr>
          </w:p>
        </w:tc>
      </w:tr>
    </w:tbl>
    <w:p w14:paraId="65DA2000" w14:textId="77777777" w:rsidR="00E46098" w:rsidRDefault="00E46098" w:rsidP="00E46098"/>
    <w:tbl>
      <w:tblPr>
        <w:tblStyle w:val="PlainTable2"/>
        <w:tblW w:w="0" w:type="auto"/>
        <w:tblBorders>
          <w:top w:val="none" w:sz="0" w:space="0" w:color="auto"/>
          <w:bottom w:val="none" w:sz="0" w:space="0" w:color="auto"/>
        </w:tblBorders>
        <w:tblLayout w:type="fixed"/>
        <w:tblLook w:val="0400" w:firstRow="0" w:lastRow="0" w:firstColumn="0" w:lastColumn="0" w:noHBand="0" w:noVBand="1"/>
      </w:tblPr>
      <w:tblGrid>
        <w:gridCol w:w="9622"/>
      </w:tblGrid>
      <w:tr w:rsidR="00E46098" w14:paraId="3E1A221A" w14:textId="77777777" w:rsidTr="009E1735">
        <w:trPr>
          <w:cnfStyle w:val="000000100000" w:firstRow="0" w:lastRow="0" w:firstColumn="0" w:lastColumn="0" w:oddVBand="0" w:evenVBand="0" w:oddHBand="1" w:evenHBand="0" w:firstRowFirstColumn="0" w:firstRowLastColumn="0" w:lastRowFirstColumn="0" w:lastRowLastColumn="0"/>
          <w:trHeight w:val="329"/>
        </w:trPr>
        <w:tc>
          <w:tcPr>
            <w:tcW w:w="9622" w:type="dxa"/>
            <w:shd w:val="clear" w:color="auto" w:fill="F2F2F2" w:themeFill="background1" w:themeFillShade="F2"/>
          </w:tcPr>
          <w:p w14:paraId="42BE41EB" w14:textId="0508944A" w:rsidR="00E46098" w:rsidRPr="00E46098" w:rsidRDefault="00E46098" w:rsidP="009E1735">
            <w:pPr>
              <w:pStyle w:val="Numberlist"/>
              <w:spacing w:before="120"/>
              <w:rPr>
                <w:b/>
                <w:color w:val="AF272F" w:themeColor="accent1"/>
              </w:rPr>
            </w:pPr>
            <w:r w:rsidRPr="00E46098">
              <w:rPr>
                <w:b/>
                <w:color w:val="AF272F" w:themeColor="accent1"/>
              </w:rPr>
              <w:t>Demonstrated commitment to active and full participation in the PMSS evaluation.</w:t>
            </w:r>
          </w:p>
          <w:p w14:paraId="17F3A812" w14:textId="77777777" w:rsidR="00E46098" w:rsidRDefault="00E46098" w:rsidP="009E1735">
            <w:pPr>
              <w:pStyle w:val="Tablebody"/>
            </w:pPr>
            <w:r>
              <w:t>You may wish to discuss any of the following when writing your response:</w:t>
            </w:r>
          </w:p>
          <w:p w14:paraId="13B6B268" w14:textId="3A9DB46B" w:rsidR="00E46098" w:rsidRDefault="00E46098" w:rsidP="00E46098">
            <w:pPr>
              <w:pStyle w:val="Bullet1"/>
            </w:pPr>
            <w:r>
              <w:t>School commitment to contributing to knowledge base</w:t>
            </w:r>
          </w:p>
          <w:p w14:paraId="4182483D" w14:textId="7C42AC91" w:rsidR="00E46098" w:rsidRDefault="00E46098" w:rsidP="00E46098">
            <w:pPr>
              <w:pStyle w:val="Bullet1"/>
            </w:pPr>
            <w:r>
              <w:t xml:space="preserve">How </w:t>
            </w:r>
            <w:proofErr w:type="gramStart"/>
            <w:r>
              <w:t>evaluation student data schedule</w:t>
            </w:r>
            <w:proofErr w:type="gramEnd"/>
            <w:r>
              <w:t xml:space="preserve"> will be managed across the school.</w:t>
            </w:r>
          </w:p>
        </w:tc>
      </w:tr>
      <w:tr w:rsidR="00E46098" w14:paraId="5A1CE08F" w14:textId="77777777" w:rsidTr="0010710B">
        <w:trPr>
          <w:trHeight w:val="1134"/>
        </w:trPr>
        <w:tc>
          <w:tcPr>
            <w:tcW w:w="9622" w:type="dxa"/>
            <w:tcBorders>
              <w:bottom w:val="single" w:sz="4" w:space="0" w:color="7F7F7F" w:themeColor="text1" w:themeTint="80"/>
            </w:tcBorders>
          </w:tcPr>
          <w:p w14:paraId="0B9B2666" w14:textId="77777777" w:rsidR="00E46098" w:rsidRDefault="00E46098" w:rsidP="009E1735">
            <w:pPr>
              <w:pStyle w:val="Tablebody"/>
            </w:pPr>
          </w:p>
        </w:tc>
      </w:tr>
    </w:tbl>
    <w:p w14:paraId="4EA24858" w14:textId="77777777" w:rsidR="00E46098" w:rsidRDefault="00E46098" w:rsidP="00E46098"/>
    <w:p w14:paraId="6646D993" w14:textId="77777777" w:rsidR="00E46098" w:rsidRDefault="00E46098" w:rsidP="00E46098">
      <w:pPr>
        <w:pStyle w:val="Heading2"/>
      </w:pPr>
      <w:r>
        <w:t>Section 3: Principal Declaration</w:t>
      </w:r>
    </w:p>
    <w:p w14:paraId="4715CBAC" w14:textId="77777777" w:rsidR="00E46098" w:rsidRDefault="00E46098" w:rsidP="00E46098">
      <w:r>
        <w:t>I, ___________________________________ declare that:</w:t>
      </w:r>
    </w:p>
    <w:p w14:paraId="2A335536" w14:textId="03D1A4DA" w:rsidR="00E46098" w:rsidRDefault="00E46098" w:rsidP="00E46098">
      <w:pPr>
        <w:pStyle w:val="Bullet1"/>
      </w:pPr>
      <w:r>
        <w:t>the information contained in this Expression of Interest is true and accurate,</w:t>
      </w:r>
    </w:p>
    <w:p w14:paraId="0E58B649" w14:textId="586BC058" w:rsidR="00E46098" w:rsidRDefault="00E46098" w:rsidP="00E46098">
      <w:pPr>
        <w:pStyle w:val="Bullet1"/>
      </w:pPr>
      <w:r>
        <w:t xml:space="preserve">I have read and understood the eligibility criteria, and </w:t>
      </w:r>
    </w:p>
    <w:p w14:paraId="7C55D4CD" w14:textId="0D19BBCD" w:rsidR="00E46098" w:rsidRDefault="00E46098" w:rsidP="0010710B">
      <w:pPr>
        <w:pStyle w:val="Bullet1"/>
        <w:spacing w:after="240"/>
      </w:pPr>
      <w:r>
        <w:t xml:space="preserve">I commit to the funding </w:t>
      </w:r>
      <w:proofErr w:type="gramStart"/>
      <w:r>
        <w:t>being used</w:t>
      </w:r>
      <w:proofErr w:type="gramEnd"/>
      <w:r>
        <w:t xml:space="preserve"> as intended.</w:t>
      </w:r>
    </w:p>
    <w:tbl>
      <w:tblPr>
        <w:tblStyle w:val="PlainTable2"/>
        <w:tblW w:w="0" w:type="auto"/>
        <w:tblBorders>
          <w:top w:val="none" w:sz="0" w:space="0" w:color="auto"/>
          <w:bottom w:val="none" w:sz="0" w:space="0" w:color="auto"/>
        </w:tblBorders>
        <w:tblLayout w:type="fixed"/>
        <w:tblLook w:val="0400" w:firstRow="0" w:lastRow="0" w:firstColumn="0" w:lastColumn="0" w:noHBand="0" w:noVBand="1"/>
      </w:tblPr>
      <w:tblGrid>
        <w:gridCol w:w="3207"/>
        <w:gridCol w:w="3207"/>
        <w:gridCol w:w="3208"/>
      </w:tblGrid>
      <w:tr w:rsidR="0010710B" w14:paraId="636D7700" w14:textId="77777777" w:rsidTr="0010710B">
        <w:trPr>
          <w:cnfStyle w:val="000000100000" w:firstRow="0" w:lastRow="0" w:firstColumn="0" w:lastColumn="0" w:oddVBand="0" w:evenVBand="0" w:oddHBand="1" w:evenHBand="0" w:firstRowFirstColumn="0" w:firstRowLastColumn="0" w:lastRowFirstColumn="0" w:lastRowLastColumn="0"/>
          <w:trHeight w:val="329"/>
        </w:trPr>
        <w:tc>
          <w:tcPr>
            <w:tcW w:w="3207" w:type="dxa"/>
          </w:tcPr>
          <w:p w14:paraId="3B138823" w14:textId="77777777" w:rsidR="0010710B" w:rsidRDefault="0010710B" w:rsidP="009E1735">
            <w:pPr>
              <w:pStyle w:val="TableHead"/>
            </w:pPr>
            <w:r w:rsidRPr="00681078">
              <w:t>Principal Name</w:t>
            </w:r>
          </w:p>
        </w:tc>
        <w:tc>
          <w:tcPr>
            <w:tcW w:w="3207" w:type="dxa"/>
          </w:tcPr>
          <w:p w14:paraId="6C5C4593" w14:textId="35C5E09B" w:rsidR="0010710B" w:rsidRDefault="0010710B" w:rsidP="0010710B">
            <w:pPr>
              <w:pStyle w:val="TableHead"/>
            </w:pPr>
            <w:r w:rsidRPr="0010710B">
              <w:t>Principal’s signature</w:t>
            </w:r>
          </w:p>
        </w:tc>
        <w:tc>
          <w:tcPr>
            <w:tcW w:w="3208" w:type="dxa"/>
          </w:tcPr>
          <w:p w14:paraId="775A6F51" w14:textId="3B7AEB57" w:rsidR="0010710B" w:rsidRDefault="0010710B" w:rsidP="0010710B">
            <w:pPr>
              <w:pStyle w:val="TableHead"/>
            </w:pPr>
            <w:r w:rsidRPr="0010710B">
              <w:t>Date</w:t>
            </w:r>
          </w:p>
        </w:tc>
      </w:tr>
      <w:tr w:rsidR="0010710B" w14:paraId="2F2EE5E9" w14:textId="77777777" w:rsidTr="0010710B">
        <w:trPr>
          <w:trHeight w:val="329"/>
        </w:trPr>
        <w:tc>
          <w:tcPr>
            <w:tcW w:w="3207" w:type="dxa"/>
            <w:tcBorders>
              <w:top w:val="single" w:sz="4" w:space="0" w:color="7F7F7F" w:themeColor="text1" w:themeTint="80"/>
              <w:bottom w:val="single" w:sz="4" w:space="0" w:color="7F7F7F" w:themeColor="text1" w:themeTint="80"/>
            </w:tcBorders>
          </w:tcPr>
          <w:p w14:paraId="797B2F83" w14:textId="2AE61649" w:rsidR="0010710B" w:rsidRDefault="0010710B" w:rsidP="0010710B">
            <w:pPr>
              <w:pStyle w:val="Tablebody"/>
            </w:pPr>
          </w:p>
        </w:tc>
        <w:tc>
          <w:tcPr>
            <w:tcW w:w="3207" w:type="dxa"/>
            <w:tcBorders>
              <w:bottom w:val="single" w:sz="4" w:space="0" w:color="7F7F7F" w:themeColor="text1" w:themeTint="80"/>
            </w:tcBorders>
          </w:tcPr>
          <w:p w14:paraId="42ECC259" w14:textId="77777777" w:rsidR="0010710B" w:rsidRDefault="0010710B" w:rsidP="0010710B">
            <w:pPr>
              <w:pStyle w:val="Tablebody"/>
            </w:pPr>
          </w:p>
        </w:tc>
        <w:tc>
          <w:tcPr>
            <w:tcW w:w="3208" w:type="dxa"/>
            <w:tcBorders>
              <w:bottom w:val="single" w:sz="4" w:space="0" w:color="7F7F7F" w:themeColor="text1" w:themeTint="80"/>
            </w:tcBorders>
          </w:tcPr>
          <w:p w14:paraId="05DA9FBE" w14:textId="62D2900A" w:rsidR="0010710B" w:rsidRDefault="0010710B" w:rsidP="0010710B">
            <w:pPr>
              <w:pStyle w:val="Tablebody"/>
            </w:pPr>
          </w:p>
        </w:tc>
      </w:tr>
    </w:tbl>
    <w:p w14:paraId="100B5E7A" w14:textId="77777777" w:rsidR="00E46098" w:rsidRDefault="00E46098" w:rsidP="00E46098"/>
    <w:sectPr w:rsidR="00E46098" w:rsidSect="00FB15A3">
      <w:headerReference w:type="default" r:id="rId14"/>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7CE25" w14:textId="77777777" w:rsidR="00CD5491" w:rsidRDefault="00CD5491" w:rsidP="003967DD">
      <w:pPr>
        <w:spacing w:after="0"/>
      </w:pPr>
      <w:r>
        <w:separator/>
      </w:r>
    </w:p>
  </w:endnote>
  <w:endnote w:type="continuationSeparator" w:id="0">
    <w:p w14:paraId="7A2062FE" w14:textId="77777777" w:rsidR="00CD5491" w:rsidRDefault="00CD5491"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31150" w14:textId="77777777" w:rsidR="00FB15A3" w:rsidRDefault="00FB15A3"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36C2984" w14:textId="77777777" w:rsidR="00FB15A3" w:rsidRDefault="00FB15A3"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4AD3B" w14:textId="598B5185" w:rsidR="00FB15A3" w:rsidRDefault="00FB15A3"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B69BB">
      <w:rPr>
        <w:rStyle w:val="PageNumber"/>
        <w:noProof/>
      </w:rPr>
      <w:t>1</w:t>
    </w:r>
    <w:r>
      <w:rPr>
        <w:rStyle w:val="PageNumber"/>
      </w:rPr>
      <w:fldChar w:fldCharType="end"/>
    </w:r>
  </w:p>
  <w:p w14:paraId="7BA676CA" w14:textId="77777777" w:rsidR="00FB15A3" w:rsidRDefault="00FB15A3"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3910D782"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B69BB">
      <w:rPr>
        <w:rStyle w:val="PageNumber"/>
        <w:noProof/>
      </w:rPr>
      <w:t>7</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DA6D8" w14:textId="77777777" w:rsidR="00CD5491" w:rsidRDefault="00CD5491" w:rsidP="003967DD">
      <w:pPr>
        <w:spacing w:after="0"/>
      </w:pPr>
      <w:r>
        <w:separator/>
      </w:r>
    </w:p>
  </w:footnote>
  <w:footnote w:type="continuationSeparator" w:id="0">
    <w:p w14:paraId="6AC0C0FD" w14:textId="77777777" w:rsidR="00CD5491" w:rsidRDefault="00CD5491"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1E561" w14:textId="50AE6578" w:rsidR="00FB15A3" w:rsidRDefault="00FB15A3"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64384" behindDoc="0" locked="0" layoutInCell="1" allowOverlap="1" wp14:anchorId="7A98E751" wp14:editId="2DCA47A7">
          <wp:simplePos x="0" y="0"/>
          <wp:positionH relativeFrom="column">
            <wp:posOffset>-786130</wp:posOffset>
          </wp:positionH>
          <wp:positionV relativeFrom="paragraph">
            <wp:posOffset>4246880</wp:posOffset>
          </wp:positionV>
          <wp:extent cx="2819400" cy="599821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rotWithShape="1">
                  <a:blip r:embed="rId1">
                    <a:extLst>
                      <a:ext uri="{28A0092B-C50C-407E-A947-70E740481C1C}">
                        <a14:useLocalDpi xmlns:a14="http://schemas.microsoft.com/office/drawing/2010/main" val="0"/>
                      </a:ext>
                    </a:extLst>
                  </a:blip>
                  <a:srcRect t="43794" r="62629"/>
                  <a:stretch/>
                </pic:blipFill>
                <pic:spPr bwMode="auto">
                  <a:xfrm>
                    <a:off x="0" y="0"/>
                    <a:ext cx="2819400" cy="59982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63D55">
      <w:rPr>
        <w:noProof/>
        <w:lang w:val="en-AU" w:eastAsia="en-AU"/>
      </w:rPr>
      <w:drawing>
        <wp:anchor distT="0" distB="0" distL="114300" distR="114300" simplePos="0" relativeHeight="251663360" behindDoc="1" locked="0" layoutInCell="1" allowOverlap="1" wp14:anchorId="68634069" wp14:editId="42AAE9FD">
          <wp:simplePos x="0" y="0"/>
          <wp:positionH relativeFrom="column">
            <wp:posOffset>-1989279</wp:posOffset>
          </wp:positionH>
          <wp:positionV relativeFrom="paragraph">
            <wp:posOffset>2754144</wp:posOffset>
          </wp:positionV>
          <wp:extent cx="10224946" cy="6814370"/>
          <wp:effectExtent l="0" t="0" r="1143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2">
                    <a:extLst>
                      <a:ext uri="{28A0092B-C50C-407E-A947-70E740481C1C}">
                        <a14:useLocalDpi xmlns:a14="http://schemas.microsoft.com/office/drawing/2010/main" val="0"/>
                      </a:ext>
                    </a:extLst>
                  </a:blip>
                  <a:stretch>
                    <a:fillRect/>
                  </a:stretch>
                </pic:blipFill>
                <pic:spPr bwMode="auto">
                  <a:xfrm>
                    <a:off x="0" y="0"/>
                    <a:ext cx="10224946" cy="6814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63D55">
      <w:rPr>
        <w:noProof/>
        <w:lang w:val="en-AU" w:eastAsia="en-AU"/>
      </w:rPr>
      <w:drawing>
        <wp:anchor distT="0" distB="0" distL="114300" distR="114300" simplePos="0" relativeHeight="251665408" behindDoc="1" locked="0" layoutInCell="1" allowOverlap="1" wp14:anchorId="31DF73B1" wp14:editId="64660C8A">
          <wp:simplePos x="0" y="0"/>
          <wp:positionH relativeFrom="column">
            <wp:posOffset>-783590</wp:posOffset>
          </wp:positionH>
          <wp:positionV relativeFrom="paragraph">
            <wp:posOffset>-334645</wp:posOffset>
          </wp:positionV>
          <wp:extent cx="7666355" cy="2374900"/>
          <wp:effectExtent l="0" t="0" r="4445" b="1270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rotWithShape="1">
                  <a:blip r:embed="rId3">
                    <a:extLst>
                      <a:ext uri="{28A0092B-C50C-407E-A947-70E740481C1C}">
                        <a14:useLocalDpi xmlns:a14="http://schemas.microsoft.com/office/drawing/2010/main" val="0"/>
                      </a:ext>
                    </a:extLst>
                  </a:blip>
                  <a:srcRect b="78100"/>
                  <a:stretch/>
                </pic:blipFill>
                <pic:spPr bwMode="auto">
                  <a:xfrm>
                    <a:off x="0" y="0"/>
                    <a:ext cx="7666355" cy="2374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63D55">
      <w:rPr>
        <w:noProof/>
        <w:lang w:val="en-AU" w:eastAsia="en-AU"/>
      </w:rPr>
      <mc:AlternateContent>
        <mc:Choice Requires="wps">
          <w:drawing>
            <wp:anchor distT="0" distB="0" distL="114300" distR="114300" simplePos="0" relativeHeight="251662336" behindDoc="0" locked="0" layoutInCell="1" allowOverlap="1" wp14:anchorId="2D55D98C" wp14:editId="1B5DCDCF">
              <wp:simplePos x="0" y="0"/>
              <wp:positionH relativeFrom="column">
                <wp:posOffset>-786765</wp:posOffset>
              </wp:positionH>
              <wp:positionV relativeFrom="paragraph">
                <wp:posOffset>9290050</wp:posOffset>
              </wp:positionV>
              <wp:extent cx="7771765" cy="1259840"/>
              <wp:effectExtent l="50800" t="25400" r="51435" b="86360"/>
              <wp:wrapNone/>
              <wp:docPr id="12" name="Rectangle 12"/>
              <wp:cNvGraphicFramePr/>
              <a:graphic xmlns:a="http://schemas.openxmlformats.org/drawingml/2006/main">
                <a:graphicData uri="http://schemas.microsoft.com/office/word/2010/wordprocessingShape">
                  <wps:wsp>
                    <wps:cNvSpPr/>
                    <wps:spPr>
                      <a:xfrm>
                        <a:off x="0" y="0"/>
                        <a:ext cx="7771765" cy="1259840"/>
                      </a:xfrm>
                      <a:prstGeom prst="rect">
                        <a:avLst/>
                      </a:prstGeom>
                      <a:solidFill>
                        <a:schemeClr val="bg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6AF3C616" id="Rectangle 12" o:spid="_x0000_s1026" style="position:absolute;margin-left:-61.95pt;margin-top:731.5pt;width:611.95pt;height:9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" fillcolor="white [3212]" stroked="f" strokeweight=".5pt"/>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BA337" w14:textId="5921F47A" w:rsidR="00FB15A3" w:rsidRDefault="00FB15A3" w:rsidP="00A63D55">
    <w:pPr>
      <w:pStyle w:val="Header"/>
      <w:tabs>
        <w:tab w:val="clear" w:pos="4513"/>
        <w:tab w:val="clear" w:pos="9026"/>
        <w:tab w:val="left" w:pos="1425"/>
      </w:tabs>
    </w:pPr>
    <w:r>
      <w:tab/>
    </w:r>
    <w:r>
      <w:rPr>
        <w:noProof/>
        <w:lang w:val="en-AU" w:eastAsia="en-AU"/>
      </w:rPr>
      <w:drawing>
        <wp:anchor distT="0" distB="0" distL="114300" distR="114300" simplePos="0" relativeHeight="251668480" behindDoc="1" locked="0" layoutInCell="1" allowOverlap="1" wp14:anchorId="06ACC6EA" wp14:editId="21D033CC">
          <wp:simplePos x="0" y="0"/>
          <wp:positionH relativeFrom="page">
            <wp:align>left</wp:align>
          </wp:positionH>
          <wp:positionV relativeFrom="page">
            <wp:align>top</wp:align>
          </wp:positionV>
          <wp:extent cx="7560000" cy="10692000"/>
          <wp:effectExtent l="0" t="0" r="9525" b="190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9FC7B" w14:textId="10A9A9C2" w:rsidR="00FB15A3" w:rsidRDefault="00FB15A3">
    <w:pPr>
      <w:pStyle w:val="Header"/>
    </w:pPr>
    <w:r>
      <w:rPr>
        <w:noProof/>
        <w:lang w:val="en-AU" w:eastAsia="en-AU"/>
      </w:rPr>
      <w:drawing>
        <wp:anchor distT="0" distB="0" distL="114300" distR="114300" simplePos="0" relativeHeight="251670528" behindDoc="1" locked="0" layoutInCell="1" allowOverlap="1" wp14:anchorId="57E2446D" wp14:editId="1EF1C52A">
          <wp:simplePos x="0" y="0"/>
          <wp:positionH relativeFrom="page">
            <wp:align>left</wp:align>
          </wp:positionH>
          <wp:positionV relativeFrom="page">
            <wp:align>top</wp:align>
          </wp:positionV>
          <wp:extent cx="7560000" cy="10692000"/>
          <wp:effectExtent l="0" t="0" r="9525" b="190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A47D4"/>
    <w:rsid w:val="0010710B"/>
    <w:rsid w:val="00122369"/>
    <w:rsid w:val="001B69BB"/>
    <w:rsid w:val="00283E8E"/>
    <w:rsid w:val="002A4A96"/>
    <w:rsid w:val="002E3BED"/>
    <w:rsid w:val="002F2ED9"/>
    <w:rsid w:val="00312720"/>
    <w:rsid w:val="003239C0"/>
    <w:rsid w:val="003702AD"/>
    <w:rsid w:val="00377FCF"/>
    <w:rsid w:val="003967DD"/>
    <w:rsid w:val="00437E09"/>
    <w:rsid w:val="004B2ED6"/>
    <w:rsid w:val="00584366"/>
    <w:rsid w:val="005C0F94"/>
    <w:rsid w:val="005E3E34"/>
    <w:rsid w:val="00624A55"/>
    <w:rsid w:val="00681078"/>
    <w:rsid w:val="006A25AC"/>
    <w:rsid w:val="006A6BF6"/>
    <w:rsid w:val="006B2FFF"/>
    <w:rsid w:val="007B556E"/>
    <w:rsid w:val="007D3E38"/>
    <w:rsid w:val="008B1737"/>
    <w:rsid w:val="00942F79"/>
    <w:rsid w:val="00A31926"/>
    <w:rsid w:val="00AC071D"/>
    <w:rsid w:val="00B06476"/>
    <w:rsid w:val="00CD25D5"/>
    <w:rsid w:val="00CD5491"/>
    <w:rsid w:val="00CF46D4"/>
    <w:rsid w:val="00D20094"/>
    <w:rsid w:val="00E46098"/>
    <w:rsid w:val="00F25238"/>
    <w:rsid w:val="00F84E3E"/>
    <w:rsid w:val="00FB15A3"/>
    <w:rsid w:val="00FF0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BED"/>
    <w:pPr>
      <w:spacing w:after="120"/>
    </w:pPr>
    <w:rPr>
      <w:sz w:val="20"/>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F84E3E"/>
    <w:pPr>
      <w:keepNext/>
      <w:keepLines/>
      <w:spacing w:before="40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F84E3E"/>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CF46D4"/>
    <w:pPr>
      <w:spacing w:before="60" w:after="60"/>
    </w:pPr>
    <w:rPr>
      <w:b/>
      <w:color w:val="AF272F" w:themeColor="accen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table" w:styleId="TableGridLight">
    <w:name w:val="Grid Table Light"/>
    <w:basedOn w:val="TableNormal"/>
    <w:uiPriority w:val="40"/>
    <w:rsid w:val="00CF46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CF46D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overtitle">
    <w:name w:val="Cover title"/>
    <w:basedOn w:val="Normal"/>
    <w:qFormat/>
    <w:rsid w:val="00FB15A3"/>
    <w:pPr>
      <w:spacing w:after="180"/>
    </w:pPr>
    <w:rPr>
      <w:b/>
      <w:color w:val="AF272F" w:themeColor="accent1"/>
      <w:sz w:val="44"/>
      <w:lang w:val="en-AU"/>
    </w:rPr>
  </w:style>
  <w:style w:type="paragraph" w:customStyle="1" w:styleId="Coversubtitle">
    <w:name w:val="Cover subtitle"/>
    <w:basedOn w:val="Covertitle"/>
    <w:qFormat/>
    <w:rsid w:val="00FB15A3"/>
    <w:rPr>
      <w:b w:val="0"/>
      <w:color w:val="53565A" w:themeColor="text2"/>
      <w:sz w:val="36"/>
    </w:rPr>
  </w:style>
  <w:style w:type="character" w:styleId="Hyperlink">
    <w:name w:val="Hyperlink"/>
    <w:basedOn w:val="DefaultParagraphFont"/>
    <w:uiPriority w:val="99"/>
    <w:unhideWhenUsed/>
    <w:rsid w:val="00CD25D5"/>
    <w:rPr>
      <w:color w:val="004EA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42C9EA-3D00-4F21-B880-091B38B96002}"/>
</file>

<file path=customXml/itemProps2.xml><?xml version="1.0" encoding="utf-8"?>
<ds:datastoreItem xmlns:ds="http://schemas.openxmlformats.org/officeDocument/2006/customXml" ds:itemID="{B19A15FB-34D5-4105-A072-A556A25B7026}"/>
</file>

<file path=customXml/itemProps3.xml><?xml version="1.0" encoding="utf-8"?>
<ds:datastoreItem xmlns:ds="http://schemas.openxmlformats.org/officeDocument/2006/customXml" ds:itemID="{2807132A-E3A4-4A4B-89BA-714C8F39C63D}"/>
</file>

<file path=customXml/itemProps4.xml><?xml version="1.0" encoding="utf-8"?>
<ds:datastoreItem xmlns:ds="http://schemas.openxmlformats.org/officeDocument/2006/customXml" ds:itemID="{FDDFF6C6-782C-4CE0-AF36-74A1C77A1312}"/>
</file>

<file path=docProps/app.xml><?xml version="1.0" encoding="utf-8"?>
<Properties xmlns="http://schemas.openxmlformats.org/officeDocument/2006/extended-properties" xmlns:vt="http://schemas.openxmlformats.org/officeDocument/2006/docPropsVTypes">
  <Template>Normal</Template>
  <TotalTime>2</TotalTime>
  <Pages>7</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Gregoire, Louise E</cp:lastModifiedBy>
  <cp:revision>4</cp:revision>
  <dcterms:created xsi:type="dcterms:W3CDTF">2017-11-30T23:42:00Z</dcterms:created>
  <dcterms:modified xsi:type="dcterms:W3CDTF">2017-12-18T23:15:00Z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