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55" w:rsidRPr="00624A55" w:rsidRDefault="004A38FE" w:rsidP="00B20F2C">
      <w:pPr>
        <w:pStyle w:val="Heading1"/>
        <w:jc w:val="center"/>
        <w:rPr>
          <w:lang w:val="en-AU"/>
        </w:rPr>
      </w:pPr>
      <w:r>
        <w:rPr>
          <w:rFonts w:ascii="Times New Roman" w:hAnsi="Times New Roman" w:cs="Times New Roman"/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-59055</wp:posOffset>
                </wp:positionV>
                <wp:extent cx="770890" cy="246380"/>
                <wp:effectExtent l="0" t="0" r="0" b="12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FE" w:rsidRDefault="004A38FE" w:rsidP="004A38FE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v. 02/2018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51.5pt;margin-top:-4.65pt;width:60.7pt;height:19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DHIA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" stroked="f">
                <v:textbox>
                  <w:txbxContent>
                    <w:p w:rsidR="004A38FE" w:rsidRDefault="004A38FE" w:rsidP="004A38FE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v. 02/2018</w:t>
                      </w:r>
                    </w:p>
                  </w:txbxContent>
                </v:textbox>
              </v:shape>
            </w:pict>
          </mc:Fallback>
        </mc:AlternateContent>
      </w:r>
      <w:r w:rsidR="00B20F2C">
        <w:rPr>
          <w:lang w:val="en-AU"/>
        </w:rPr>
        <w:t xml:space="preserve">Victorian </w:t>
      </w:r>
      <w:r w:rsidR="00181A5D" w:rsidRPr="00181A5D">
        <w:rPr>
          <w:lang w:val="en-AU"/>
        </w:rPr>
        <w:t>S</w:t>
      </w:r>
      <w:r w:rsidR="00B20F2C">
        <w:rPr>
          <w:lang w:val="en-AU"/>
        </w:rPr>
        <w:t>WPBS</w:t>
      </w:r>
      <w:r w:rsidR="00181A5D" w:rsidRPr="00181A5D">
        <w:rPr>
          <w:lang w:val="en-AU"/>
        </w:rPr>
        <w:t xml:space="preserve"> </w:t>
      </w:r>
      <w:r w:rsidR="00B20F2C">
        <w:rPr>
          <w:lang w:val="en-AU"/>
        </w:rPr>
        <w:br/>
        <w:t xml:space="preserve">School </w:t>
      </w:r>
      <w:r w:rsidR="007250D5">
        <w:rPr>
          <w:lang w:val="en-AU"/>
        </w:rPr>
        <w:t xml:space="preserve">implementation </w:t>
      </w:r>
      <w:r w:rsidR="00181A5D" w:rsidRPr="00181A5D">
        <w:rPr>
          <w:lang w:val="en-AU"/>
        </w:rPr>
        <w:t xml:space="preserve">Acknowledgement </w:t>
      </w:r>
      <w:r w:rsidR="00E12A56">
        <w:rPr>
          <w:lang w:val="en-AU"/>
        </w:rPr>
        <w:t>guide</w:t>
      </w:r>
    </w:p>
    <w:p w:rsidR="00870E40" w:rsidRPr="00101201" w:rsidRDefault="00870E40" w:rsidP="007250D5">
      <w:pPr>
        <w:pStyle w:val="Intro"/>
        <w:rPr>
          <w:color w:val="auto"/>
        </w:rPr>
      </w:pPr>
    </w:p>
    <w:p w:rsidR="00B20F2C" w:rsidRDefault="00B20F2C" w:rsidP="00870E40">
      <w:pPr>
        <w:pStyle w:val="Heading2"/>
      </w:pPr>
      <w:r w:rsidRPr="00B20F2C">
        <w:t xml:space="preserve">The purpose </w:t>
      </w:r>
    </w:p>
    <w:p w:rsidR="00181A5D" w:rsidRPr="00101201" w:rsidRDefault="00B20F2C" w:rsidP="00870E40">
      <w:r w:rsidRPr="00101201">
        <w:t xml:space="preserve">The purpose of </w:t>
      </w:r>
      <w:r w:rsidR="00E12A56" w:rsidRPr="00101201">
        <w:t>this document</w:t>
      </w:r>
      <w:r w:rsidRPr="00101201">
        <w:t xml:space="preserve"> is to identify schools that exemplify the highest level of systems, data, and practices in their implementation of SWPBS. </w:t>
      </w:r>
      <w:r w:rsidR="007250D5" w:rsidRPr="00101201">
        <w:t>This allows schools to be accurately identified as “PBS schools”.</w:t>
      </w:r>
      <w:r w:rsidR="00681F27" w:rsidRPr="00101201">
        <w:t xml:space="preserve"> </w:t>
      </w:r>
      <w:r w:rsidR="00544906" w:rsidRPr="00101201">
        <w:t xml:space="preserve">Schools which have formally begun to implement SWPBS but not yet achieved fidelity are also acknowledged. </w:t>
      </w:r>
    </w:p>
    <w:p w:rsidR="007250D5" w:rsidRDefault="007250D5" w:rsidP="007250D5"/>
    <w:p w:rsidR="00B20F2C" w:rsidRPr="00870E40" w:rsidRDefault="00CA038C" w:rsidP="00CA038C">
      <w:pPr>
        <w:pStyle w:val="Heading2"/>
      </w:pPr>
      <w:r>
        <w:t xml:space="preserve">How </w:t>
      </w:r>
      <w:r w:rsidR="007250D5">
        <w:t>is pbs</w:t>
      </w:r>
      <w:r>
        <w:t xml:space="preserve"> evaluated?</w:t>
      </w:r>
    </w:p>
    <w:p w:rsidR="00B20F2C" w:rsidRDefault="007250D5" w:rsidP="00870E40">
      <w:pPr>
        <w:rPr>
          <w:lang w:val="en-AU"/>
        </w:rPr>
      </w:pPr>
      <w:r w:rsidRPr="007250D5">
        <w:rPr>
          <w:rFonts w:ascii="VIC-LightItalic" w:hAnsi="VIC-LightItalic" w:cs="VIC-LightItalic"/>
          <w:iCs/>
          <w:lang w:val="en-AU"/>
        </w:rPr>
        <w:t xml:space="preserve">The </w:t>
      </w:r>
      <w:r w:rsidR="00B20F2C">
        <w:rPr>
          <w:rFonts w:ascii="VIC-LightItalic" w:hAnsi="VIC-LightItalic" w:cs="VIC-LightItalic"/>
          <w:i/>
          <w:iCs/>
          <w:lang w:val="en-AU"/>
        </w:rPr>
        <w:t>Tiered Fidelity</w:t>
      </w:r>
      <w:r w:rsidR="00870E40">
        <w:rPr>
          <w:rFonts w:ascii="VIC-LightItalic" w:hAnsi="VIC-LightItalic" w:cs="VIC-LightItalic"/>
          <w:i/>
          <w:iCs/>
          <w:lang w:val="en-AU"/>
        </w:rPr>
        <w:t xml:space="preserve"> </w:t>
      </w:r>
      <w:r w:rsidR="00B20F2C">
        <w:rPr>
          <w:rFonts w:ascii="VIC-LightItalic" w:hAnsi="VIC-LightItalic" w:cs="VIC-LightItalic"/>
          <w:i/>
          <w:iCs/>
          <w:lang w:val="en-AU"/>
        </w:rPr>
        <w:t xml:space="preserve">Inventory </w:t>
      </w:r>
      <w:r w:rsidR="00B20F2C">
        <w:rPr>
          <w:lang w:val="en-AU"/>
        </w:rPr>
        <w:t xml:space="preserve">(TFI) </w:t>
      </w:r>
      <w:r w:rsidR="00DF5771">
        <w:rPr>
          <w:lang w:val="en-AU"/>
        </w:rPr>
        <w:t xml:space="preserve">is used </w:t>
      </w:r>
      <w:r w:rsidR="00B20F2C">
        <w:rPr>
          <w:lang w:val="en-AU"/>
        </w:rPr>
        <w:t>to measure the extent to</w:t>
      </w:r>
      <w:r w:rsidR="00870E40">
        <w:rPr>
          <w:lang w:val="en-AU"/>
        </w:rPr>
        <w:t xml:space="preserve"> </w:t>
      </w:r>
      <w:r w:rsidR="00B20F2C">
        <w:rPr>
          <w:lang w:val="en-AU"/>
        </w:rPr>
        <w:t>which school staff are applying the core</w:t>
      </w:r>
      <w:r w:rsidR="00870E40">
        <w:rPr>
          <w:lang w:val="en-AU"/>
        </w:rPr>
        <w:t xml:space="preserve"> </w:t>
      </w:r>
      <w:r w:rsidR="00B20F2C">
        <w:rPr>
          <w:lang w:val="en-AU"/>
        </w:rPr>
        <w:t>features of SWPBS. The TFI is a reliable and</w:t>
      </w:r>
      <w:r w:rsidR="00870E40">
        <w:rPr>
          <w:lang w:val="en-AU"/>
        </w:rPr>
        <w:t xml:space="preserve"> </w:t>
      </w:r>
      <w:r w:rsidR="00B20F2C">
        <w:rPr>
          <w:lang w:val="en-AU"/>
        </w:rPr>
        <w:t>valid tool to assess fidelity of implementation.</w:t>
      </w:r>
      <w:r w:rsidR="00870E40">
        <w:rPr>
          <w:lang w:val="en-AU"/>
        </w:rPr>
        <w:t xml:space="preserve"> </w:t>
      </w:r>
      <w:r w:rsidR="00B20F2C">
        <w:rPr>
          <w:lang w:val="en-AU"/>
        </w:rPr>
        <w:t>The monitoring, evaluation, and reporting of</w:t>
      </w:r>
      <w:r w:rsidR="00870E40">
        <w:rPr>
          <w:lang w:val="en-AU"/>
        </w:rPr>
        <w:t xml:space="preserve"> </w:t>
      </w:r>
      <w:r w:rsidR="00B20F2C">
        <w:rPr>
          <w:lang w:val="en-AU"/>
        </w:rPr>
        <w:t>SWPBS implementation is consistent with the</w:t>
      </w:r>
      <w:r w:rsidR="00870E40">
        <w:rPr>
          <w:lang w:val="en-AU"/>
        </w:rPr>
        <w:t xml:space="preserve"> </w:t>
      </w:r>
      <w:r w:rsidR="00B20F2C">
        <w:rPr>
          <w:lang w:val="en-AU"/>
        </w:rPr>
        <w:t xml:space="preserve">Department’s </w:t>
      </w:r>
      <w:r w:rsidR="00B20F2C">
        <w:rPr>
          <w:rFonts w:ascii="VIC-LightItalic" w:hAnsi="VIC-LightItalic" w:cs="VIC-LightItalic"/>
          <w:i/>
          <w:iCs/>
          <w:lang w:val="en-AU"/>
        </w:rPr>
        <w:t>Evaluation Strategy</w:t>
      </w:r>
      <w:r w:rsidR="00B20F2C">
        <w:rPr>
          <w:lang w:val="en-AU"/>
        </w:rPr>
        <w:t>.</w:t>
      </w:r>
    </w:p>
    <w:p w:rsidR="007250D5" w:rsidRPr="00FB4FBE" w:rsidRDefault="007250D5" w:rsidP="007250D5">
      <w:pPr>
        <w:rPr>
          <w:rFonts w:ascii="Arial" w:eastAsia="MS Mincho" w:hAnsi="Arial" w:cs="Arial"/>
          <w:szCs w:val="20"/>
          <w:lang w:val="en-AU"/>
        </w:rPr>
      </w:pPr>
      <w:r w:rsidRPr="00FB4FBE">
        <w:rPr>
          <w:rFonts w:ascii="Arial" w:eastAsia="MS Mincho" w:hAnsi="Arial" w:cs="Arial"/>
          <w:szCs w:val="20"/>
          <w:lang w:val="en-AU"/>
        </w:rPr>
        <w:t xml:space="preserve">For more </w:t>
      </w:r>
      <w:r w:rsidRPr="007250D5">
        <w:rPr>
          <w:lang w:val="en-AU"/>
        </w:rPr>
        <w:t>information</w:t>
      </w:r>
      <w:r w:rsidRPr="00FB4FBE">
        <w:rPr>
          <w:rFonts w:ascii="Arial" w:eastAsia="MS Mincho" w:hAnsi="Arial" w:cs="Arial"/>
          <w:szCs w:val="20"/>
          <w:lang w:val="en-AU"/>
        </w:rPr>
        <w:t xml:space="preserve"> about the TFI, see: </w:t>
      </w:r>
      <w:hyperlink r:id="rId11" w:history="1">
        <w:r w:rsidRPr="00FB4FBE">
          <w:rPr>
            <w:rFonts w:ascii="Arial" w:eastAsia="MS Mincho" w:hAnsi="Arial" w:cs="Arial"/>
            <w:color w:val="0000FF"/>
            <w:szCs w:val="20"/>
            <w:u w:val="single"/>
            <w:lang w:val="en-AU"/>
          </w:rPr>
          <w:t>SWPBS Tiered Fidelity Inventory</w:t>
        </w:r>
      </w:hyperlink>
    </w:p>
    <w:p w:rsidR="007250D5" w:rsidRDefault="007250D5" w:rsidP="007250D5">
      <w:pPr>
        <w:spacing w:line="240" w:lineRule="atLeast"/>
        <w:rPr>
          <w:rFonts w:ascii="Arial" w:eastAsia="MS Mincho" w:hAnsi="Arial" w:cs="Arial"/>
          <w:color w:val="0000FF"/>
          <w:szCs w:val="20"/>
          <w:u w:val="single"/>
          <w:lang w:val="en-AU"/>
        </w:rPr>
      </w:pPr>
      <w:r w:rsidRPr="00FB4FBE">
        <w:rPr>
          <w:rFonts w:ascii="Arial" w:eastAsia="MS Mincho" w:hAnsi="Arial" w:cs="Arial"/>
          <w:szCs w:val="20"/>
          <w:lang w:val="en-AU"/>
        </w:rPr>
        <w:t xml:space="preserve">To read more on the validity of the tool, see: </w:t>
      </w:r>
      <w:hyperlink r:id="rId12" w:history="1">
        <w:r w:rsidRPr="00FB4FBE">
          <w:rPr>
            <w:rFonts w:ascii="Arial" w:eastAsia="MS Mincho" w:hAnsi="Arial" w:cs="Arial"/>
            <w:color w:val="0000FF"/>
            <w:szCs w:val="20"/>
            <w:u w:val="single"/>
            <w:lang w:val="en-AU"/>
          </w:rPr>
          <w:t>Technical Adequacy of the SWPBS Tiered Fidelity Inventory</w:t>
        </w:r>
      </w:hyperlink>
    </w:p>
    <w:p w:rsidR="007250D5" w:rsidRPr="00FB4FBE" w:rsidRDefault="007250D5" w:rsidP="007250D5">
      <w:pPr>
        <w:rPr>
          <w:lang w:val="en-AU"/>
        </w:rPr>
      </w:pPr>
    </w:p>
    <w:p w:rsidR="001C7E4F" w:rsidRDefault="001C7E4F" w:rsidP="001C7E4F">
      <w:pPr>
        <w:pStyle w:val="Heading2"/>
      </w:pPr>
      <w:r>
        <w:t xml:space="preserve">HOW </w:t>
      </w:r>
      <w:r w:rsidR="007250D5">
        <w:t xml:space="preserve">are </w:t>
      </w:r>
      <w:r>
        <w:t>SCHOOLS ACKNOWLEDGED?</w:t>
      </w:r>
    </w:p>
    <w:p w:rsidR="00ED14A2" w:rsidRDefault="007250D5" w:rsidP="00870E40">
      <w:pPr>
        <w:rPr>
          <w:lang w:val="en-AU"/>
        </w:rPr>
      </w:pPr>
      <w:r>
        <w:rPr>
          <w:lang w:val="en-AU"/>
        </w:rPr>
        <w:t>The</w:t>
      </w:r>
      <w:r w:rsidR="002134C2">
        <w:rPr>
          <w:lang w:val="en-AU"/>
        </w:rPr>
        <w:t xml:space="preserve"> SWPBS Central Unit will assess schools using </w:t>
      </w:r>
      <w:r>
        <w:rPr>
          <w:lang w:val="en-AU"/>
        </w:rPr>
        <w:t xml:space="preserve">the </w:t>
      </w:r>
      <w:r w:rsidR="002134C2">
        <w:rPr>
          <w:lang w:val="en-AU"/>
        </w:rPr>
        <w:t xml:space="preserve">TFI as they progress through the implementation stages. When a school achieves the criteria to quality </w:t>
      </w:r>
      <w:r w:rsidR="00563D51">
        <w:rPr>
          <w:lang w:val="en-AU"/>
        </w:rPr>
        <w:t xml:space="preserve">for one of the </w:t>
      </w:r>
      <w:r w:rsidR="00E12A56">
        <w:rPr>
          <w:lang w:val="en-AU"/>
        </w:rPr>
        <w:t>recognition</w:t>
      </w:r>
      <w:r w:rsidR="00563D51">
        <w:rPr>
          <w:lang w:val="en-AU"/>
        </w:rPr>
        <w:t xml:space="preserve"> levels, </w:t>
      </w:r>
      <w:r>
        <w:rPr>
          <w:lang w:val="en-AU"/>
        </w:rPr>
        <w:t xml:space="preserve">the </w:t>
      </w:r>
      <w:r w:rsidR="00563D51">
        <w:rPr>
          <w:lang w:val="en-AU"/>
        </w:rPr>
        <w:t xml:space="preserve">SWPBS Central Unit will send a </w:t>
      </w:r>
      <w:r>
        <w:rPr>
          <w:lang w:val="en-AU"/>
        </w:rPr>
        <w:t xml:space="preserve">certificate and corresponding logo </w:t>
      </w:r>
      <w:r w:rsidR="00563D51">
        <w:rPr>
          <w:lang w:val="en-AU"/>
        </w:rPr>
        <w:t xml:space="preserve">to </w:t>
      </w:r>
      <w:r>
        <w:rPr>
          <w:lang w:val="en-AU"/>
        </w:rPr>
        <w:t>the</w:t>
      </w:r>
      <w:r w:rsidR="00563D51">
        <w:rPr>
          <w:lang w:val="en-AU"/>
        </w:rPr>
        <w:t xml:space="preserve"> school.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980"/>
        <w:gridCol w:w="7658"/>
      </w:tblGrid>
      <w:tr w:rsidR="00B20F2C" w:rsidTr="00725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0F2C" w:rsidRDefault="00870E40" w:rsidP="001C7E4F">
            <w:pPr>
              <w:pStyle w:val="TableHead"/>
              <w:spacing w:after="0"/>
              <w:jc w:val="center"/>
            </w:pPr>
            <w:r>
              <w:t>Award Level</w:t>
            </w:r>
          </w:p>
        </w:tc>
        <w:tc>
          <w:tcPr>
            <w:tcW w:w="7658" w:type="dxa"/>
          </w:tcPr>
          <w:p w:rsidR="00B20F2C" w:rsidRDefault="00870E40" w:rsidP="001C7E4F">
            <w:pPr>
              <w:pStyle w:val="TableHead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Criteria</w:t>
            </w:r>
          </w:p>
        </w:tc>
      </w:tr>
      <w:tr w:rsidR="00B20F2C" w:rsidTr="007250D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0F2C" w:rsidRDefault="00870E40" w:rsidP="001C7E4F">
            <w:pPr>
              <w:pStyle w:val="TableHead"/>
              <w:spacing w:after="0"/>
              <w:rPr>
                <w:color w:val="AF272F" w:themeColor="accent1"/>
              </w:rPr>
            </w:pPr>
            <w:r>
              <w:rPr>
                <w:color w:val="AF272F" w:themeColor="accent1"/>
              </w:rPr>
              <w:t>Blue</w:t>
            </w:r>
          </w:p>
          <w:p w:rsidR="00DF5771" w:rsidRPr="00312720" w:rsidRDefault="00DF5771" w:rsidP="001C7E4F">
            <w:pPr>
              <w:pStyle w:val="TableHead"/>
              <w:spacing w:after="0"/>
              <w:rPr>
                <w:color w:val="AF272F" w:themeColor="accent1"/>
              </w:rPr>
            </w:pPr>
          </w:p>
        </w:tc>
        <w:tc>
          <w:tcPr>
            <w:tcW w:w="7658" w:type="dxa"/>
          </w:tcPr>
          <w:p w:rsidR="00B20F2C" w:rsidRDefault="00870E40" w:rsidP="001C7E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This award recognises schools that have:</w:t>
            </w:r>
          </w:p>
          <w:p w:rsidR="00870E40" w:rsidRDefault="00870E40" w:rsidP="001C7E4F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 current Action Plan</w:t>
            </w:r>
          </w:p>
          <w:p w:rsidR="00870E40" w:rsidRDefault="00870E40" w:rsidP="001C7E4F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an established team</w:t>
            </w:r>
          </w:p>
          <w:p w:rsidR="00870E40" w:rsidRPr="00870E40" w:rsidRDefault="00DF5771" w:rsidP="001C7E4F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collected fidelity data in the last 12 months</w:t>
            </w:r>
          </w:p>
        </w:tc>
      </w:tr>
      <w:tr w:rsidR="00B20F2C" w:rsidTr="007250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0F2C" w:rsidRPr="00870E40" w:rsidRDefault="00870E40" w:rsidP="001C7E4F">
            <w:pPr>
              <w:pStyle w:val="TableHead"/>
              <w:spacing w:after="0"/>
              <w:rPr>
                <w:color w:val="AF272F" w:themeColor="accent1"/>
              </w:rPr>
            </w:pPr>
            <w:r w:rsidRPr="00870E40">
              <w:rPr>
                <w:color w:val="AF272F" w:themeColor="accent1"/>
              </w:rPr>
              <w:t>Bronze</w:t>
            </w:r>
          </w:p>
        </w:tc>
        <w:tc>
          <w:tcPr>
            <w:tcW w:w="7658" w:type="dxa"/>
          </w:tcPr>
          <w:p w:rsidR="00DF5771" w:rsidRDefault="00DF5771" w:rsidP="001C7E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This award recognises schools that have:</w:t>
            </w:r>
          </w:p>
          <w:p w:rsidR="00DF5771" w:rsidRDefault="00DF5771" w:rsidP="001C7E4F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 current Action Plan</w:t>
            </w:r>
          </w:p>
          <w:p w:rsidR="00B20F2C" w:rsidRDefault="00DF5771" w:rsidP="001C7E4F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achieved 70% or more fidelity at tier I</w:t>
            </w:r>
            <w:r w:rsidR="007250D5">
              <w:rPr>
                <w:lang w:val="en-AU"/>
              </w:rPr>
              <w:t xml:space="preserve"> on three consecutive administrations according to the TFI</w:t>
            </w:r>
          </w:p>
          <w:p w:rsidR="00DF5771" w:rsidRPr="00DF5771" w:rsidRDefault="00DF5771" w:rsidP="001C7E4F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collected fidelity data in the last 12 months</w:t>
            </w:r>
          </w:p>
        </w:tc>
      </w:tr>
      <w:tr w:rsidR="00B20F2C" w:rsidTr="007250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0F2C" w:rsidRPr="00870E40" w:rsidRDefault="00870E40" w:rsidP="00870E40">
            <w:pPr>
              <w:pStyle w:val="TableHead"/>
              <w:rPr>
                <w:color w:val="AF272F" w:themeColor="accent1"/>
              </w:rPr>
            </w:pPr>
            <w:r w:rsidRPr="00870E40">
              <w:rPr>
                <w:color w:val="AF272F" w:themeColor="accent1"/>
              </w:rPr>
              <w:t>Silver</w:t>
            </w:r>
          </w:p>
        </w:tc>
        <w:tc>
          <w:tcPr>
            <w:tcW w:w="7658" w:type="dxa"/>
          </w:tcPr>
          <w:p w:rsidR="001C7E4F" w:rsidRDefault="001C7E4F" w:rsidP="001C7E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This award recognises schools that have:</w:t>
            </w:r>
          </w:p>
          <w:p w:rsidR="001C7E4F" w:rsidRDefault="001C7E4F" w:rsidP="001C7E4F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 current Action Plan</w:t>
            </w:r>
          </w:p>
          <w:p w:rsidR="007250D5" w:rsidRDefault="001C7E4F" w:rsidP="007250D5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achieved 70% or more fidelity at tier I</w:t>
            </w:r>
            <w:r w:rsidR="007250D5">
              <w:rPr>
                <w:lang w:val="en-AU"/>
              </w:rPr>
              <w:t xml:space="preserve"> on three consecutive administrations according to the TFI</w:t>
            </w:r>
          </w:p>
          <w:p w:rsidR="007250D5" w:rsidRDefault="001C7E4F" w:rsidP="007250D5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achieved 70% or more fidelity at tier II</w:t>
            </w:r>
            <w:r w:rsidR="007250D5">
              <w:rPr>
                <w:lang w:val="en-AU"/>
              </w:rPr>
              <w:t xml:space="preserve"> on three consecutive administrations according to the TFI</w:t>
            </w:r>
          </w:p>
          <w:p w:rsidR="00B20F2C" w:rsidRPr="001C7E4F" w:rsidRDefault="001C7E4F" w:rsidP="001C7E4F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collected fidelity data in the last 12 months</w:t>
            </w:r>
          </w:p>
        </w:tc>
      </w:tr>
      <w:tr w:rsidR="00870E40" w:rsidTr="007250D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70E40" w:rsidRPr="00870E40" w:rsidRDefault="00870E40" w:rsidP="00870E40">
            <w:pPr>
              <w:pStyle w:val="TableHead"/>
              <w:rPr>
                <w:color w:val="AF272F" w:themeColor="accent1"/>
              </w:rPr>
            </w:pPr>
            <w:r w:rsidRPr="00870E40">
              <w:rPr>
                <w:color w:val="AF272F" w:themeColor="accent1"/>
              </w:rPr>
              <w:lastRenderedPageBreak/>
              <w:t>Gold</w:t>
            </w:r>
          </w:p>
        </w:tc>
        <w:tc>
          <w:tcPr>
            <w:tcW w:w="7658" w:type="dxa"/>
          </w:tcPr>
          <w:p w:rsidR="001C7E4F" w:rsidRDefault="001C7E4F" w:rsidP="001C7E4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This award recognises schools that have:</w:t>
            </w:r>
          </w:p>
          <w:p w:rsidR="001C7E4F" w:rsidRDefault="001C7E4F" w:rsidP="001C7E4F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 current Action Plan</w:t>
            </w:r>
          </w:p>
          <w:p w:rsidR="007250D5" w:rsidRDefault="001C7E4F" w:rsidP="007250D5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achieved 70% or more fidelity at tier I</w:t>
            </w:r>
            <w:r w:rsidR="007250D5">
              <w:rPr>
                <w:lang w:val="en-AU"/>
              </w:rPr>
              <w:t xml:space="preserve"> on three consecutive administrations according to the TFI</w:t>
            </w:r>
          </w:p>
          <w:p w:rsidR="007250D5" w:rsidRDefault="001C7E4F" w:rsidP="007250D5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achieved 70% or more fidelity at tier II</w:t>
            </w:r>
            <w:r w:rsidR="007250D5">
              <w:rPr>
                <w:lang w:val="en-AU"/>
              </w:rPr>
              <w:t xml:space="preserve"> on three consecutive administrations according to the TFI</w:t>
            </w:r>
          </w:p>
          <w:p w:rsidR="007250D5" w:rsidRDefault="001C7E4F" w:rsidP="007250D5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achieved 70% or more fidelity at tier III</w:t>
            </w:r>
            <w:r w:rsidR="007250D5">
              <w:rPr>
                <w:lang w:val="en-AU"/>
              </w:rPr>
              <w:t xml:space="preserve"> on three consecutive administrations according to the TFI</w:t>
            </w:r>
          </w:p>
          <w:p w:rsidR="00870E40" w:rsidRPr="001C7E4F" w:rsidRDefault="001C7E4F" w:rsidP="001C7E4F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1C7E4F">
              <w:rPr>
                <w:lang w:val="en-AU"/>
              </w:rPr>
              <w:t>collected fidelity data in the last 12 months</w:t>
            </w:r>
          </w:p>
        </w:tc>
      </w:tr>
    </w:tbl>
    <w:p w:rsidR="007250D5" w:rsidRDefault="007250D5" w:rsidP="007250D5"/>
    <w:p w:rsidR="007250D5" w:rsidRDefault="007250D5" w:rsidP="00822027">
      <w:pPr>
        <w:pStyle w:val="Heading2"/>
      </w:pPr>
      <w:r>
        <w:t>Acknowledgements are valid for one year</w:t>
      </w:r>
    </w:p>
    <w:p w:rsidR="007250D5" w:rsidRDefault="008D694F" w:rsidP="007250D5">
      <w:r>
        <w:t>Because SWPBS is an ongoing process of implementation and evaluation, schools must demonstrate that they are maintaining or improving SWPBS implementation. This means that a school must formally evaluate their implementation using the TFI at least annually a</w:t>
      </w:r>
      <w:r w:rsidR="00E12A56">
        <w:t>nd submit their results to the SWPBS Central Unit</w:t>
      </w:r>
      <w:r>
        <w:t xml:space="preserve">. </w:t>
      </w:r>
      <w:r w:rsidR="00E12A56">
        <w:t xml:space="preserve">A school must achieve fidelity in the tier(s) each year according to the TFI and submit their results to be considered a “PBS school”. </w:t>
      </w:r>
      <w:r>
        <w:t xml:space="preserve"> </w:t>
      </w:r>
    </w:p>
    <w:p w:rsidR="00544906" w:rsidRDefault="00544906" w:rsidP="007250D5"/>
    <w:p w:rsidR="00544906" w:rsidRDefault="00544906" w:rsidP="00544906">
      <w:pPr>
        <w:pStyle w:val="Heading2"/>
      </w:pPr>
      <w:r>
        <w:t>schools will be acknowledged online</w:t>
      </w:r>
    </w:p>
    <w:p w:rsidR="00544906" w:rsidRPr="00101201" w:rsidRDefault="00544906" w:rsidP="007250D5">
      <w:r w:rsidRPr="00101201">
        <w:t xml:space="preserve">Schools which achieve </w:t>
      </w:r>
      <w:r w:rsidR="00E27D93" w:rsidRPr="00101201">
        <w:t xml:space="preserve">Blue, Bronze, Silver, and Gold acknowledgements will be listed on the SWPBS webpage. </w:t>
      </w:r>
    </w:p>
    <w:p w:rsidR="00724145" w:rsidRPr="00101201" w:rsidRDefault="00724145" w:rsidP="007250D5"/>
    <w:p w:rsidR="00724145" w:rsidRDefault="00724145" w:rsidP="00724145">
      <w:pPr>
        <w:pStyle w:val="Heading2"/>
      </w:pPr>
      <w:r>
        <w:t>reimbursements are available for schools</w:t>
      </w:r>
    </w:p>
    <w:p w:rsidR="007250D5" w:rsidRPr="00101201" w:rsidRDefault="00724145" w:rsidP="007250D5">
      <w:r w:rsidRPr="00101201">
        <w:t xml:space="preserve">Schools which achieve the Bronze, Silver, and Gold acknowledgements are eligible to apply for financial reimbursements. Further details are on the SWPBS webpage. </w:t>
      </w:r>
    </w:p>
    <w:p w:rsidR="00724145" w:rsidRPr="00101201" w:rsidRDefault="00724145" w:rsidP="007250D5"/>
    <w:p w:rsidR="00822027" w:rsidRPr="00822027" w:rsidRDefault="00822027" w:rsidP="00822027">
      <w:pPr>
        <w:pStyle w:val="Heading2"/>
      </w:pPr>
      <w:r w:rsidRPr="00822027">
        <w:t>More information</w:t>
      </w:r>
    </w:p>
    <w:p w:rsidR="00822027" w:rsidRPr="00624A55" w:rsidRDefault="00822027" w:rsidP="00822027">
      <w:pPr>
        <w:rPr>
          <w:lang w:val="en-AU"/>
        </w:rPr>
      </w:pPr>
      <w:r>
        <w:rPr>
          <w:lang w:val="en-AU"/>
        </w:rPr>
        <w:t xml:space="preserve">For more information contact SWPBS Central Unit on 9935 3705 or via </w:t>
      </w:r>
      <w:bookmarkStart w:id="0" w:name="_GoBack"/>
      <w:bookmarkEnd w:id="0"/>
      <w:r>
        <w:rPr>
          <w:lang w:val="en-AU"/>
        </w:rPr>
        <w:t xml:space="preserve">positive.behaviour@edumail.vic.gov.au. </w:t>
      </w:r>
    </w:p>
    <w:sectPr w:rsidR="00822027" w:rsidRPr="00624A55" w:rsidSect="002E6757">
      <w:headerReference w:type="default" r:id="rId13"/>
      <w:footerReference w:type="even" r:id="rId14"/>
      <w:footerReference w:type="default" r:id="rId15"/>
      <w:type w:val="continuous"/>
      <w:pgSz w:w="11900" w:h="16840"/>
      <w:pgMar w:top="2835" w:right="701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2E" w:rsidRDefault="00981F2E" w:rsidP="003967DD">
      <w:pPr>
        <w:spacing w:after="0"/>
      </w:pPr>
      <w:r>
        <w:separator/>
      </w:r>
    </w:p>
  </w:endnote>
  <w:endnote w:type="continuationSeparator" w:id="0">
    <w:p w:rsidR="00981F2E" w:rsidRDefault="00981F2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Cn BT">
    <w:altName w:val="Swis721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Condensed">
    <w:altName w:val="Swiss 721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757">
      <w:rPr>
        <w:rStyle w:val="PageNumber"/>
        <w:noProof/>
      </w:rPr>
      <w:t>2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2E" w:rsidRDefault="00981F2E" w:rsidP="003967DD">
      <w:pPr>
        <w:spacing w:after="0"/>
      </w:pPr>
      <w:r>
        <w:separator/>
      </w:r>
    </w:p>
  </w:footnote>
  <w:footnote w:type="continuationSeparator" w:id="0">
    <w:p w:rsidR="00981F2E" w:rsidRDefault="00981F2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326D7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FE1BCF" wp14:editId="53FC76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344"/>
          <wp:effectExtent l="0" t="0" r="952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_portrait_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8A4B0C"/>
    <w:multiLevelType w:val="hybridMultilevel"/>
    <w:tmpl w:val="3BEC4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6A9E"/>
    <w:multiLevelType w:val="hybridMultilevel"/>
    <w:tmpl w:val="D9983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249C"/>
    <w:multiLevelType w:val="hybridMultilevel"/>
    <w:tmpl w:val="7D8C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3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92530"/>
    <w:rsid w:val="000A47D4"/>
    <w:rsid w:val="00101201"/>
    <w:rsid w:val="00122369"/>
    <w:rsid w:val="001358EE"/>
    <w:rsid w:val="00181A5D"/>
    <w:rsid w:val="001C7E4F"/>
    <w:rsid w:val="001E21FD"/>
    <w:rsid w:val="001E6D40"/>
    <w:rsid w:val="002134C2"/>
    <w:rsid w:val="002300C1"/>
    <w:rsid w:val="002E3BED"/>
    <w:rsid w:val="002E6757"/>
    <w:rsid w:val="00304E1B"/>
    <w:rsid w:val="00312720"/>
    <w:rsid w:val="00326D7E"/>
    <w:rsid w:val="003402E1"/>
    <w:rsid w:val="003967DD"/>
    <w:rsid w:val="0041236C"/>
    <w:rsid w:val="004A38FE"/>
    <w:rsid w:val="005072F6"/>
    <w:rsid w:val="00544906"/>
    <w:rsid w:val="00563D51"/>
    <w:rsid w:val="00571991"/>
    <w:rsid w:val="00576FB6"/>
    <w:rsid w:val="005E1753"/>
    <w:rsid w:val="00624A55"/>
    <w:rsid w:val="00681F27"/>
    <w:rsid w:val="00724145"/>
    <w:rsid w:val="007250D5"/>
    <w:rsid w:val="00731F31"/>
    <w:rsid w:val="007B556E"/>
    <w:rsid w:val="007D3E38"/>
    <w:rsid w:val="007F7197"/>
    <w:rsid w:val="008129BF"/>
    <w:rsid w:val="00822027"/>
    <w:rsid w:val="00870E40"/>
    <w:rsid w:val="008C6723"/>
    <w:rsid w:val="008D2952"/>
    <w:rsid w:val="008D694F"/>
    <w:rsid w:val="009403FF"/>
    <w:rsid w:val="00981F2E"/>
    <w:rsid w:val="00A31926"/>
    <w:rsid w:val="00A83318"/>
    <w:rsid w:val="00AC29CB"/>
    <w:rsid w:val="00B20F2C"/>
    <w:rsid w:val="00C956F3"/>
    <w:rsid w:val="00CA038C"/>
    <w:rsid w:val="00CE5C63"/>
    <w:rsid w:val="00D858C0"/>
    <w:rsid w:val="00DC5436"/>
    <w:rsid w:val="00DF5771"/>
    <w:rsid w:val="00E12A56"/>
    <w:rsid w:val="00E27D93"/>
    <w:rsid w:val="00E67152"/>
    <w:rsid w:val="00ED14A2"/>
    <w:rsid w:val="00F049B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customStyle="1" w:styleId="Default">
    <w:name w:val="Default"/>
    <w:rsid w:val="00181A5D"/>
    <w:pPr>
      <w:autoSpaceDE w:val="0"/>
      <w:autoSpaceDN w:val="0"/>
      <w:adjustRightInd w:val="0"/>
    </w:pPr>
    <w:rPr>
      <w:rFonts w:ascii="Swis721 Cn BT" w:hAnsi="Swis721 Cn BT" w:cs="Swis721 Cn BT"/>
      <w:color w:val="000000"/>
      <w:lang w:val="en-AU"/>
    </w:rPr>
  </w:style>
  <w:style w:type="paragraph" w:customStyle="1" w:styleId="Pa0">
    <w:name w:val="Pa0"/>
    <w:basedOn w:val="Default"/>
    <w:next w:val="Default"/>
    <w:uiPriority w:val="99"/>
    <w:rsid w:val="00181A5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1A5D"/>
    <w:rPr>
      <w:rFonts w:ascii="Swiss 721 Condensed" w:hAnsi="Swiss 721 Condensed" w:cs="Swiss 721 Condensed"/>
      <w:color w:val="FFFFFF"/>
      <w:sz w:val="22"/>
      <w:szCs w:val="22"/>
    </w:rPr>
  </w:style>
  <w:style w:type="paragraph" w:styleId="ListParagraph">
    <w:name w:val="List Paragraph"/>
    <w:basedOn w:val="Normal"/>
    <w:uiPriority w:val="34"/>
    <w:qFormat/>
    <w:rsid w:val="00870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94F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s.sagepub.com/doi/abs/10.1177/109830071663719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bis.org/Common/Cms/files/pbisresources/SWPBIS%20Tiered%20Fidelity%20Inventory%20%28TFI%2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BF3A2-9B3E-4DD4-A4B0-1BF58C8A0675}"/>
</file>

<file path=customXml/itemProps2.xml><?xml version="1.0" encoding="utf-8"?>
<ds:datastoreItem xmlns:ds="http://schemas.openxmlformats.org/officeDocument/2006/customXml" ds:itemID="{A6CE509D-4BBB-4FA3-8AA7-894D3A492017}"/>
</file>

<file path=customXml/itemProps3.xml><?xml version="1.0" encoding="utf-8"?>
<ds:datastoreItem xmlns:ds="http://schemas.openxmlformats.org/officeDocument/2006/customXml" ds:itemID="{1B8743AD-772E-4EA1-9AF5-1C6A337E1859}"/>
</file>

<file path=customXml/itemProps4.xml><?xml version="1.0" encoding="utf-8"?>
<ds:datastoreItem xmlns:ds="http://schemas.openxmlformats.org/officeDocument/2006/customXml" ds:itemID="{A6CE509D-4BBB-4FA3-8AA7-894D3A492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SWPBS Recognising School Implementation</dc:title>
  <dc:subject/>
  <dc:creator>Isabel Lim</dc:creator>
  <cp:keywords/>
  <dc:description/>
  <cp:lastModifiedBy>Anstee, Irina I</cp:lastModifiedBy>
  <cp:revision>8</cp:revision>
  <dcterms:created xsi:type="dcterms:W3CDTF">2018-02-20T04:21:00Z</dcterms:created>
  <dcterms:modified xsi:type="dcterms:W3CDTF">2018-03-05T02:19:00Z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