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DFCA" w14:textId="77777777" w:rsidR="00927DEE" w:rsidRPr="00681347" w:rsidRDefault="00DD7D45" w:rsidP="00681347">
      <w:pPr>
        <w:pStyle w:val="Heading1"/>
      </w:pPr>
      <w:bookmarkStart w:id="0" w:name="_Toc455499267"/>
      <w:bookmarkStart w:id="1" w:name="_Toc455499461"/>
      <w:bookmarkStart w:id="2" w:name="_Toc455501167"/>
      <w:bookmarkStart w:id="3" w:name="_GoBack"/>
      <w:bookmarkEnd w:id="3"/>
      <w:r w:rsidRPr="00681347">
        <w:t xml:space="preserve">Section </w:t>
      </w:r>
      <w:r w:rsidR="00202056" w:rsidRPr="00681347">
        <w:t>3</w:t>
      </w:r>
      <w:r w:rsidR="00927DEE" w:rsidRPr="00681347">
        <w:t xml:space="preserve">: </w:t>
      </w:r>
      <w:r w:rsidR="00202056" w:rsidRPr="00681347">
        <w:t xml:space="preserve">Risk </w:t>
      </w:r>
      <w:r w:rsidR="00D25EED">
        <w:t>M</w:t>
      </w:r>
      <w:r w:rsidR="00202056" w:rsidRPr="00681347">
        <w:t>anagement</w:t>
      </w:r>
    </w:p>
    <w:p w14:paraId="73C22CC9" w14:textId="77777777" w:rsidR="00927DEE" w:rsidRPr="00681347" w:rsidRDefault="00CC5736" w:rsidP="00681347">
      <w:pPr>
        <w:pStyle w:val="Heading2"/>
      </w:pPr>
      <w:r>
        <w:t>3</w:t>
      </w:r>
      <w:r w:rsidR="00927DEE" w:rsidRPr="00681347">
        <w:t xml:space="preserve">.1 </w:t>
      </w:r>
      <w:r w:rsidR="00105B4D">
        <w:tab/>
      </w:r>
      <w:r w:rsidR="00927DEE" w:rsidRPr="00681347">
        <w:t>Overview</w:t>
      </w:r>
    </w:p>
    <w:p w14:paraId="7B3D0424" w14:textId="77777777" w:rsidR="005D23B8" w:rsidRDefault="005D23B8" w:rsidP="00D37239">
      <w:r w:rsidRPr="00681347">
        <w:t xml:space="preserve">Risk management maximises the ability to deliver on departmental objectives, promotes sound decision-making for resource allocation and investment, </w:t>
      </w:r>
      <w:r w:rsidR="00690EB1">
        <w:t xml:space="preserve">and </w:t>
      </w:r>
      <w:r w:rsidRPr="00681347">
        <w:t>works to safeguard student and employee wellbeing</w:t>
      </w:r>
      <w:r w:rsidR="00C22D1F">
        <w:t xml:space="preserve">. It also </w:t>
      </w:r>
      <w:r w:rsidRPr="00681347">
        <w:t>contributes to</w:t>
      </w:r>
      <w:r w:rsidR="00C22D1F">
        <w:t>wards</w:t>
      </w:r>
      <w:r w:rsidRPr="00681347">
        <w:t xml:space="preserve"> meeting the Victorian community and </w:t>
      </w:r>
      <w:r w:rsidR="003E68A5" w:rsidRPr="00681347">
        <w:t>g</w:t>
      </w:r>
      <w:r w:rsidRPr="00681347">
        <w:t xml:space="preserve">overnment expectations for accountable and responsible use of public finances and resources. </w:t>
      </w:r>
    </w:p>
    <w:p w14:paraId="6ED4D349" w14:textId="77777777" w:rsidR="003D208F" w:rsidRPr="00681347" w:rsidRDefault="003D208F" w:rsidP="00A17226">
      <w:pPr>
        <w:jc w:val="both"/>
      </w:pPr>
    </w:p>
    <w:p w14:paraId="75BA7B3F" w14:textId="77777777" w:rsidR="00927DEE" w:rsidRPr="00681347" w:rsidRDefault="00CC5736" w:rsidP="00681347">
      <w:pPr>
        <w:pStyle w:val="Heading2"/>
      </w:pPr>
      <w:r>
        <w:t>3</w:t>
      </w:r>
      <w:r w:rsidR="00927DEE" w:rsidRPr="00681347">
        <w:t xml:space="preserve">.2 </w:t>
      </w:r>
      <w:r w:rsidR="00105B4D">
        <w:tab/>
      </w:r>
      <w:r w:rsidR="005D23B8" w:rsidRPr="00681347">
        <w:t xml:space="preserve">Risk </w:t>
      </w:r>
      <w:r w:rsidR="00FF013F">
        <w:t>Management F</w:t>
      </w:r>
      <w:r w:rsidR="005D23B8" w:rsidRPr="00681347">
        <w:t>ramework</w:t>
      </w:r>
    </w:p>
    <w:p w14:paraId="0E17171A" w14:textId="77777777" w:rsidR="005D23B8" w:rsidRPr="00681347" w:rsidRDefault="005D23B8" w:rsidP="00681347">
      <w:r w:rsidRPr="00681347">
        <w:t xml:space="preserve">The Risk Management Framework provides an overview of the Department’s approach to </w:t>
      </w:r>
      <w:r w:rsidR="00C22D1F">
        <w:t xml:space="preserve">managing </w:t>
      </w:r>
      <w:r w:rsidRPr="00681347">
        <w:t>risk across the business.</w:t>
      </w:r>
    </w:p>
    <w:p w14:paraId="26DDF3A0" w14:textId="77777777" w:rsidR="00927DEE" w:rsidRPr="00681347" w:rsidRDefault="000221E8" w:rsidP="00681347">
      <w:pPr>
        <w:pStyle w:val="Heading3"/>
      </w:pPr>
      <w:r>
        <w:t>3</w:t>
      </w:r>
      <w:r w:rsidR="00927DEE" w:rsidRPr="00681347">
        <w:t xml:space="preserve">.2.1 </w:t>
      </w:r>
      <w:r w:rsidR="00105B4D">
        <w:tab/>
      </w:r>
      <w:r w:rsidR="00927DEE" w:rsidRPr="00681347">
        <w:t>Mandatory policy (</w:t>
      </w:r>
      <w:r w:rsidR="00D33982">
        <w:t>Must do</w:t>
      </w:r>
      <w:r w:rsidR="00927DEE" w:rsidRPr="00681347">
        <w:t>)</w:t>
      </w:r>
      <w:r w:rsidR="00B31802">
        <w:t>:</w:t>
      </w:r>
    </w:p>
    <w:tbl>
      <w:tblPr>
        <w:tblStyle w:val="LightList-Accent3"/>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link to the DET Risk management Framework"/>
      </w:tblPr>
      <w:tblGrid>
        <w:gridCol w:w="1072"/>
        <w:gridCol w:w="7230"/>
        <w:gridCol w:w="695"/>
      </w:tblGrid>
      <w:tr w:rsidR="00DC5E3B" w:rsidRPr="00070DAC" w14:paraId="18362F66" w14:textId="37F6916F" w:rsidTr="00DC5E3B">
        <w:trPr>
          <w:cnfStyle w:val="100000000000" w:firstRow="1" w:lastRow="0" w:firstColumn="0" w:lastColumn="0" w:oddVBand="0" w:evenVBand="0" w:oddHBand="0" w:evenHBand="0" w:firstRowFirstColumn="0" w:firstRowLastColumn="0" w:lastRowFirstColumn="0" w:lastRowLastColumn="0"/>
          <w:trHeight w:val="513"/>
          <w:tblHeader/>
        </w:trPr>
        <w:tc>
          <w:tcPr>
            <w:cnfStyle w:val="001000000000" w:firstRow="0" w:lastRow="0" w:firstColumn="1" w:lastColumn="0" w:oddVBand="0" w:evenVBand="0" w:oddHBand="0" w:evenHBand="0" w:firstRowFirstColumn="0" w:firstRowLastColumn="0" w:lastRowFirstColumn="0" w:lastRowLastColumn="0"/>
            <w:tcW w:w="1072" w:type="dxa"/>
            <w:shd w:val="clear" w:color="auto" w:fill="FFFFFF" w:themeFill="background1"/>
          </w:tcPr>
          <w:p w14:paraId="53C12123" w14:textId="3534A2E2" w:rsidR="00DC5E3B" w:rsidRPr="00070DAC" w:rsidRDefault="00DC5E3B" w:rsidP="00B56A86">
            <w:pPr>
              <w:rPr>
                <w:color w:val="auto"/>
                <w:sz w:val="18"/>
              </w:rPr>
            </w:pPr>
            <w:r w:rsidRPr="00070DAC">
              <w:rPr>
                <w:color w:val="auto"/>
                <w:sz w:val="18"/>
              </w:rPr>
              <w:t>Sequence Number</w:t>
            </w:r>
          </w:p>
        </w:tc>
        <w:tc>
          <w:tcPr>
            <w:tcW w:w="7230" w:type="dxa"/>
            <w:shd w:val="clear" w:color="auto" w:fill="auto"/>
          </w:tcPr>
          <w:p w14:paraId="33211BD9" w14:textId="2CFF2941" w:rsidR="00DC5E3B" w:rsidRPr="00070DAC" w:rsidRDefault="00DC5E3B" w:rsidP="00B56A86">
            <w:pPr>
              <w:cnfStyle w:val="100000000000" w:firstRow="1" w:lastRow="0" w:firstColumn="0" w:lastColumn="0" w:oddVBand="0" w:evenVBand="0" w:oddHBand="0" w:evenHBand="0" w:firstRowFirstColumn="0" w:firstRowLastColumn="0" w:lastRowFirstColumn="0" w:lastRowLastColumn="0"/>
              <w:rPr>
                <w:color w:val="auto"/>
                <w:sz w:val="18"/>
              </w:rPr>
            </w:pPr>
            <w:r>
              <w:rPr>
                <w:color w:val="auto"/>
                <w:sz w:val="18"/>
              </w:rPr>
              <w:t>Information</w:t>
            </w:r>
          </w:p>
        </w:tc>
        <w:tc>
          <w:tcPr>
            <w:tcW w:w="695" w:type="dxa"/>
            <w:tcBorders>
              <w:top w:val="nil"/>
              <w:right w:val="nil"/>
            </w:tcBorders>
            <w:shd w:val="clear" w:color="auto" w:fill="auto"/>
          </w:tcPr>
          <w:p w14:paraId="09361A55" w14:textId="77777777" w:rsidR="00DC5E3B" w:rsidRDefault="00DC5E3B" w:rsidP="00B56A86">
            <w:pPr>
              <w:cnfStyle w:val="100000000000" w:firstRow="1" w:lastRow="0" w:firstColumn="0" w:lastColumn="0" w:oddVBand="0" w:evenVBand="0" w:oddHBand="0" w:evenHBand="0" w:firstRowFirstColumn="0" w:firstRowLastColumn="0" w:lastRowFirstColumn="0" w:lastRowLastColumn="0"/>
              <w:rPr>
                <w:sz w:val="18"/>
              </w:rPr>
            </w:pPr>
          </w:p>
        </w:tc>
      </w:tr>
      <w:tr w:rsidR="00DC5E3B" w:rsidRPr="00B56A86" w14:paraId="21A908E5" w14:textId="7B9CDB88" w:rsidTr="00DC5E3B">
        <w:trPr>
          <w:cnfStyle w:val="100000000000" w:firstRow="1" w:lastRow="0" w:firstColumn="0" w:lastColumn="0" w:oddVBand="0" w:evenVBand="0" w:oddHBand="0" w:evenHBand="0" w:firstRowFirstColumn="0" w:firstRowLastColumn="0" w:lastRowFirstColumn="0" w:lastRowLastColumn="0"/>
          <w:trHeight w:val="537"/>
          <w:tblHeader/>
        </w:trPr>
        <w:tc>
          <w:tcPr>
            <w:cnfStyle w:val="001000000000" w:firstRow="0" w:lastRow="0" w:firstColumn="1" w:lastColumn="0" w:oddVBand="0" w:evenVBand="0" w:oddHBand="0" w:evenHBand="0" w:firstRowFirstColumn="0" w:firstRowLastColumn="0" w:lastRowFirstColumn="0" w:lastRowLastColumn="0"/>
            <w:tcW w:w="1072" w:type="dxa"/>
            <w:shd w:val="clear" w:color="auto" w:fill="FFFFFF" w:themeFill="background1"/>
          </w:tcPr>
          <w:p w14:paraId="2BD7F6ED" w14:textId="77777777" w:rsidR="00DC5E3B" w:rsidRPr="00B56A86" w:rsidRDefault="00DC5E3B" w:rsidP="00B56A86">
            <w:pPr>
              <w:rPr>
                <w:b w:val="0"/>
              </w:rPr>
            </w:pPr>
            <w:r w:rsidRPr="00B818A0">
              <w:rPr>
                <w:b w:val="0"/>
                <w:color w:val="auto"/>
              </w:rPr>
              <w:t>3.2.1.1</w:t>
            </w:r>
          </w:p>
        </w:tc>
        <w:tc>
          <w:tcPr>
            <w:tcW w:w="7230" w:type="dxa"/>
            <w:shd w:val="clear" w:color="auto" w:fill="auto"/>
          </w:tcPr>
          <w:p w14:paraId="1728A59C" w14:textId="25468162" w:rsidR="00DC5E3B" w:rsidRPr="00B56A86" w:rsidRDefault="00DC5E3B" w:rsidP="00B56A86">
            <w:pPr>
              <w:cnfStyle w:val="100000000000" w:firstRow="1" w:lastRow="0" w:firstColumn="0" w:lastColumn="0" w:oddVBand="0" w:evenVBand="0" w:oddHBand="0" w:evenHBand="0" w:firstRowFirstColumn="0" w:firstRowLastColumn="0" w:lastRowFirstColumn="0" w:lastRowLastColumn="0"/>
              <w:rPr>
                <w:b w:val="0"/>
              </w:rPr>
            </w:pPr>
            <w:r w:rsidRPr="00B818A0">
              <w:rPr>
                <w:b w:val="0"/>
                <w:color w:val="auto"/>
              </w:rPr>
              <w:t>Implement the</w:t>
            </w:r>
            <w:r w:rsidRPr="00B818A0">
              <w:rPr>
                <w:color w:val="auto"/>
              </w:rPr>
              <w:t xml:space="preserve"> </w:t>
            </w:r>
            <w:hyperlink r:id="rId12" w:anchor="/app/content/1923/support_and_service_(corp)%252Fgovernance_and_decision_making%252Frisk_management%252Frisk_management_overview" w:history="1">
              <w:r w:rsidRPr="00BC01CB">
                <w:rPr>
                  <w:rStyle w:val="Hyperlink"/>
                  <w:b w:val="0"/>
                </w:rPr>
                <w:t>DET Risk Management Framework</w:t>
              </w:r>
            </w:hyperlink>
          </w:p>
        </w:tc>
        <w:tc>
          <w:tcPr>
            <w:tcW w:w="695" w:type="dxa"/>
            <w:shd w:val="clear" w:color="auto" w:fill="auto"/>
          </w:tcPr>
          <w:p w14:paraId="4B9EFA80" w14:textId="77777777" w:rsidR="00DC5E3B" w:rsidRPr="00B818A0" w:rsidRDefault="00DC5E3B" w:rsidP="00B56A86">
            <w:pPr>
              <w:cnfStyle w:val="100000000000" w:firstRow="1" w:lastRow="0" w:firstColumn="0" w:lastColumn="0" w:oddVBand="0" w:evenVBand="0" w:oddHBand="0" w:evenHBand="0" w:firstRowFirstColumn="0" w:firstRowLastColumn="0" w:lastRowFirstColumn="0" w:lastRowLastColumn="0"/>
            </w:pPr>
          </w:p>
        </w:tc>
      </w:tr>
      <w:bookmarkEnd w:id="0"/>
      <w:bookmarkEnd w:id="1"/>
      <w:bookmarkEnd w:id="2"/>
    </w:tbl>
    <w:p w14:paraId="6CC70ADC" w14:textId="77777777" w:rsidR="009A25B7" w:rsidRDefault="009A25B7" w:rsidP="00D049D0"/>
    <w:p w14:paraId="2AF899AD" w14:textId="77777777" w:rsidR="0051778F" w:rsidRPr="00FB54EC" w:rsidRDefault="00CC5736" w:rsidP="00FB54EC">
      <w:pPr>
        <w:pStyle w:val="Heading2"/>
      </w:pPr>
      <w:r>
        <w:t>3.</w:t>
      </w:r>
      <w:r w:rsidR="0051778F" w:rsidRPr="00FB54EC">
        <w:t xml:space="preserve">3 </w:t>
      </w:r>
      <w:r w:rsidR="00105B4D">
        <w:tab/>
        <w:t>F</w:t>
      </w:r>
      <w:r w:rsidR="00906C25" w:rsidRPr="00FB54EC">
        <w:t>raud</w:t>
      </w:r>
      <w:r w:rsidR="001B71E2" w:rsidRPr="00FB54EC">
        <w:t xml:space="preserve"> and corruption</w:t>
      </w:r>
    </w:p>
    <w:p w14:paraId="1E2C5026" w14:textId="77777777" w:rsidR="001B71E2" w:rsidRPr="00FB54EC" w:rsidRDefault="001B71E2" w:rsidP="00E63005">
      <w:r w:rsidRPr="00FB54EC">
        <w:t>Fraud is dishonest activity causing actual or potential financial loss to the Department (including theft of money or other property) and where deception is used at the time, immediately before or immediately following the activity.</w:t>
      </w:r>
      <w:r w:rsidR="00E63005">
        <w:t xml:space="preserve"> </w:t>
      </w:r>
      <w:r w:rsidRPr="00FB54EC">
        <w:t>This also includes deliberate falsification, concealment, destruction or use of (or intention to use) falsified documentation</w:t>
      </w:r>
      <w:r w:rsidR="00C22D1F">
        <w:t xml:space="preserve"> </w:t>
      </w:r>
      <w:r w:rsidRPr="00FB54EC">
        <w:t>and the improper use of information or position for personal financial benefit.</w:t>
      </w:r>
    </w:p>
    <w:p w14:paraId="250B9487" w14:textId="77777777" w:rsidR="001B71E2" w:rsidRPr="00FB54EC" w:rsidRDefault="001B71E2" w:rsidP="00E63005">
      <w:r w:rsidRPr="00FB54EC">
        <w:t xml:space="preserve">Corruption is a dishonest activity in which an executive, manager, employee or contractor acts contrary to the interests of the Department and abuses his or her position of trust </w:t>
      </w:r>
      <w:r w:rsidR="00E63005">
        <w:t xml:space="preserve">to </w:t>
      </w:r>
      <w:r w:rsidRPr="00FB54EC">
        <w:t xml:space="preserve">achieve some personal gain or advantage for </w:t>
      </w:r>
      <w:r w:rsidR="003E68A5" w:rsidRPr="00FB54EC">
        <w:t>themselves</w:t>
      </w:r>
      <w:r w:rsidRPr="00FB54EC">
        <w:t xml:space="preserve"> or for another person or entity.</w:t>
      </w:r>
    </w:p>
    <w:p w14:paraId="484DC6E6" w14:textId="77777777" w:rsidR="00FE5FAB" w:rsidRPr="00FB54EC" w:rsidRDefault="00FE5FAB" w:rsidP="00E63005">
      <w:r w:rsidRPr="00FB54EC">
        <w:t>The Department has a zero tolerance to fraud and corruption.</w:t>
      </w:r>
    </w:p>
    <w:p w14:paraId="578BABE5" w14:textId="77777777" w:rsidR="00C667FD" w:rsidRDefault="00C667FD" w:rsidP="00FB54EC">
      <w:pPr>
        <w:pStyle w:val="Heading3"/>
      </w:pPr>
    </w:p>
    <w:p w14:paraId="59FFA045" w14:textId="77777777" w:rsidR="00C667FD" w:rsidRDefault="00C667FD" w:rsidP="00FB54EC">
      <w:pPr>
        <w:pStyle w:val="Heading3"/>
      </w:pPr>
    </w:p>
    <w:p w14:paraId="0D73911F" w14:textId="77777777" w:rsidR="00C667FD" w:rsidRDefault="00C667FD" w:rsidP="00FB54EC">
      <w:pPr>
        <w:pStyle w:val="Heading3"/>
      </w:pPr>
    </w:p>
    <w:p w14:paraId="21D8D95E" w14:textId="77777777" w:rsidR="00C667FD" w:rsidRDefault="00C667FD" w:rsidP="00FB54EC">
      <w:pPr>
        <w:pStyle w:val="Heading3"/>
      </w:pPr>
    </w:p>
    <w:p w14:paraId="4C8160EA" w14:textId="77777777" w:rsidR="00C667FD" w:rsidRDefault="00C667FD" w:rsidP="00FB54EC">
      <w:pPr>
        <w:pStyle w:val="Heading3"/>
      </w:pPr>
    </w:p>
    <w:p w14:paraId="6AD446CF" w14:textId="0FD3880C" w:rsidR="0051778F" w:rsidRPr="00FB54EC" w:rsidRDefault="00CC5736" w:rsidP="00FB54EC">
      <w:pPr>
        <w:pStyle w:val="Heading3"/>
      </w:pPr>
      <w:r>
        <w:lastRenderedPageBreak/>
        <w:t>3</w:t>
      </w:r>
      <w:r w:rsidR="00105B4D">
        <w:t>.3.1</w:t>
      </w:r>
      <w:r w:rsidR="00105B4D">
        <w:tab/>
      </w:r>
      <w:r w:rsidR="0051778F" w:rsidRPr="00FB54EC">
        <w:t>Mandatory policy (</w:t>
      </w:r>
      <w:r w:rsidR="00D33982">
        <w:t>Must do</w:t>
      </w:r>
      <w:r w:rsidR="0051778F" w:rsidRPr="00FB54EC">
        <w:t>)</w:t>
      </w:r>
      <w:r w:rsidR="00B31802">
        <w:t>:</w:t>
      </w:r>
    </w:p>
    <w:tbl>
      <w:tblPr>
        <w:tblStyle w:val="LightList-Accent3"/>
        <w:tblW w:w="0" w:type="auto"/>
        <w:tblInd w:w="-15" w:type="dxa"/>
        <w:tblLayout w:type="fixed"/>
        <w:tblLook w:val="04A0" w:firstRow="1" w:lastRow="0" w:firstColumn="1" w:lastColumn="0" w:noHBand="0" w:noVBand="1"/>
        <w:tblDescription w:val="a link to the DET Risk management Framework"/>
      </w:tblPr>
      <w:tblGrid>
        <w:gridCol w:w="1428"/>
        <w:gridCol w:w="6946"/>
        <w:gridCol w:w="695"/>
      </w:tblGrid>
      <w:tr w:rsidR="00DC5E3B" w:rsidRPr="00070DAC" w14:paraId="025DC6D5" w14:textId="115B8B40" w:rsidTr="00383514">
        <w:trPr>
          <w:cnfStyle w:val="100000000000" w:firstRow="1" w:lastRow="0" w:firstColumn="0" w:lastColumn="0" w:oddVBand="0" w:evenVBand="0" w:oddHBand="0" w:evenHBand="0" w:firstRowFirstColumn="0" w:firstRowLastColumn="0" w:lastRowFirstColumn="0" w:lastRowLastColumn="0"/>
          <w:trHeight w:val="513"/>
          <w:tblHeader/>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auto"/>
          </w:tcPr>
          <w:p w14:paraId="5B9EF39F" w14:textId="77777777" w:rsidR="00DC5E3B" w:rsidRPr="00070DAC" w:rsidRDefault="00DC5E3B" w:rsidP="00F73065">
            <w:pPr>
              <w:rPr>
                <w:color w:val="auto"/>
                <w:sz w:val="18"/>
              </w:rPr>
            </w:pPr>
            <w:r w:rsidRPr="00070DAC">
              <w:rPr>
                <w:color w:val="auto"/>
                <w:sz w:val="18"/>
              </w:rPr>
              <w:t>Sequence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BF508C1" w14:textId="77777777" w:rsidR="00DC5E3B" w:rsidRPr="00070DAC" w:rsidRDefault="00DC5E3B" w:rsidP="00F73065">
            <w:pPr>
              <w:cnfStyle w:val="100000000000" w:firstRow="1" w:lastRow="0" w:firstColumn="0" w:lastColumn="0" w:oddVBand="0" w:evenVBand="0" w:oddHBand="0" w:evenHBand="0" w:firstRowFirstColumn="0" w:firstRowLastColumn="0" w:lastRowFirstColumn="0" w:lastRowLastColumn="0"/>
              <w:rPr>
                <w:color w:val="auto"/>
                <w:sz w:val="18"/>
              </w:rPr>
            </w:pPr>
            <w:r>
              <w:rPr>
                <w:color w:val="auto"/>
                <w:sz w:val="18"/>
              </w:rPr>
              <w:t>Information</w:t>
            </w:r>
          </w:p>
        </w:tc>
        <w:tc>
          <w:tcPr>
            <w:tcW w:w="695" w:type="dxa"/>
            <w:tcBorders>
              <w:top w:val="nil"/>
              <w:left w:val="single" w:sz="4" w:space="0" w:color="auto"/>
              <w:bottom w:val="single" w:sz="4" w:space="0" w:color="auto"/>
              <w:right w:val="nil"/>
            </w:tcBorders>
            <w:shd w:val="clear" w:color="auto" w:fill="auto"/>
          </w:tcPr>
          <w:p w14:paraId="7FF9DCAE" w14:textId="77777777" w:rsidR="00DC5E3B" w:rsidRDefault="00DC5E3B" w:rsidP="00F73065">
            <w:pPr>
              <w:cnfStyle w:val="100000000000" w:firstRow="1" w:lastRow="0" w:firstColumn="0" w:lastColumn="0" w:oddVBand="0" w:evenVBand="0" w:oddHBand="0" w:evenHBand="0" w:firstRowFirstColumn="0" w:firstRowLastColumn="0" w:lastRowFirstColumn="0" w:lastRowLastColumn="0"/>
              <w:rPr>
                <w:sz w:val="18"/>
              </w:rPr>
            </w:pPr>
          </w:p>
        </w:tc>
      </w:tr>
      <w:tr w:rsidR="00DC5E3B" w:rsidRPr="00B56A86" w14:paraId="52BA4672" w14:textId="2F93F586" w:rsidTr="00DC5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D6A8F" w14:textId="77777777" w:rsidR="00DC5E3B" w:rsidRPr="00CC5736" w:rsidRDefault="00DC5E3B" w:rsidP="00CC5736">
            <w:pPr>
              <w:rPr>
                <w:b w:val="0"/>
              </w:rPr>
            </w:pPr>
            <w:r w:rsidRPr="00B818A0">
              <w:rPr>
                <w:b w:val="0"/>
                <w:color w:val="auto"/>
              </w:rPr>
              <w:t>3.3.1.1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3DDD76D" w14:textId="5EB99D64" w:rsidR="00DC5E3B" w:rsidRPr="00B56A86" w:rsidRDefault="00DC5E3B" w:rsidP="00CC5736">
            <w:pPr>
              <w:cnfStyle w:val="100000000000" w:firstRow="1" w:lastRow="0" w:firstColumn="0" w:lastColumn="0" w:oddVBand="0" w:evenVBand="0" w:oddHBand="0" w:evenHBand="0" w:firstRowFirstColumn="0" w:firstRowLastColumn="0" w:lastRowFirstColumn="0" w:lastRowLastColumn="0"/>
              <w:rPr>
                <w:b w:val="0"/>
              </w:rPr>
            </w:pPr>
            <w:r w:rsidRPr="00B818A0">
              <w:rPr>
                <w:b w:val="0"/>
                <w:color w:val="auto"/>
              </w:rPr>
              <w:t>Implement the</w:t>
            </w:r>
            <w:r w:rsidRPr="00B818A0">
              <w:rPr>
                <w:color w:val="auto"/>
              </w:rPr>
              <w:t xml:space="preserve"> </w:t>
            </w:r>
            <w:hyperlink r:id="rId13" w:anchor="/app/content/2618/policies_(corporate)%252Fintegrity%252Ffraud_and_corruption_control_policy" w:history="1">
              <w:r w:rsidR="00272949">
                <w:rPr>
                  <w:rStyle w:val="Hyperlink"/>
                  <w:b w:val="0"/>
                </w:rPr>
                <w:t>Fraud, Corruption and Other Losses Control Policy</w:t>
              </w:r>
            </w:hyperlink>
            <w:r w:rsidRPr="00B56A86">
              <w:t xml:space="preserve"> at school level.</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5A3EE853" w14:textId="77777777" w:rsidR="00DC5E3B" w:rsidRPr="00B818A0" w:rsidRDefault="00DC5E3B" w:rsidP="00CC5736">
            <w:pPr>
              <w:cnfStyle w:val="100000000000" w:firstRow="1" w:lastRow="0" w:firstColumn="0" w:lastColumn="0" w:oddVBand="0" w:evenVBand="0" w:oddHBand="0" w:evenHBand="0" w:firstRowFirstColumn="0" w:firstRowLastColumn="0" w:lastRowFirstColumn="0" w:lastRowLastColumn="0"/>
            </w:pPr>
          </w:p>
        </w:tc>
      </w:tr>
      <w:tr w:rsidR="00DC5E3B" w:rsidRPr="00FB54EC" w14:paraId="63FBA911" w14:textId="3A639F67" w:rsidTr="00651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141"/>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auto"/>
          </w:tcPr>
          <w:p w14:paraId="4F2D6B57" w14:textId="77777777" w:rsidR="00DC5E3B" w:rsidRPr="00CC5736" w:rsidRDefault="00DC5E3B" w:rsidP="00CC5736">
            <w:pPr>
              <w:rPr>
                <w:b w:val="0"/>
              </w:rPr>
            </w:pPr>
            <w:r>
              <w:rPr>
                <w:b w:val="0"/>
              </w:rPr>
              <w:t>3</w:t>
            </w:r>
            <w:r w:rsidRPr="00CC5736">
              <w:rPr>
                <w:b w:val="0"/>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C7BCB70" w14:textId="77777777" w:rsidR="00DC5E3B" w:rsidRPr="00FB54EC" w:rsidRDefault="00DC5E3B" w:rsidP="00CC5736">
            <w:pPr>
              <w:cnfStyle w:val="000000100000" w:firstRow="0" w:lastRow="0" w:firstColumn="0" w:lastColumn="0" w:oddVBand="0" w:evenVBand="0" w:oddHBand="1" w:evenHBand="0" w:firstRowFirstColumn="0" w:firstRowLastColumn="0" w:lastRowFirstColumn="0" w:lastRowLastColumn="0"/>
            </w:pPr>
            <w:r w:rsidRPr="00FB54EC">
              <w:t>Report fraud or corruption or suspected fraud or corruption by notifying:</w:t>
            </w:r>
          </w:p>
          <w:p w14:paraId="54385191" w14:textId="25BDACDB" w:rsidR="00DC5E3B" w:rsidRPr="00FB54EC" w:rsidRDefault="0065124F" w:rsidP="00CC5736">
            <w:pPr>
              <w:pStyle w:val="ListBullet"/>
              <w:cnfStyle w:val="000000100000" w:firstRow="0" w:lastRow="0" w:firstColumn="0" w:lastColumn="0" w:oddVBand="0" w:evenVBand="0" w:oddHBand="1" w:evenHBand="0" w:firstRowFirstColumn="0" w:firstRowLastColumn="0" w:lastRowFirstColumn="0" w:lastRowLastColumn="0"/>
            </w:pPr>
            <w:r>
              <w:t>the principal or Regional Director</w:t>
            </w:r>
          </w:p>
          <w:p w14:paraId="0F9E0544" w14:textId="77777777" w:rsidR="00DC5E3B" w:rsidRPr="00FB54EC" w:rsidRDefault="00DC5E3B" w:rsidP="00CC5736">
            <w:pPr>
              <w:cnfStyle w:val="000000100000" w:firstRow="0" w:lastRow="0" w:firstColumn="0" w:lastColumn="0" w:oddVBand="0" w:evenVBand="0" w:oddHBand="1" w:evenHBand="0" w:firstRowFirstColumn="0" w:firstRowLastColumn="0" w:lastRowFirstColumn="0" w:lastRowLastColumn="0"/>
            </w:pPr>
            <w:r w:rsidRPr="00FB54EC">
              <w:t xml:space="preserve">and/or </w:t>
            </w:r>
          </w:p>
          <w:p w14:paraId="3C3CB029" w14:textId="2A206678" w:rsidR="00DC5E3B" w:rsidRDefault="00DC5E3B" w:rsidP="00071489">
            <w:pPr>
              <w:pStyle w:val="ListBullet"/>
              <w:cnfStyle w:val="000000100000" w:firstRow="0" w:lastRow="0" w:firstColumn="0" w:lastColumn="0" w:oddVBand="0" w:evenVBand="0" w:oddHBand="1" w:evenHBand="0" w:firstRowFirstColumn="0" w:firstRowLastColumn="0" w:lastRowFirstColumn="0" w:lastRowLastColumn="0"/>
            </w:pPr>
            <w:r w:rsidRPr="00FB54EC">
              <w:t xml:space="preserve">the </w:t>
            </w:r>
            <w:r w:rsidR="0065124F">
              <w:t>Fraud and Corruption Control Unit</w:t>
            </w:r>
            <w:r w:rsidRPr="00FB54EC">
              <w:t xml:space="preserve"> on</w:t>
            </w:r>
          </w:p>
          <w:p w14:paraId="7F3EE00B" w14:textId="7EA5B7C0" w:rsidR="00DC5E3B" w:rsidRPr="00FB54EC" w:rsidRDefault="0065124F" w:rsidP="00D66D91">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pPr>
            <w:r>
              <w:t xml:space="preserve">7022 0121 </w:t>
            </w:r>
            <w:r w:rsidR="00DC5E3B" w:rsidRPr="00FB54EC">
              <w:t xml:space="preserve">or email: </w:t>
            </w:r>
            <w:hyperlink r:id="rId14" w:history="1">
              <w:r w:rsidR="00DC5E3B" w:rsidRPr="00B56A86">
                <w:rPr>
                  <w:rStyle w:val="Hyperlink"/>
                </w:rPr>
                <w:t>fraud.control@edumail.vic.gov.au</w:t>
              </w:r>
            </w:hyperlink>
            <w:r w:rsidR="00DC5E3B">
              <w:rPr>
                <w:rStyle w:val="Hyperlink"/>
              </w:rPr>
              <w:t>;</w:t>
            </w:r>
            <w:r w:rsidR="00DC5E3B" w:rsidRPr="00FB54EC">
              <w:t xml:space="preserve"> </w:t>
            </w:r>
          </w:p>
          <w:p w14:paraId="0B771D46" w14:textId="1A1A6A61" w:rsidR="00DC5E3B" w:rsidRPr="00FB54EC" w:rsidRDefault="00DC5E3B" w:rsidP="00071489">
            <w:pPr>
              <w:cnfStyle w:val="000000100000" w:firstRow="0" w:lastRow="0" w:firstColumn="0" w:lastColumn="0" w:oddVBand="0" w:evenVBand="0" w:oddHBand="1" w:evenHBand="0" w:firstRowFirstColumn="0" w:firstRowLastColumn="0" w:lastRowFirstColumn="0" w:lastRowLastColumn="0"/>
            </w:pPr>
            <w:r w:rsidRPr="00FB54EC">
              <w:t>or</w:t>
            </w:r>
          </w:p>
          <w:p w14:paraId="73AAC9A3" w14:textId="457CA0A3" w:rsidR="00DC5E3B" w:rsidRPr="00FB54EC" w:rsidRDefault="00DC5E3B" w:rsidP="0065124F">
            <w:pPr>
              <w:pStyle w:val="ListBullet"/>
              <w:spacing w:after="120"/>
              <w:cnfStyle w:val="000000100000" w:firstRow="0" w:lastRow="0" w:firstColumn="0" w:lastColumn="0" w:oddVBand="0" w:evenVBand="0" w:oddHBand="1" w:evenHBand="0" w:firstRowFirstColumn="0" w:firstRowLastColumn="0" w:lastRowFirstColumn="0" w:lastRowLastColumn="0"/>
            </w:pPr>
            <w:r w:rsidRPr="00FB54EC">
              <w:t>the Speak Up service, phone 1800 633 462</w:t>
            </w:r>
          </w:p>
        </w:tc>
        <w:tc>
          <w:tcPr>
            <w:tcW w:w="695" w:type="dxa"/>
            <w:tcBorders>
              <w:top w:val="single" w:sz="4" w:space="0" w:color="auto"/>
              <w:left w:val="single" w:sz="4" w:space="0" w:color="auto"/>
              <w:bottom w:val="single" w:sz="4" w:space="0" w:color="auto"/>
              <w:right w:val="single" w:sz="4" w:space="0" w:color="auto"/>
            </w:tcBorders>
          </w:tcPr>
          <w:p w14:paraId="1AE717CC" w14:textId="77777777" w:rsidR="00DC5E3B" w:rsidRPr="00FB54EC" w:rsidRDefault="00DC5E3B" w:rsidP="00CC5736">
            <w:pPr>
              <w:cnfStyle w:val="000000100000" w:firstRow="0" w:lastRow="0" w:firstColumn="0" w:lastColumn="0" w:oddVBand="0" w:evenVBand="0" w:oddHBand="1" w:evenHBand="0" w:firstRowFirstColumn="0" w:firstRowLastColumn="0" w:lastRowFirstColumn="0" w:lastRowLastColumn="0"/>
            </w:pPr>
          </w:p>
        </w:tc>
      </w:tr>
    </w:tbl>
    <w:p w14:paraId="4891E7C9" w14:textId="77777777" w:rsidR="000A1C9A" w:rsidRDefault="000A1C9A">
      <w:pPr>
        <w:spacing w:line="240" w:lineRule="auto"/>
        <w:rPr>
          <w:bCs/>
          <w:szCs w:val="22"/>
        </w:rPr>
      </w:pPr>
    </w:p>
    <w:p w14:paraId="2075F877" w14:textId="77777777" w:rsidR="0051778F" w:rsidRPr="00FB54EC" w:rsidRDefault="00CC5736" w:rsidP="00FB54EC">
      <w:pPr>
        <w:pStyle w:val="Heading2"/>
      </w:pPr>
      <w:r>
        <w:t>3</w:t>
      </w:r>
      <w:r w:rsidR="0051778F" w:rsidRPr="00FB54EC">
        <w:t xml:space="preserve">.4 </w:t>
      </w:r>
      <w:r w:rsidR="00105B4D">
        <w:tab/>
      </w:r>
      <w:r w:rsidR="00444E8D" w:rsidRPr="00FB54EC">
        <w:t>Conflict of interest/declaration of private interest</w:t>
      </w:r>
    </w:p>
    <w:p w14:paraId="68C9BD07" w14:textId="77777777" w:rsidR="000852D5" w:rsidRPr="00FB54EC" w:rsidRDefault="00137E84" w:rsidP="00E63005">
      <w:r w:rsidRPr="00FB54EC">
        <w:t xml:space="preserve">Conflict of Interest arises in circumstances where an employee’s public duty is influenced, or can be seen to be influenced, by a private interest. All employees, including members of the teaching service, school council employees and school councillors, have a responsibility to avoid any </w:t>
      </w:r>
      <w:r w:rsidR="00D17A1A" w:rsidRPr="00FB54EC">
        <w:t xml:space="preserve">dealings </w:t>
      </w:r>
      <w:r w:rsidRPr="00FB54EC">
        <w:t>that may affect their public duty. Where a conflict is identified, reasonable steps must be taken to address it in order to protect the public interest.</w:t>
      </w:r>
    </w:p>
    <w:p w14:paraId="1E65A08B" w14:textId="77777777" w:rsidR="0051778F" w:rsidRPr="00FB54EC" w:rsidRDefault="00CC5736" w:rsidP="00FB54EC">
      <w:pPr>
        <w:pStyle w:val="Heading3"/>
      </w:pPr>
      <w:r>
        <w:t>3</w:t>
      </w:r>
      <w:r w:rsidR="00105B4D">
        <w:t>.4.1</w:t>
      </w:r>
      <w:r w:rsidR="00105B4D">
        <w:tab/>
      </w:r>
      <w:r w:rsidR="0051778F" w:rsidRPr="00FB54EC">
        <w:t>Mandatory policy (</w:t>
      </w:r>
      <w:r w:rsidR="00D33982">
        <w:t>Must do</w:t>
      </w:r>
      <w:r w:rsidR="0051778F" w:rsidRPr="00FB54EC">
        <w:t>)</w:t>
      </w:r>
      <w:r w:rsidR="00B31802">
        <w:t>:</w:t>
      </w:r>
    </w:p>
    <w:tbl>
      <w:tblPr>
        <w:tblStyle w:val="TableGrid"/>
        <w:tblW w:w="9010" w:type="dxa"/>
        <w:tblInd w:w="57" w:type="dxa"/>
        <w:tblLayout w:type="fixed"/>
        <w:tblLook w:val="04A0" w:firstRow="1" w:lastRow="0" w:firstColumn="1" w:lastColumn="0" w:noHBand="0" w:noVBand="1"/>
        <w:tblDescription w:val="a link to the DET Risk management Framework"/>
      </w:tblPr>
      <w:tblGrid>
        <w:gridCol w:w="1145"/>
        <w:gridCol w:w="7160"/>
        <w:gridCol w:w="705"/>
      </w:tblGrid>
      <w:tr w:rsidR="00DC5E3B" w:rsidRPr="00070DAC" w14:paraId="08A9BA02" w14:textId="7BD53010" w:rsidTr="00383514">
        <w:trPr>
          <w:trHeight w:val="513"/>
          <w:tblHeader/>
        </w:trPr>
        <w:tc>
          <w:tcPr>
            <w:tcW w:w="1145" w:type="dxa"/>
          </w:tcPr>
          <w:p w14:paraId="3860B037" w14:textId="77777777" w:rsidR="00DC5E3B" w:rsidRPr="008614F7" w:rsidRDefault="00DC5E3B" w:rsidP="00F73065">
            <w:pPr>
              <w:rPr>
                <w:b/>
                <w:sz w:val="18"/>
              </w:rPr>
            </w:pPr>
            <w:r w:rsidRPr="008614F7">
              <w:rPr>
                <w:b/>
                <w:sz w:val="18"/>
              </w:rPr>
              <w:t>Sequence Number</w:t>
            </w:r>
          </w:p>
        </w:tc>
        <w:tc>
          <w:tcPr>
            <w:tcW w:w="7160" w:type="dxa"/>
          </w:tcPr>
          <w:p w14:paraId="705504E5" w14:textId="77777777" w:rsidR="00DC5E3B" w:rsidRPr="008614F7" w:rsidRDefault="00DC5E3B" w:rsidP="00F73065">
            <w:pPr>
              <w:rPr>
                <w:b/>
                <w:sz w:val="18"/>
              </w:rPr>
            </w:pPr>
            <w:r w:rsidRPr="008614F7">
              <w:rPr>
                <w:b/>
                <w:sz w:val="18"/>
              </w:rPr>
              <w:t>Information</w:t>
            </w:r>
          </w:p>
        </w:tc>
        <w:tc>
          <w:tcPr>
            <w:tcW w:w="705" w:type="dxa"/>
            <w:tcBorders>
              <w:top w:val="nil"/>
              <w:right w:val="nil"/>
            </w:tcBorders>
          </w:tcPr>
          <w:p w14:paraId="3CA1C7C7" w14:textId="77777777" w:rsidR="00DC5E3B" w:rsidRPr="008614F7" w:rsidRDefault="00DC5E3B" w:rsidP="00F73065">
            <w:pPr>
              <w:rPr>
                <w:b/>
                <w:sz w:val="18"/>
              </w:rPr>
            </w:pPr>
          </w:p>
        </w:tc>
      </w:tr>
      <w:tr w:rsidR="00DC5E3B" w:rsidRPr="00FB54EC" w14:paraId="090F7336" w14:textId="257A01C6" w:rsidTr="00DC5E3B">
        <w:trPr>
          <w:trHeight w:hRule="exact" w:val="652"/>
          <w:tblHeader/>
        </w:trPr>
        <w:tc>
          <w:tcPr>
            <w:tcW w:w="1145" w:type="dxa"/>
          </w:tcPr>
          <w:p w14:paraId="3BCCB6A9" w14:textId="77777777" w:rsidR="00DC5E3B" w:rsidRPr="00FB54EC" w:rsidRDefault="00DC5E3B" w:rsidP="00CC5736">
            <w:r>
              <w:t>3</w:t>
            </w:r>
            <w:r w:rsidRPr="00FB54EC">
              <w:t>.4.1.1</w:t>
            </w:r>
          </w:p>
        </w:tc>
        <w:tc>
          <w:tcPr>
            <w:tcW w:w="7160" w:type="dxa"/>
          </w:tcPr>
          <w:p w14:paraId="378833C8" w14:textId="77777777" w:rsidR="00DC5E3B" w:rsidRPr="00FB54EC" w:rsidRDefault="00DC5E3B" w:rsidP="00E63005">
            <w:r w:rsidRPr="00FB54EC">
              <w:t xml:space="preserve">Implement the </w:t>
            </w:r>
            <w:hyperlink r:id="rId15" w:history="1">
              <w:r w:rsidRPr="00FB54EC">
                <w:rPr>
                  <w:rStyle w:val="Hyperlink"/>
                </w:rPr>
                <w:t>Conflict of Interest Framework</w:t>
              </w:r>
            </w:hyperlink>
            <w:r w:rsidRPr="00FB54EC">
              <w:t xml:space="preserve"> at school level.</w:t>
            </w:r>
          </w:p>
        </w:tc>
        <w:tc>
          <w:tcPr>
            <w:tcW w:w="705" w:type="dxa"/>
          </w:tcPr>
          <w:p w14:paraId="54A2D2A8" w14:textId="77777777" w:rsidR="00DC5E3B" w:rsidRPr="00FB54EC" w:rsidRDefault="00DC5E3B" w:rsidP="00E63005"/>
        </w:tc>
      </w:tr>
      <w:tr w:rsidR="00DC5E3B" w:rsidRPr="00FB54EC" w14:paraId="3F1030C3" w14:textId="05786D0C" w:rsidTr="00DC5E3B">
        <w:trPr>
          <w:trHeight w:hRule="exact" w:val="977"/>
        </w:trPr>
        <w:tc>
          <w:tcPr>
            <w:tcW w:w="1145" w:type="dxa"/>
          </w:tcPr>
          <w:p w14:paraId="30C3844F" w14:textId="77777777" w:rsidR="00DC5E3B" w:rsidRPr="00FB54EC" w:rsidRDefault="00DC5E3B" w:rsidP="00CC5736">
            <w:r>
              <w:t>3</w:t>
            </w:r>
            <w:r w:rsidRPr="00FB54EC">
              <w:t>.4.1.2</w:t>
            </w:r>
          </w:p>
        </w:tc>
        <w:tc>
          <w:tcPr>
            <w:tcW w:w="7160" w:type="dxa"/>
          </w:tcPr>
          <w:p w14:paraId="4A0F70B3" w14:textId="77777777" w:rsidR="00DC5E3B" w:rsidRDefault="00DC5E3B" w:rsidP="000262DB">
            <w:pPr>
              <w:spacing w:before="0"/>
            </w:pPr>
            <w:r w:rsidRPr="00FB54EC">
              <w:t>The principal must make a Declaration of Private Interest (DPI) on appointment and annually thereafter</w:t>
            </w:r>
            <w:r w:rsidRPr="000262DB">
              <w:t xml:space="preserve">. </w:t>
            </w:r>
          </w:p>
          <w:p w14:paraId="0E55BF83" w14:textId="41468956" w:rsidR="00DC5E3B" w:rsidRPr="000262DB" w:rsidRDefault="00E260F4" w:rsidP="000262DB">
            <w:pPr>
              <w:spacing w:before="0"/>
            </w:pPr>
            <w:hyperlink r:id="rId16" w:history="1">
              <w:r w:rsidR="00DC5E3B" w:rsidRPr="000262DB">
                <w:rPr>
                  <w:rStyle w:val="Hyperlink"/>
                </w:rPr>
                <w:t>FAQ - declaration of Private Interests</w:t>
              </w:r>
            </w:hyperlink>
          </w:p>
          <w:p w14:paraId="214A86D0" w14:textId="6FDD9F9E" w:rsidR="00DC5E3B" w:rsidRDefault="00DC5E3B" w:rsidP="00E63005"/>
          <w:p w14:paraId="57B78C2F" w14:textId="06205431" w:rsidR="00DC5E3B" w:rsidRPr="00FB54EC" w:rsidRDefault="00DC5E3B" w:rsidP="00E63005"/>
        </w:tc>
        <w:tc>
          <w:tcPr>
            <w:tcW w:w="705" w:type="dxa"/>
          </w:tcPr>
          <w:p w14:paraId="77FC1C0E" w14:textId="77777777" w:rsidR="00DC5E3B" w:rsidRPr="00FB54EC" w:rsidRDefault="00DC5E3B" w:rsidP="000262DB">
            <w:pPr>
              <w:spacing w:before="0"/>
            </w:pPr>
          </w:p>
        </w:tc>
      </w:tr>
    </w:tbl>
    <w:p w14:paraId="6B2B7065" w14:textId="569CD13A" w:rsidR="00D81020" w:rsidRDefault="00D81020" w:rsidP="008C0B02"/>
    <w:p w14:paraId="591394FB" w14:textId="68FD2F00" w:rsidR="00C667FD" w:rsidRDefault="00C667FD" w:rsidP="008C0B02"/>
    <w:p w14:paraId="7C83BE6F" w14:textId="77777777" w:rsidR="0051778F" w:rsidRPr="00FB54EC" w:rsidRDefault="0051778F" w:rsidP="00FB54EC">
      <w:pPr>
        <w:pStyle w:val="Heading2"/>
      </w:pPr>
      <w:r w:rsidRPr="00FB54EC">
        <w:t>Legislative requirements</w:t>
      </w:r>
    </w:p>
    <w:p w14:paraId="652DB051" w14:textId="77777777" w:rsidR="0051778F" w:rsidRPr="00FB54EC" w:rsidRDefault="0051778F" w:rsidP="00FB54EC">
      <w:r w:rsidRPr="00FB54EC">
        <w:t>The advice in this section was based on requirements outlined in the following legislation:</w:t>
      </w:r>
    </w:p>
    <w:p w14:paraId="24D20758" w14:textId="77777777" w:rsidR="00BE3D2B" w:rsidRPr="00FB54EC" w:rsidRDefault="00BE3D2B" w:rsidP="00BE3D2B">
      <w:pPr>
        <w:pStyle w:val="ListBullet"/>
      </w:pPr>
      <w:r w:rsidRPr="00FB54EC">
        <w:t>Code of Conduct for Victorian Public Sector Employees</w:t>
      </w:r>
    </w:p>
    <w:p w14:paraId="28706E5F" w14:textId="77777777" w:rsidR="0051778F" w:rsidRPr="00FB54EC" w:rsidRDefault="0051778F" w:rsidP="00FB54EC">
      <w:pPr>
        <w:pStyle w:val="ListBullet"/>
      </w:pPr>
      <w:r w:rsidRPr="00D81020">
        <w:rPr>
          <w:i/>
        </w:rPr>
        <w:lastRenderedPageBreak/>
        <w:t>Education and Training Reform Act 2006</w:t>
      </w:r>
      <w:r w:rsidRPr="00FB54EC">
        <w:t xml:space="preserve"> – </w:t>
      </w:r>
      <w:r w:rsidR="00CE1579" w:rsidRPr="00FB54EC">
        <w:t>Part 2.3 – Government School Councils</w:t>
      </w:r>
      <w:r w:rsidRPr="00FB54EC">
        <w:t xml:space="preserve"> </w:t>
      </w:r>
    </w:p>
    <w:p w14:paraId="7C46FD36" w14:textId="77777777" w:rsidR="00F6721F" w:rsidRDefault="00F6721F" w:rsidP="00F6721F">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4A6D047E" w14:textId="19552C0F" w:rsidR="0051778F" w:rsidRPr="00FB54EC" w:rsidRDefault="0051778F" w:rsidP="00FB54EC">
      <w:pPr>
        <w:pStyle w:val="ListBullet"/>
      </w:pPr>
      <w:r w:rsidRPr="00FB54EC">
        <w:t>Standing Directions of the Minister of Finance 201</w:t>
      </w:r>
      <w:r w:rsidR="009F4760">
        <w:t>8</w:t>
      </w:r>
      <w:r w:rsidR="00FF013F">
        <w:t xml:space="preserve"> under the </w:t>
      </w:r>
      <w:r w:rsidR="00FF013F" w:rsidRPr="00FF013F">
        <w:rPr>
          <w:i/>
        </w:rPr>
        <w:t>Financial Management Act 1994</w:t>
      </w:r>
      <w:r w:rsidRPr="00FF013F">
        <w:rPr>
          <w:i/>
        </w:rPr>
        <w:t xml:space="preserve"> </w:t>
      </w:r>
      <w:r w:rsidR="00096CA9" w:rsidRPr="00FB54EC">
        <w:t>–</w:t>
      </w:r>
      <w:r w:rsidRPr="00FB54EC">
        <w:t xml:space="preserve"> </w:t>
      </w:r>
      <w:r w:rsidR="00096CA9" w:rsidRPr="00FB54EC">
        <w:t xml:space="preserve">Section </w:t>
      </w:r>
      <w:r w:rsidR="00B46FDB" w:rsidRPr="00FB54EC">
        <w:t>3.5 Fraud, corruption and other losses</w:t>
      </w:r>
      <w:r w:rsidR="00FF013F">
        <w:t xml:space="preserve"> and </w:t>
      </w:r>
      <w:r w:rsidR="00B46FDB" w:rsidRPr="00FB54EC">
        <w:t>3.7 Managing risk</w:t>
      </w:r>
    </w:p>
    <w:p w14:paraId="535223A0" w14:textId="77777777" w:rsidR="00BC296E" w:rsidRDefault="00BC296E" w:rsidP="00FB54EC">
      <w:pPr>
        <w:pStyle w:val="ListBullet"/>
        <w:rPr>
          <w:i/>
        </w:rPr>
      </w:pPr>
      <w:r w:rsidRPr="00D81020">
        <w:rPr>
          <w:i/>
        </w:rPr>
        <w:t>Public Administration Act 2004</w:t>
      </w:r>
    </w:p>
    <w:p w14:paraId="112D8067" w14:textId="77777777" w:rsidR="00BC296E" w:rsidRDefault="00BC296E" w:rsidP="00FB54EC">
      <w:pPr>
        <w:pStyle w:val="ListBullet"/>
      </w:pPr>
      <w:r w:rsidRPr="00FB54EC">
        <w:t>Ministerial Orders 199 and 200</w:t>
      </w:r>
    </w:p>
    <w:p w14:paraId="36AFB13A" w14:textId="77777777" w:rsidR="0051778F" w:rsidRPr="00FB54EC" w:rsidRDefault="0051778F" w:rsidP="00FB54EC">
      <w:pPr>
        <w:pStyle w:val="Heading2"/>
      </w:pPr>
      <w:r w:rsidRPr="00FB54EC">
        <w:t xml:space="preserve">Definitions </w:t>
      </w:r>
    </w:p>
    <w:tbl>
      <w:tblPr>
        <w:tblStyle w:val="GridTable6Colorful1"/>
        <w:tblW w:w="8772" w:type="dxa"/>
        <w:tblInd w:w="52" w:type="dxa"/>
        <w:tblLayout w:type="fixed"/>
        <w:tblLook w:val="04A0" w:firstRow="1" w:lastRow="0" w:firstColumn="1" w:lastColumn="0" w:noHBand="0" w:noVBand="1"/>
        <w:tblDescription w:val="a link to the DET Risk management Framework"/>
      </w:tblPr>
      <w:tblGrid>
        <w:gridCol w:w="1925"/>
        <w:gridCol w:w="6847"/>
      </w:tblGrid>
      <w:tr w:rsidR="006E645E" w:rsidRPr="005577D5" w14:paraId="57612C1A" w14:textId="77777777" w:rsidTr="006E645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7E4F9F12" w14:textId="50128CD2" w:rsidR="006E645E" w:rsidRDefault="006E645E" w:rsidP="006E645E">
            <w:r>
              <w:rPr>
                <w:color w:val="auto"/>
              </w:rPr>
              <w:t>Item</w:t>
            </w:r>
          </w:p>
        </w:tc>
        <w:tc>
          <w:tcPr>
            <w:tcW w:w="6847" w:type="dxa"/>
            <w:tcBorders>
              <w:top w:val="single" w:sz="4" w:space="0" w:color="auto"/>
              <w:left w:val="single" w:sz="4" w:space="0" w:color="auto"/>
              <w:bottom w:val="single" w:sz="4" w:space="0" w:color="auto"/>
              <w:right w:val="single" w:sz="4" w:space="0" w:color="auto"/>
            </w:tcBorders>
          </w:tcPr>
          <w:p w14:paraId="4F966302" w14:textId="72B129B4" w:rsidR="006E645E" w:rsidRDefault="006E645E" w:rsidP="006E645E">
            <w:pPr>
              <w:cnfStyle w:val="100000000000" w:firstRow="1" w:lastRow="0" w:firstColumn="0" w:lastColumn="0" w:oddVBand="0" w:evenVBand="0" w:oddHBand="0" w:evenHBand="0" w:firstRowFirstColumn="0" w:firstRowLastColumn="0" w:lastRowFirstColumn="0" w:lastRowLastColumn="0"/>
            </w:pPr>
            <w:r>
              <w:rPr>
                <w:color w:val="auto"/>
              </w:rPr>
              <w:t>Definition</w:t>
            </w:r>
          </w:p>
        </w:tc>
      </w:tr>
      <w:tr w:rsidR="006E645E" w:rsidRPr="00B56A86" w14:paraId="16137497" w14:textId="77777777" w:rsidTr="006E6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D2EBDD6" w14:textId="77777777" w:rsidR="006E645E" w:rsidRPr="00203A64" w:rsidRDefault="006E645E" w:rsidP="006E645E">
            <w:pPr>
              <w:rPr>
                <w:color w:val="auto"/>
              </w:rPr>
            </w:pPr>
            <w:r w:rsidRPr="00203A64">
              <w:rPr>
                <w:color w:val="auto"/>
              </w:rPr>
              <w:t>Declaration of private interest (DPI)</w:t>
            </w:r>
          </w:p>
          <w:p w14:paraId="55358452" w14:textId="77777777" w:rsidR="006E645E" w:rsidRPr="00203A64" w:rsidRDefault="006E645E" w:rsidP="006E645E"/>
        </w:tc>
        <w:tc>
          <w:tcPr>
            <w:tcW w:w="6847" w:type="dxa"/>
            <w:tcBorders>
              <w:top w:val="single" w:sz="4" w:space="0" w:color="auto"/>
              <w:left w:val="single" w:sz="4" w:space="0" w:color="auto"/>
              <w:bottom w:val="single" w:sz="4" w:space="0" w:color="auto"/>
              <w:right w:val="single" w:sz="4" w:space="0" w:color="auto"/>
            </w:tcBorders>
          </w:tcPr>
          <w:p w14:paraId="012225DE" w14:textId="77777777" w:rsidR="006E645E" w:rsidRPr="00FF013F" w:rsidRDefault="006E645E" w:rsidP="0065124F">
            <w:pPr>
              <w:spacing w:after="120"/>
              <w:cnfStyle w:val="000000100000" w:firstRow="0" w:lastRow="0" w:firstColumn="0" w:lastColumn="0" w:oddVBand="0" w:evenVBand="0" w:oddHBand="1" w:evenHBand="0" w:firstRowFirstColumn="0" w:firstRowLastColumn="0" w:lastRowFirstColumn="0" w:lastRowLastColumn="0"/>
              <w:rPr>
                <w:b/>
              </w:rPr>
            </w:pPr>
            <w:r w:rsidRPr="00FF013F">
              <w:t>Declaration made via Edupay of potential conflicts of interest including, but not limited to, other sources of income, any positions of office held in public or private companies, shareholdings and other business interests, relationships with trusts, holdings of real estate, agreements and contracts, other financial interests and any probity issues.</w:t>
            </w:r>
          </w:p>
        </w:tc>
      </w:tr>
      <w:tr w:rsidR="006E645E" w:rsidRPr="00B56A86" w14:paraId="0E647466" w14:textId="77777777" w:rsidTr="006E6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1"/>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C8E84" w14:textId="77777777" w:rsidR="006E645E" w:rsidRPr="002C05C1" w:rsidRDefault="006E645E" w:rsidP="006E645E">
            <w:r>
              <w:t>Principal Controlled</w:t>
            </w:r>
          </w:p>
        </w:tc>
        <w:tc>
          <w:tcPr>
            <w:tcW w:w="6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A40BC5" w14:textId="77777777" w:rsidR="006E645E" w:rsidRPr="00FF013F" w:rsidRDefault="006E645E" w:rsidP="0065124F">
            <w:pPr>
              <w:spacing w:after="120"/>
              <w:cnfStyle w:val="000000000000" w:firstRow="0" w:lastRow="0" w:firstColumn="0" w:lastColumn="0" w:oddVBand="0" w:evenVBand="0" w:oddHBand="0" w:evenHBand="0" w:firstRowFirstColumn="0" w:firstRowLastColumn="0" w:lastRowFirstColumn="0" w:lastRowLastColumn="0"/>
            </w:pPr>
            <w:r w:rsidRPr="00FF013F">
              <w:t>This means a contract for work that is arranged and controlled by the school, not the builder.</w:t>
            </w:r>
          </w:p>
        </w:tc>
      </w:tr>
    </w:tbl>
    <w:p w14:paraId="3ED2379C" w14:textId="77777777" w:rsidR="006C0108" w:rsidRDefault="006C0108" w:rsidP="001D199B">
      <w:pPr>
        <w:spacing w:line="240" w:lineRule="auto"/>
      </w:pPr>
    </w:p>
    <w:p w14:paraId="21AC2B3F" w14:textId="77777777" w:rsidR="0051778F" w:rsidRDefault="0051778F" w:rsidP="00FB54EC">
      <w:pPr>
        <w:pStyle w:val="Heading2"/>
      </w:pPr>
      <w:r w:rsidRPr="00FB54EC">
        <w:t xml:space="preserve">Additional </w:t>
      </w:r>
      <w:r w:rsidR="00F02FFB">
        <w:t>r</w:t>
      </w:r>
      <w:r w:rsidRPr="00FB54EC">
        <w:t>esources</w:t>
      </w:r>
    </w:p>
    <w:p w14:paraId="6503E5FA" w14:textId="75965619" w:rsidR="00FF013F" w:rsidRPr="00FF013F" w:rsidRDefault="00E260F4" w:rsidP="00FF013F">
      <w:pPr>
        <w:pStyle w:val="ListParagraph"/>
        <w:numPr>
          <w:ilvl w:val="0"/>
          <w:numId w:val="40"/>
        </w:numPr>
      </w:pPr>
      <w:hyperlink r:id="rId17" w:history="1">
        <w:r w:rsidR="004A6D59">
          <w:rPr>
            <w:rStyle w:val="Hyperlink"/>
          </w:rPr>
          <w:t xml:space="preserve">Conflict of Interest </w:t>
        </w:r>
      </w:hyperlink>
    </w:p>
    <w:p w14:paraId="619A9CB5" w14:textId="0D4EAEA8" w:rsidR="00CB282B" w:rsidRPr="004A6D59" w:rsidRDefault="00E260F4" w:rsidP="002B7906">
      <w:pPr>
        <w:pStyle w:val="ListBullet"/>
        <w:rPr>
          <w:rStyle w:val="Hyperlink"/>
          <w:color w:val="auto"/>
          <w:u w:val="none"/>
        </w:rPr>
      </w:pPr>
      <w:hyperlink r:id="rId18" w:anchor="/app/content/1923/support_and_service_(corp)%252Fgovernance_and_decision_making%252Frisk_management%252Frisk_management_overview" w:history="1">
        <w:r w:rsidR="00CB282B" w:rsidRPr="007334C5">
          <w:rPr>
            <w:rStyle w:val="Hyperlink"/>
          </w:rPr>
          <w:t>Risk Management Overview link</w:t>
        </w:r>
      </w:hyperlink>
    </w:p>
    <w:p w14:paraId="2229874F" w14:textId="70BE73E0" w:rsidR="004A6D59" w:rsidRPr="004A6D59" w:rsidRDefault="00E260F4" w:rsidP="004A6D59">
      <w:pPr>
        <w:pStyle w:val="ListBullet"/>
        <w:rPr>
          <w:rStyle w:val="Hyperlink"/>
          <w:color w:val="auto"/>
          <w:u w:val="none"/>
        </w:rPr>
      </w:pPr>
      <w:hyperlink r:id="rId19" w:history="1">
        <w:r w:rsidR="004A6D59" w:rsidRPr="004A6D59">
          <w:rPr>
            <w:rStyle w:val="Hyperlink"/>
          </w:rPr>
          <w:t>Risk Management Framework</w:t>
        </w:r>
      </w:hyperlink>
    </w:p>
    <w:p w14:paraId="5FCC3915" w14:textId="77777777" w:rsidR="009678AD" w:rsidRDefault="00E260F4" w:rsidP="002B7906">
      <w:pPr>
        <w:pStyle w:val="ListBullet"/>
        <w:rPr>
          <w:rFonts w:cs="Arial"/>
        </w:rPr>
      </w:pPr>
      <w:hyperlink r:id="rId20" w:history="1">
        <w:r w:rsidR="001B71E2" w:rsidRPr="009678AD">
          <w:rPr>
            <w:rStyle w:val="Hyperlink"/>
            <w:rFonts w:cs="Arial"/>
          </w:rPr>
          <w:t>School Policy and Advisory Guide – Risk Management</w:t>
        </w:r>
      </w:hyperlink>
    </w:p>
    <w:p w14:paraId="15407219" w14:textId="7743D8F2" w:rsidR="001D199B" w:rsidRPr="002B7906" w:rsidRDefault="00E260F4" w:rsidP="00C61C84">
      <w:pPr>
        <w:pStyle w:val="ListBullet"/>
      </w:pPr>
      <w:hyperlink r:id="rId21" w:history="1">
        <w:r w:rsidR="001D199B" w:rsidRPr="009678AD">
          <w:rPr>
            <w:rStyle w:val="Hyperlink"/>
          </w:rPr>
          <w:t>School Policy and Advisory Guide</w:t>
        </w:r>
      </w:hyperlink>
      <w:r w:rsidR="002B7906" w:rsidRPr="002B7906">
        <w:br/>
      </w:r>
    </w:p>
    <w:p w14:paraId="5C48774F" w14:textId="139D6B3C" w:rsidR="0051778F" w:rsidRPr="00FB54EC" w:rsidRDefault="00D459EA" w:rsidP="00FB54EC">
      <w:pPr>
        <w:pStyle w:val="Heading2"/>
      </w:pPr>
      <w:r>
        <w:t>V</w:t>
      </w:r>
      <w:r w:rsidR="00D37239">
        <w:t xml:space="preserve">ersion and </w:t>
      </w:r>
      <w:r w:rsidR="00F02FFB">
        <w:t>r</w:t>
      </w:r>
      <w:r w:rsidR="00F11E96">
        <w:t>e</w:t>
      </w:r>
      <w:r w:rsidR="0051778F" w:rsidRPr="00FB54EC">
        <w:t xml:space="preserve">vision </w:t>
      </w:r>
      <w:r w:rsidR="00D37239">
        <w:t xml:space="preserve">control </w:t>
      </w:r>
      <w:r w:rsidR="0051778F" w:rsidRPr="00FB54EC">
        <w:t>record</w:t>
      </w:r>
    </w:p>
    <w:tbl>
      <w:tblPr>
        <w:tblStyle w:val="TableGrid"/>
        <w:tblW w:w="0" w:type="auto"/>
        <w:tblLook w:val="04A0" w:firstRow="1" w:lastRow="0" w:firstColumn="1" w:lastColumn="0" w:noHBand="0" w:noVBand="1"/>
        <w:tblDescription w:val="version and revision control record"/>
      </w:tblPr>
      <w:tblGrid>
        <w:gridCol w:w="1318"/>
        <w:gridCol w:w="1132"/>
        <w:gridCol w:w="4915"/>
        <w:gridCol w:w="1689"/>
      </w:tblGrid>
      <w:tr w:rsidR="0051778F" w:rsidRPr="00FB54EC" w14:paraId="6B1EC7DC" w14:textId="77777777" w:rsidTr="00916C6B">
        <w:trPr>
          <w:tblHeader/>
        </w:trPr>
        <w:tc>
          <w:tcPr>
            <w:tcW w:w="1318" w:type="dxa"/>
            <w:shd w:val="clear" w:color="auto" w:fill="F2F2F2" w:themeFill="background1" w:themeFillShade="F2"/>
          </w:tcPr>
          <w:p w14:paraId="6315FCB2" w14:textId="77777777" w:rsidR="0051778F" w:rsidRPr="004338AC" w:rsidRDefault="0051778F" w:rsidP="00FB54EC">
            <w:pPr>
              <w:rPr>
                <w:b/>
              </w:rPr>
            </w:pPr>
            <w:r w:rsidRPr="004338AC">
              <w:rPr>
                <w:b/>
              </w:rPr>
              <w:t>Date</w:t>
            </w:r>
          </w:p>
        </w:tc>
        <w:tc>
          <w:tcPr>
            <w:tcW w:w="1132" w:type="dxa"/>
            <w:shd w:val="clear" w:color="auto" w:fill="F2F2F2" w:themeFill="background1" w:themeFillShade="F2"/>
          </w:tcPr>
          <w:p w14:paraId="5D8C2130" w14:textId="77777777" w:rsidR="0051778F" w:rsidRPr="004338AC" w:rsidRDefault="0051778F" w:rsidP="00FB54EC">
            <w:pPr>
              <w:rPr>
                <w:b/>
              </w:rPr>
            </w:pPr>
            <w:r w:rsidRPr="004338AC">
              <w:rPr>
                <w:b/>
              </w:rPr>
              <w:t>Version</w:t>
            </w:r>
          </w:p>
        </w:tc>
        <w:tc>
          <w:tcPr>
            <w:tcW w:w="4915" w:type="dxa"/>
            <w:shd w:val="clear" w:color="auto" w:fill="F2F2F2" w:themeFill="background1" w:themeFillShade="F2"/>
          </w:tcPr>
          <w:p w14:paraId="63E2172F" w14:textId="77777777" w:rsidR="0051778F" w:rsidRPr="004338AC" w:rsidRDefault="0051778F" w:rsidP="00FB54EC">
            <w:pPr>
              <w:rPr>
                <w:b/>
              </w:rPr>
            </w:pPr>
            <w:r w:rsidRPr="004338AC">
              <w:rPr>
                <w:b/>
              </w:rPr>
              <w:t>Approver</w:t>
            </w:r>
          </w:p>
        </w:tc>
        <w:tc>
          <w:tcPr>
            <w:tcW w:w="1689" w:type="dxa"/>
            <w:shd w:val="clear" w:color="auto" w:fill="F2F2F2" w:themeFill="background1" w:themeFillShade="F2"/>
          </w:tcPr>
          <w:p w14:paraId="73A063BA" w14:textId="77777777" w:rsidR="0051778F" w:rsidRPr="004338AC" w:rsidRDefault="0051778F" w:rsidP="00FB54EC">
            <w:pPr>
              <w:rPr>
                <w:b/>
              </w:rPr>
            </w:pPr>
            <w:r w:rsidRPr="004338AC">
              <w:rPr>
                <w:b/>
              </w:rPr>
              <w:t>Next Review</w:t>
            </w:r>
          </w:p>
        </w:tc>
      </w:tr>
      <w:tr w:rsidR="0051778F" w:rsidRPr="00FB54EC" w14:paraId="2B048022" w14:textId="77777777" w:rsidTr="002C05C1">
        <w:tc>
          <w:tcPr>
            <w:tcW w:w="1318" w:type="dxa"/>
          </w:tcPr>
          <w:p w14:paraId="16E63557" w14:textId="541C2F63" w:rsidR="0051778F" w:rsidRPr="00FB54EC" w:rsidRDefault="00C22332" w:rsidP="00BA135C">
            <w:r>
              <w:t>0</w:t>
            </w:r>
            <w:r w:rsidR="00BA135C">
              <w:t>1</w:t>
            </w:r>
            <w:r w:rsidR="00D459EA">
              <w:t>/201</w:t>
            </w:r>
            <w:r w:rsidR="00BA135C">
              <w:t>9</w:t>
            </w:r>
          </w:p>
        </w:tc>
        <w:tc>
          <w:tcPr>
            <w:tcW w:w="1132" w:type="dxa"/>
          </w:tcPr>
          <w:p w14:paraId="18990C2C" w14:textId="497B3AEE" w:rsidR="0051778F" w:rsidRPr="00FB54EC" w:rsidRDefault="00D459EA" w:rsidP="00BA135C">
            <w:r>
              <w:t>1.</w:t>
            </w:r>
            <w:r w:rsidR="00BA135C">
              <w:t>2</w:t>
            </w:r>
          </w:p>
        </w:tc>
        <w:tc>
          <w:tcPr>
            <w:tcW w:w="4915" w:type="dxa"/>
          </w:tcPr>
          <w:p w14:paraId="4274A4FD" w14:textId="77777777" w:rsidR="0051778F" w:rsidRPr="00FB54EC" w:rsidRDefault="0051778F" w:rsidP="00FB54EC">
            <w:r w:rsidRPr="00FB54EC">
              <w:t>Chief Finance Officer -  Financial Services Division</w:t>
            </w:r>
          </w:p>
        </w:tc>
        <w:tc>
          <w:tcPr>
            <w:tcW w:w="1689" w:type="dxa"/>
          </w:tcPr>
          <w:p w14:paraId="0FEA4FCF" w14:textId="4B12F138" w:rsidR="0051778F" w:rsidRPr="00FB54EC" w:rsidRDefault="00D459EA" w:rsidP="00BA135C">
            <w:r>
              <w:t>0</w:t>
            </w:r>
            <w:r w:rsidR="00BA135C">
              <w:t>1</w:t>
            </w:r>
            <w:r>
              <w:t>/20</w:t>
            </w:r>
            <w:r w:rsidR="00BA135C">
              <w:t>20</w:t>
            </w:r>
          </w:p>
        </w:tc>
      </w:tr>
    </w:tbl>
    <w:p w14:paraId="66B45A36" w14:textId="77777777" w:rsidR="0051778F" w:rsidRDefault="0051778F" w:rsidP="007D4BCB"/>
    <w:sectPr w:rsidR="0051778F" w:rsidSect="000759BF">
      <w:footerReference w:type="default" r:id="rId22"/>
      <w:pgSz w:w="11900" w:h="16840" w:code="9"/>
      <w:pgMar w:top="1701" w:right="1418" w:bottom="1418"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B00B6" w14:textId="77777777" w:rsidR="00E260F4" w:rsidRDefault="00E260F4" w:rsidP="008766A4">
      <w:r>
        <w:separator/>
      </w:r>
    </w:p>
  </w:endnote>
  <w:endnote w:type="continuationSeparator" w:id="0">
    <w:p w14:paraId="24EF06C3" w14:textId="77777777" w:rsidR="00E260F4" w:rsidRDefault="00E260F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A39" w14:textId="03894D68" w:rsidR="000F4C22" w:rsidRPr="000759BF" w:rsidRDefault="00FB54EC" w:rsidP="000759BF">
    <w:pPr>
      <w:pStyle w:val="Footer"/>
    </w:pPr>
    <w:r w:rsidRPr="000759BF">
      <w:rPr>
        <w:noProof/>
        <w:lang w:eastAsia="en-AU"/>
      </w:rPr>
      <w:drawing>
        <wp:anchor distT="0" distB="0" distL="114300" distR="114300" simplePos="0" relativeHeight="251657216" behindDoc="1" locked="0" layoutInCell="1" allowOverlap="1" wp14:anchorId="2E980543" wp14:editId="64820186">
          <wp:simplePos x="0" y="0"/>
          <wp:positionH relativeFrom="margin">
            <wp:posOffset>-82550</wp:posOffset>
          </wp:positionH>
          <wp:positionV relativeFrom="page">
            <wp:posOffset>9810750</wp:posOffset>
          </wp:positionV>
          <wp:extent cx="6666059" cy="721995"/>
          <wp:effectExtent l="0" t="0" r="1905" b="1905"/>
          <wp:wrapNone/>
          <wp:docPr id="3" name="Picture 3" descr="Footer description of document and depart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66059" cy="721995"/>
                  </a:xfrm>
                  <a:prstGeom prst="rect">
                    <a:avLst/>
                  </a:prstGeom>
                </pic:spPr>
              </pic:pic>
            </a:graphicData>
          </a:graphic>
        </wp:anchor>
      </w:drawing>
    </w:r>
    <w:r w:rsidR="001D199B" w:rsidRPr="001D199B">
      <w:t xml:space="preserve"> </w:t>
    </w:r>
    <w:r w:rsidR="001D199B" w:rsidRPr="008A1405">
      <w:t>S</w:t>
    </w:r>
    <w:r w:rsidR="001D199B">
      <w:t xml:space="preserve">ection </w:t>
    </w:r>
    <w:r w:rsidR="00D37239">
      <w:t>3</w:t>
    </w:r>
    <w:r w:rsidR="00AC1FEC">
      <w:t xml:space="preserve">: </w:t>
    </w:r>
    <w:r w:rsidR="00D37239">
      <w:t xml:space="preserve">Risk Management </w:t>
    </w:r>
    <w:r w:rsidR="00C22332">
      <w:t xml:space="preserve">| </w:t>
    </w:r>
    <w:r w:rsidR="00BA135C">
      <w:t>January 2019</w:t>
    </w:r>
    <w:r w:rsidRPr="000759BF">
      <w:tab/>
    </w:r>
    <w:sdt>
      <w:sdtPr>
        <w:id w:val="208384299"/>
        <w:docPartObj>
          <w:docPartGallery w:val="Page Numbers (Bottom of Page)"/>
          <w:docPartUnique/>
        </w:docPartObj>
      </w:sdtPr>
      <w:sdtEndPr/>
      <w:sdtContent>
        <w:r w:rsidR="004615C4" w:rsidRPr="000759BF">
          <w:t>Page</w:t>
        </w:r>
        <w:r w:rsidRPr="000759BF">
          <w:t xml:space="preserve"> </w:t>
        </w:r>
        <w:r w:rsidR="0024540E" w:rsidRPr="000759BF">
          <w:fldChar w:fldCharType="begin"/>
        </w:r>
        <w:r w:rsidR="004615C4" w:rsidRPr="000759BF">
          <w:instrText xml:space="preserve"> TITLE  \* MERGEFORMAT </w:instrText>
        </w:r>
        <w:r w:rsidR="0024540E" w:rsidRPr="000759BF">
          <w:fldChar w:fldCharType="end"/>
        </w:r>
        <w:r w:rsidR="0024540E" w:rsidRPr="000759BF">
          <w:fldChar w:fldCharType="begin"/>
        </w:r>
        <w:r w:rsidR="004615C4" w:rsidRPr="000759BF">
          <w:instrText xml:space="preserve"> PAGE   \* MERGEFORMAT </w:instrText>
        </w:r>
        <w:r w:rsidR="0024540E" w:rsidRPr="000759BF">
          <w:fldChar w:fldCharType="separate"/>
        </w:r>
        <w:r w:rsidR="00C0684F">
          <w:rPr>
            <w:noProof/>
          </w:rPr>
          <w:t>2</w:t>
        </w:r>
        <w:r w:rsidR="0024540E" w:rsidRPr="000759BF">
          <w:fldChar w:fldCharType="end"/>
        </w:r>
      </w:sdtContent>
    </w:sdt>
    <w:r w:rsidR="004615C4" w:rsidRPr="000759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F770" w14:textId="77777777" w:rsidR="00E260F4" w:rsidRDefault="00E260F4" w:rsidP="008766A4">
      <w:r>
        <w:separator/>
      </w:r>
    </w:p>
  </w:footnote>
  <w:footnote w:type="continuationSeparator" w:id="0">
    <w:p w14:paraId="1ECFAE4A" w14:textId="77777777" w:rsidR="00E260F4" w:rsidRDefault="00E260F4"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B50F7"/>
    <w:multiLevelType w:val="hybridMultilevel"/>
    <w:tmpl w:val="B85E8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2DDB5F2D"/>
    <w:multiLevelType w:val="hybridMultilevel"/>
    <w:tmpl w:val="1D7A2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A2346"/>
    <w:multiLevelType w:val="hybridMultilevel"/>
    <w:tmpl w:val="B8B80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78479E"/>
    <w:multiLevelType w:val="hybridMultilevel"/>
    <w:tmpl w:val="72EE8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71839"/>
    <w:multiLevelType w:val="hybridMultilevel"/>
    <w:tmpl w:val="DA988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16FF7"/>
    <w:multiLevelType w:val="hybridMultilevel"/>
    <w:tmpl w:val="3D12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EA1E96"/>
    <w:multiLevelType w:val="hybridMultilevel"/>
    <w:tmpl w:val="36A84644"/>
    <w:lvl w:ilvl="0" w:tplc="A7C00100">
      <w:start w:val="1"/>
      <w:numFmt w:val="bullet"/>
      <w:pStyle w:val="ListBulle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14B20"/>
    <w:multiLevelType w:val="hybridMultilevel"/>
    <w:tmpl w:val="78EEA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62AE6FEA"/>
    <w:multiLevelType w:val="hybridMultilevel"/>
    <w:tmpl w:val="5302001C"/>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B00F78"/>
    <w:multiLevelType w:val="hybridMultilevel"/>
    <w:tmpl w:val="5C2440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6E242558"/>
    <w:multiLevelType w:val="hybridMultilevel"/>
    <w:tmpl w:val="A68CBF1C"/>
    <w:lvl w:ilvl="0" w:tplc="CF163AD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41762B"/>
    <w:multiLevelType w:val="hybridMultilevel"/>
    <w:tmpl w:val="7FB25326"/>
    <w:lvl w:ilvl="0" w:tplc="0C090001">
      <w:start w:val="1"/>
      <w:numFmt w:val="bullet"/>
      <w:lvlText w:val=""/>
      <w:lvlJc w:val="left"/>
      <w:pPr>
        <w:ind w:left="360" w:hanging="360"/>
      </w:pPr>
      <w:rPr>
        <w:rFonts w:ascii="Symbol" w:hAnsi="Symbol" w:hint="default"/>
      </w:rPr>
    </w:lvl>
    <w:lvl w:ilvl="1" w:tplc="4BC4FB70">
      <w:numFmt w:val="bullet"/>
      <w:lvlText w:val="•"/>
      <w:lvlJc w:val="left"/>
      <w:pPr>
        <w:ind w:left="1290" w:hanging="57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876D9E"/>
    <w:multiLevelType w:val="hybridMultilevel"/>
    <w:tmpl w:val="4DC2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38"/>
  </w:num>
  <w:num w:numId="14">
    <w:abstractNumId w:val="29"/>
  </w:num>
  <w:num w:numId="15">
    <w:abstractNumId w:val="36"/>
  </w:num>
  <w:num w:numId="16">
    <w:abstractNumId w:val="15"/>
  </w:num>
  <w:num w:numId="17">
    <w:abstractNumId w:val="19"/>
  </w:num>
  <w:num w:numId="18">
    <w:abstractNumId w:val="20"/>
  </w:num>
  <w:num w:numId="19">
    <w:abstractNumId w:val="37"/>
  </w:num>
  <w:num w:numId="20">
    <w:abstractNumId w:val="14"/>
  </w:num>
  <w:num w:numId="21">
    <w:abstractNumId w:val="13"/>
  </w:num>
  <w:num w:numId="22">
    <w:abstractNumId w:val="17"/>
  </w:num>
  <w:num w:numId="23">
    <w:abstractNumId w:val="24"/>
  </w:num>
  <w:num w:numId="24">
    <w:abstractNumId w:val="22"/>
  </w:num>
  <w:num w:numId="25">
    <w:abstractNumId w:val="27"/>
  </w:num>
  <w:num w:numId="26">
    <w:abstractNumId w:val="31"/>
  </w:num>
  <w:num w:numId="27">
    <w:abstractNumId w:val="30"/>
  </w:num>
  <w:num w:numId="28">
    <w:abstractNumId w:val="25"/>
  </w:num>
  <w:num w:numId="29">
    <w:abstractNumId w:val="33"/>
  </w:num>
  <w:num w:numId="30">
    <w:abstractNumId w:val="26"/>
  </w:num>
  <w:num w:numId="31">
    <w:abstractNumId w:val="34"/>
  </w:num>
  <w:num w:numId="32">
    <w:abstractNumId w:val="18"/>
  </w:num>
  <w:num w:numId="33">
    <w:abstractNumId w:val="28"/>
  </w:num>
  <w:num w:numId="34">
    <w:abstractNumId w:val="11"/>
  </w:num>
  <w:num w:numId="35">
    <w:abstractNumId w:val="21"/>
  </w:num>
  <w:num w:numId="36">
    <w:abstractNumId w:val="32"/>
  </w:num>
  <w:num w:numId="37">
    <w:abstractNumId w:val="33"/>
  </w:num>
  <w:num w:numId="38">
    <w:abstractNumId w:val="35"/>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8D4"/>
    <w:rsid w:val="000221E8"/>
    <w:rsid w:val="000262DB"/>
    <w:rsid w:val="000278E7"/>
    <w:rsid w:val="0003247C"/>
    <w:rsid w:val="00035071"/>
    <w:rsid w:val="000624A0"/>
    <w:rsid w:val="000646E2"/>
    <w:rsid w:val="00070DAC"/>
    <w:rsid w:val="00071489"/>
    <w:rsid w:val="000716E6"/>
    <w:rsid w:val="000759BF"/>
    <w:rsid w:val="000852D5"/>
    <w:rsid w:val="0008558F"/>
    <w:rsid w:val="00092D51"/>
    <w:rsid w:val="00096CA9"/>
    <w:rsid w:val="000A1C9A"/>
    <w:rsid w:val="000A3DD3"/>
    <w:rsid w:val="000A5CD4"/>
    <w:rsid w:val="000B0506"/>
    <w:rsid w:val="000B6F69"/>
    <w:rsid w:val="000C01B4"/>
    <w:rsid w:val="000C16BA"/>
    <w:rsid w:val="000C499D"/>
    <w:rsid w:val="000C5885"/>
    <w:rsid w:val="000E4ACB"/>
    <w:rsid w:val="000F155E"/>
    <w:rsid w:val="000F4C22"/>
    <w:rsid w:val="000F7424"/>
    <w:rsid w:val="00104432"/>
    <w:rsid w:val="00105B4D"/>
    <w:rsid w:val="00114F00"/>
    <w:rsid w:val="00124DC1"/>
    <w:rsid w:val="00127682"/>
    <w:rsid w:val="0013716D"/>
    <w:rsid w:val="00137E84"/>
    <w:rsid w:val="0014310A"/>
    <w:rsid w:val="001574A3"/>
    <w:rsid w:val="00170377"/>
    <w:rsid w:val="00170699"/>
    <w:rsid w:val="00187894"/>
    <w:rsid w:val="00193A4B"/>
    <w:rsid w:val="001A6947"/>
    <w:rsid w:val="001B175E"/>
    <w:rsid w:val="001B71E2"/>
    <w:rsid w:val="001C5C38"/>
    <w:rsid w:val="001D199B"/>
    <w:rsid w:val="001F639F"/>
    <w:rsid w:val="00200486"/>
    <w:rsid w:val="00202056"/>
    <w:rsid w:val="0022212D"/>
    <w:rsid w:val="00226B71"/>
    <w:rsid w:val="00231D0D"/>
    <w:rsid w:val="00232805"/>
    <w:rsid w:val="0024540E"/>
    <w:rsid w:val="002525C5"/>
    <w:rsid w:val="00255E0C"/>
    <w:rsid w:val="00271AB6"/>
    <w:rsid w:val="00271F77"/>
    <w:rsid w:val="00272949"/>
    <w:rsid w:val="002805FD"/>
    <w:rsid w:val="002A494D"/>
    <w:rsid w:val="002B14BF"/>
    <w:rsid w:val="002B2D6F"/>
    <w:rsid w:val="002B37D8"/>
    <w:rsid w:val="002B7906"/>
    <w:rsid w:val="002C05C1"/>
    <w:rsid w:val="002C5DE5"/>
    <w:rsid w:val="002F304C"/>
    <w:rsid w:val="002F4E54"/>
    <w:rsid w:val="00313358"/>
    <w:rsid w:val="00320E5E"/>
    <w:rsid w:val="00326F48"/>
    <w:rsid w:val="0033762E"/>
    <w:rsid w:val="00347714"/>
    <w:rsid w:val="003514AD"/>
    <w:rsid w:val="00366BF2"/>
    <w:rsid w:val="00366C4B"/>
    <w:rsid w:val="003701E4"/>
    <w:rsid w:val="00383514"/>
    <w:rsid w:val="003A4545"/>
    <w:rsid w:val="003B01B0"/>
    <w:rsid w:val="003B43EC"/>
    <w:rsid w:val="003C2CD4"/>
    <w:rsid w:val="003D208F"/>
    <w:rsid w:val="003E29B5"/>
    <w:rsid w:val="003E51EB"/>
    <w:rsid w:val="003E68A5"/>
    <w:rsid w:val="003E7FAC"/>
    <w:rsid w:val="003F3C92"/>
    <w:rsid w:val="003F5E75"/>
    <w:rsid w:val="00400D57"/>
    <w:rsid w:val="004177BE"/>
    <w:rsid w:val="0042385D"/>
    <w:rsid w:val="004338AC"/>
    <w:rsid w:val="00443FF4"/>
    <w:rsid w:val="00444E8D"/>
    <w:rsid w:val="004615C4"/>
    <w:rsid w:val="00477AA7"/>
    <w:rsid w:val="004801D1"/>
    <w:rsid w:val="0048402B"/>
    <w:rsid w:val="00494BC1"/>
    <w:rsid w:val="00494EB8"/>
    <w:rsid w:val="004A6D59"/>
    <w:rsid w:val="004B046F"/>
    <w:rsid w:val="004B24FF"/>
    <w:rsid w:val="004D6461"/>
    <w:rsid w:val="0051171A"/>
    <w:rsid w:val="0051778F"/>
    <w:rsid w:val="00542B32"/>
    <w:rsid w:val="00544F79"/>
    <w:rsid w:val="005577D5"/>
    <w:rsid w:val="005711D2"/>
    <w:rsid w:val="0057654B"/>
    <w:rsid w:val="005832B7"/>
    <w:rsid w:val="0058443C"/>
    <w:rsid w:val="0058731A"/>
    <w:rsid w:val="00587DD7"/>
    <w:rsid w:val="00595200"/>
    <w:rsid w:val="00596923"/>
    <w:rsid w:val="005A0C09"/>
    <w:rsid w:val="005A1BE0"/>
    <w:rsid w:val="005A23F9"/>
    <w:rsid w:val="005B192E"/>
    <w:rsid w:val="005B3B56"/>
    <w:rsid w:val="005B54E3"/>
    <w:rsid w:val="005B774C"/>
    <w:rsid w:val="005D1E06"/>
    <w:rsid w:val="005D23B8"/>
    <w:rsid w:val="005E218A"/>
    <w:rsid w:val="00600EB1"/>
    <w:rsid w:val="00610D70"/>
    <w:rsid w:val="006143AF"/>
    <w:rsid w:val="00635443"/>
    <w:rsid w:val="0065124F"/>
    <w:rsid w:val="00651C93"/>
    <w:rsid w:val="006724C4"/>
    <w:rsid w:val="00675AB7"/>
    <w:rsid w:val="00681347"/>
    <w:rsid w:val="00690EB1"/>
    <w:rsid w:val="006935C9"/>
    <w:rsid w:val="00694524"/>
    <w:rsid w:val="00694796"/>
    <w:rsid w:val="006A4F51"/>
    <w:rsid w:val="006B7939"/>
    <w:rsid w:val="006C0108"/>
    <w:rsid w:val="006C71B9"/>
    <w:rsid w:val="006E2451"/>
    <w:rsid w:val="006E645E"/>
    <w:rsid w:val="006E7F90"/>
    <w:rsid w:val="006F62FD"/>
    <w:rsid w:val="0071225A"/>
    <w:rsid w:val="007178F0"/>
    <w:rsid w:val="00725687"/>
    <w:rsid w:val="0073072D"/>
    <w:rsid w:val="00751081"/>
    <w:rsid w:val="00780B9C"/>
    <w:rsid w:val="00784798"/>
    <w:rsid w:val="00784A1A"/>
    <w:rsid w:val="007B76ED"/>
    <w:rsid w:val="007C5F74"/>
    <w:rsid w:val="007D1191"/>
    <w:rsid w:val="007D4BCB"/>
    <w:rsid w:val="007E2162"/>
    <w:rsid w:val="007E628A"/>
    <w:rsid w:val="007F4A35"/>
    <w:rsid w:val="00816ED5"/>
    <w:rsid w:val="00831BB4"/>
    <w:rsid w:val="008348B6"/>
    <w:rsid w:val="00841F2A"/>
    <w:rsid w:val="008614F7"/>
    <w:rsid w:val="00871EC0"/>
    <w:rsid w:val="008766A4"/>
    <w:rsid w:val="00877262"/>
    <w:rsid w:val="00887E2D"/>
    <w:rsid w:val="008919D9"/>
    <w:rsid w:val="00895870"/>
    <w:rsid w:val="00896FF2"/>
    <w:rsid w:val="008A5234"/>
    <w:rsid w:val="008C0B02"/>
    <w:rsid w:val="008C3760"/>
    <w:rsid w:val="008C6FA8"/>
    <w:rsid w:val="008D2D16"/>
    <w:rsid w:val="008D3BDE"/>
    <w:rsid w:val="008D3F1E"/>
    <w:rsid w:val="008F185F"/>
    <w:rsid w:val="008F2569"/>
    <w:rsid w:val="008F3046"/>
    <w:rsid w:val="009030AA"/>
    <w:rsid w:val="00906C25"/>
    <w:rsid w:val="00916C6B"/>
    <w:rsid w:val="00917F2A"/>
    <w:rsid w:val="009269FD"/>
    <w:rsid w:val="00927DEE"/>
    <w:rsid w:val="00933910"/>
    <w:rsid w:val="009478ED"/>
    <w:rsid w:val="009652F7"/>
    <w:rsid w:val="00967755"/>
    <w:rsid w:val="009678AD"/>
    <w:rsid w:val="009731D8"/>
    <w:rsid w:val="0097421F"/>
    <w:rsid w:val="00980015"/>
    <w:rsid w:val="009A25B7"/>
    <w:rsid w:val="009A58A8"/>
    <w:rsid w:val="009E4078"/>
    <w:rsid w:val="009F2302"/>
    <w:rsid w:val="009F3613"/>
    <w:rsid w:val="009F4760"/>
    <w:rsid w:val="00A140E9"/>
    <w:rsid w:val="00A17226"/>
    <w:rsid w:val="00A24325"/>
    <w:rsid w:val="00A33C93"/>
    <w:rsid w:val="00A62D1A"/>
    <w:rsid w:val="00A74400"/>
    <w:rsid w:val="00A8302C"/>
    <w:rsid w:val="00AB57C6"/>
    <w:rsid w:val="00AC1FEC"/>
    <w:rsid w:val="00AC39FB"/>
    <w:rsid w:val="00AD4561"/>
    <w:rsid w:val="00B06DA3"/>
    <w:rsid w:val="00B134F9"/>
    <w:rsid w:val="00B17AF7"/>
    <w:rsid w:val="00B230DB"/>
    <w:rsid w:val="00B239F0"/>
    <w:rsid w:val="00B31802"/>
    <w:rsid w:val="00B40154"/>
    <w:rsid w:val="00B46FDB"/>
    <w:rsid w:val="00B5537C"/>
    <w:rsid w:val="00B56A86"/>
    <w:rsid w:val="00B818A0"/>
    <w:rsid w:val="00BA135C"/>
    <w:rsid w:val="00BA616A"/>
    <w:rsid w:val="00BB0EF2"/>
    <w:rsid w:val="00BB5F6F"/>
    <w:rsid w:val="00BC01CB"/>
    <w:rsid w:val="00BC296E"/>
    <w:rsid w:val="00BC3DEC"/>
    <w:rsid w:val="00BE3D2B"/>
    <w:rsid w:val="00BF14B4"/>
    <w:rsid w:val="00C052CB"/>
    <w:rsid w:val="00C0684F"/>
    <w:rsid w:val="00C1688C"/>
    <w:rsid w:val="00C22332"/>
    <w:rsid w:val="00C22D1F"/>
    <w:rsid w:val="00C412C9"/>
    <w:rsid w:val="00C60E1D"/>
    <w:rsid w:val="00C667FD"/>
    <w:rsid w:val="00C75380"/>
    <w:rsid w:val="00C83E5D"/>
    <w:rsid w:val="00C91AC2"/>
    <w:rsid w:val="00C96775"/>
    <w:rsid w:val="00CB282B"/>
    <w:rsid w:val="00CC3BED"/>
    <w:rsid w:val="00CC5736"/>
    <w:rsid w:val="00CC7F0A"/>
    <w:rsid w:val="00CE13EC"/>
    <w:rsid w:val="00CE1579"/>
    <w:rsid w:val="00CE3DA0"/>
    <w:rsid w:val="00CE6B2B"/>
    <w:rsid w:val="00CE6ED1"/>
    <w:rsid w:val="00CF079A"/>
    <w:rsid w:val="00CF1735"/>
    <w:rsid w:val="00D049D0"/>
    <w:rsid w:val="00D17A1A"/>
    <w:rsid w:val="00D25EED"/>
    <w:rsid w:val="00D26AB4"/>
    <w:rsid w:val="00D31299"/>
    <w:rsid w:val="00D33982"/>
    <w:rsid w:val="00D37239"/>
    <w:rsid w:val="00D459EA"/>
    <w:rsid w:val="00D45B49"/>
    <w:rsid w:val="00D524A9"/>
    <w:rsid w:val="00D55813"/>
    <w:rsid w:val="00D66D91"/>
    <w:rsid w:val="00D75C2D"/>
    <w:rsid w:val="00D81020"/>
    <w:rsid w:val="00D84C0F"/>
    <w:rsid w:val="00DA020D"/>
    <w:rsid w:val="00DB7AE5"/>
    <w:rsid w:val="00DC426F"/>
    <w:rsid w:val="00DC4AC1"/>
    <w:rsid w:val="00DC5E3B"/>
    <w:rsid w:val="00DD7D45"/>
    <w:rsid w:val="00DE0F00"/>
    <w:rsid w:val="00DE643D"/>
    <w:rsid w:val="00DF1C42"/>
    <w:rsid w:val="00E260F4"/>
    <w:rsid w:val="00E27932"/>
    <w:rsid w:val="00E40DF8"/>
    <w:rsid w:val="00E42E39"/>
    <w:rsid w:val="00E538C4"/>
    <w:rsid w:val="00E63005"/>
    <w:rsid w:val="00E97212"/>
    <w:rsid w:val="00EC718D"/>
    <w:rsid w:val="00EF04D3"/>
    <w:rsid w:val="00EF1BC2"/>
    <w:rsid w:val="00F02FFB"/>
    <w:rsid w:val="00F11E96"/>
    <w:rsid w:val="00F16129"/>
    <w:rsid w:val="00F27799"/>
    <w:rsid w:val="00F33045"/>
    <w:rsid w:val="00F36897"/>
    <w:rsid w:val="00F37E0C"/>
    <w:rsid w:val="00F512FA"/>
    <w:rsid w:val="00F534C5"/>
    <w:rsid w:val="00F546B5"/>
    <w:rsid w:val="00F56CC8"/>
    <w:rsid w:val="00F6721F"/>
    <w:rsid w:val="00F70CB4"/>
    <w:rsid w:val="00F7204D"/>
    <w:rsid w:val="00F77B42"/>
    <w:rsid w:val="00F84D08"/>
    <w:rsid w:val="00F85A04"/>
    <w:rsid w:val="00F85A39"/>
    <w:rsid w:val="00F91A79"/>
    <w:rsid w:val="00F97B56"/>
    <w:rsid w:val="00FA6B94"/>
    <w:rsid w:val="00FB1204"/>
    <w:rsid w:val="00FB54EC"/>
    <w:rsid w:val="00FB5C2D"/>
    <w:rsid w:val="00FD7308"/>
    <w:rsid w:val="00FE5FAB"/>
    <w:rsid w:val="00FF0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889A9"/>
  <w15:docId w15:val="{7E6A0811-1EA0-437D-9F3D-0C94BF5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577D5"/>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105B4D"/>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105B4D"/>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105B4D"/>
    <w:pPr>
      <w:tabs>
        <w:tab w:val="left" w:pos="851"/>
      </w:tabs>
      <w:spacing w:before="240" w:after="24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semiHidden/>
    <w:unhideWhenUsed/>
    <w:rsid w:val="00FB54EC"/>
    <w:rPr>
      <w:color w:val="2B579A"/>
      <w:shd w:val="clear" w:color="auto" w:fill="E6E6E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0759BF"/>
    <w:pPr>
      <w:tabs>
        <w:tab w:val="right" w:pos="6804"/>
      </w:tabs>
      <w:spacing w:before="0" w:line="240" w:lineRule="auto"/>
    </w:pPr>
    <w:rPr>
      <w:sz w:val="20"/>
    </w:rPr>
  </w:style>
  <w:style w:type="character" w:customStyle="1" w:styleId="FooterChar">
    <w:name w:val="Footer Char"/>
    <w:basedOn w:val="DefaultParagraphFont"/>
    <w:link w:val="Footer"/>
    <w:uiPriority w:val="99"/>
    <w:semiHidden/>
    <w:rsid w:val="000759BF"/>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qFormat/>
    <w:locked/>
    <w:rsid w:val="00326F48"/>
    <w:rPr>
      <w:i/>
      <w:iCs/>
    </w:rPr>
  </w:style>
  <w:style w:type="character" w:customStyle="1" w:styleId="Heading1Char">
    <w:name w:val="Heading 1 Char"/>
    <w:basedOn w:val="DefaultParagraphFont"/>
    <w:link w:val="Heading1"/>
    <w:uiPriority w:val="9"/>
    <w:rsid w:val="00105B4D"/>
    <w:rPr>
      <w:rFonts w:ascii="Arial" w:eastAsiaTheme="majorEastAsia" w:hAnsi="Arial" w:cstheme="majorBidi"/>
      <w:b/>
      <w:bCs/>
      <w:color w:val="AF272F"/>
      <w:sz w:val="44"/>
      <w:szCs w:val="20"/>
      <w:lang w:val="en-AU"/>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105B4D"/>
    <w:rPr>
      <w:rFonts w:ascii="Arial" w:eastAsiaTheme="majorEastAsia" w:hAnsi="Arial" w:cstheme="majorBidi"/>
      <w:b/>
      <w:color w:val="AF272F"/>
      <w:sz w:val="36"/>
      <w:szCs w:val="20"/>
      <w:lang w:val="en-AU"/>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rsid w:val="00105B4D"/>
    <w:rPr>
      <w:rFonts w:ascii="Arial" w:hAnsi="Arial" w:cs="Arial"/>
      <w:b/>
      <w:color w:val="000000" w:themeColor="text1"/>
      <w:szCs w:val="18"/>
      <w:lang w:val="en-AU"/>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customStyle="1" w:styleId="NoteLevel2">
    <w:name w:val="Note Level 2"/>
    <w:basedOn w:val="Normal"/>
    <w:uiPriority w:val="99"/>
    <w:semiHidden/>
    <w:locked/>
    <w:rsid w:val="00D84C0F"/>
    <w:pPr>
      <w:keepNext/>
      <w:numPr>
        <w:ilvl w:val="1"/>
        <w:numId w:val="11"/>
      </w:numPr>
      <w:ind w:firstLine="164"/>
      <w:contextualSpacing/>
      <w:outlineLvl w:val="1"/>
    </w:pPr>
  </w:style>
  <w:style w:type="paragraph" w:customStyle="1" w:styleId="NoteLevel3">
    <w:name w:val="Note Level 3"/>
    <w:basedOn w:val="Normal"/>
    <w:uiPriority w:val="99"/>
    <w:semiHidden/>
    <w:locked/>
    <w:rsid w:val="00D84C0F"/>
    <w:pPr>
      <w:keepNext/>
      <w:numPr>
        <w:ilvl w:val="2"/>
        <w:numId w:val="11"/>
      </w:numPr>
      <w:ind w:firstLine="164"/>
      <w:contextualSpacing/>
      <w:outlineLvl w:val="2"/>
    </w:pPr>
  </w:style>
  <w:style w:type="paragraph" w:customStyle="1" w:styleId="NoteLevel4">
    <w:name w:val="Note Level 4"/>
    <w:basedOn w:val="Normal"/>
    <w:uiPriority w:val="99"/>
    <w:semiHidden/>
    <w:locked/>
    <w:rsid w:val="00D84C0F"/>
    <w:pPr>
      <w:keepNext/>
      <w:numPr>
        <w:ilvl w:val="3"/>
        <w:numId w:val="11"/>
      </w:numPr>
      <w:ind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numPr>
        <w:ilvl w:val="5"/>
        <w:numId w:val="11"/>
      </w:numPr>
      <w:ind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character" w:styleId="EndnoteReference">
    <w:name w:val="endnote reference"/>
    <w:uiPriority w:val="99"/>
    <w:unhideWhenUsed/>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56A86"/>
    <w:rPr>
      <w:rFonts w:ascii="Arial" w:hAnsi="Arial"/>
      <w:b w:val="0"/>
      <w:i w:val="0"/>
      <w:color w:val="0000FF"/>
      <w:sz w:val="22"/>
      <w:u w:val="single"/>
    </w:rPr>
  </w:style>
  <w:style w:type="paragraph" w:styleId="ListBullet">
    <w:name w:val="List Bullet"/>
    <w:basedOn w:val="Normal"/>
    <w:uiPriority w:val="99"/>
    <w:locked/>
    <w:rsid w:val="00FB54EC"/>
    <w:pPr>
      <w:numPr>
        <w:numId w:val="29"/>
      </w:numPr>
    </w:pPr>
    <w:rPr>
      <w:rFonts w:eastAsiaTheme="minorHAnsi" w:cstheme="minorBidi"/>
      <w:szCs w:val="22"/>
    </w:rPr>
  </w:style>
  <w:style w:type="paragraph" w:styleId="ListBullet2">
    <w:name w:val="List Bullet 2"/>
    <w:basedOn w:val="Normal"/>
    <w:uiPriority w:val="99"/>
    <w:locked/>
    <w:rsid w:val="00FB54EC"/>
    <w:pPr>
      <w:numPr>
        <w:numId w:val="30"/>
      </w:numPr>
      <w:spacing w:before="60"/>
      <w:ind w:left="851" w:hanging="284"/>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paragraph" w:styleId="NormalWeb">
    <w:name w:val="Normal (Web)"/>
    <w:basedOn w:val="Normal"/>
    <w:uiPriority w:val="99"/>
    <w:semiHidden/>
    <w:unhideWhenUsed/>
    <w:locked/>
    <w:rsid w:val="00170699"/>
    <w:pPr>
      <w:spacing w:after="15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locked/>
    <w:rsid w:val="003E68A5"/>
    <w:rPr>
      <w:sz w:val="16"/>
      <w:szCs w:val="16"/>
    </w:rPr>
  </w:style>
  <w:style w:type="paragraph" w:styleId="CommentText">
    <w:name w:val="annotation text"/>
    <w:basedOn w:val="Normal"/>
    <w:link w:val="CommentTextChar"/>
    <w:uiPriority w:val="99"/>
    <w:semiHidden/>
    <w:unhideWhenUsed/>
    <w:locked/>
    <w:rsid w:val="003E68A5"/>
    <w:pPr>
      <w:spacing w:line="240" w:lineRule="auto"/>
    </w:pPr>
    <w:rPr>
      <w:sz w:val="20"/>
      <w:szCs w:val="20"/>
    </w:rPr>
  </w:style>
  <w:style w:type="character" w:customStyle="1" w:styleId="CommentTextChar">
    <w:name w:val="Comment Text Char"/>
    <w:basedOn w:val="DefaultParagraphFont"/>
    <w:link w:val="CommentText"/>
    <w:uiPriority w:val="99"/>
    <w:semiHidden/>
    <w:rsid w:val="003E68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E68A5"/>
    <w:rPr>
      <w:b/>
      <w:bCs/>
    </w:rPr>
  </w:style>
  <w:style w:type="character" w:customStyle="1" w:styleId="CommentSubjectChar">
    <w:name w:val="Comment Subject Char"/>
    <w:basedOn w:val="CommentTextChar"/>
    <w:link w:val="CommentSubject"/>
    <w:uiPriority w:val="99"/>
    <w:semiHidden/>
    <w:rsid w:val="003E68A5"/>
    <w:rPr>
      <w:rFonts w:ascii="Arial" w:hAnsi="Arial" w:cs="Arial"/>
      <w:b/>
      <w:bCs/>
      <w:sz w:val="20"/>
      <w:szCs w:val="20"/>
    </w:rPr>
  </w:style>
  <w:style w:type="paragraph" w:styleId="ListParagraph">
    <w:name w:val="List Paragraph"/>
    <w:basedOn w:val="Normal"/>
    <w:uiPriority w:val="34"/>
    <w:semiHidden/>
    <w:qFormat/>
    <w:locked/>
    <w:rsid w:val="00CB282B"/>
    <w:pPr>
      <w:ind w:left="720"/>
      <w:contextualSpacing/>
    </w:pPr>
  </w:style>
  <w:style w:type="character" w:styleId="FollowedHyperlink">
    <w:name w:val="FollowedHyperlink"/>
    <w:basedOn w:val="DefaultParagraphFont"/>
    <w:semiHidden/>
    <w:unhideWhenUsed/>
    <w:locked/>
    <w:rsid w:val="002C5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737867">
      <w:bodyDiv w:val="1"/>
      <w:marLeft w:val="0"/>
      <w:marRight w:val="0"/>
      <w:marTop w:val="0"/>
      <w:marBottom w:val="0"/>
      <w:divBdr>
        <w:top w:val="none" w:sz="0" w:space="0" w:color="auto"/>
        <w:left w:val="none" w:sz="0" w:space="0" w:color="auto"/>
        <w:bottom w:val="none" w:sz="0" w:space="0" w:color="auto"/>
        <w:right w:val="none" w:sz="0" w:space="0" w:color="auto"/>
      </w:divBdr>
      <w:divsChild>
        <w:div w:id="156526332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sChild>
                <w:div w:id="2105614202">
                  <w:marLeft w:val="0"/>
                  <w:marRight w:val="0"/>
                  <w:marTop w:val="0"/>
                  <w:marBottom w:val="0"/>
                  <w:divBdr>
                    <w:top w:val="none" w:sz="0" w:space="0" w:color="auto"/>
                    <w:left w:val="none" w:sz="0" w:space="0" w:color="auto"/>
                    <w:bottom w:val="none" w:sz="0" w:space="0" w:color="auto"/>
                    <w:right w:val="none" w:sz="0" w:space="0" w:color="auto"/>
                  </w:divBdr>
                  <w:divsChild>
                    <w:div w:id="878668073">
                      <w:marLeft w:val="0"/>
                      <w:marRight w:val="0"/>
                      <w:marTop w:val="0"/>
                      <w:marBottom w:val="0"/>
                      <w:divBdr>
                        <w:top w:val="none" w:sz="0" w:space="0" w:color="auto"/>
                        <w:left w:val="none" w:sz="0" w:space="0" w:color="auto"/>
                        <w:bottom w:val="none" w:sz="0" w:space="0" w:color="auto"/>
                        <w:right w:val="none" w:sz="0" w:space="0" w:color="auto"/>
                      </w:divBdr>
                      <w:divsChild>
                        <w:div w:id="579019079">
                          <w:marLeft w:val="0"/>
                          <w:marRight w:val="0"/>
                          <w:marTop w:val="1050"/>
                          <w:marBottom w:val="0"/>
                          <w:divBdr>
                            <w:top w:val="none" w:sz="0" w:space="0" w:color="auto"/>
                            <w:left w:val="none" w:sz="0" w:space="0" w:color="auto"/>
                            <w:bottom w:val="none" w:sz="0" w:space="0" w:color="auto"/>
                            <w:right w:val="none" w:sz="0" w:space="0" w:color="auto"/>
                          </w:divBdr>
                          <w:divsChild>
                            <w:div w:id="1804537110">
                              <w:marLeft w:val="-225"/>
                              <w:marRight w:val="-225"/>
                              <w:marTop w:val="0"/>
                              <w:marBottom w:val="0"/>
                              <w:divBdr>
                                <w:top w:val="none" w:sz="0" w:space="0" w:color="auto"/>
                                <w:left w:val="none" w:sz="0" w:space="0" w:color="auto"/>
                                <w:bottom w:val="none" w:sz="0" w:space="0" w:color="auto"/>
                                <w:right w:val="none" w:sz="0" w:space="0" w:color="auto"/>
                              </w:divBdr>
                              <w:divsChild>
                                <w:div w:id="2029794153">
                                  <w:marLeft w:val="0"/>
                                  <w:marRight w:val="0"/>
                                  <w:marTop w:val="0"/>
                                  <w:marBottom w:val="0"/>
                                  <w:divBdr>
                                    <w:top w:val="none" w:sz="0" w:space="0" w:color="auto"/>
                                    <w:left w:val="none" w:sz="0" w:space="0" w:color="auto"/>
                                    <w:bottom w:val="none" w:sz="0" w:space="0" w:color="auto"/>
                                    <w:right w:val="none" w:sz="0" w:space="0" w:color="auto"/>
                                  </w:divBdr>
                                  <w:divsChild>
                                    <w:div w:id="1190216819">
                                      <w:marLeft w:val="0"/>
                                      <w:marRight w:val="0"/>
                                      <w:marTop w:val="0"/>
                                      <w:marBottom w:val="3000"/>
                                      <w:divBdr>
                                        <w:top w:val="single" w:sz="24" w:space="0" w:color="FFFFFF"/>
                                        <w:left w:val="none" w:sz="0" w:space="0" w:color="auto"/>
                                        <w:bottom w:val="none" w:sz="0" w:space="0" w:color="auto"/>
                                        <w:right w:val="none" w:sz="0" w:space="0" w:color="auto"/>
                                      </w:divBdr>
                                      <w:divsChild>
                                        <w:div w:id="1064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ites/i/pages/production.aspx" TargetMode="External"/><Relationship Id="rId18" Type="http://schemas.openxmlformats.org/officeDocument/2006/relationships/hyperlink" Target="https://edugate.eduweb.vic.gov.au/sites/i/pages/production.aspx" TargetMode="External"/><Relationship Id="rId3" Type="http://schemas.openxmlformats.org/officeDocument/2006/relationships/customXml" Target="../customXml/item3.xml"/><Relationship Id="rId21" Type="http://schemas.openxmlformats.org/officeDocument/2006/relationships/hyperlink" Target="http://www.education.vic.gov.au/school/principals/spag/Pages/spag.aspx" TargetMode="External"/><Relationship Id="rId7" Type="http://schemas.openxmlformats.org/officeDocument/2006/relationships/styles" Target="styles.xml"/><Relationship Id="rId12" Type="http://schemas.openxmlformats.org/officeDocument/2006/relationships/hyperlink" Target="https://edugate.eduweb.vic.gov.au/sites/i/Pages/production.aspx" TargetMode="External"/><Relationship Id="rId17" Type="http://schemas.openxmlformats.org/officeDocument/2006/relationships/hyperlink" Target="http://www.education.vic.gov.au/hrweb/workm/Pages/Conflict-of-Interest.aspx" TargetMode="External"/><Relationship Id="rId2" Type="http://schemas.openxmlformats.org/officeDocument/2006/relationships/customXml" Target="../customXml/item2.xml"/><Relationship Id="rId16" Type="http://schemas.openxmlformats.org/officeDocument/2006/relationships/hyperlink" Target="https://edugate.eduweb.vic.gov.au/Services/HR/Documents/Declaration-Private-Interests-FAQ.pdf" TargetMode="External"/><Relationship Id="rId20" Type="http://schemas.openxmlformats.org/officeDocument/2006/relationships/hyperlink" Target="http://www.education.vic.gov.au/school/principals/spag/governance/pages/risk.aspx" TargetMode="Externa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hrweb/workm/Pages/Conflict-of-Interest.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ugate.eduweb.vic.gov.au/edrms/collaboration/Risk/Risk%20Framework/DET%20Risk%20Management%20Framewor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aud.control@edumail.vic.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F61C-D1ED-4131-AC6D-54FC4C2D4A8B}">
  <ds:schemaRefs>
    <ds:schemaRef ds:uri="http://schemas.microsoft.com/sharepoint/events"/>
  </ds:schemaRefs>
</ds:datastoreItem>
</file>

<file path=customXml/itemProps2.xml><?xml version="1.0" encoding="utf-8"?>
<ds:datastoreItem xmlns:ds="http://schemas.openxmlformats.org/officeDocument/2006/customXml" ds:itemID="{CE3F5A4A-B3BB-41B7-BE39-0B885E9E85DA}"/>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500c308d-f2fb-4fe0-9990-16f1afa0b8fb"/>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F3C54843-A856-4307-8E34-3AC8864B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Jamison, Jules R</cp:lastModifiedBy>
  <cp:revision>2</cp:revision>
  <cp:lastPrinted>2019-11-19T01:26:00Z</cp:lastPrinted>
  <dcterms:created xsi:type="dcterms:W3CDTF">2019-11-20T03:10:00Z</dcterms:created>
  <dcterms:modified xsi:type="dcterms:W3CDTF">2019-11-20T03:10:00Z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