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EE" w:rsidRPr="00681347" w:rsidRDefault="00DD7D45" w:rsidP="00681347">
      <w:pPr>
        <w:pStyle w:val="Heading1"/>
      </w:pPr>
      <w:bookmarkStart w:id="0" w:name="_Toc455499267"/>
      <w:bookmarkStart w:id="1" w:name="_Toc455499461"/>
      <w:bookmarkStart w:id="2" w:name="_Toc455501167"/>
      <w:bookmarkStart w:id="3" w:name="_GoBack"/>
      <w:bookmarkEnd w:id="3"/>
      <w:r w:rsidRPr="00681347">
        <w:t xml:space="preserve">Section </w:t>
      </w:r>
      <w:r w:rsidR="003E6B25" w:rsidRPr="003E6B25">
        <w:t>21</w:t>
      </w:r>
      <w:r w:rsidR="00927DEE" w:rsidRPr="003E6B25">
        <w:t>:</w:t>
      </w:r>
      <w:r w:rsidR="00927DEE" w:rsidRPr="00681347">
        <w:t xml:space="preserve"> </w:t>
      </w:r>
      <w:r w:rsidR="003E6B25" w:rsidRPr="003E6B25">
        <w:t>Insurance Arrangement</w:t>
      </w:r>
      <w:r w:rsidR="00202056" w:rsidRPr="003E6B25">
        <w:t>s</w:t>
      </w:r>
    </w:p>
    <w:p w:rsidR="00927DEE" w:rsidRPr="00681347" w:rsidRDefault="003E6B25" w:rsidP="00681347">
      <w:pPr>
        <w:pStyle w:val="Heading2"/>
      </w:pPr>
      <w:r>
        <w:t>21</w:t>
      </w:r>
      <w:r w:rsidR="00927DEE" w:rsidRPr="00681347">
        <w:t>.1</w:t>
      </w:r>
      <w:r w:rsidR="006C62E0">
        <w:tab/>
      </w:r>
      <w:r w:rsidR="00927DEE" w:rsidRPr="00681347">
        <w:t>Overview</w:t>
      </w:r>
    </w:p>
    <w:bookmarkEnd w:id="0"/>
    <w:bookmarkEnd w:id="1"/>
    <w:bookmarkEnd w:id="2"/>
    <w:p w:rsidR="00170699" w:rsidRPr="00FB54EC" w:rsidRDefault="00170699" w:rsidP="00C20EB6">
      <w:r w:rsidRPr="00FB54EC">
        <w:t>The Department arranges all insurance policies through the Victorian Managed Insurance Authority (VMIA). All policies expire on 30 June each year.</w:t>
      </w:r>
    </w:p>
    <w:p w:rsidR="00E97212" w:rsidRPr="00FB54EC" w:rsidRDefault="003E6B25" w:rsidP="00FB54EC">
      <w:pPr>
        <w:pStyle w:val="Heading3"/>
      </w:pPr>
      <w:r>
        <w:t>21</w:t>
      </w:r>
      <w:r w:rsidR="0051778F" w:rsidRPr="00FB54EC">
        <w:t>.</w:t>
      </w:r>
      <w:r>
        <w:t>1</w:t>
      </w:r>
      <w:r w:rsidR="0051778F" w:rsidRPr="00FB54EC">
        <w:t>.</w:t>
      </w:r>
      <w:r w:rsidR="00A72D79">
        <w:t>1</w:t>
      </w:r>
      <w:r w:rsidR="00105B4D">
        <w:tab/>
      </w:r>
      <w:r w:rsidR="0051778F" w:rsidRPr="00FB54EC">
        <w:t>Mandatory policy (</w:t>
      </w:r>
      <w:r w:rsidR="00D33982">
        <w:t>Must do</w:t>
      </w:r>
      <w:r w:rsidR="0051778F" w:rsidRPr="00FB54EC">
        <w:t>)</w:t>
      </w:r>
      <w:r w:rsidR="00B31802">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olicy sequence number and mandatory policy information"/>
      </w:tblPr>
      <w:tblGrid>
        <w:gridCol w:w="1134"/>
        <w:gridCol w:w="7088"/>
      </w:tblGrid>
      <w:tr w:rsidR="008E3379" w:rsidRPr="00D60EB6" w:rsidTr="00C10204">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E3379" w:rsidRPr="00D60EB6" w:rsidRDefault="008E3379" w:rsidP="005542A9">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E3379" w:rsidRPr="00BE63A8" w:rsidRDefault="008E3379" w:rsidP="005542A9">
            <w:pPr>
              <w:rPr>
                <w:b/>
                <w:sz w:val="20"/>
                <w:szCs w:val="20"/>
              </w:rPr>
            </w:pPr>
            <w:r w:rsidRPr="00BE63A8">
              <w:rPr>
                <w:b/>
                <w:sz w:val="20"/>
                <w:szCs w:val="20"/>
              </w:rPr>
              <w:t>Information</w:t>
            </w:r>
          </w:p>
        </w:tc>
      </w:tr>
    </w:tbl>
    <w:tbl>
      <w:tblPr>
        <w:tblStyle w:val="TableGrid"/>
        <w:tblW w:w="0" w:type="auto"/>
        <w:tblInd w:w="57" w:type="dxa"/>
        <w:tblLook w:val="04A0" w:firstRow="1" w:lastRow="0" w:firstColumn="1" w:lastColumn="0" w:noHBand="0" w:noVBand="1"/>
        <w:tblDescription w:val="policy sequence number and mandatory policy information"/>
      </w:tblPr>
      <w:tblGrid>
        <w:gridCol w:w="1132"/>
        <w:gridCol w:w="7088"/>
        <w:gridCol w:w="547"/>
      </w:tblGrid>
      <w:tr w:rsidR="003A4545" w:rsidRPr="00FB54EC" w:rsidTr="00C10204">
        <w:trPr>
          <w:trHeight w:hRule="exact" w:val="1304"/>
          <w:tblHeader/>
        </w:trPr>
        <w:tc>
          <w:tcPr>
            <w:tcW w:w="1132" w:type="dxa"/>
          </w:tcPr>
          <w:p w:rsidR="003A4545" w:rsidRPr="00FB54EC" w:rsidRDefault="00621E52" w:rsidP="00A72D79">
            <w:r>
              <w:t>21</w:t>
            </w:r>
            <w:r w:rsidR="003A4545" w:rsidRPr="00FB54EC">
              <w:t>.</w:t>
            </w:r>
            <w:r>
              <w:t>1</w:t>
            </w:r>
            <w:r w:rsidR="003A4545" w:rsidRPr="00FB54EC">
              <w:t>.</w:t>
            </w:r>
            <w:r w:rsidR="00A72D79">
              <w:t>1</w:t>
            </w:r>
            <w:r w:rsidR="003A4545" w:rsidRPr="00FB54EC">
              <w:t>.1</w:t>
            </w:r>
          </w:p>
        </w:tc>
        <w:tc>
          <w:tcPr>
            <w:tcW w:w="7088" w:type="dxa"/>
          </w:tcPr>
          <w:p w:rsidR="003A4545" w:rsidRPr="00FB54EC" w:rsidRDefault="00170699" w:rsidP="00C20EB6">
            <w:r w:rsidRPr="00FB54EC">
              <w:t>School councils requiring insurance that is additional to the coverage provided by the Department must contact the Victorian Managed Insurance Authority to arrange cover. This does not apply to WorkCover.</w:t>
            </w:r>
          </w:p>
        </w:tc>
        <w:tc>
          <w:tcPr>
            <w:tcW w:w="547" w:type="dxa"/>
          </w:tcPr>
          <w:p w:rsidR="003A4545" w:rsidRPr="00FB54EC" w:rsidRDefault="003A4545" w:rsidP="00CC5736"/>
        </w:tc>
      </w:tr>
    </w:tbl>
    <w:p w:rsidR="008C0B02" w:rsidRDefault="008C0B02" w:rsidP="00C20EB6"/>
    <w:p w:rsidR="002F2B97" w:rsidRPr="00621E52" w:rsidRDefault="00621E52">
      <w:pPr>
        <w:pStyle w:val="Heading2"/>
      </w:pPr>
      <w:r w:rsidRPr="00621E52">
        <w:t>21.2</w:t>
      </w:r>
      <w:r w:rsidR="001D199B" w:rsidRPr="00621E52">
        <w:tab/>
        <w:t>Property Insurance</w:t>
      </w:r>
    </w:p>
    <w:p w:rsidR="002F2B97" w:rsidRPr="00621E52" w:rsidRDefault="00621E52">
      <w:pPr>
        <w:pStyle w:val="Heading3"/>
      </w:pPr>
      <w:r w:rsidRPr="00621E52">
        <w:t>21.2</w:t>
      </w:r>
      <w:r w:rsidR="00D55813" w:rsidRPr="00621E52">
        <w:t>.1</w:t>
      </w:r>
      <w:r w:rsidR="001D199B" w:rsidRPr="00621E52">
        <w:t xml:space="preserve"> </w:t>
      </w:r>
      <w:r w:rsidR="001D199B" w:rsidRPr="00621E52">
        <w:tab/>
        <w:t>Overview</w:t>
      </w:r>
    </w:p>
    <w:p w:rsidR="001D199B" w:rsidRPr="001D199B" w:rsidRDefault="001D199B" w:rsidP="00C20EB6">
      <w:pPr>
        <w:rPr>
          <w:lang w:val="en-US"/>
        </w:rPr>
      </w:pPr>
      <w:r w:rsidRPr="001D199B">
        <w:rPr>
          <w:lang w:val="en-US"/>
        </w:rPr>
        <w:t>The Industrial Special Risks (ISR) policy protects the Department against the cost of loss, destruction or damage to property owned by the State of Victoria or the Minister. Examples of insured perils include fire, storm and tempest, explosion, water damage, earthquake, burglary, boiler explosion and flood. This policy has a limit of $3.350 billion for any one loss</w:t>
      </w:r>
      <w:r w:rsidR="0061138A">
        <w:rPr>
          <w:lang w:val="en-US"/>
        </w:rPr>
        <w:t>,</w:t>
      </w:r>
      <w:r w:rsidRPr="001D199B">
        <w:rPr>
          <w:lang w:val="en-US"/>
        </w:rPr>
        <w:t xml:space="preserve"> or series of losses arising out of one event, with the cost of claims under $3 million being self-insured and borne by the Department.</w:t>
      </w:r>
    </w:p>
    <w:p w:rsidR="002F2B97" w:rsidRPr="00621E52" w:rsidRDefault="00621E52">
      <w:pPr>
        <w:pStyle w:val="Heading3"/>
        <w:rPr>
          <w:lang w:val="en-US"/>
        </w:rPr>
      </w:pPr>
      <w:r w:rsidRPr="00621E52">
        <w:rPr>
          <w:lang w:val="en-US"/>
        </w:rPr>
        <w:t>21.2.</w:t>
      </w:r>
      <w:r w:rsidR="001D199B" w:rsidRPr="00621E52">
        <w:rPr>
          <w:lang w:val="en-US"/>
        </w:rPr>
        <w:t>2</w:t>
      </w:r>
      <w:r w:rsidR="001D199B" w:rsidRPr="00621E52">
        <w:rPr>
          <w:lang w:val="en-US"/>
        </w:rPr>
        <w:tab/>
        <w:t>Building Fixtures and Fittings</w:t>
      </w:r>
    </w:p>
    <w:p w:rsidR="001D199B" w:rsidRPr="001D199B" w:rsidRDefault="001D199B" w:rsidP="00C20EB6">
      <w:pPr>
        <w:rPr>
          <w:lang w:val="en-US"/>
        </w:rPr>
      </w:pPr>
      <w:r w:rsidRPr="001D199B">
        <w:rPr>
          <w:lang w:val="en-US"/>
        </w:rPr>
        <w:t>The Department meets the cost of incidents in schools costing less than $3 million, effectively self-insuring most incidents</w:t>
      </w:r>
      <w:r w:rsidR="0061138A">
        <w:rPr>
          <w:lang w:val="en-US"/>
        </w:rPr>
        <w:t xml:space="preserve"> and minimizing the risk</w:t>
      </w:r>
      <w:r w:rsidRPr="001D199B">
        <w:rPr>
          <w:lang w:val="en-US"/>
        </w:rPr>
        <w:t xml:space="preserve">. Facilities that are over entitlement (i.e. - locally funded or originally provided by the Department when the school had a larger student population) will not necessarily be reinstated by the Department. At the time of loss, an assessment will be made of the school’s needs in line with the Department’s asset management policies. The Department will not provide schools with funding to replace contents that are not covered by its Reinstatement Fund or the School Equipment Coverage Scheme (SECS). </w:t>
      </w:r>
    </w:p>
    <w:p w:rsidR="001D199B" w:rsidRPr="001D199B" w:rsidRDefault="001D199B" w:rsidP="00C20EB6">
      <w:pPr>
        <w:rPr>
          <w:lang w:val="en-US"/>
        </w:rPr>
      </w:pPr>
      <w:r w:rsidRPr="001D199B">
        <w:rPr>
          <w:lang w:val="en-US"/>
        </w:rPr>
        <w:t>Fixtures and fittings that are permanently fixed to the buildings are covered under the VMIA insurance policy. Depending on the amount of the loss and the type of fixture/fitting, the cost of incidents may be borne by the school or by the Department.</w:t>
      </w:r>
    </w:p>
    <w:p w:rsidR="001D199B" w:rsidRPr="001D199B" w:rsidRDefault="001D199B" w:rsidP="00C20EB6">
      <w:pPr>
        <w:rPr>
          <w:lang w:val="en-US"/>
        </w:rPr>
      </w:pPr>
      <w:r w:rsidRPr="001D199B">
        <w:rPr>
          <w:lang w:val="en-US"/>
        </w:rPr>
        <w:t xml:space="preserve">If a School Council wants any over entitlement facilities to be replaced when they are damaged or destroyed, they can obtain separate insurance cover for these facilities from the Victorian Managed Insurance Authority (VMIA). Facilities constructed under the Building Education Revolution (BER) program are covered under the Department’s insurance arrangements - separate insurance is not required. If BER facilities result in other facilities </w:t>
      </w:r>
      <w:r w:rsidRPr="001D199B">
        <w:rPr>
          <w:lang w:val="en-US"/>
        </w:rPr>
        <w:lastRenderedPageBreak/>
        <w:t>becoming over-entitled, the Department will work with individual schools to assess re-building requirements in accordance with the Reinstatement and Preventative Maintenance Procedures guidelines and policies.</w:t>
      </w:r>
    </w:p>
    <w:p w:rsidR="002F2B97" w:rsidRDefault="00621E52">
      <w:pPr>
        <w:pStyle w:val="Heading3"/>
        <w:rPr>
          <w:lang w:val="en-US"/>
        </w:rPr>
      </w:pPr>
      <w:r w:rsidRPr="00621E52">
        <w:rPr>
          <w:lang w:val="en-US"/>
        </w:rPr>
        <w:t>21.2</w:t>
      </w:r>
      <w:r w:rsidR="00D55813" w:rsidRPr="00621E52">
        <w:rPr>
          <w:lang w:val="en-US"/>
        </w:rPr>
        <w:t>.3</w:t>
      </w:r>
      <w:r w:rsidR="001D199B" w:rsidRPr="00621E52">
        <w:rPr>
          <w:lang w:val="en-US"/>
        </w:rPr>
        <w:tab/>
        <w:t>School Equipment Coverage</w:t>
      </w:r>
      <w:r w:rsidR="001D199B" w:rsidRPr="001D199B">
        <w:rPr>
          <w:lang w:val="en-US"/>
        </w:rPr>
        <w:t xml:space="preserve"> Scheme (SECS)</w:t>
      </w:r>
    </w:p>
    <w:p w:rsidR="001D199B" w:rsidRPr="001D199B" w:rsidRDefault="001D199B" w:rsidP="00C20EB6">
      <w:pPr>
        <w:rPr>
          <w:lang w:val="en-US"/>
        </w:rPr>
      </w:pPr>
      <w:r w:rsidRPr="001D199B">
        <w:rPr>
          <w:lang w:val="en-US"/>
        </w:rPr>
        <w:t xml:space="preserve">The School Equipment Coverage Scheme (SECS) is a self-coverage scheme of the Department </w:t>
      </w:r>
      <w:r w:rsidR="00365FA0">
        <w:rPr>
          <w:lang w:val="en-US"/>
        </w:rPr>
        <w:t xml:space="preserve">and is </w:t>
      </w:r>
      <w:r w:rsidRPr="001D199B">
        <w:rPr>
          <w:lang w:val="en-US"/>
        </w:rPr>
        <w:t>managed by Victorian School Building Authority (VSBA). This scheme covers specified contents in schools that are below the Department</w:t>
      </w:r>
      <w:r w:rsidR="00EC60CB">
        <w:rPr>
          <w:lang w:val="en-US"/>
        </w:rPr>
        <w:t>’</w:t>
      </w:r>
      <w:r w:rsidRPr="001D199B">
        <w:rPr>
          <w:lang w:val="en-US"/>
        </w:rPr>
        <w:t>s $3</w:t>
      </w:r>
      <w:r w:rsidR="005447F5">
        <w:rPr>
          <w:lang w:val="en-US"/>
        </w:rPr>
        <w:t xml:space="preserve"> </w:t>
      </w:r>
      <w:r w:rsidRPr="001D199B">
        <w:rPr>
          <w:lang w:val="en-US"/>
        </w:rPr>
        <w:t>m</w:t>
      </w:r>
      <w:r w:rsidR="005447F5">
        <w:rPr>
          <w:lang w:val="en-US"/>
        </w:rPr>
        <w:t>illion</w:t>
      </w:r>
      <w:r w:rsidRPr="001D199B">
        <w:rPr>
          <w:lang w:val="en-US"/>
        </w:rPr>
        <w:t xml:space="preserve"> excess. VMIA is contracted to administer these claims on behalf of the Department under the direction of the VSBA.</w:t>
      </w:r>
    </w:p>
    <w:p w:rsidR="001D199B" w:rsidRDefault="00425D45" w:rsidP="00C20EB6">
      <w:pPr>
        <w:rPr>
          <w:lang w:val="en-US"/>
        </w:rPr>
      </w:pPr>
      <w:r>
        <w:rPr>
          <w:lang w:val="en-US"/>
        </w:rPr>
        <w:t>However</w:t>
      </w:r>
      <w:r w:rsidR="001D199B" w:rsidRPr="001D199B">
        <w:rPr>
          <w:lang w:val="en-US"/>
        </w:rPr>
        <w:t xml:space="preserve">, the SECS does not cover leased or hired equipment. Most lease or hire agreements require the lessee (the School Council) </w:t>
      </w:r>
      <w:r>
        <w:rPr>
          <w:lang w:val="en-US"/>
        </w:rPr>
        <w:t xml:space="preserve">to </w:t>
      </w:r>
      <w:r w:rsidR="001D199B" w:rsidRPr="001D199B">
        <w:rPr>
          <w:lang w:val="en-US"/>
        </w:rPr>
        <w:t>take out insurance to cover replacement or repair of the leased/hired equipment.</w:t>
      </w:r>
    </w:p>
    <w:p w:rsidR="002F2B97" w:rsidRPr="00C86049" w:rsidRDefault="00C86049">
      <w:pPr>
        <w:pStyle w:val="Heading3"/>
        <w:rPr>
          <w:lang w:val="en-US"/>
        </w:rPr>
      </w:pPr>
      <w:r w:rsidRPr="00C86049">
        <w:rPr>
          <w:lang w:val="en-US"/>
        </w:rPr>
        <w:t>21.2.</w:t>
      </w:r>
      <w:r w:rsidR="00D55813" w:rsidRPr="00C86049">
        <w:rPr>
          <w:lang w:val="en-US"/>
        </w:rPr>
        <w:t>4</w:t>
      </w:r>
      <w:r w:rsidR="001D199B" w:rsidRPr="00C86049">
        <w:rPr>
          <w:lang w:val="en-US"/>
        </w:rPr>
        <w:tab/>
        <w:t>Mandatory policy (Must do):</w:t>
      </w:r>
    </w:p>
    <w:tbl>
      <w:tblPr>
        <w:tblW w:w="0" w:type="auto"/>
        <w:tblInd w:w="57" w:type="dxa"/>
        <w:tblLook w:val="04A0" w:firstRow="1" w:lastRow="0" w:firstColumn="1" w:lastColumn="0" w:noHBand="0" w:noVBand="1"/>
      </w:tblPr>
      <w:tblGrid>
        <w:gridCol w:w="1134"/>
        <w:gridCol w:w="7088"/>
        <w:gridCol w:w="567"/>
      </w:tblGrid>
      <w:tr w:rsidR="008E3379" w:rsidRPr="001D199B" w:rsidTr="008E3379">
        <w:trPr>
          <w:trHeight w:hRule="exact" w:val="772"/>
        </w:trPr>
        <w:tc>
          <w:tcPr>
            <w:tcW w:w="1134" w:type="dxa"/>
            <w:tcBorders>
              <w:top w:val="single" w:sz="4" w:space="0" w:color="auto"/>
              <w:left w:val="single" w:sz="4" w:space="0" w:color="auto"/>
              <w:bottom w:val="single" w:sz="4" w:space="0" w:color="auto"/>
              <w:right w:val="single" w:sz="4" w:space="0" w:color="auto"/>
            </w:tcBorders>
          </w:tcPr>
          <w:p w:rsidR="008E3379" w:rsidRPr="00D60EB6" w:rsidRDefault="008E3379" w:rsidP="008E3379">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tcPr>
          <w:p w:rsidR="008E3379" w:rsidRPr="00BE63A8" w:rsidRDefault="008E3379" w:rsidP="008E3379">
            <w:pPr>
              <w:rPr>
                <w:b/>
                <w:sz w:val="20"/>
                <w:szCs w:val="20"/>
              </w:rPr>
            </w:pPr>
            <w:r w:rsidRPr="00BE63A8">
              <w:rPr>
                <w:b/>
                <w:sz w:val="20"/>
                <w:szCs w:val="20"/>
              </w:rPr>
              <w:t>Information</w:t>
            </w:r>
          </w:p>
        </w:tc>
        <w:tc>
          <w:tcPr>
            <w:tcW w:w="567" w:type="dxa"/>
            <w:tcBorders>
              <w:left w:val="single" w:sz="4" w:space="0" w:color="auto"/>
              <w:bottom w:val="single" w:sz="4" w:space="0" w:color="auto"/>
            </w:tcBorders>
          </w:tcPr>
          <w:p w:rsidR="008E3379" w:rsidRPr="001D199B" w:rsidRDefault="008E3379" w:rsidP="008E3379">
            <w:pPr>
              <w:rPr>
                <w:szCs w:val="22"/>
                <w:lang w:val="en-US"/>
              </w:rPr>
            </w:pPr>
          </w:p>
        </w:tc>
      </w:tr>
      <w:tr w:rsidR="008E3379" w:rsidRPr="001D199B" w:rsidTr="006C62E0">
        <w:trPr>
          <w:trHeight w:hRule="exact" w:val="1021"/>
        </w:trPr>
        <w:tc>
          <w:tcPr>
            <w:tcW w:w="1134" w:type="dxa"/>
            <w:tcBorders>
              <w:top w:val="single" w:sz="4" w:space="0" w:color="auto"/>
              <w:left w:val="single" w:sz="4" w:space="0" w:color="auto"/>
              <w:bottom w:val="single" w:sz="4" w:space="0" w:color="auto"/>
              <w:right w:val="single" w:sz="4" w:space="0" w:color="auto"/>
            </w:tcBorders>
          </w:tcPr>
          <w:p w:rsidR="008E3379" w:rsidRPr="001D199B" w:rsidRDefault="008E3379" w:rsidP="008E3379">
            <w:r>
              <w:t>21.2.4.1</w:t>
            </w:r>
          </w:p>
        </w:tc>
        <w:tc>
          <w:tcPr>
            <w:tcW w:w="7088" w:type="dxa"/>
            <w:tcBorders>
              <w:top w:val="single" w:sz="4" w:space="0" w:color="auto"/>
              <w:left w:val="single" w:sz="4" w:space="0" w:color="auto"/>
              <w:bottom w:val="single" w:sz="4" w:space="0" w:color="auto"/>
              <w:right w:val="single" w:sz="4" w:space="0" w:color="auto"/>
            </w:tcBorders>
          </w:tcPr>
          <w:p w:rsidR="008E3379" w:rsidRPr="001D199B" w:rsidRDefault="008E3379" w:rsidP="008E3379">
            <w:pPr>
              <w:rPr>
                <w:b/>
                <w:lang w:val="en-US"/>
              </w:rPr>
            </w:pPr>
            <w:r w:rsidRPr="001D199B">
              <w:rPr>
                <w:lang w:val="en-US"/>
              </w:rPr>
              <w:t xml:space="preserve">Schools must arrange their </w:t>
            </w:r>
            <w:r>
              <w:rPr>
                <w:lang w:val="en-US"/>
              </w:rPr>
              <w:t>p</w:t>
            </w:r>
            <w:r w:rsidRPr="001D199B">
              <w:rPr>
                <w:lang w:val="en-US"/>
              </w:rPr>
              <w:t xml:space="preserve">roperty insurance requirements with the VMIA as mandated by the </w:t>
            </w:r>
            <w:r w:rsidRPr="008810D6">
              <w:rPr>
                <w:i/>
                <w:lang w:val="en-US"/>
              </w:rPr>
              <w:t>VMIA Act 1996</w:t>
            </w:r>
            <w:r w:rsidRPr="001D199B">
              <w:rPr>
                <w:lang w:val="en-US"/>
              </w:rPr>
              <w:t>. The VMIA School Council Insurance Guide must be referred to for assistance.</w:t>
            </w:r>
          </w:p>
        </w:tc>
        <w:tc>
          <w:tcPr>
            <w:tcW w:w="567" w:type="dxa"/>
            <w:tcBorders>
              <w:top w:val="single" w:sz="4" w:space="0" w:color="auto"/>
              <w:left w:val="single" w:sz="4" w:space="0" w:color="auto"/>
              <w:bottom w:val="single" w:sz="4" w:space="0" w:color="auto"/>
              <w:right w:val="single" w:sz="4" w:space="0" w:color="auto"/>
            </w:tcBorders>
          </w:tcPr>
          <w:p w:rsidR="008E3379" w:rsidRPr="001D199B" w:rsidRDefault="008E3379" w:rsidP="008E3379">
            <w:pPr>
              <w:rPr>
                <w:szCs w:val="22"/>
                <w:lang w:val="en-US"/>
              </w:rPr>
            </w:pPr>
          </w:p>
        </w:tc>
      </w:tr>
    </w:tbl>
    <w:p w:rsidR="0061138A" w:rsidRDefault="0061138A" w:rsidP="00C20EB6">
      <w:pPr>
        <w:rPr>
          <w:lang w:val="en-US"/>
        </w:rPr>
      </w:pPr>
    </w:p>
    <w:p w:rsidR="002F2B97" w:rsidRPr="00AA7DDD" w:rsidRDefault="00621E52">
      <w:pPr>
        <w:pStyle w:val="Heading2"/>
      </w:pPr>
      <w:r w:rsidRPr="00AA7DDD">
        <w:t>21.</w:t>
      </w:r>
      <w:r w:rsidR="00D55813" w:rsidRPr="00AA7DDD">
        <w:t>3</w:t>
      </w:r>
      <w:r w:rsidR="00D55813" w:rsidRPr="00AA7DDD">
        <w:tab/>
      </w:r>
      <w:r w:rsidR="001D199B" w:rsidRPr="00AA7DDD">
        <w:t>Public Liability</w:t>
      </w:r>
    </w:p>
    <w:p w:rsidR="002F2B97" w:rsidRPr="00621E52" w:rsidRDefault="00621E52">
      <w:pPr>
        <w:pStyle w:val="Heading3"/>
      </w:pPr>
      <w:r w:rsidRPr="00621E52">
        <w:t>21.</w:t>
      </w:r>
      <w:r w:rsidR="003D208F" w:rsidRPr="00621E52">
        <w:t>3.</w:t>
      </w:r>
      <w:r w:rsidR="001D199B" w:rsidRPr="00621E52">
        <w:t>1</w:t>
      </w:r>
      <w:r w:rsidR="001D199B" w:rsidRPr="00621E52">
        <w:tab/>
        <w:t>Overview</w:t>
      </w:r>
    </w:p>
    <w:p w:rsidR="001D199B" w:rsidRPr="001D199B" w:rsidRDefault="001D199B" w:rsidP="00C20EB6">
      <w:pPr>
        <w:rPr>
          <w:lang w:val="en-US"/>
        </w:rPr>
      </w:pPr>
      <w:r w:rsidRPr="001D199B">
        <w:rPr>
          <w:lang w:val="en-US"/>
        </w:rPr>
        <w:t>The Department, as an agency of the State Government, holds Public &amp; Products Liability insurance with total cover of $1 billion for any one claim</w:t>
      </w:r>
      <w:r w:rsidR="00EC60CB">
        <w:rPr>
          <w:lang w:val="en-US"/>
        </w:rPr>
        <w:t>,</w:t>
      </w:r>
      <w:r w:rsidRPr="001D199B">
        <w:rPr>
          <w:lang w:val="en-US"/>
        </w:rPr>
        <w:t xml:space="preserve"> and in the annual aggregate for all claims. </w:t>
      </w:r>
    </w:p>
    <w:p w:rsidR="001D199B" w:rsidRPr="001D199B" w:rsidRDefault="001D199B" w:rsidP="00C20EB6">
      <w:pPr>
        <w:rPr>
          <w:lang w:val="en-US"/>
        </w:rPr>
      </w:pPr>
      <w:r w:rsidRPr="001D199B">
        <w:rPr>
          <w:lang w:val="en-US"/>
        </w:rPr>
        <w:t>This policy protects the Department against:</w:t>
      </w:r>
    </w:p>
    <w:p w:rsidR="001D199B" w:rsidRPr="001D199B" w:rsidRDefault="001D199B" w:rsidP="00FC5F6A">
      <w:pPr>
        <w:pStyle w:val="ListBullet"/>
        <w:rPr>
          <w:lang w:val="en-US"/>
        </w:rPr>
      </w:pPr>
      <w:r w:rsidRPr="001D199B">
        <w:rPr>
          <w:lang w:val="en-US"/>
        </w:rPr>
        <w:t>claims for Personal Injury (including death) suffered by third parties – i.e. people who are not employees (employees are covered by Work</w:t>
      </w:r>
      <w:r w:rsidR="00F3691E">
        <w:rPr>
          <w:lang w:val="en-US"/>
        </w:rPr>
        <w:t xml:space="preserve"> </w:t>
      </w:r>
      <w:r w:rsidRPr="001D199B">
        <w:rPr>
          <w:lang w:val="en-US"/>
        </w:rPr>
        <w:t xml:space="preserve">Cover); and </w:t>
      </w:r>
    </w:p>
    <w:p w:rsidR="001D199B" w:rsidRDefault="001D199B" w:rsidP="00FC5F6A">
      <w:pPr>
        <w:pStyle w:val="ListBullet"/>
        <w:rPr>
          <w:lang w:val="en-US"/>
        </w:rPr>
      </w:pPr>
      <w:proofErr w:type="gramStart"/>
      <w:r w:rsidRPr="001D199B">
        <w:rPr>
          <w:lang w:val="en-US"/>
        </w:rPr>
        <w:t>claims</w:t>
      </w:r>
      <w:proofErr w:type="gramEnd"/>
      <w:r w:rsidRPr="001D199B">
        <w:rPr>
          <w:lang w:val="en-US"/>
        </w:rPr>
        <w:t xml:space="preserve"> for loss, damage to or destruction of other people’s property.</w:t>
      </w:r>
    </w:p>
    <w:p w:rsidR="008C3760" w:rsidRDefault="008C3760" w:rsidP="00C20EB6">
      <w:pPr>
        <w:rPr>
          <w:lang w:val="en-US"/>
        </w:rPr>
      </w:pPr>
      <w:r w:rsidRPr="001D199B">
        <w:rPr>
          <w:lang w:val="en-US"/>
        </w:rPr>
        <w:t>The policy has a $5 million self-insured retention (SIR), with the cost of claims within that figure borne by the Department. These claims are managed by the Legal Division.</w:t>
      </w:r>
    </w:p>
    <w:p w:rsidR="008E3379" w:rsidRDefault="008E3379" w:rsidP="00C20EB6">
      <w:pPr>
        <w:rPr>
          <w:lang w:val="en-US"/>
        </w:rPr>
      </w:pPr>
    </w:p>
    <w:p w:rsidR="008E3379" w:rsidRDefault="008E3379" w:rsidP="00C20EB6">
      <w:pPr>
        <w:rPr>
          <w:lang w:val="en-US"/>
        </w:rPr>
      </w:pPr>
    </w:p>
    <w:p w:rsidR="008E3379" w:rsidRDefault="008E3379" w:rsidP="00C20EB6">
      <w:pPr>
        <w:rPr>
          <w:lang w:val="en-US"/>
        </w:rPr>
      </w:pPr>
    </w:p>
    <w:p w:rsidR="008E3379" w:rsidRDefault="008E3379" w:rsidP="00C20EB6">
      <w:pPr>
        <w:rPr>
          <w:lang w:val="en-US"/>
        </w:rPr>
      </w:pPr>
    </w:p>
    <w:p w:rsidR="008E3379" w:rsidRDefault="008E3379" w:rsidP="00C20EB6">
      <w:pPr>
        <w:rPr>
          <w:lang w:val="en-US"/>
        </w:rPr>
      </w:pPr>
    </w:p>
    <w:p w:rsidR="008E3379" w:rsidRDefault="008E3379" w:rsidP="00C20EB6">
      <w:pPr>
        <w:rPr>
          <w:lang w:val="en-US"/>
        </w:rPr>
      </w:pPr>
    </w:p>
    <w:p w:rsidR="002F2B97" w:rsidRDefault="00621E52">
      <w:pPr>
        <w:pStyle w:val="Heading3"/>
        <w:rPr>
          <w:lang w:val="en-US"/>
        </w:rPr>
      </w:pPr>
      <w:r>
        <w:rPr>
          <w:lang w:val="en-US"/>
        </w:rPr>
        <w:lastRenderedPageBreak/>
        <w:t>21.</w:t>
      </w:r>
      <w:r w:rsidR="008C3760">
        <w:rPr>
          <w:lang w:val="en-US"/>
        </w:rPr>
        <w:t>3.2</w:t>
      </w:r>
      <w:r w:rsidR="001D199B" w:rsidRPr="001D199B">
        <w:rPr>
          <w:lang w:val="en-US"/>
        </w:rPr>
        <w:tab/>
        <w:t>Mandatory policy (Must do):</w:t>
      </w:r>
    </w:p>
    <w:tbl>
      <w:tblPr>
        <w:tblW w:w="0" w:type="auto"/>
        <w:tblInd w:w="57" w:type="dxa"/>
        <w:tblLook w:val="04A0" w:firstRow="1" w:lastRow="0" w:firstColumn="1" w:lastColumn="0" w:noHBand="0" w:noVBand="1"/>
      </w:tblPr>
      <w:tblGrid>
        <w:gridCol w:w="1134"/>
        <w:gridCol w:w="7088"/>
        <w:gridCol w:w="567"/>
      </w:tblGrid>
      <w:tr w:rsidR="008E3379" w:rsidRPr="001D199B" w:rsidTr="00BE63A8">
        <w:trPr>
          <w:trHeight w:val="724"/>
        </w:trPr>
        <w:tc>
          <w:tcPr>
            <w:tcW w:w="1134" w:type="dxa"/>
            <w:tcBorders>
              <w:top w:val="single" w:sz="4" w:space="0" w:color="auto"/>
              <w:left w:val="single" w:sz="4" w:space="0" w:color="auto"/>
              <w:bottom w:val="single" w:sz="4" w:space="0" w:color="auto"/>
              <w:right w:val="single" w:sz="4" w:space="0" w:color="auto"/>
            </w:tcBorders>
          </w:tcPr>
          <w:p w:rsidR="008E3379" w:rsidRPr="00D60EB6" w:rsidRDefault="008E3379" w:rsidP="008E3379">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tcPr>
          <w:p w:rsidR="008E3379" w:rsidRPr="00BE63A8" w:rsidRDefault="008E3379" w:rsidP="008E3379">
            <w:pPr>
              <w:rPr>
                <w:b/>
                <w:sz w:val="20"/>
                <w:szCs w:val="20"/>
              </w:rPr>
            </w:pPr>
            <w:r w:rsidRPr="00BE63A8">
              <w:rPr>
                <w:b/>
                <w:sz w:val="20"/>
                <w:szCs w:val="20"/>
              </w:rPr>
              <w:t>Information</w:t>
            </w:r>
          </w:p>
        </w:tc>
        <w:tc>
          <w:tcPr>
            <w:tcW w:w="567" w:type="dxa"/>
            <w:tcBorders>
              <w:left w:val="single" w:sz="4" w:space="0" w:color="auto"/>
              <w:bottom w:val="single" w:sz="4" w:space="0" w:color="auto"/>
            </w:tcBorders>
          </w:tcPr>
          <w:p w:rsidR="008E3379" w:rsidRPr="001D199B" w:rsidRDefault="008E3379" w:rsidP="008E3379">
            <w:pPr>
              <w:rPr>
                <w:szCs w:val="22"/>
                <w:lang w:val="en-US"/>
              </w:rPr>
            </w:pPr>
          </w:p>
        </w:tc>
      </w:tr>
      <w:tr w:rsidR="008E3379" w:rsidRPr="001D199B" w:rsidTr="004338AC">
        <w:trPr>
          <w:trHeight w:val="1587"/>
        </w:trPr>
        <w:tc>
          <w:tcPr>
            <w:tcW w:w="1134" w:type="dxa"/>
            <w:tcBorders>
              <w:top w:val="single" w:sz="4" w:space="0" w:color="auto"/>
              <w:left w:val="single" w:sz="4" w:space="0" w:color="auto"/>
              <w:bottom w:val="single" w:sz="4" w:space="0" w:color="auto"/>
              <w:right w:val="single" w:sz="4" w:space="0" w:color="auto"/>
            </w:tcBorders>
          </w:tcPr>
          <w:p w:rsidR="008E3379" w:rsidRPr="001D199B" w:rsidRDefault="008E3379" w:rsidP="008E3379">
            <w:r>
              <w:t>21.3.2.1</w:t>
            </w:r>
          </w:p>
        </w:tc>
        <w:tc>
          <w:tcPr>
            <w:tcW w:w="7088" w:type="dxa"/>
            <w:tcBorders>
              <w:top w:val="single" w:sz="4" w:space="0" w:color="auto"/>
              <w:left w:val="single" w:sz="4" w:space="0" w:color="auto"/>
              <w:bottom w:val="single" w:sz="4" w:space="0" w:color="auto"/>
              <w:right w:val="single" w:sz="4" w:space="0" w:color="auto"/>
            </w:tcBorders>
          </w:tcPr>
          <w:p w:rsidR="008E3379" w:rsidRPr="001D199B" w:rsidRDefault="008E3379" w:rsidP="008E3379">
            <w:pPr>
              <w:rPr>
                <w:b/>
                <w:lang w:val="en-US"/>
              </w:rPr>
            </w:pPr>
            <w:r w:rsidRPr="001D199B">
              <w:rPr>
                <w:lang w:val="en-US"/>
              </w:rPr>
              <w:t>The Department and/or its employees must be legally liable for the policy to respond. For example, if a student is injured at school and lodges a claim against the school, the student and/or their parents must establish that the school staff failed to take reasonable care to protect the student from an injury that was reasonably foreseeable.</w:t>
            </w:r>
          </w:p>
        </w:tc>
        <w:tc>
          <w:tcPr>
            <w:tcW w:w="567" w:type="dxa"/>
            <w:tcBorders>
              <w:top w:val="single" w:sz="4" w:space="0" w:color="auto"/>
              <w:left w:val="single" w:sz="4" w:space="0" w:color="auto"/>
              <w:bottom w:val="single" w:sz="4" w:space="0" w:color="auto"/>
              <w:right w:val="single" w:sz="4" w:space="0" w:color="auto"/>
            </w:tcBorders>
          </w:tcPr>
          <w:p w:rsidR="008E3379" w:rsidRPr="001D199B" w:rsidRDefault="008E3379" w:rsidP="008E3379">
            <w:pPr>
              <w:rPr>
                <w:szCs w:val="22"/>
                <w:lang w:val="en-US"/>
              </w:rPr>
            </w:pPr>
          </w:p>
        </w:tc>
      </w:tr>
    </w:tbl>
    <w:p w:rsidR="002F2B97" w:rsidRPr="004B5715" w:rsidRDefault="004B5715">
      <w:pPr>
        <w:pStyle w:val="Heading3"/>
        <w:rPr>
          <w:lang w:val="en-US"/>
        </w:rPr>
      </w:pPr>
      <w:r w:rsidRPr="004B5715">
        <w:rPr>
          <w:lang w:val="en-US"/>
        </w:rPr>
        <w:t>21.</w:t>
      </w:r>
      <w:r w:rsidR="008C3760" w:rsidRPr="004B5715">
        <w:rPr>
          <w:lang w:val="en-US"/>
        </w:rPr>
        <w:t>3.</w:t>
      </w:r>
      <w:r w:rsidR="00C86049">
        <w:rPr>
          <w:lang w:val="en-US"/>
        </w:rPr>
        <w:t>3</w:t>
      </w:r>
      <w:r w:rsidR="008C3760" w:rsidRPr="004B5715">
        <w:rPr>
          <w:lang w:val="en-US"/>
        </w:rPr>
        <w:tab/>
      </w:r>
      <w:r w:rsidR="001D199B" w:rsidRPr="004B5715">
        <w:rPr>
          <w:lang w:val="en-US"/>
        </w:rPr>
        <w:t>Use or Hire of Non-School Facilities</w:t>
      </w:r>
    </w:p>
    <w:p w:rsidR="005447F5" w:rsidRDefault="001D199B" w:rsidP="00C20EB6">
      <w:pPr>
        <w:rPr>
          <w:color w:val="000000" w:themeColor="text1"/>
          <w:lang w:val="en-US"/>
        </w:rPr>
      </w:pPr>
      <w:r w:rsidRPr="004B5715">
        <w:rPr>
          <w:color w:val="000000" w:themeColor="text1"/>
          <w:lang w:val="en-US"/>
        </w:rPr>
        <w:t>Schools regularly use municipal/shire council facilities, shopping cent</w:t>
      </w:r>
      <w:r w:rsidR="00EC60CB">
        <w:rPr>
          <w:color w:val="000000" w:themeColor="text1"/>
          <w:lang w:val="en-US"/>
        </w:rPr>
        <w:t>e</w:t>
      </w:r>
      <w:r w:rsidRPr="004B5715">
        <w:rPr>
          <w:color w:val="000000" w:themeColor="text1"/>
          <w:lang w:val="en-US"/>
        </w:rPr>
        <w:t>rs or other facilities to conduct educational programs, fund raising activities and functions for the benefit of students and the local school community.</w:t>
      </w:r>
    </w:p>
    <w:p w:rsidR="005447F5" w:rsidRDefault="00365FA0" w:rsidP="00C20EB6">
      <w:pPr>
        <w:rPr>
          <w:color w:val="000000" w:themeColor="text1"/>
          <w:lang w:val="en-US"/>
        </w:rPr>
      </w:pPr>
      <w:r w:rsidRPr="001D199B">
        <w:rPr>
          <w:lang w:val="en-US"/>
        </w:rPr>
        <w:t xml:space="preserve">Schools </w:t>
      </w:r>
      <w:r w:rsidR="007B246A">
        <w:rPr>
          <w:lang w:val="en-US"/>
        </w:rPr>
        <w:t>may be</w:t>
      </w:r>
      <w:r w:rsidRPr="001D199B">
        <w:rPr>
          <w:lang w:val="en-US"/>
        </w:rPr>
        <w:t xml:space="preserve"> </w:t>
      </w:r>
      <w:r>
        <w:rPr>
          <w:lang w:val="en-US"/>
        </w:rPr>
        <w:t xml:space="preserve">required to </w:t>
      </w:r>
      <w:r w:rsidR="007B246A">
        <w:rPr>
          <w:lang w:val="en-US"/>
        </w:rPr>
        <w:t>provide</w:t>
      </w:r>
      <w:r>
        <w:rPr>
          <w:lang w:val="en-US"/>
        </w:rPr>
        <w:t xml:space="preserve"> evidence of Public Liability insurance cover for the use of Non-School facilities. </w:t>
      </w:r>
      <w:r w:rsidRPr="004B5715">
        <w:rPr>
          <w:color w:val="000000" w:themeColor="text1"/>
          <w:lang w:val="en-US"/>
        </w:rPr>
        <w:t>This evidence takes the form of a Public &amp; Products Liability Certificate of Currency</w:t>
      </w:r>
      <w:r>
        <w:rPr>
          <w:color w:val="000000" w:themeColor="text1"/>
          <w:lang w:val="en-US"/>
        </w:rPr>
        <w:t>.</w:t>
      </w:r>
      <w:r w:rsidRPr="00365FA0">
        <w:t xml:space="preserve"> </w:t>
      </w:r>
      <w:r>
        <w:rPr>
          <w:lang w:val="en-US"/>
        </w:rPr>
        <w:t xml:space="preserve">For example, the use of </w:t>
      </w:r>
      <w:r w:rsidRPr="004B5715">
        <w:rPr>
          <w:color w:val="000000" w:themeColor="text1"/>
          <w:lang w:val="en-US"/>
        </w:rPr>
        <w:t>municipal/shire council facilities, shopping cent</w:t>
      </w:r>
      <w:r>
        <w:rPr>
          <w:color w:val="000000" w:themeColor="text1"/>
          <w:lang w:val="en-US"/>
        </w:rPr>
        <w:t>e</w:t>
      </w:r>
      <w:r w:rsidRPr="004B5715">
        <w:rPr>
          <w:color w:val="000000" w:themeColor="text1"/>
          <w:lang w:val="en-US"/>
        </w:rPr>
        <w:t>rs, or other facilities to conduct educational programs, fund raising activities and functions for the benefit of students and the local school community.</w:t>
      </w:r>
      <w:r w:rsidR="005961F6" w:rsidRPr="00365FA0">
        <w:t xml:space="preserve"> </w:t>
      </w:r>
      <w:r w:rsidR="005961F6">
        <w:t xml:space="preserve">Refer to </w:t>
      </w:r>
      <w:hyperlink r:id="rId11" w:history="1">
        <w:r w:rsidR="005961F6" w:rsidRPr="00972041">
          <w:rPr>
            <w:rStyle w:val="Hyperlink"/>
          </w:rPr>
          <w:t>Certificate of Currency</w:t>
        </w:r>
      </w:hyperlink>
      <w:r w:rsidR="005961F6">
        <w:t xml:space="preserve"> website for more detailed information.</w:t>
      </w:r>
    </w:p>
    <w:p w:rsidR="002F2B97" w:rsidRPr="004B5715" w:rsidRDefault="004B5715">
      <w:pPr>
        <w:pStyle w:val="Heading3"/>
        <w:rPr>
          <w:lang w:val="en-US"/>
        </w:rPr>
      </w:pPr>
      <w:r w:rsidRPr="004B5715">
        <w:rPr>
          <w:lang w:val="en-US"/>
        </w:rPr>
        <w:t>21.</w:t>
      </w:r>
      <w:r w:rsidR="008C3760" w:rsidRPr="004B5715">
        <w:rPr>
          <w:lang w:val="en-US"/>
        </w:rPr>
        <w:t>3.</w:t>
      </w:r>
      <w:r w:rsidR="005961F6">
        <w:rPr>
          <w:lang w:val="en-US"/>
        </w:rPr>
        <w:t>4</w:t>
      </w:r>
      <w:r w:rsidR="008C3760" w:rsidRPr="004B5715">
        <w:rPr>
          <w:lang w:val="en-US"/>
        </w:rPr>
        <w:tab/>
      </w:r>
      <w:r w:rsidR="001D199B" w:rsidRPr="004B5715">
        <w:rPr>
          <w:lang w:val="en-US"/>
        </w:rPr>
        <w:t>Use of School Facilities by Third Parties</w:t>
      </w:r>
    </w:p>
    <w:p w:rsidR="001D199B" w:rsidRPr="001D199B" w:rsidRDefault="001D199B" w:rsidP="00C20EB6">
      <w:pPr>
        <w:rPr>
          <w:lang w:val="en-US"/>
        </w:rPr>
      </w:pPr>
      <w:r w:rsidRPr="001D199B">
        <w:rPr>
          <w:lang w:val="en-US"/>
        </w:rPr>
        <w:t xml:space="preserve">Schools regularly make their facilities available for use by third parties and this is encouraged by both the Victorian and Commonwealth governments. The activities that school premises </w:t>
      </w:r>
      <w:r w:rsidR="006E51C6">
        <w:rPr>
          <w:lang w:val="en-US"/>
        </w:rPr>
        <w:t xml:space="preserve">can </w:t>
      </w:r>
      <w:r w:rsidR="005447F5">
        <w:rPr>
          <w:lang w:val="en-US"/>
        </w:rPr>
        <w:t>be</w:t>
      </w:r>
      <w:r w:rsidRPr="001D199B">
        <w:rPr>
          <w:lang w:val="en-US"/>
        </w:rPr>
        <w:t xml:space="preserve"> used for falls into two categories:</w:t>
      </w:r>
    </w:p>
    <w:p w:rsidR="001D199B" w:rsidRPr="005447F5" w:rsidRDefault="001D199B" w:rsidP="005961F6">
      <w:pPr>
        <w:pStyle w:val="ListBullet"/>
        <w:rPr>
          <w:lang w:val="en-US"/>
        </w:rPr>
      </w:pPr>
      <w:r w:rsidRPr="005447F5">
        <w:rPr>
          <w:lang w:val="en-US"/>
        </w:rPr>
        <w:t xml:space="preserve">Activities for community benefit such as specific interest clubs, book reading societies or foreign language tuition, all of which are not-for-profit. </w:t>
      </w:r>
    </w:p>
    <w:p w:rsidR="001D199B" w:rsidRPr="005447F5" w:rsidRDefault="001D199B" w:rsidP="005961F6">
      <w:pPr>
        <w:pStyle w:val="ListBullet"/>
        <w:rPr>
          <w:lang w:val="en-US"/>
        </w:rPr>
      </w:pPr>
      <w:r w:rsidRPr="005447F5">
        <w:rPr>
          <w:lang w:val="en-US"/>
        </w:rPr>
        <w:t xml:space="preserve">Activities carried out for private use such as birthday parties and barbeques and for-profit </w:t>
      </w:r>
      <w:proofErr w:type="spellStart"/>
      <w:r w:rsidRPr="005447F5">
        <w:rPr>
          <w:lang w:val="en-US"/>
        </w:rPr>
        <w:t>organisations</w:t>
      </w:r>
      <w:proofErr w:type="spellEnd"/>
      <w:r w:rsidRPr="005447F5">
        <w:rPr>
          <w:lang w:val="en-US"/>
        </w:rPr>
        <w:t>.</w:t>
      </w:r>
    </w:p>
    <w:p w:rsidR="001D199B" w:rsidRPr="001D199B" w:rsidRDefault="001D199B" w:rsidP="00C20EB6">
      <w:pPr>
        <w:rPr>
          <w:lang w:val="en-US"/>
        </w:rPr>
      </w:pPr>
      <w:r w:rsidRPr="001D199B">
        <w:rPr>
          <w:lang w:val="en-US"/>
        </w:rPr>
        <w:t xml:space="preserve">The Department has removed the requirement for not-for-profit community groups engaged in low risk activities to provide evidence that they have $10 million Public Liability insurance when hiring school facilities. Groups whose activities pose a significant risk to school property, personnel, students or other members of the public, or for-profit </w:t>
      </w:r>
      <w:proofErr w:type="spellStart"/>
      <w:r w:rsidRPr="001D199B">
        <w:rPr>
          <w:lang w:val="en-US"/>
        </w:rPr>
        <w:t>organisations</w:t>
      </w:r>
      <w:proofErr w:type="spellEnd"/>
      <w:r w:rsidRPr="001D199B">
        <w:rPr>
          <w:lang w:val="en-US"/>
        </w:rPr>
        <w:t xml:space="preserve"> must provide proof that they have $10 million Public Liability insurance. </w:t>
      </w:r>
    </w:p>
    <w:p w:rsidR="001D199B" w:rsidRPr="001D199B" w:rsidRDefault="001D199B" w:rsidP="00C20EB6">
      <w:pPr>
        <w:rPr>
          <w:lang w:val="en-US"/>
        </w:rPr>
      </w:pPr>
      <w:r w:rsidRPr="001D199B">
        <w:rPr>
          <w:lang w:val="en-US"/>
        </w:rPr>
        <w:t>School Councils will continue to be covered through the Department’s Public Liability insurance with the VMIA. However, insurance coverage is not extended to third parties hiring school facilities.</w:t>
      </w:r>
    </w:p>
    <w:p w:rsidR="001D199B" w:rsidRPr="001D199B" w:rsidRDefault="001D199B" w:rsidP="00C20EB6">
      <w:pPr>
        <w:rPr>
          <w:lang w:val="en-US"/>
        </w:rPr>
      </w:pPr>
      <w:r w:rsidRPr="001D199B">
        <w:rPr>
          <w:lang w:val="en-US"/>
        </w:rPr>
        <w:t>Groups that will be required to provide evidence that they have $10 million Public Liability insurance include those:</w:t>
      </w:r>
    </w:p>
    <w:p w:rsidR="002F2B97" w:rsidRDefault="001D199B">
      <w:pPr>
        <w:pStyle w:val="ListBullet"/>
        <w:rPr>
          <w:lang w:val="en-US"/>
        </w:rPr>
      </w:pPr>
      <w:r w:rsidRPr="001D199B">
        <w:rPr>
          <w:lang w:val="en-US"/>
        </w:rPr>
        <w:t xml:space="preserve">conducting high risk activities; </w:t>
      </w:r>
    </w:p>
    <w:p w:rsidR="002F2B97" w:rsidRDefault="001D199B">
      <w:pPr>
        <w:pStyle w:val="ListBullet"/>
        <w:rPr>
          <w:lang w:val="en-US"/>
        </w:rPr>
      </w:pPr>
      <w:r w:rsidRPr="001D199B">
        <w:rPr>
          <w:lang w:val="en-US"/>
        </w:rPr>
        <w:t xml:space="preserve">required to have insurance by their association (e.g. sporting clubs); </w:t>
      </w:r>
    </w:p>
    <w:p w:rsidR="002F2B97" w:rsidRDefault="001D199B">
      <w:pPr>
        <w:pStyle w:val="ListBullet"/>
        <w:rPr>
          <w:lang w:val="en-US"/>
        </w:rPr>
      </w:pPr>
      <w:r w:rsidRPr="001D199B">
        <w:rPr>
          <w:lang w:val="en-US"/>
        </w:rPr>
        <w:t>required to have insurance for regulatory purposes; or</w:t>
      </w:r>
    </w:p>
    <w:p w:rsidR="002F2B97" w:rsidRDefault="00F76D77">
      <w:pPr>
        <w:pStyle w:val="ListBullet"/>
        <w:rPr>
          <w:lang w:val="en-US"/>
        </w:rPr>
      </w:pPr>
      <w:proofErr w:type="gramStart"/>
      <w:r>
        <w:rPr>
          <w:lang w:val="en-US"/>
        </w:rPr>
        <w:t>c</w:t>
      </w:r>
      <w:r w:rsidRPr="001D199B">
        <w:rPr>
          <w:lang w:val="en-US"/>
        </w:rPr>
        <w:t>ommercial</w:t>
      </w:r>
      <w:proofErr w:type="gramEnd"/>
      <w:r w:rsidR="001D199B" w:rsidRPr="001D199B">
        <w:rPr>
          <w:lang w:val="en-US"/>
        </w:rPr>
        <w:t xml:space="preserve"> entities. </w:t>
      </w:r>
    </w:p>
    <w:p w:rsidR="001D199B" w:rsidRDefault="001D199B" w:rsidP="00C20EB6">
      <w:pPr>
        <w:rPr>
          <w:lang w:val="en-US"/>
        </w:rPr>
      </w:pPr>
      <w:r w:rsidRPr="001D199B">
        <w:rPr>
          <w:lang w:val="en-US"/>
        </w:rPr>
        <w:lastRenderedPageBreak/>
        <w:t>Examples of high risk activities would include fireworks displays, bouncing castles, horse riding and fun fair activities involving machinery.</w:t>
      </w:r>
    </w:p>
    <w:p w:rsidR="008E3379" w:rsidRDefault="008E3379">
      <w:pPr>
        <w:spacing w:before="0" w:line="240" w:lineRule="auto"/>
        <w:rPr>
          <w:lang w:val="en-US"/>
        </w:rPr>
      </w:pPr>
    </w:p>
    <w:p w:rsidR="002F2B97" w:rsidRPr="004B5715" w:rsidRDefault="004B5715">
      <w:pPr>
        <w:pStyle w:val="Heading3"/>
        <w:rPr>
          <w:lang w:val="en-US"/>
        </w:rPr>
      </w:pPr>
      <w:r w:rsidRPr="004B5715">
        <w:rPr>
          <w:lang w:val="en-US"/>
        </w:rPr>
        <w:t>21.3.</w:t>
      </w:r>
      <w:r w:rsidR="005961F6">
        <w:rPr>
          <w:lang w:val="en-US"/>
        </w:rPr>
        <w:t>5</w:t>
      </w:r>
      <w:r w:rsidR="008C3760" w:rsidRPr="004B5715">
        <w:rPr>
          <w:lang w:val="en-US"/>
        </w:rPr>
        <w:tab/>
      </w:r>
      <w:r w:rsidR="001D199B" w:rsidRPr="004B5715">
        <w:rPr>
          <w:lang w:val="en-US"/>
        </w:rPr>
        <w:t>Mandatory policy (Must do):</w:t>
      </w:r>
    </w:p>
    <w:tbl>
      <w:tblPr>
        <w:tblW w:w="0" w:type="auto"/>
        <w:tblInd w:w="57" w:type="dxa"/>
        <w:tblLook w:val="04A0" w:firstRow="1" w:lastRow="0" w:firstColumn="1" w:lastColumn="0" w:noHBand="0" w:noVBand="1"/>
      </w:tblPr>
      <w:tblGrid>
        <w:gridCol w:w="1134"/>
        <w:gridCol w:w="7088"/>
        <w:gridCol w:w="567"/>
      </w:tblGrid>
      <w:tr w:rsidR="008E3379" w:rsidRPr="001D199B" w:rsidTr="008E3379">
        <w:trPr>
          <w:trHeight w:hRule="exact" w:val="849"/>
        </w:trPr>
        <w:tc>
          <w:tcPr>
            <w:tcW w:w="1134" w:type="dxa"/>
            <w:tcBorders>
              <w:top w:val="single" w:sz="4" w:space="0" w:color="auto"/>
              <w:left w:val="single" w:sz="4" w:space="0" w:color="auto"/>
              <w:bottom w:val="single" w:sz="4" w:space="0" w:color="auto"/>
              <w:right w:val="single" w:sz="4" w:space="0" w:color="auto"/>
            </w:tcBorders>
          </w:tcPr>
          <w:p w:rsidR="008E3379" w:rsidRPr="00D60EB6" w:rsidRDefault="008E3379" w:rsidP="008E3379">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tcPr>
          <w:p w:rsidR="008E3379" w:rsidRPr="00BE63A8" w:rsidRDefault="008E3379" w:rsidP="008E3379">
            <w:pPr>
              <w:rPr>
                <w:b/>
                <w:sz w:val="20"/>
                <w:szCs w:val="20"/>
              </w:rPr>
            </w:pPr>
            <w:r w:rsidRPr="00BE63A8">
              <w:rPr>
                <w:b/>
                <w:sz w:val="20"/>
                <w:szCs w:val="20"/>
              </w:rPr>
              <w:t>Information</w:t>
            </w:r>
          </w:p>
        </w:tc>
        <w:tc>
          <w:tcPr>
            <w:tcW w:w="567" w:type="dxa"/>
            <w:tcBorders>
              <w:left w:val="single" w:sz="4" w:space="0" w:color="auto"/>
              <w:bottom w:val="single" w:sz="4" w:space="0" w:color="auto"/>
            </w:tcBorders>
          </w:tcPr>
          <w:p w:rsidR="008E3379" w:rsidRPr="001D199B" w:rsidRDefault="008E3379" w:rsidP="008E3379">
            <w:pPr>
              <w:rPr>
                <w:szCs w:val="22"/>
                <w:lang w:val="en-US"/>
              </w:rPr>
            </w:pPr>
          </w:p>
        </w:tc>
      </w:tr>
      <w:tr w:rsidR="008E3379" w:rsidRPr="001D199B" w:rsidTr="006C62E0">
        <w:trPr>
          <w:trHeight w:hRule="exact" w:val="1021"/>
        </w:trPr>
        <w:tc>
          <w:tcPr>
            <w:tcW w:w="1134" w:type="dxa"/>
            <w:tcBorders>
              <w:top w:val="single" w:sz="4" w:space="0" w:color="auto"/>
              <w:left w:val="single" w:sz="4" w:space="0" w:color="auto"/>
              <w:bottom w:val="single" w:sz="4" w:space="0" w:color="auto"/>
              <w:right w:val="single" w:sz="4" w:space="0" w:color="auto"/>
            </w:tcBorders>
          </w:tcPr>
          <w:p w:rsidR="008E3379" w:rsidRPr="001D199B" w:rsidRDefault="008E3379" w:rsidP="008E3379">
            <w:r>
              <w:t>21.3.5.1</w:t>
            </w:r>
          </w:p>
        </w:tc>
        <w:tc>
          <w:tcPr>
            <w:tcW w:w="7088" w:type="dxa"/>
            <w:tcBorders>
              <w:top w:val="single" w:sz="4" w:space="0" w:color="auto"/>
              <w:left w:val="single" w:sz="4" w:space="0" w:color="auto"/>
              <w:bottom w:val="single" w:sz="4" w:space="0" w:color="auto"/>
              <w:right w:val="single" w:sz="4" w:space="0" w:color="auto"/>
            </w:tcBorders>
          </w:tcPr>
          <w:p w:rsidR="008E3379" w:rsidRPr="001D199B" w:rsidRDefault="008E3379" w:rsidP="008E3379">
            <w:pPr>
              <w:rPr>
                <w:b/>
                <w:lang w:val="en-US"/>
              </w:rPr>
            </w:pPr>
            <w:r w:rsidRPr="001D199B">
              <w:rPr>
                <w:lang w:val="en-US"/>
              </w:rPr>
              <w:t xml:space="preserve">Schools must arrange their Public Liability insurance requirements with the VMIA as mandated by the </w:t>
            </w:r>
            <w:r w:rsidRPr="00475117">
              <w:rPr>
                <w:i/>
                <w:lang w:val="en-US"/>
              </w:rPr>
              <w:t>VMIA Act 1996</w:t>
            </w:r>
            <w:r w:rsidRPr="001D199B">
              <w:rPr>
                <w:lang w:val="en-US"/>
              </w:rPr>
              <w:t>. The VMIA School Council Insurance Guide must be referred to for assistance.</w:t>
            </w:r>
          </w:p>
        </w:tc>
        <w:tc>
          <w:tcPr>
            <w:tcW w:w="567" w:type="dxa"/>
            <w:tcBorders>
              <w:top w:val="single" w:sz="4" w:space="0" w:color="auto"/>
              <w:left w:val="single" w:sz="4" w:space="0" w:color="auto"/>
              <w:bottom w:val="single" w:sz="4" w:space="0" w:color="auto"/>
              <w:right w:val="single" w:sz="4" w:space="0" w:color="auto"/>
            </w:tcBorders>
          </w:tcPr>
          <w:p w:rsidR="008E3379" w:rsidRPr="001D199B" w:rsidRDefault="008E3379" w:rsidP="008E3379">
            <w:pPr>
              <w:rPr>
                <w:szCs w:val="22"/>
                <w:lang w:val="en-US"/>
              </w:rPr>
            </w:pPr>
          </w:p>
        </w:tc>
      </w:tr>
      <w:tr w:rsidR="008E3379" w:rsidRPr="001D199B" w:rsidTr="006C62E0">
        <w:trPr>
          <w:trHeight w:hRule="exact" w:val="510"/>
        </w:trPr>
        <w:tc>
          <w:tcPr>
            <w:tcW w:w="1134" w:type="dxa"/>
            <w:tcBorders>
              <w:top w:val="single" w:sz="4" w:space="0" w:color="auto"/>
              <w:left w:val="single" w:sz="4" w:space="0" w:color="auto"/>
              <w:bottom w:val="single" w:sz="4" w:space="0" w:color="auto"/>
              <w:right w:val="single" w:sz="4" w:space="0" w:color="auto"/>
            </w:tcBorders>
          </w:tcPr>
          <w:p w:rsidR="008E3379" w:rsidRDefault="008E3379" w:rsidP="008E3379">
            <w:r>
              <w:t>21.3.5.2</w:t>
            </w:r>
          </w:p>
        </w:tc>
        <w:tc>
          <w:tcPr>
            <w:tcW w:w="7088" w:type="dxa"/>
            <w:tcBorders>
              <w:top w:val="single" w:sz="4" w:space="0" w:color="auto"/>
              <w:left w:val="single" w:sz="4" w:space="0" w:color="auto"/>
              <w:bottom w:val="single" w:sz="4" w:space="0" w:color="auto"/>
              <w:right w:val="single" w:sz="4" w:space="0" w:color="auto"/>
            </w:tcBorders>
          </w:tcPr>
          <w:p w:rsidR="008E3379" w:rsidRPr="001D199B" w:rsidRDefault="008E3379" w:rsidP="008E3379">
            <w:pPr>
              <w:rPr>
                <w:lang w:val="en-US"/>
              </w:rPr>
            </w:pPr>
            <w:r w:rsidRPr="001D199B">
              <w:rPr>
                <w:lang w:val="en-US"/>
              </w:rPr>
              <w:t xml:space="preserve">Schools must </w:t>
            </w:r>
            <w:r>
              <w:rPr>
                <w:lang w:val="en-US"/>
              </w:rPr>
              <w:t>obtain evidence of Public Liability from third parties.</w:t>
            </w:r>
          </w:p>
        </w:tc>
        <w:tc>
          <w:tcPr>
            <w:tcW w:w="567" w:type="dxa"/>
            <w:tcBorders>
              <w:top w:val="single" w:sz="4" w:space="0" w:color="auto"/>
              <w:left w:val="single" w:sz="4" w:space="0" w:color="auto"/>
              <w:bottom w:val="single" w:sz="4" w:space="0" w:color="auto"/>
              <w:right w:val="single" w:sz="4" w:space="0" w:color="auto"/>
            </w:tcBorders>
          </w:tcPr>
          <w:p w:rsidR="008E3379" w:rsidRPr="001D199B" w:rsidRDefault="008E3379" w:rsidP="008E3379">
            <w:pPr>
              <w:rPr>
                <w:szCs w:val="22"/>
                <w:lang w:val="en-US"/>
              </w:rPr>
            </w:pPr>
          </w:p>
        </w:tc>
      </w:tr>
    </w:tbl>
    <w:p w:rsidR="001D199B" w:rsidRPr="001D199B" w:rsidRDefault="001D199B" w:rsidP="00C20EB6">
      <w:pPr>
        <w:rPr>
          <w:lang w:val="en-US"/>
        </w:rPr>
      </w:pPr>
    </w:p>
    <w:p w:rsidR="002F2B97" w:rsidRPr="00AA7DDD" w:rsidRDefault="004B5715">
      <w:pPr>
        <w:pStyle w:val="Heading2"/>
      </w:pPr>
      <w:r w:rsidRPr="00AA7DDD">
        <w:t>21.4</w:t>
      </w:r>
      <w:r w:rsidR="001D199B" w:rsidRPr="00AA7DDD">
        <w:tab/>
        <w:t xml:space="preserve">Construction Insurance </w:t>
      </w:r>
    </w:p>
    <w:p w:rsidR="001D199B" w:rsidRPr="001D199B" w:rsidRDefault="001D199B" w:rsidP="00C20EB6">
      <w:pPr>
        <w:rPr>
          <w:lang w:val="en-US"/>
        </w:rPr>
      </w:pPr>
      <w:r w:rsidRPr="001D199B">
        <w:rPr>
          <w:lang w:val="en-US"/>
        </w:rPr>
        <w:t xml:space="preserve">The Department has arranged a Principal Controlled Contract Works Insurance Policy with the VMIA.  </w:t>
      </w:r>
    </w:p>
    <w:p w:rsidR="001D199B" w:rsidRPr="001D199B" w:rsidRDefault="001D199B" w:rsidP="00C20EB6">
      <w:pPr>
        <w:rPr>
          <w:lang w:val="en-US"/>
        </w:rPr>
      </w:pPr>
      <w:r w:rsidRPr="001D199B">
        <w:rPr>
          <w:lang w:val="en-US"/>
        </w:rPr>
        <w:t xml:space="preserve">The Policy covers </w:t>
      </w:r>
    </w:p>
    <w:p w:rsidR="002F2B97" w:rsidRDefault="001D199B">
      <w:pPr>
        <w:pStyle w:val="ListBullet"/>
        <w:rPr>
          <w:lang w:val="en-US"/>
        </w:rPr>
      </w:pPr>
      <w:r w:rsidRPr="001D199B">
        <w:rPr>
          <w:lang w:val="en-US"/>
        </w:rPr>
        <w:t xml:space="preserve">Contract works up to $100,000,000 – loss or damage to property which is to be used </w:t>
      </w:r>
      <w:r w:rsidR="006E51C6" w:rsidRPr="001D199B">
        <w:rPr>
          <w:lang w:val="en-US"/>
        </w:rPr>
        <w:t>during</w:t>
      </w:r>
      <w:r w:rsidRPr="001D199B">
        <w:rPr>
          <w:lang w:val="en-US"/>
        </w:rPr>
        <w:t xml:space="preserve"> </w:t>
      </w:r>
      <w:r w:rsidR="006E51C6">
        <w:rPr>
          <w:lang w:val="en-US"/>
        </w:rPr>
        <w:t xml:space="preserve">the </w:t>
      </w:r>
      <w:r w:rsidRPr="001D199B">
        <w:rPr>
          <w:lang w:val="en-US"/>
        </w:rPr>
        <w:t>construction period from various causes. This includes portable classrooms including fixtures, fittings and contents supplied by the principal whilst the works are in progress to a limit of $2 million; and</w:t>
      </w:r>
    </w:p>
    <w:p w:rsidR="002F2B97" w:rsidRDefault="001D199B">
      <w:pPr>
        <w:pStyle w:val="ListBullet"/>
        <w:rPr>
          <w:lang w:val="en-US"/>
        </w:rPr>
      </w:pPr>
      <w:r w:rsidRPr="001D199B">
        <w:rPr>
          <w:lang w:val="en-US"/>
        </w:rPr>
        <w:t>Public Liability $300,000,000 – legal liability for personal injury and damage to other property arising from the construction works.</w:t>
      </w:r>
    </w:p>
    <w:p w:rsidR="001D199B" w:rsidRPr="001D199B" w:rsidRDefault="001D199B" w:rsidP="00C20EB6">
      <w:pPr>
        <w:rPr>
          <w:lang w:val="en-US"/>
        </w:rPr>
      </w:pPr>
      <w:r w:rsidRPr="001D199B">
        <w:rPr>
          <w:lang w:val="en-US"/>
        </w:rPr>
        <w:t>The Department, School Councils, the builder, the builder’s sub-contractors together with construction and project managers are all covered by the policy. Construction plant and equipment is not covered by the policy.</w:t>
      </w:r>
    </w:p>
    <w:p w:rsidR="001D199B" w:rsidRPr="001D199B" w:rsidRDefault="001D199B" w:rsidP="00C20EB6">
      <w:pPr>
        <w:rPr>
          <w:lang w:val="en-US"/>
        </w:rPr>
      </w:pPr>
      <w:r w:rsidRPr="001D199B">
        <w:rPr>
          <w:lang w:val="en-US"/>
        </w:rPr>
        <w:t>The policy is subject to the following deductibles which the builder is responsible for paying in the event of a claim:</w:t>
      </w:r>
    </w:p>
    <w:p w:rsidR="002F2B97" w:rsidRDefault="001D199B">
      <w:pPr>
        <w:pStyle w:val="ListBullet"/>
        <w:rPr>
          <w:lang w:val="en-US"/>
        </w:rPr>
      </w:pPr>
      <w:r w:rsidRPr="001D199B">
        <w:rPr>
          <w:lang w:val="en-US"/>
        </w:rPr>
        <w:t xml:space="preserve">Section 1 Contract Works $10,000 </w:t>
      </w:r>
      <w:r w:rsidR="006E51C6">
        <w:rPr>
          <w:lang w:val="en-US"/>
        </w:rPr>
        <w:t xml:space="preserve">for </w:t>
      </w:r>
      <w:r w:rsidRPr="001D199B">
        <w:rPr>
          <w:lang w:val="en-US"/>
        </w:rPr>
        <w:t>each</w:t>
      </w:r>
      <w:r w:rsidR="006E51C6">
        <w:rPr>
          <w:lang w:val="en-US"/>
        </w:rPr>
        <w:t>,</w:t>
      </w:r>
      <w:r w:rsidRPr="001D199B">
        <w:rPr>
          <w:lang w:val="en-US"/>
        </w:rPr>
        <w:t xml:space="preserve"> and every</w:t>
      </w:r>
      <w:r w:rsidR="006E51C6">
        <w:rPr>
          <w:lang w:val="en-US"/>
        </w:rPr>
        <w:t>,</w:t>
      </w:r>
      <w:r w:rsidRPr="001D199B">
        <w:rPr>
          <w:lang w:val="en-US"/>
        </w:rPr>
        <w:t xml:space="preserve"> claim;</w:t>
      </w:r>
    </w:p>
    <w:p w:rsidR="002F2B97" w:rsidRDefault="001D199B">
      <w:pPr>
        <w:pStyle w:val="ListBullet"/>
        <w:rPr>
          <w:lang w:val="en-US"/>
        </w:rPr>
      </w:pPr>
      <w:r w:rsidRPr="001D199B">
        <w:rPr>
          <w:lang w:val="en-US"/>
        </w:rPr>
        <w:t>Section 2 Public Liability</w:t>
      </w:r>
      <w:r w:rsidR="00475117">
        <w:rPr>
          <w:lang w:val="en-US"/>
        </w:rPr>
        <w:t>;</w:t>
      </w:r>
    </w:p>
    <w:p w:rsidR="002F2B97" w:rsidRDefault="001D199B">
      <w:pPr>
        <w:pStyle w:val="ListBullet"/>
        <w:rPr>
          <w:lang w:val="en-US"/>
        </w:rPr>
      </w:pPr>
      <w:r w:rsidRPr="001D199B">
        <w:rPr>
          <w:lang w:val="en-US"/>
        </w:rPr>
        <w:t>$50,000 in respect of worker to worker liability claims;</w:t>
      </w:r>
    </w:p>
    <w:p w:rsidR="002F2B97" w:rsidRDefault="001D199B">
      <w:pPr>
        <w:pStyle w:val="ListBullet"/>
        <w:rPr>
          <w:lang w:val="en-US"/>
        </w:rPr>
      </w:pPr>
      <w:r w:rsidRPr="001D199B">
        <w:rPr>
          <w:lang w:val="en-US"/>
        </w:rPr>
        <w:t>NIL for all other injury claims;</w:t>
      </w:r>
    </w:p>
    <w:p w:rsidR="002F2B97" w:rsidRDefault="001D199B">
      <w:pPr>
        <w:pStyle w:val="ListBullet"/>
        <w:rPr>
          <w:lang w:val="en-US"/>
        </w:rPr>
      </w:pPr>
      <w:r w:rsidRPr="001D199B">
        <w:rPr>
          <w:lang w:val="en-US"/>
        </w:rPr>
        <w:t>$10,000 in respect of any other claim – e.g. damage to another person’s property.</w:t>
      </w:r>
    </w:p>
    <w:p w:rsidR="004338AC" w:rsidRPr="001D199B" w:rsidRDefault="004338AC" w:rsidP="00C20EB6">
      <w:pPr>
        <w:rPr>
          <w:lang w:val="en-US"/>
        </w:rPr>
      </w:pPr>
    </w:p>
    <w:p w:rsidR="002F2B97" w:rsidRDefault="004B5715">
      <w:pPr>
        <w:pStyle w:val="Heading2"/>
        <w:rPr>
          <w:lang w:val="en-US"/>
        </w:rPr>
      </w:pPr>
      <w:r>
        <w:rPr>
          <w:lang w:val="en-US"/>
        </w:rPr>
        <w:t>21.5</w:t>
      </w:r>
      <w:r w:rsidR="001D199B" w:rsidRPr="001D199B">
        <w:rPr>
          <w:lang w:val="en-US"/>
        </w:rPr>
        <w:tab/>
        <w:t>Travel Insurance</w:t>
      </w:r>
    </w:p>
    <w:p w:rsidR="001D199B" w:rsidRPr="001D199B" w:rsidRDefault="001D199B" w:rsidP="00C20EB6">
      <w:pPr>
        <w:rPr>
          <w:lang w:val="en-US"/>
        </w:rPr>
      </w:pPr>
      <w:r w:rsidRPr="001D199B">
        <w:rPr>
          <w:lang w:val="en-US"/>
        </w:rPr>
        <w:t xml:space="preserve">The Department has two Travel Insurance arrangements. </w:t>
      </w:r>
      <w:r w:rsidR="00E43DC9">
        <w:rPr>
          <w:lang w:val="en-US"/>
        </w:rPr>
        <w:t>Any t</w:t>
      </w:r>
      <w:r w:rsidRPr="001D199B">
        <w:rPr>
          <w:lang w:val="en-US"/>
        </w:rPr>
        <w:t xml:space="preserve">ravel </w:t>
      </w:r>
      <w:r w:rsidR="00E43DC9">
        <w:rPr>
          <w:lang w:val="en-US"/>
        </w:rPr>
        <w:t xml:space="preserve">arranged and </w:t>
      </w:r>
      <w:r w:rsidRPr="001D199B">
        <w:rPr>
          <w:lang w:val="en-US"/>
        </w:rPr>
        <w:t xml:space="preserve">funded </w:t>
      </w:r>
      <w:r w:rsidR="00E43DC9">
        <w:rPr>
          <w:lang w:val="en-US"/>
        </w:rPr>
        <w:t>through Procurement for</w:t>
      </w:r>
      <w:r w:rsidRPr="001D199B">
        <w:rPr>
          <w:lang w:val="en-US"/>
        </w:rPr>
        <w:t xml:space="preserve"> the business of the Department, </w:t>
      </w:r>
      <w:r w:rsidR="00E43DC9">
        <w:rPr>
          <w:lang w:val="en-US"/>
        </w:rPr>
        <w:t xml:space="preserve">automatically </w:t>
      </w:r>
      <w:r w:rsidRPr="001D199B">
        <w:rPr>
          <w:lang w:val="en-US"/>
        </w:rPr>
        <w:t>includes Business Travel Insurance with the VMIA.</w:t>
      </w:r>
    </w:p>
    <w:p w:rsidR="001D199B" w:rsidRPr="001D199B" w:rsidRDefault="001D199B" w:rsidP="00C20EB6">
      <w:pPr>
        <w:rPr>
          <w:lang w:val="en-US"/>
        </w:rPr>
      </w:pPr>
      <w:r w:rsidRPr="001D199B">
        <w:rPr>
          <w:lang w:val="en-US"/>
        </w:rPr>
        <w:lastRenderedPageBreak/>
        <w:t xml:space="preserve">The Department has also arranged a Travel Insurance facility with the VMIA to provide coverage to </w:t>
      </w:r>
      <w:r w:rsidR="00E43DC9">
        <w:rPr>
          <w:lang w:val="en-US"/>
        </w:rPr>
        <w:t>s</w:t>
      </w:r>
      <w:r w:rsidRPr="001D199B">
        <w:rPr>
          <w:lang w:val="en-US"/>
        </w:rPr>
        <w:t xml:space="preserve">chools that arrange Study Tours </w:t>
      </w:r>
      <w:r w:rsidR="00E43DC9">
        <w:rPr>
          <w:lang w:val="en-US"/>
        </w:rPr>
        <w:t>(</w:t>
      </w:r>
      <w:r w:rsidRPr="001D199B">
        <w:rPr>
          <w:lang w:val="en-US"/>
        </w:rPr>
        <w:t>and the like</w:t>
      </w:r>
      <w:r w:rsidR="00E43DC9">
        <w:rPr>
          <w:lang w:val="en-US"/>
        </w:rPr>
        <w:t>)</w:t>
      </w:r>
      <w:r w:rsidRPr="001D199B">
        <w:rPr>
          <w:lang w:val="en-US"/>
        </w:rPr>
        <w:t xml:space="preserve"> for </w:t>
      </w:r>
      <w:r w:rsidR="00E43DC9">
        <w:rPr>
          <w:lang w:val="en-US"/>
        </w:rPr>
        <w:t>s</w:t>
      </w:r>
      <w:r w:rsidRPr="001D199B">
        <w:rPr>
          <w:lang w:val="en-US"/>
        </w:rPr>
        <w:t xml:space="preserve">tudents and accompanying </w:t>
      </w:r>
      <w:r w:rsidR="00E43DC9">
        <w:rPr>
          <w:lang w:val="en-US"/>
        </w:rPr>
        <w:t>t</w:t>
      </w:r>
      <w:r w:rsidRPr="001D199B">
        <w:rPr>
          <w:lang w:val="en-US"/>
        </w:rPr>
        <w:t xml:space="preserve">eachers, where the cost of the travel is borne by </w:t>
      </w:r>
      <w:r w:rsidR="00E43DC9">
        <w:rPr>
          <w:lang w:val="en-US"/>
        </w:rPr>
        <w:t xml:space="preserve">the </w:t>
      </w:r>
      <w:r w:rsidRPr="001D199B">
        <w:rPr>
          <w:lang w:val="en-US"/>
        </w:rPr>
        <w:t>students and their families.</w:t>
      </w:r>
    </w:p>
    <w:p w:rsidR="001D199B" w:rsidRPr="001D199B" w:rsidRDefault="001D199B" w:rsidP="00C20EB6">
      <w:pPr>
        <w:rPr>
          <w:lang w:val="en-US"/>
        </w:rPr>
      </w:pPr>
      <w:r w:rsidRPr="001D199B">
        <w:rPr>
          <w:lang w:val="en-US"/>
        </w:rPr>
        <w:t xml:space="preserve">The </w:t>
      </w:r>
      <w:r w:rsidR="00E43DC9">
        <w:rPr>
          <w:lang w:val="en-US"/>
        </w:rPr>
        <w:t xml:space="preserve">travel insurance </w:t>
      </w:r>
      <w:r w:rsidRPr="001D199B">
        <w:rPr>
          <w:lang w:val="en-US"/>
        </w:rPr>
        <w:t xml:space="preserve">cost per person for </w:t>
      </w:r>
      <w:r w:rsidR="00E43DC9">
        <w:rPr>
          <w:lang w:val="en-US"/>
        </w:rPr>
        <w:t>i</w:t>
      </w:r>
      <w:r w:rsidRPr="001D199B">
        <w:rPr>
          <w:lang w:val="en-US"/>
        </w:rPr>
        <w:t xml:space="preserve">nternational travel is $40 inclusive of charges and the cost per person for </w:t>
      </w:r>
      <w:r w:rsidR="00E43DC9">
        <w:rPr>
          <w:lang w:val="en-US"/>
        </w:rPr>
        <w:t>i</w:t>
      </w:r>
      <w:r w:rsidRPr="001D199B">
        <w:rPr>
          <w:lang w:val="en-US"/>
        </w:rPr>
        <w:t>nterstate travel is $1.80 inclusive of charges.</w:t>
      </w:r>
    </w:p>
    <w:p w:rsidR="001D199B" w:rsidRPr="001D199B" w:rsidRDefault="001D199B" w:rsidP="00C20EB6">
      <w:pPr>
        <w:rPr>
          <w:lang w:val="en-US"/>
        </w:rPr>
      </w:pPr>
      <w:r w:rsidRPr="001D199B">
        <w:rPr>
          <w:lang w:val="en-US"/>
        </w:rPr>
        <w:t>The policy generally provides broader cover than that available through commercial insurers and in most cases the actual benefits payable to travelers is significantly higher. It is not mandatory for schools to use this insurance facility.</w:t>
      </w:r>
    </w:p>
    <w:p w:rsidR="001D199B" w:rsidRPr="001D199B" w:rsidRDefault="001D199B" w:rsidP="00C20EB6">
      <w:pPr>
        <w:rPr>
          <w:lang w:val="en-US"/>
        </w:rPr>
      </w:pPr>
      <w:r w:rsidRPr="001D199B">
        <w:rPr>
          <w:lang w:val="en-US"/>
        </w:rPr>
        <w:t>Further details of the cover can be accessed through the Insurance Arrangements Guidelines document.</w:t>
      </w:r>
    </w:p>
    <w:p w:rsidR="001D199B" w:rsidRDefault="001D199B" w:rsidP="00C20EB6"/>
    <w:p w:rsidR="0051778F" w:rsidRPr="00FB54EC" w:rsidRDefault="0051778F" w:rsidP="00FB54EC">
      <w:pPr>
        <w:pStyle w:val="Heading2"/>
      </w:pPr>
      <w:r w:rsidRPr="00FB54EC">
        <w:t>Legislative requirements</w:t>
      </w:r>
    </w:p>
    <w:p w:rsidR="0051778F" w:rsidRPr="00FB54EC" w:rsidRDefault="0051778F" w:rsidP="00C20EB6">
      <w:r w:rsidRPr="00FB54EC">
        <w:t>The advice in this section was based on requirements outlined in the following legislation:</w:t>
      </w:r>
    </w:p>
    <w:p w:rsidR="0051778F" w:rsidRPr="00BD6FB4" w:rsidRDefault="001D199B" w:rsidP="001D199B">
      <w:pPr>
        <w:pStyle w:val="ListBullet"/>
        <w:rPr>
          <w:i/>
        </w:rPr>
      </w:pPr>
      <w:r w:rsidRPr="00BD6FB4">
        <w:rPr>
          <w:i/>
        </w:rPr>
        <w:t>V</w:t>
      </w:r>
      <w:r w:rsidR="00F75C7D">
        <w:rPr>
          <w:i/>
        </w:rPr>
        <w:t xml:space="preserve">ictorian </w:t>
      </w:r>
      <w:r w:rsidRPr="00BD6FB4">
        <w:rPr>
          <w:i/>
        </w:rPr>
        <w:t>M</w:t>
      </w:r>
      <w:r w:rsidR="00F75C7D">
        <w:rPr>
          <w:i/>
        </w:rPr>
        <w:t xml:space="preserve">anaged </w:t>
      </w:r>
      <w:r w:rsidRPr="00BD6FB4">
        <w:rPr>
          <w:i/>
        </w:rPr>
        <w:t>I</w:t>
      </w:r>
      <w:r w:rsidR="00F75C7D">
        <w:rPr>
          <w:i/>
        </w:rPr>
        <w:t xml:space="preserve">nsurance </w:t>
      </w:r>
      <w:r w:rsidRPr="00BD6FB4">
        <w:rPr>
          <w:i/>
        </w:rPr>
        <w:t>A</w:t>
      </w:r>
      <w:r w:rsidR="00F75C7D">
        <w:rPr>
          <w:i/>
        </w:rPr>
        <w:t xml:space="preserve">uthority </w:t>
      </w:r>
      <w:r w:rsidRPr="00BD6FB4">
        <w:rPr>
          <w:i/>
        </w:rPr>
        <w:t>Act</w:t>
      </w:r>
      <w:r w:rsidR="00BD6FB4">
        <w:rPr>
          <w:i/>
        </w:rPr>
        <w:t xml:space="preserve"> 1996</w:t>
      </w:r>
    </w:p>
    <w:p w:rsidR="001B01A5" w:rsidRPr="00BD6FB4" w:rsidRDefault="001B01A5" w:rsidP="001B01A5">
      <w:pPr>
        <w:rPr>
          <w:i/>
        </w:rPr>
      </w:pPr>
    </w:p>
    <w:p w:rsidR="0051778F" w:rsidRPr="00FB54EC" w:rsidRDefault="0051778F" w:rsidP="00FB54EC">
      <w:pPr>
        <w:pStyle w:val="Heading2"/>
      </w:pPr>
      <w:r w:rsidRPr="00FB54EC">
        <w:t xml:space="preserve">Definitions </w:t>
      </w:r>
    </w:p>
    <w:tbl>
      <w:tblPr>
        <w:tblStyle w:val="GridTable6Colorful1"/>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Description w:val="table containing definitions"/>
      </w:tblPr>
      <w:tblGrid>
        <w:gridCol w:w="1973"/>
        <w:gridCol w:w="7034"/>
      </w:tblGrid>
      <w:tr w:rsidR="00CE768A" w:rsidRPr="001B01A5" w:rsidTr="00C10204">
        <w:trPr>
          <w:tblHeader/>
        </w:trPr>
        <w:tc>
          <w:tcPr>
            <w:tcW w:w="1973" w:type="dxa"/>
            <w:shd w:val="clear" w:color="auto" w:fill="auto"/>
          </w:tcPr>
          <w:p w:rsidR="00CE768A" w:rsidRPr="00CE768A" w:rsidRDefault="00CE768A" w:rsidP="001B01A5">
            <w:pPr>
              <w:rPr>
                <w:b/>
              </w:rPr>
            </w:pPr>
            <w:r w:rsidRPr="00CE768A">
              <w:rPr>
                <w:b/>
              </w:rPr>
              <w:t>Principal Controlled</w:t>
            </w:r>
          </w:p>
        </w:tc>
        <w:tc>
          <w:tcPr>
            <w:tcW w:w="7034" w:type="dxa"/>
            <w:shd w:val="clear" w:color="auto" w:fill="auto"/>
          </w:tcPr>
          <w:p w:rsidR="00CE768A" w:rsidRPr="001B01A5" w:rsidRDefault="00CE768A" w:rsidP="001B01A5">
            <w:r>
              <w:t>This means a contract for work that is arranged and controlled by the school, not the builder.</w:t>
            </w:r>
          </w:p>
        </w:tc>
      </w:tr>
      <w:tr w:rsidR="00CE768A" w:rsidRPr="001B01A5" w:rsidTr="005961F6">
        <w:trPr>
          <w:cnfStyle w:val="000000100000" w:firstRow="0" w:lastRow="0" w:firstColumn="0" w:lastColumn="0" w:oddVBand="0" w:evenVBand="0" w:oddHBand="1" w:evenHBand="0" w:firstRowFirstColumn="0" w:firstRowLastColumn="0" w:lastRowFirstColumn="0" w:lastRowLastColumn="0"/>
        </w:trPr>
        <w:tc>
          <w:tcPr>
            <w:tcW w:w="1973" w:type="dxa"/>
            <w:shd w:val="clear" w:color="auto" w:fill="F2F2F2" w:themeFill="background1" w:themeFillShade="F2"/>
          </w:tcPr>
          <w:p w:rsidR="00CE768A" w:rsidRPr="00CE768A" w:rsidRDefault="00CE768A" w:rsidP="001B01A5">
            <w:pPr>
              <w:rPr>
                <w:b/>
              </w:rPr>
            </w:pPr>
            <w:r w:rsidRPr="00CE768A">
              <w:rPr>
                <w:b/>
              </w:rPr>
              <w:t>VMIA</w:t>
            </w:r>
          </w:p>
        </w:tc>
        <w:tc>
          <w:tcPr>
            <w:tcW w:w="7034" w:type="dxa"/>
            <w:shd w:val="clear" w:color="auto" w:fill="F2F2F2" w:themeFill="background1" w:themeFillShade="F2"/>
          </w:tcPr>
          <w:p w:rsidR="00CE768A" w:rsidRPr="001B01A5" w:rsidRDefault="00CE768A" w:rsidP="001B01A5">
            <w:r w:rsidRPr="001B01A5">
              <w:t>Victorian Managed Insurance Authority – provides risk advice and insurance services for the Victorian Government. Victorian Government schools must insure through the VMIA.</w:t>
            </w:r>
          </w:p>
        </w:tc>
      </w:tr>
    </w:tbl>
    <w:p w:rsidR="0051778F" w:rsidRPr="00FB54EC" w:rsidRDefault="0051778F" w:rsidP="00FB54EC">
      <w:pPr>
        <w:pStyle w:val="Heading2"/>
      </w:pPr>
      <w:r w:rsidRPr="00FB54EC">
        <w:t xml:space="preserve">Additional </w:t>
      </w:r>
      <w:r w:rsidR="005D60A0">
        <w:t>r</w:t>
      </w:r>
      <w:r w:rsidRPr="00FB54EC">
        <w:t>esources</w:t>
      </w:r>
    </w:p>
    <w:p w:rsidR="00CB7075" w:rsidRPr="00CB7075" w:rsidRDefault="0020009E" w:rsidP="00BD6FB4">
      <w:pPr>
        <w:pStyle w:val="ListBullet"/>
        <w:rPr>
          <w:rFonts w:cs="Arial"/>
        </w:rPr>
      </w:pPr>
      <w:hyperlink r:id="rId12" w:anchor="/app/content/2294/support_and_service_(schools)%252Ffinance_and_accounting%252Finsurance%252Finsurance_arrangements" w:history="1">
        <w:r w:rsidR="00170699" w:rsidRPr="00CB7075">
          <w:rPr>
            <w:rStyle w:val="Hyperlink"/>
          </w:rPr>
          <w:t>Insurance Arrangements</w:t>
        </w:r>
      </w:hyperlink>
    </w:p>
    <w:p w:rsidR="00CB7075" w:rsidRDefault="0020009E" w:rsidP="005961F6">
      <w:pPr>
        <w:pStyle w:val="ListBullet"/>
      </w:pPr>
      <w:hyperlink r:id="rId13" w:anchor="/app/content/2294/support_and_service_(schools)%252Ffinance_and_accounting%252Finsurance%252Finsurance_arrangements" w:history="1">
        <w:r w:rsidR="005961F6" w:rsidRPr="00CB7075">
          <w:rPr>
            <w:rStyle w:val="Hyperlink"/>
          </w:rPr>
          <w:t>School Equipment Coverage Scheme</w:t>
        </w:r>
      </w:hyperlink>
    </w:p>
    <w:p w:rsidR="00CB7075" w:rsidRDefault="0020009E" w:rsidP="005961F6">
      <w:pPr>
        <w:pStyle w:val="ListBullet"/>
      </w:pPr>
      <w:hyperlink r:id="rId14" w:history="1">
        <w:r w:rsidR="005961F6" w:rsidRPr="00CB7075">
          <w:rPr>
            <w:rStyle w:val="Hyperlink"/>
          </w:rPr>
          <w:t>School Policy and Advisory Guide</w:t>
        </w:r>
      </w:hyperlink>
      <w:r w:rsidR="005961F6" w:rsidRPr="001B01A5">
        <w:t xml:space="preserve"> </w:t>
      </w:r>
    </w:p>
    <w:p w:rsidR="00CB7075" w:rsidRDefault="0020009E" w:rsidP="00D40935">
      <w:pPr>
        <w:pStyle w:val="ListBullet"/>
      </w:pPr>
      <w:hyperlink r:id="rId15" w:history="1">
        <w:r w:rsidR="001D199B" w:rsidRPr="00CB7075">
          <w:rPr>
            <w:rStyle w:val="Hyperlink"/>
          </w:rPr>
          <w:t>VMIA School Council Insurance Guide</w:t>
        </w:r>
      </w:hyperlink>
    </w:p>
    <w:p w:rsidR="00BD6FB4" w:rsidRPr="00CB7075" w:rsidRDefault="00CB7075" w:rsidP="00BD6FB4">
      <w:pPr>
        <w:pStyle w:val="ListBullet"/>
        <w:rPr>
          <w:rStyle w:val="Hyperlink"/>
          <w:i/>
        </w:rPr>
      </w:pPr>
      <w:r>
        <w:rPr>
          <w:i/>
        </w:rPr>
        <w:fldChar w:fldCharType="begin"/>
      </w:r>
      <w:r>
        <w:rPr>
          <w:i/>
        </w:rPr>
        <w:instrText xml:space="preserve"> HYPERLINK "https://www.vmia.vic.gov.au/~/media/1ED8510C2F8344F19EDEF5A732E82164.pdf" </w:instrText>
      </w:r>
      <w:r>
        <w:rPr>
          <w:i/>
        </w:rPr>
        <w:fldChar w:fldCharType="separate"/>
      </w:r>
      <w:r w:rsidR="00BD6FB4" w:rsidRPr="00CB7075">
        <w:rPr>
          <w:rStyle w:val="Hyperlink"/>
          <w:i/>
        </w:rPr>
        <w:t xml:space="preserve">Victorian Managed Insurance Authority Act 1996 </w:t>
      </w:r>
    </w:p>
    <w:p w:rsidR="00BD6FB4" w:rsidRPr="002C5DE5" w:rsidRDefault="00CB7075" w:rsidP="00BD6FB4">
      <w:pPr>
        <w:spacing w:before="0" w:line="240" w:lineRule="auto"/>
        <w:ind w:left="349"/>
        <w:rPr>
          <w:rFonts w:eastAsiaTheme="minorHAnsi"/>
          <w:color w:val="0000FF"/>
          <w:szCs w:val="22"/>
          <w:u w:val="single"/>
        </w:rPr>
      </w:pPr>
      <w:r>
        <w:rPr>
          <w:rFonts w:eastAsiaTheme="minorHAnsi" w:cstheme="minorBidi"/>
          <w:i/>
          <w:szCs w:val="22"/>
        </w:rPr>
        <w:fldChar w:fldCharType="end"/>
      </w:r>
      <w:r w:rsidRPr="002C5DE5">
        <w:rPr>
          <w:rFonts w:eastAsiaTheme="minorHAnsi"/>
          <w:color w:val="0000FF"/>
          <w:szCs w:val="22"/>
          <w:u w:val="single"/>
        </w:rPr>
        <w:t xml:space="preserve"> </w:t>
      </w:r>
    </w:p>
    <w:p w:rsidR="0051778F" w:rsidRPr="00CE768A" w:rsidRDefault="005961F6" w:rsidP="00FB54EC">
      <w:pPr>
        <w:pStyle w:val="Heading2"/>
      </w:pPr>
      <w:r>
        <w:t xml:space="preserve">Version and </w:t>
      </w:r>
      <w:r w:rsidR="005D60A0">
        <w:t>r</w:t>
      </w:r>
      <w:r w:rsidR="00F11E96">
        <w:t>e</w:t>
      </w:r>
      <w:r w:rsidR="0051778F" w:rsidRPr="00FB54EC">
        <w:t xml:space="preserve">vision </w:t>
      </w:r>
      <w:r>
        <w:t xml:space="preserve">control </w:t>
      </w:r>
      <w:r w:rsidR="0051778F" w:rsidRPr="00FB54EC">
        <w:t>record</w:t>
      </w:r>
    </w:p>
    <w:tbl>
      <w:tblPr>
        <w:tblStyle w:val="TableGrid"/>
        <w:tblW w:w="0" w:type="auto"/>
        <w:tblLook w:val="04A0" w:firstRow="1" w:lastRow="0" w:firstColumn="1" w:lastColumn="0" w:noHBand="0" w:noVBand="1"/>
        <w:tblDescription w:val="table containing version and revision control record"/>
      </w:tblPr>
      <w:tblGrid>
        <w:gridCol w:w="1318"/>
        <w:gridCol w:w="1132"/>
        <w:gridCol w:w="4915"/>
        <w:gridCol w:w="1689"/>
      </w:tblGrid>
      <w:tr w:rsidR="0051778F" w:rsidRPr="00CE768A" w:rsidTr="00C10204">
        <w:trPr>
          <w:tblHeader/>
        </w:trPr>
        <w:tc>
          <w:tcPr>
            <w:tcW w:w="1318" w:type="dxa"/>
            <w:shd w:val="clear" w:color="auto" w:fill="F2F2F2" w:themeFill="background1" w:themeFillShade="F2"/>
          </w:tcPr>
          <w:p w:rsidR="0051778F" w:rsidRPr="00CE768A" w:rsidRDefault="0051778F" w:rsidP="00C20EB6">
            <w:pPr>
              <w:rPr>
                <w:b/>
              </w:rPr>
            </w:pPr>
            <w:r w:rsidRPr="00CE768A">
              <w:rPr>
                <w:b/>
              </w:rPr>
              <w:t>Date</w:t>
            </w:r>
          </w:p>
        </w:tc>
        <w:tc>
          <w:tcPr>
            <w:tcW w:w="1132" w:type="dxa"/>
            <w:shd w:val="clear" w:color="auto" w:fill="F2F2F2" w:themeFill="background1" w:themeFillShade="F2"/>
          </w:tcPr>
          <w:p w:rsidR="0051778F" w:rsidRPr="00CE768A" w:rsidRDefault="0051778F" w:rsidP="00C20EB6">
            <w:pPr>
              <w:rPr>
                <w:b/>
              </w:rPr>
            </w:pPr>
            <w:r w:rsidRPr="00CE768A">
              <w:rPr>
                <w:b/>
              </w:rPr>
              <w:t>Version</w:t>
            </w:r>
          </w:p>
        </w:tc>
        <w:tc>
          <w:tcPr>
            <w:tcW w:w="4915" w:type="dxa"/>
            <w:shd w:val="clear" w:color="auto" w:fill="F2F2F2" w:themeFill="background1" w:themeFillShade="F2"/>
          </w:tcPr>
          <w:p w:rsidR="0051778F" w:rsidRPr="00CE768A" w:rsidRDefault="0051778F" w:rsidP="00C20EB6">
            <w:pPr>
              <w:rPr>
                <w:b/>
              </w:rPr>
            </w:pPr>
            <w:r w:rsidRPr="00CE768A">
              <w:rPr>
                <w:b/>
              </w:rPr>
              <w:t>Approver</w:t>
            </w:r>
          </w:p>
        </w:tc>
        <w:tc>
          <w:tcPr>
            <w:tcW w:w="1689" w:type="dxa"/>
            <w:shd w:val="clear" w:color="auto" w:fill="F2F2F2" w:themeFill="background1" w:themeFillShade="F2"/>
          </w:tcPr>
          <w:p w:rsidR="0051778F" w:rsidRPr="00CE768A" w:rsidRDefault="0051778F" w:rsidP="00C20EB6">
            <w:pPr>
              <w:rPr>
                <w:b/>
              </w:rPr>
            </w:pPr>
            <w:r w:rsidRPr="00CE768A">
              <w:rPr>
                <w:b/>
              </w:rPr>
              <w:t>Next Review</w:t>
            </w:r>
          </w:p>
        </w:tc>
      </w:tr>
      <w:tr w:rsidR="0051778F" w:rsidRPr="00FB54EC" w:rsidTr="002C05C1">
        <w:tc>
          <w:tcPr>
            <w:tcW w:w="1318" w:type="dxa"/>
          </w:tcPr>
          <w:p w:rsidR="0051778F" w:rsidRPr="00FB54EC" w:rsidRDefault="000700C1" w:rsidP="00F3691E">
            <w:r>
              <w:t>0</w:t>
            </w:r>
            <w:r w:rsidR="00BF4AB5">
              <w:t>1/2019</w:t>
            </w:r>
          </w:p>
        </w:tc>
        <w:tc>
          <w:tcPr>
            <w:tcW w:w="1132" w:type="dxa"/>
          </w:tcPr>
          <w:p w:rsidR="0051778F" w:rsidRPr="00FB54EC" w:rsidRDefault="000700C1" w:rsidP="00C20EB6">
            <w:r>
              <w:t>1.</w:t>
            </w:r>
            <w:r w:rsidR="00BF4AB5">
              <w:t>2</w:t>
            </w:r>
          </w:p>
        </w:tc>
        <w:tc>
          <w:tcPr>
            <w:tcW w:w="4915" w:type="dxa"/>
          </w:tcPr>
          <w:p w:rsidR="0051778F" w:rsidRPr="00FB54EC" w:rsidRDefault="0051778F" w:rsidP="00C20EB6">
            <w:r w:rsidRPr="00FB54EC">
              <w:t>Chief Finance Officer -  Financial Services Division</w:t>
            </w:r>
          </w:p>
        </w:tc>
        <w:tc>
          <w:tcPr>
            <w:tcW w:w="1689" w:type="dxa"/>
          </w:tcPr>
          <w:p w:rsidR="0051778F" w:rsidRPr="00FB54EC" w:rsidRDefault="008E3379" w:rsidP="00F3691E">
            <w:r>
              <w:t>0</w:t>
            </w:r>
            <w:r w:rsidR="00BF4AB5">
              <w:t>1/2020</w:t>
            </w:r>
          </w:p>
        </w:tc>
      </w:tr>
    </w:tbl>
    <w:p w:rsidR="0051778F" w:rsidRDefault="0051778F" w:rsidP="00C20EB6"/>
    <w:sectPr w:rsidR="0051778F" w:rsidSect="000759BF">
      <w:footerReference w:type="default" r:id="rId16"/>
      <w:pgSz w:w="11900" w:h="16840" w:code="9"/>
      <w:pgMar w:top="1701" w:right="1418" w:bottom="1418" w:left="1418" w:header="567" w:footer="85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3EE" w:rsidRDefault="001C33EE" w:rsidP="008766A4">
      <w:r>
        <w:separator/>
      </w:r>
    </w:p>
  </w:endnote>
  <w:endnote w:type="continuationSeparator" w:id="0">
    <w:p w:rsidR="001C33EE" w:rsidRDefault="001C33EE"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0759BF" w:rsidRDefault="00FB54EC" w:rsidP="000759BF">
    <w:pPr>
      <w:pStyle w:val="Footer"/>
    </w:pPr>
    <w:r w:rsidRPr="000759BF">
      <w:rPr>
        <w:noProof/>
        <w:lang w:eastAsia="en-AU"/>
      </w:rPr>
      <w:drawing>
        <wp:anchor distT="0" distB="0" distL="114300" distR="114300" simplePos="0" relativeHeight="251663360" behindDoc="1" locked="0" layoutInCell="1" allowOverlap="1">
          <wp:simplePos x="0" y="0"/>
          <wp:positionH relativeFrom="margin">
            <wp:posOffset>-82550</wp:posOffset>
          </wp:positionH>
          <wp:positionV relativeFrom="page">
            <wp:posOffset>9810750</wp:posOffset>
          </wp:positionV>
          <wp:extent cx="6666059" cy="721995"/>
          <wp:effectExtent l="0" t="0" r="1905" b="1905"/>
          <wp:wrapNone/>
          <wp:docPr id="3" name="Picture 3" descr="footer containing document name, page number and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666059" cy="721995"/>
                  </a:xfrm>
                  <a:prstGeom prst="rect">
                    <a:avLst/>
                  </a:prstGeom>
                </pic:spPr>
              </pic:pic>
            </a:graphicData>
          </a:graphic>
        </wp:anchor>
      </w:drawing>
    </w:r>
    <w:r w:rsidR="001D199B" w:rsidRPr="001D199B">
      <w:t xml:space="preserve"> </w:t>
    </w:r>
    <w:r w:rsidR="001D199B" w:rsidRPr="008A1405">
      <w:t>S</w:t>
    </w:r>
    <w:r w:rsidR="001D199B">
      <w:t>ection 2</w:t>
    </w:r>
    <w:r w:rsidR="001E5D9C">
      <w:t>1:</w:t>
    </w:r>
    <w:r w:rsidR="001D199B">
      <w:t xml:space="preserve"> Insurance</w:t>
    </w:r>
    <w:r w:rsidR="005D60A0">
      <w:t xml:space="preserve"> Arrangements</w:t>
    </w:r>
    <w:r w:rsidR="001D199B" w:rsidRPr="008A1405">
      <w:t xml:space="preserve"> | </w:t>
    </w:r>
    <w:r w:rsidR="00BF4AB5">
      <w:t>January</w:t>
    </w:r>
    <w:r w:rsidR="00F3691E">
      <w:t xml:space="preserve"> </w:t>
    </w:r>
    <w:r w:rsidR="000700C1">
      <w:t>201</w:t>
    </w:r>
    <w:r w:rsidR="00BF4AB5">
      <w:t>9</w:t>
    </w:r>
    <w:r w:rsidRPr="000759BF">
      <w:tab/>
    </w:r>
    <w:sdt>
      <w:sdtPr>
        <w:id w:val="208384299"/>
        <w:docPartObj>
          <w:docPartGallery w:val="Page Numbers (Bottom of Page)"/>
          <w:docPartUnique/>
        </w:docPartObj>
      </w:sdtPr>
      <w:sdtEndPr/>
      <w:sdtContent>
        <w:r w:rsidR="004615C4" w:rsidRPr="000759BF">
          <w:t>Page</w:t>
        </w:r>
        <w:r w:rsidRPr="000759BF">
          <w:t xml:space="preserve"> </w:t>
        </w:r>
        <w:r w:rsidR="001176F2" w:rsidRPr="000759BF">
          <w:fldChar w:fldCharType="begin"/>
        </w:r>
        <w:r w:rsidR="004615C4" w:rsidRPr="000759BF">
          <w:instrText xml:space="preserve"> TITLE  \* MERGEFORMAT </w:instrText>
        </w:r>
        <w:r w:rsidR="001176F2" w:rsidRPr="000759BF">
          <w:fldChar w:fldCharType="end"/>
        </w:r>
        <w:r w:rsidR="001176F2" w:rsidRPr="000759BF">
          <w:fldChar w:fldCharType="begin"/>
        </w:r>
        <w:r w:rsidR="004615C4" w:rsidRPr="000759BF">
          <w:instrText xml:space="preserve"> PAGE   \* MERGEFORMAT </w:instrText>
        </w:r>
        <w:r w:rsidR="001176F2" w:rsidRPr="000759BF">
          <w:fldChar w:fldCharType="separate"/>
        </w:r>
        <w:r w:rsidR="0020009E">
          <w:rPr>
            <w:noProof/>
          </w:rPr>
          <w:t>5</w:t>
        </w:r>
        <w:r w:rsidR="001176F2" w:rsidRPr="000759BF">
          <w:fldChar w:fldCharType="end"/>
        </w:r>
      </w:sdtContent>
    </w:sdt>
    <w:r w:rsidR="004615C4" w:rsidRPr="000759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3EE" w:rsidRDefault="001C33EE" w:rsidP="008766A4">
      <w:r>
        <w:separator/>
      </w:r>
    </w:p>
  </w:footnote>
  <w:footnote w:type="continuationSeparator" w:id="0">
    <w:p w:rsidR="001C33EE" w:rsidRDefault="001C33EE"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E42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CCC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DB50F7"/>
    <w:multiLevelType w:val="hybridMultilevel"/>
    <w:tmpl w:val="B85E8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67406E"/>
    <w:multiLevelType w:val="hybridMultilevel"/>
    <w:tmpl w:val="D4CE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164D5B"/>
    <w:multiLevelType w:val="hybridMultilevel"/>
    <w:tmpl w:val="60E837CE"/>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32617FD5"/>
    <w:multiLevelType w:val="hybridMultilevel"/>
    <w:tmpl w:val="A992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5A2346"/>
    <w:multiLevelType w:val="hybridMultilevel"/>
    <w:tmpl w:val="B8B80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B2848"/>
    <w:multiLevelType w:val="hybridMultilevel"/>
    <w:tmpl w:val="22F67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E64CAE"/>
    <w:multiLevelType w:val="hybridMultilevel"/>
    <w:tmpl w:val="3662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78479E"/>
    <w:multiLevelType w:val="hybridMultilevel"/>
    <w:tmpl w:val="72EE83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4E2F49"/>
    <w:multiLevelType w:val="hybridMultilevel"/>
    <w:tmpl w:val="9610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5C1796"/>
    <w:multiLevelType w:val="hybridMultilevel"/>
    <w:tmpl w:val="1D58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E16FF7"/>
    <w:multiLevelType w:val="hybridMultilevel"/>
    <w:tmpl w:val="3D126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EA1E96"/>
    <w:multiLevelType w:val="hybridMultilevel"/>
    <w:tmpl w:val="36A84644"/>
    <w:lvl w:ilvl="0" w:tplc="A7C00100">
      <w:start w:val="1"/>
      <w:numFmt w:val="bullet"/>
      <w:pStyle w:val="ListBullet2"/>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552D749D"/>
    <w:multiLevelType w:val="hybridMultilevel"/>
    <w:tmpl w:val="ED64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F14B20"/>
    <w:multiLevelType w:val="hybridMultilevel"/>
    <w:tmpl w:val="78EEA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9" w15:restartNumberingAfterBreak="0">
    <w:nsid w:val="62AE6FEA"/>
    <w:multiLevelType w:val="hybridMultilevel"/>
    <w:tmpl w:val="5302001C"/>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84301"/>
    <w:multiLevelType w:val="hybridMultilevel"/>
    <w:tmpl w:val="6006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B00F78"/>
    <w:multiLevelType w:val="hybridMultilevel"/>
    <w:tmpl w:val="5C24407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15:restartNumberingAfterBreak="0">
    <w:nsid w:val="6E242558"/>
    <w:multiLevelType w:val="hybridMultilevel"/>
    <w:tmpl w:val="A68CBF1C"/>
    <w:lvl w:ilvl="0" w:tplc="CF163ADE">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241762B"/>
    <w:multiLevelType w:val="hybridMultilevel"/>
    <w:tmpl w:val="7FB25326"/>
    <w:lvl w:ilvl="0" w:tplc="0C090001">
      <w:start w:val="1"/>
      <w:numFmt w:val="bullet"/>
      <w:lvlText w:val=""/>
      <w:lvlJc w:val="left"/>
      <w:pPr>
        <w:ind w:left="1287" w:hanging="360"/>
      </w:pPr>
      <w:rPr>
        <w:rFonts w:ascii="Symbol" w:hAnsi="Symbol" w:hint="default"/>
      </w:rPr>
    </w:lvl>
    <w:lvl w:ilvl="1" w:tplc="4BC4FB70">
      <w:numFmt w:val="bullet"/>
      <w:lvlText w:val="•"/>
      <w:lvlJc w:val="left"/>
      <w:pPr>
        <w:ind w:left="2217" w:hanging="570"/>
      </w:pPr>
      <w:rPr>
        <w:rFonts w:ascii="Arial" w:eastAsiaTheme="minorEastAsia" w:hAnsi="Arial" w:cs="Aria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7A876D9E"/>
    <w:multiLevelType w:val="hybridMultilevel"/>
    <w:tmpl w:val="4DC28C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6" w15:restartNumberingAfterBreak="0">
    <w:nsid w:val="7F36218B"/>
    <w:multiLevelType w:val="hybridMultilevel"/>
    <w:tmpl w:val="F120EB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37"/>
  </w:num>
  <w:num w:numId="14">
    <w:abstractNumId w:val="28"/>
  </w:num>
  <w:num w:numId="15">
    <w:abstractNumId w:val="35"/>
  </w:num>
  <w:num w:numId="16">
    <w:abstractNumId w:val="15"/>
  </w:num>
  <w:num w:numId="17">
    <w:abstractNumId w:val="18"/>
  </w:num>
  <w:num w:numId="18">
    <w:abstractNumId w:val="20"/>
  </w:num>
  <w:num w:numId="19">
    <w:abstractNumId w:val="36"/>
  </w:num>
  <w:num w:numId="20">
    <w:abstractNumId w:val="14"/>
  </w:num>
  <w:num w:numId="21">
    <w:abstractNumId w:val="13"/>
  </w:num>
  <w:num w:numId="22">
    <w:abstractNumId w:val="16"/>
  </w:num>
  <w:num w:numId="23">
    <w:abstractNumId w:val="23"/>
  </w:num>
  <w:num w:numId="24">
    <w:abstractNumId w:val="22"/>
  </w:num>
  <w:num w:numId="25">
    <w:abstractNumId w:val="26"/>
  </w:num>
  <w:num w:numId="26">
    <w:abstractNumId w:val="30"/>
  </w:num>
  <w:num w:numId="27">
    <w:abstractNumId w:val="29"/>
  </w:num>
  <w:num w:numId="28">
    <w:abstractNumId w:val="24"/>
  </w:num>
  <w:num w:numId="29">
    <w:abstractNumId w:val="32"/>
  </w:num>
  <w:num w:numId="30">
    <w:abstractNumId w:val="25"/>
  </w:num>
  <w:num w:numId="31">
    <w:abstractNumId w:val="33"/>
  </w:num>
  <w:num w:numId="32">
    <w:abstractNumId w:val="17"/>
  </w:num>
  <w:num w:numId="33">
    <w:abstractNumId w:val="27"/>
  </w:num>
  <w:num w:numId="34">
    <w:abstractNumId w:val="11"/>
  </w:num>
  <w:num w:numId="35">
    <w:abstractNumId w:val="21"/>
  </w:num>
  <w:num w:numId="36">
    <w:abstractNumId w:val="31"/>
  </w:num>
  <w:num w:numId="37">
    <w:abstractNumId w:val="32"/>
  </w:num>
  <w:num w:numId="38">
    <w:abstractNumId w:val="34"/>
  </w:num>
  <w:num w:numId="39">
    <w:abstractNumId w:val="19"/>
  </w:num>
  <w:num w:numId="40">
    <w:abstractNumId w:val="32"/>
  </w:num>
  <w:num w:numId="41">
    <w:abstractNumId w:val="32"/>
  </w:num>
  <w:num w:numId="42">
    <w:abstractNumId w:val="3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AU" w:vendorID="64" w:dllVersion="131078" w:nlCheck="1" w:checkStyle="1"/>
  <w:proofState w:spelling="clean" w:grammar="clean"/>
  <w:stylePaneSortMethod w:val="0000"/>
  <w:defaultTabStop w:val="567"/>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38D4"/>
    <w:rsid w:val="00010246"/>
    <w:rsid w:val="000221E8"/>
    <w:rsid w:val="0003247C"/>
    <w:rsid w:val="00035071"/>
    <w:rsid w:val="000624A0"/>
    <w:rsid w:val="000700C1"/>
    <w:rsid w:val="000759BF"/>
    <w:rsid w:val="000852D5"/>
    <w:rsid w:val="0008558F"/>
    <w:rsid w:val="00096CA9"/>
    <w:rsid w:val="000A1C9A"/>
    <w:rsid w:val="000A3DD3"/>
    <w:rsid w:val="000B0506"/>
    <w:rsid w:val="000B6F69"/>
    <w:rsid w:val="000C01B4"/>
    <w:rsid w:val="000C16BA"/>
    <w:rsid w:val="000C499D"/>
    <w:rsid w:val="000C5885"/>
    <w:rsid w:val="000D7107"/>
    <w:rsid w:val="000E4ACB"/>
    <w:rsid w:val="000F155E"/>
    <w:rsid w:val="000F4C22"/>
    <w:rsid w:val="000F6096"/>
    <w:rsid w:val="00104432"/>
    <w:rsid w:val="00105B4D"/>
    <w:rsid w:val="00114F00"/>
    <w:rsid w:val="001176F2"/>
    <w:rsid w:val="00124DC1"/>
    <w:rsid w:val="00127682"/>
    <w:rsid w:val="0013716D"/>
    <w:rsid w:val="00137E84"/>
    <w:rsid w:val="0014310A"/>
    <w:rsid w:val="001574A3"/>
    <w:rsid w:val="00170377"/>
    <w:rsid w:val="00170699"/>
    <w:rsid w:val="00187894"/>
    <w:rsid w:val="00193A4B"/>
    <w:rsid w:val="001A6947"/>
    <w:rsid w:val="001B01A5"/>
    <w:rsid w:val="001B71E2"/>
    <w:rsid w:val="001C33EE"/>
    <w:rsid w:val="001C5C38"/>
    <w:rsid w:val="001D199B"/>
    <w:rsid w:val="001E5D9C"/>
    <w:rsid w:val="001F639F"/>
    <w:rsid w:val="0020009E"/>
    <w:rsid w:val="00202056"/>
    <w:rsid w:val="0022212D"/>
    <w:rsid w:val="00226B71"/>
    <w:rsid w:val="00231D0D"/>
    <w:rsid w:val="00232805"/>
    <w:rsid w:val="002525C5"/>
    <w:rsid w:val="00255E0C"/>
    <w:rsid w:val="0026671E"/>
    <w:rsid w:val="00271AB6"/>
    <w:rsid w:val="00271F77"/>
    <w:rsid w:val="002805FD"/>
    <w:rsid w:val="002A494D"/>
    <w:rsid w:val="002B2D6F"/>
    <w:rsid w:val="002B37D8"/>
    <w:rsid w:val="002C05C1"/>
    <w:rsid w:val="002F2B97"/>
    <w:rsid w:val="002F304C"/>
    <w:rsid w:val="002F4E54"/>
    <w:rsid w:val="002F60A6"/>
    <w:rsid w:val="00313358"/>
    <w:rsid w:val="00320E5E"/>
    <w:rsid w:val="00326F48"/>
    <w:rsid w:val="0033762E"/>
    <w:rsid w:val="00347714"/>
    <w:rsid w:val="003514AD"/>
    <w:rsid w:val="00365FA0"/>
    <w:rsid w:val="00366BF2"/>
    <w:rsid w:val="00366C4B"/>
    <w:rsid w:val="003701E4"/>
    <w:rsid w:val="003A4545"/>
    <w:rsid w:val="003B01B0"/>
    <w:rsid w:val="003B43EC"/>
    <w:rsid w:val="003C2CD4"/>
    <w:rsid w:val="003D208F"/>
    <w:rsid w:val="003E29B5"/>
    <w:rsid w:val="003E51EB"/>
    <w:rsid w:val="003E68A5"/>
    <w:rsid w:val="003E6B25"/>
    <w:rsid w:val="003E7FAC"/>
    <w:rsid w:val="003F3C92"/>
    <w:rsid w:val="003F5E75"/>
    <w:rsid w:val="004177BE"/>
    <w:rsid w:val="0042385D"/>
    <w:rsid w:val="00425D45"/>
    <w:rsid w:val="0043000B"/>
    <w:rsid w:val="004338AC"/>
    <w:rsid w:val="00443FF4"/>
    <w:rsid w:val="00444E8D"/>
    <w:rsid w:val="004615C4"/>
    <w:rsid w:val="00471CA9"/>
    <w:rsid w:val="00475117"/>
    <w:rsid w:val="004801D1"/>
    <w:rsid w:val="0048402B"/>
    <w:rsid w:val="00494BC1"/>
    <w:rsid w:val="00494EB8"/>
    <w:rsid w:val="004B24FF"/>
    <w:rsid w:val="004B5715"/>
    <w:rsid w:val="004D6461"/>
    <w:rsid w:val="004E4AD0"/>
    <w:rsid w:val="0051171A"/>
    <w:rsid w:val="0051778F"/>
    <w:rsid w:val="00542B32"/>
    <w:rsid w:val="005447F5"/>
    <w:rsid w:val="00544F79"/>
    <w:rsid w:val="005611C1"/>
    <w:rsid w:val="005711D2"/>
    <w:rsid w:val="0057654B"/>
    <w:rsid w:val="005832B7"/>
    <w:rsid w:val="005841B7"/>
    <w:rsid w:val="0058443C"/>
    <w:rsid w:val="0058731A"/>
    <w:rsid w:val="00587DD7"/>
    <w:rsid w:val="00595200"/>
    <w:rsid w:val="005961F6"/>
    <w:rsid w:val="00596923"/>
    <w:rsid w:val="005A0866"/>
    <w:rsid w:val="005A0C09"/>
    <w:rsid w:val="005A1BE0"/>
    <w:rsid w:val="005A23F9"/>
    <w:rsid w:val="005B3B56"/>
    <w:rsid w:val="005B54E3"/>
    <w:rsid w:val="005B774C"/>
    <w:rsid w:val="005D1E06"/>
    <w:rsid w:val="005D23B8"/>
    <w:rsid w:val="005D60A0"/>
    <w:rsid w:val="005E218A"/>
    <w:rsid w:val="005F0D97"/>
    <w:rsid w:val="00600EB1"/>
    <w:rsid w:val="00610D70"/>
    <w:rsid w:val="0061138A"/>
    <w:rsid w:val="006143AF"/>
    <w:rsid w:val="00621E52"/>
    <w:rsid w:val="00635443"/>
    <w:rsid w:val="00651C93"/>
    <w:rsid w:val="006724C4"/>
    <w:rsid w:val="00675AB7"/>
    <w:rsid w:val="00681347"/>
    <w:rsid w:val="006935C9"/>
    <w:rsid w:val="00694524"/>
    <w:rsid w:val="00694796"/>
    <w:rsid w:val="006A4F51"/>
    <w:rsid w:val="006B24ED"/>
    <w:rsid w:val="006B7939"/>
    <w:rsid w:val="006C0108"/>
    <w:rsid w:val="006C62E0"/>
    <w:rsid w:val="006E2451"/>
    <w:rsid w:val="006E51C6"/>
    <w:rsid w:val="006E7EF8"/>
    <w:rsid w:val="006F5F31"/>
    <w:rsid w:val="0071225A"/>
    <w:rsid w:val="007178F0"/>
    <w:rsid w:val="00725687"/>
    <w:rsid w:val="0073072D"/>
    <w:rsid w:val="00751081"/>
    <w:rsid w:val="00784798"/>
    <w:rsid w:val="00784A1A"/>
    <w:rsid w:val="007B246A"/>
    <w:rsid w:val="007C5F74"/>
    <w:rsid w:val="007D1191"/>
    <w:rsid w:val="007E2162"/>
    <w:rsid w:val="007E628A"/>
    <w:rsid w:val="007F4A35"/>
    <w:rsid w:val="00816ED5"/>
    <w:rsid w:val="00831BB4"/>
    <w:rsid w:val="00841F2A"/>
    <w:rsid w:val="008475E1"/>
    <w:rsid w:val="00871EC0"/>
    <w:rsid w:val="008766A4"/>
    <w:rsid w:val="00877262"/>
    <w:rsid w:val="008810D6"/>
    <w:rsid w:val="00887E2D"/>
    <w:rsid w:val="008919D9"/>
    <w:rsid w:val="00895870"/>
    <w:rsid w:val="00896FF2"/>
    <w:rsid w:val="008A5234"/>
    <w:rsid w:val="008C0416"/>
    <w:rsid w:val="008C0B02"/>
    <w:rsid w:val="008C3760"/>
    <w:rsid w:val="008C6FA8"/>
    <w:rsid w:val="008D2D16"/>
    <w:rsid w:val="008D3BDE"/>
    <w:rsid w:val="008D3F1E"/>
    <w:rsid w:val="008E3379"/>
    <w:rsid w:val="008F185F"/>
    <w:rsid w:val="008F3046"/>
    <w:rsid w:val="00901F51"/>
    <w:rsid w:val="009030AA"/>
    <w:rsid w:val="009062DF"/>
    <w:rsid w:val="00906C25"/>
    <w:rsid w:val="00917F2A"/>
    <w:rsid w:val="009269FD"/>
    <w:rsid w:val="00927DEE"/>
    <w:rsid w:val="009315AE"/>
    <w:rsid w:val="00933892"/>
    <w:rsid w:val="00933910"/>
    <w:rsid w:val="009478ED"/>
    <w:rsid w:val="009652F7"/>
    <w:rsid w:val="00967755"/>
    <w:rsid w:val="009731D8"/>
    <w:rsid w:val="0097421F"/>
    <w:rsid w:val="00980015"/>
    <w:rsid w:val="009A25B7"/>
    <w:rsid w:val="009A58A8"/>
    <w:rsid w:val="009C3664"/>
    <w:rsid w:val="009D7606"/>
    <w:rsid w:val="009E4078"/>
    <w:rsid w:val="009F2302"/>
    <w:rsid w:val="00A140E9"/>
    <w:rsid w:val="00A17226"/>
    <w:rsid w:val="00A24325"/>
    <w:rsid w:val="00A33C93"/>
    <w:rsid w:val="00A62D1A"/>
    <w:rsid w:val="00A72D79"/>
    <w:rsid w:val="00A7414D"/>
    <w:rsid w:val="00A74400"/>
    <w:rsid w:val="00A8302C"/>
    <w:rsid w:val="00AA7DDD"/>
    <w:rsid w:val="00AC39FB"/>
    <w:rsid w:val="00AD4561"/>
    <w:rsid w:val="00B06DA3"/>
    <w:rsid w:val="00B134F9"/>
    <w:rsid w:val="00B17AF7"/>
    <w:rsid w:val="00B230DB"/>
    <w:rsid w:val="00B239F0"/>
    <w:rsid w:val="00B31802"/>
    <w:rsid w:val="00B40154"/>
    <w:rsid w:val="00B46FDB"/>
    <w:rsid w:val="00B5537C"/>
    <w:rsid w:val="00B56A86"/>
    <w:rsid w:val="00B94171"/>
    <w:rsid w:val="00BA616A"/>
    <w:rsid w:val="00BB5F6F"/>
    <w:rsid w:val="00BC296E"/>
    <w:rsid w:val="00BC3DEC"/>
    <w:rsid w:val="00BD6FB4"/>
    <w:rsid w:val="00BE63A8"/>
    <w:rsid w:val="00BF14B4"/>
    <w:rsid w:val="00BF4AB5"/>
    <w:rsid w:val="00C03DFC"/>
    <w:rsid w:val="00C052CB"/>
    <w:rsid w:val="00C10204"/>
    <w:rsid w:val="00C1688C"/>
    <w:rsid w:val="00C20EB6"/>
    <w:rsid w:val="00C401EA"/>
    <w:rsid w:val="00C412C9"/>
    <w:rsid w:val="00C516CC"/>
    <w:rsid w:val="00C75380"/>
    <w:rsid w:val="00C86049"/>
    <w:rsid w:val="00C91AC2"/>
    <w:rsid w:val="00C96775"/>
    <w:rsid w:val="00CB0A7B"/>
    <w:rsid w:val="00CB68E3"/>
    <w:rsid w:val="00CB7075"/>
    <w:rsid w:val="00CC5736"/>
    <w:rsid w:val="00CC7F0A"/>
    <w:rsid w:val="00CE03E7"/>
    <w:rsid w:val="00CE1579"/>
    <w:rsid w:val="00CE6B2B"/>
    <w:rsid w:val="00CE768A"/>
    <w:rsid w:val="00D049D0"/>
    <w:rsid w:val="00D17A1A"/>
    <w:rsid w:val="00D25EED"/>
    <w:rsid w:val="00D31299"/>
    <w:rsid w:val="00D33982"/>
    <w:rsid w:val="00D524A9"/>
    <w:rsid w:val="00D55813"/>
    <w:rsid w:val="00D84C0F"/>
    <w:rsid w:val="00DA020D"/>
    <w:rsid w:val="00DB7AE5"/>
    <w:rsid w:val="00DC426F"/>
    <w:rsid w:val="00DC4AC1"/>
    <w:rsid w:val="00DD7D45"/>
    <w:rsid w:val="00DE0F00"/>
    <w:rsid w:val="00DE643D"/>
    <w:rsid w:val="00DF1C42"/>
    <w:rsid w:val="00E07BC7"/>
    <w:rsid w:val="00E16C42"/>
    <w:rsid w:val="00E42E39"/>
    <w:rsid w:val="00E43DC9"/>
    <w:rsid w:val="00E538C4"/>
    <w:rsid w:val="00E97212"/>
    <w:rsid w:val="00EC4ABB"/>
    <w:rsid w:val="00EC60CB"/>
    <w:rsid w:val="00EC718D"/>
    <w:rsid w:val="00EF04D3"/>
    <w:rsid w:val="00EF1BC2"/>
    <w:rsid w:val="00EF29A2"/>
    <w:rsid w:val="00F11E96"/>
    <w:rsid w:val="00F16129"/>
    <w:rsid w:val="00F209CB"/>
    <w:rsid w:val="00F27799"/>
    <w:rsid w:val="00F33045"/>
    <w:rsid w:val="00F36897"/>
    <w:rsid w:val="00F3691E"/>
    <w:rsid w:val="00F37E0C"/>
    <w:rsid w:val="00F512FA"/>
    <w:rsid w:val="00F534C5"/>
    <w:rsid w:val="00F546B5"/>
    <w:rsid w:val="00F70CB4"/>
    <w:rsid w:val="00F7204D"/>
    <w:rsid w:val="00F75C7D"/>
    <w:rsid w:val="00F76D77"/>
    <w:rsid w:val="00F77B42"/>
    <w:rsid w:val="00F84D08"/>
    <w:rsid w:val="00F85A04"/>
    <w:rsid w:val="00F85A39"/>
    <w:rsid w:val="00F91A79"/>
    <w:rsid w:val="00F97B56"/>
    <w:rsid w:val="00FA6B94"/>
    <w:rsid w:val="00FB1204"/>
    <w:rsid w:val="00FB54EC"/>
    <w:rsid w:val="00FB5C2D"/>
    <w:rsid w:val="00FC1930"/>
    <w:rsid w:val="00FC5F6A"/>
    <w:rsid w:val="00FD7308"/>
    <w:rsid w:val="00FE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FD4BACC4-61C8-45E3-888E-EAC93E3A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1138A"/>
    <w:pPr>
      <w:spacing w:before="120" w:line="280" w:lineRule="atLeast"/>
    </w:pPr>
    <w:rPr>
      <w:rFonts w:ascii="Arial" w:hAnsi="Arial" w:cs="Arial"/>
      <w:sz w:val="22"/>
      <w:szCs w:val="18"/>
      <w:lang w:val="en-AU"/>
    </w:rPr>
  </w:style>
  <w:style w:type="paragraph" w:styleId="Heading1">
    <w:name w:val="heading 1"/>
    <w:basedOn w:val="Normal"/>
    <w:next w:val="Normal"/>
    <w:link w:val="Heading1Char"/>
    <w:uiPriority w:val="9"/>
    <w:qFormat/>
    <w:locked/>
    <w:rsid w:val="00105B4D"/>
    <w:pPr>
      <w:keepNext/>
      <w:keepLines/>
      <w:spacing w:before="240" w:after="120"/>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105B4D"/>
    <w:pPr>
      <w:pBdr>
        <w:top w:val="single" w:sz="8" w:space="3" w:color="AF272F"/>
      </w:pBdr>
      <w:ind w:left="851" w:hanging="851"/>
      <w:outlineLvl w:val="1"/>
    </w:pPr>
    <w:rPr>
      <w:bCs w:val="0"/>
      <w:sz w:val="36"/>
    </w:rPr>
  </w:style>
  <w:style w:type="paragraph" w:styleId="Heading3">
    <w:name w:val="heading 3"/>
    <w:basedOn w:val="Normal"/>
    <w:next w:val="Normal"/>
    <w:link w:val="Heading3Char"/>
    <w:uiPriority w:val="9"/>
    <w:qFormat/>
    <w:locked/>
    <w:rsid w:val="00EC60CB"/>
    <w:pPr>
      <w:tabs>
        <w:tab w:val="left" w:pos="851"/>
      </w:tabs>
      <w:spacing w:before="240" w:after="12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tion1">
    <w:name w:val="Mention1"/>
    <w:basedOn w:val="DefaultParagraphFont"/>
    <w:uiPriority w:val="99"/>
    <w:semiHidden/>
    <w:unhideWhenUsed/>
    <w:rsid w:val="00FB54EC"/>
    <w:rPr>
      <w:color w:val="2B579A"/>
      <w:shd w:val="clear" w:color="auto" w:fill="E6E6E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0759BF"/>
    <w:pPr>
      <w:tabs>
        <w:tab w:val="right" w:pos="6804"/>
      </w:tabs>
      <w:spacing w:before="0" w:line="240" w:lineRule="auto"/>
    </w:pPr>
    <w:rPr>
      <w:sz w:val="20"/>
    </w:rPr>
  </w:style>
  <w:style w:type="character" w:customStyle="1" w:styleId="FooterChar">
    <w:name w:val="Footer Char"/>
    <w:basedOn w:val="DefaultParagraphFont"/>
    <w:link w:val="Footer"/>
    <w:uiPriority w:val="99"/>
    <w:semiHidden/>
    <w:rsid w:val="000759BF"/>
    <w:rPr>
      <w:rFonts w:ascii="Arial" w:hAnsi="Arial" w:cs="Arial"/>
      <w:sz w:val="20"/>
      <w:szCs w:val="18"/>
      <w:lang w:val="en-AU"/>
    </w:rPr>
  </w:style>
  <w:style w:type="paragraph" w:styleId="Subtitle">
    <w:name w:val="Subtitle"/>
    <w:basedOn w:val="Normal"/>
    <w:next w:val="Normal"/>
    <w:link w:val="SubtitleChar"/>
    <w:uiPriority w:val="11"/>
    <w:semiHidden/>
    <w:qFormat/>
    <w:locked/>
    <w:rsid w:val="00980015"/>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qFormat/>
    <w:locked/>
    <w:rsid w:val="00326F48"/>
    <w:rPr>
      <w:i/>
      <w:iCs/>
    </w:rPr>
  </w:style>
  <w:style w:type="character" w:customStyle="1" w:styleId="Heading1Char">
    <w:name w:val="Heading 1 Char"/>
    <w:basedOn w:val="DefaultParagraphFont"/>
    <w:link w:val="Heading1"/>
    <w:uiPriority w:val="9"/>
    <w:rsid w:val="00105B4D"/>
    <w:rPr>
      <w:rFonts w:ascii="Arial" w:eastAsiaTheme="majorEastAsia" w:hAnsi="Arial" w:cstheme="majorBidi"/>
      <w:b/>
      <w:bCs/>
      <w:color w:val="AF272F"/>
      <w:sz w:val="44"/>
      <w:szCs w:val="20"/>
      <w:lang w:val="en-AU"/>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rsid w:val="00105B4D"/>
    <w:rPr>
      <w:rFonts w:ascii="Arial" w:eastAsiaTheme="majorEastAsia" w:hAnsi="Arial" w:cstheme="majorBidi"/>
      <w:b/>
      <w:color w:val="AF272F"/>
      <w:sz w:val="36"/>
      <w:szCs w:val="20"/>
      <w:lang w:val="en-AU"/>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rsid w:val="00EC60CB"/>
    <w:rPr>
      <w:rFonts w:ascii="Arial" w:hAnsi="Arial" w:cs="Arial"/>
      <w:b/>
      <w:color w:val="000000" w:themeColor="text1"/>
      <w:szCs w:val="18"/>
      <w:lang w:val="en-AU"/>
    </w:rPr>
  </w:style>
  <w:style w:type="paragraph" w:styleId="TOAHeading">
    <w:name w:val="toa heading"/>
    <w:basedOn w:val="Normal"/>
    <w:next w:val="Normal"/>
    <w:uiPriority w:val="99"/>
    <w:semiHidden/>
    <w:locked/>
    <w:rsid w:val="00751081"/>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paragraph" w:customStyle="1" w:styleId="NoteLevel2">
    <w:name w:val="Note Level 2"/>
    <w:basedOn w:val="Normal"/>
    <w:uiPriority w:val="99"/>
    <w:semiHidden/>
    <w:locked/>
    <w:rsid w:val="00D84C0F"/>
    <w:pPr>
      <w:keepNext/>
      <w:numPr>
        <w:ilvl w:val="1"/>
        <w:numId w:val="11"/>
      </w:numPr>
      <w:ind w:firstLine="164"/>
      <w:contextualSpacing/>
      <w:outlineLvl w:val="1"/>
    </w:pPr>
  </w:style>
  <w:style w:type="paragraph" w:customStyle="1" w:styleId="NoteLevel3">
    <w:name w:val="Note Level 3"/>
    <w:basedOn w:val="Normal"/>
    <w:uiPriority w:val="99"/>
    <w:semiHidden/>
    <w:locked/>
    <w:rsid w:val="00D84C0F"/>
    <w:pPr>
      <w:keepNext/>
      <w:numPr>
        <w:ilvl w:val="2"/>
        <w:numId w:val="11"/>
      </w:numPr>
      <w:ind w:firstLine="164"/>
      <w:contextualSpacing/>
      <w:outlineLvl w:val="2"/>
    </w:pPr>
  </w:style>
  <w:style w:type="paragraph" w:customStyle="1" w:styleId="NoteLevel4">
    <w:name w:val="Note Level 4"/>
    <w:basedOn w:val="Normal"/>
    <w:uiPriority w:val="99"/>
    <w:semiHidden/>
    <w:locked/>
    <w:rsid w:val="00D84C0F"/>
    <w:pPr>
      <w:keepNext/>
      <w:numPr>
        <w:ilvl w:val="3"/>
        <w:numId w:val="11"/>
      </w:numPr>
      <w:ind w:firstLine="164"/>
      <w:contextualSpacing/>
      <w:outlineLvl w:val="3"/>
    </w:pPr>
  </w:style>
  <w:style w:type="paragraph" w:customStyle="1" w:styleId="NoteLevel5">
    <w:name w:val="Note Level 5"/>
    <w:basedOn w:val="Normal"/>
    <w:uiPriority w:val="99"/>
    <w:semiHidden/>
    <w:locked/>
    <w:rsid w:val="00D84C0F"/>
    <w:pPr>
      <w:keepNext/>
      <w:numPr>
        <w:ilvl w:val="4"/>
        <w:numId w:val="11"/>
      </w:numPr>
      <w:ind w:left="1985" w:firstLine="164"/>
      <w:contextualSpacing/>
      <w:outlineLvl w:val="4"/>
    </w:pPr>
  </w:style>
  <w:style w:type="paragraph" w:customStyle="1" w:styleId="NoteLevel6">
    <w:name w:val="Note Level 6"/>
    <w:basedOn w:val="Normal"/>
    <w:uiPriority w:val="99"/>
    <w:semiHidden/>
    <w:locked/>
    <w:rsid w:val="00D84C0F"/>
    <w:pPr>
      <w:keepNext/>
      <w:numPr>
        <w:ilvl w:val="5"/>
        <w:numId w:val="11"/>
      </w:numPr>
      <w:ind w:firstLine="164"/>
      <w:contextualSpacing/>
      <w:outlineLvl w:val="5"/>
    </w:pPr>
  </w:style>
  <w:style w:type="paragraph" w:customStyle="1" w:styleId="NoteLevel7">
    <w:name w:val="Note Level 7"/>
    <w:basedOn w:val="NoteLevel5"/>
    <w:uiPriority w:val="99"/>
    <w:semiHidden/>
    <w:locked/>
    <w:rsid w:val="00D84C0F"/>
    <w:pPr>
      <w:ind w:left="3402" w:firstLine="0"/>
    </w:pPr>
  </w:style>
  <w:style w:type="paragraph" w:customStyle="1" w:styleId="NoteLevel8">
    <w:name w:val="Note Level 8"/>
    <w:basedOn w:val="Normal"/>
    <w:uiPriority w:val="99"/>
    <w:semiHidden/>
    <w:locked/>
    <w:rsid w:val="00D84C0F"/>
    <w:pPr>
      <w:keepNext/>
      <w:numPr>
        <w:ilvl w:val="7"/>
        <w:numId w:val="11"/>
      </w:numPr>
      <w:contextualSpacing/>
      <w:outlineLvl w:val="7"/>
    </w:p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NoteLevel9">
    <w:name w:val="Note Level 9"/>
    <w:basedOn w:val="Normal"/>
    <w:uiPriority w:val="99"/>
    <w:semiHidden/>
    <w:locked/>
    <w:rsid w:val="00D84C0F"/>
    <w:pPr>
      <w:keepNext/>
      <w:numPr>
        <w:ilvl w:val="8"/>
        <w:numId w:val="11"/>
      </w:numPr>
      <w:contextualSpacing/>
      <w:outlineLvl w:val="8"/>
    </w:pPr>
  </w:style>
  <w:style w:type="paragraph" w:styleId="TOC3">
    <w:name w:val="toc 3"/>
    <w:basedOn w:val="Normal"/>
    <w:next w:val="Normal"/>
    <w:autoRedefine/>
    <w:uiPriority w:val="39"/>
    <w:semiHidden/>
    <w:locked/>
    <w:rsid w:val="00895870"/>
    <w:pPr>
      <w:ind w:left="360"/>
    </w:pPr>
  </w:style>
  <w:style w:type="paragraph" w:styleId="TOC1">
    <w:name w:val="toc 1"/>
    <w:basedOn w:val="Normal"/>
    <w:next w:val="Normal"/>
    <w:autoRedefine/>
    <w:uiPriority w:val="39"/>
    <w:semiHidden/>
    <w:locked/>
    <w:rsid w:val="00895870"/>
    <w:pPr>
      <w:tabs>
        <w:tab w:val="right" w:leader="dot" w:pos="9346"/>
      </w:tabs>
      <w:spacing w:after="100"/>
    </w:pPr>
    <w:rPr>
      <w:b/>
      <w:color w:val="AF272F"/>
    </w:rPr>
  </w:style>
  <w:style w:type="paragraph" w:styleId="TOC2">
    <w:name w:val="toc 2"/>
    <w:basedOn w:val="Normal"/>
    <w:next w:val="Normal"/>
    <w:autoRedefine/>
    <w:uiPriority w:val="39"/>
    <w:semiHidden/>
    <w:locked/>
    <w:rsid w:val="00895870"/>
    <w:pPr>
      <w:spacing w:after="100"/>
      <w:ind w:left="180"/>
    </w:pPr>
    <w:rPr>
      <w:color w:val="AF272F"/>
    </w:rPr>
  </w:style>
  <w:style w:type="paragraph" w:styleId="TOC4">
    <w:name w:val="toc 4"/>
    <w:basedOn w:val="Normal"/>
    <w:next w:val="Normal"/>
    <w:autoRedefine/>
    <w:uiPriority w:val="39"/>
    <w:semiHidden/>
    <w:locked/>
    <w:rsid w:val="00895870"/>
    <w:pPr>
      <w:ind w:left="540"/>
    </w:pPr>
  </w:style>
  <w:style w:type="paragraph" w:styleId="TOC5">
    <w:name w:val="toc 5"/>
    <w:basedOn w:val="Normal"/>
    <w:next w:val="Normal"/>
    <w:autoRedefine/>
    <w:uiPriority w:val="39"/>
    <w:semiHidden/>
    <w:locked/>
    <w:rsid w:val="00895870"/>
    <w:pPr>
      <w:ind w:left="720"/>
    </w:pPr>
  </w:style>
  <w:style w:type="paragraph" w:styleId="TOC6">
    <w:name w:val="toc 6"/>
    <w:basedOn w:val="Normal"/>
    <w:next w:val="Normal"/>
    <w:autoRedefine/>
    <w:uiPriority w:val="39"/>
    <w:semiHidden/>
    <w:locked/>
    <w:rsid w:val="00895870"/>
    <w:pPr>
      <w:ind w:left="900"/>
    </w:pPr>
  </w:style>
  <w:style w:type="paragraph" w:styleId="TOC7">
    <w:name w:val="toc 7"/>
    <w:basedOn w:val="Normal"/>
    <w:next w:val="Normal"/>
    <w:autoRedefine/>
    <w:uiPriority w:val="39"/>
    <w:semiHidden/>
    <w:locked/>
    <w:rsid w:val="00895870"/>
    <w:pPr>
      <w:ind w:left="1080"/>
    </w:pPr>
  </w:style>
  <w:style w:type="paragraph" w:styleId="TOC8">
    <w:name w:val="toc 8"/>
    <w:basedOn w:val="Normal"/>
    <w:next w:val="Normal"/>
    <w:autoRedefine/>
    <w:uiPriority w:val="39"/>
    <w:semiHidden/>
    <w:locked/>
    <w:rsid w:val="00895870"/>
    <w:pPr>
      <w:ind w:left="1260"/>
    </w:pPr>
  </w:style>
  <w:style w:type="character" w:styleId="EndnoteReference">
    <w:name w:val="endnote reference"/>
    <w:uiPriority w:val="99"/>
    <w:unhideWhenUsed/>
    <w:locked/>
    <w:rsid w:val="00271F77"/>
    <w:rPr>
      <w:b w:val="0"/>
      <w:i w:val="0"/>
      <w:sz w:val="15"/>
      <w:szCs w:val="15"/>
      <w:lang w:val="en-AU"/>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B56A86"/>
    <w:rPr>
      <w:rFonts w:ascii="Arial" w:hAnsi="Arial"/>
      <w:b w:val="0"/>
      <w:i w:val="0"/>
      <w:color w:val="0000FF"/>
      <w:sz w:val="22"/>
      <w:u w:val="single"/>
    </w:rPr>
  </w:style>
  <w:style w:type="paragraph" w:styleId="ListBullet">
    <w:name w:val="List Bullet"/>
    <w:basedOn w:val="Normal"/>
    <w:uiPriority w:val="99"/>
    <w:locked/>
    <w:rsid w:val="009D7606"/>
    <w:pPr>
      <w:numPr>
        <w:numId w:val="29"/>
      </w:numPr>
    </w:pPr>
    <w:rPr>
      <w:rFonts w:eastAsiaTheme="minorHAnsi" w:cstheme="minorBidi"/>
      <w:szCs w:val="22"/>
    </w:rPr>
  </w:style>
  <w:style w:type="paragraph" w:styleId="ListBullet2">
    <w:name w:val="List Bullet 2"/>
    <w:basedOn w:val="Normal"/>
    <w:uiPriority w:val="99"/>
    <w:locked/>
    <w:rsid w:val="00FB54EC"/>
    <w:pPr>
      <w:numPr>
        <w:numId w:val="30"/>
      </w:numPr>
      <w:spacing w:before="60"/>
      <w:ind w:left="851" w:hanging="284"/>
    </w:pPr>
    <w:rPr>
      <w:rFonts w:eastAsiaTheme="minorHAnsi" w:cstheme="minorBidi"/>
      <w:szCs w:val="22"/>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Continue">
    <w:name w:val="List Continue"/>
    <w:basedOn w:val="Normal"/>
    <w:uiPriority w:val="99"/>
    <w:unhideWhenUsed/>
    <w:locked/>
    <w:rsid w:val="0051778F"/>
    <w:pPr>
      <w:ind w:left="284"/>
    </w:pPr>
    <w:rPr>
      <w:rFonts w:ascii="Candara" w:eastAsiaTheme="minorHAnsi" w:hAnsi="Candara" w:cstheme="minorBidi"/>
      <w:szCs w:val="22"/>
    </w:rPr>
  </w:style>
  <w:style w:type="paragraph" w:styleId="BodyText">
    <w:name w:val="Body Text"/>
    <w:basedOn w:val="Normal"/>
    <w:link w:val="BodyText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b/>
      <w:color w:val="F79646" w:themeColor="accent6"/>
      <w:sz w:val="24"/>
      <w:szCs w:val="22"/>
    </w:rPr>
  </w:style>
  <w:style w:type="character" w:customStyle="1" w:styleId="BodyTextChar">
    <w:name w:val="Body Text Char"/>
    <w:basedOn w:val="DefaultParagraphFont"/>
    <w:link w:val="BodyText"/>
    <w:uiPriority w:val="99"/>
    <w:rsid w:val="0051778F"/>
    <w:rPr>
      <w:rFonts w:ascii="Candara" w:eastAsiaTheme="minorHAnsi" w:hAnsi="Candara"/>
      <w:b/>
      <w:color w:val="F79646" w:themeColor="accent6"/>
      <w:szCs w:val="22"/>
      <w:lang w:val="en-AU"/>
    </w:rPr>
  </w:style>
  <w:style w:type="paragraph" w:styleId="BodyText2">
    <w:name w:val="Body Text 2"/>
    <w:basedOn w:val="Normal"/>
    <w:link w:val="BodyText2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szCs w:val="22"/>
    </w:rPr>
  </w:style>
  <w:style w:type="character" w:customStyle="1" w:styleId="BodyText2Char">
    <w:name w:val="Body Text 2 Char"/>
    <w:basedOn w:val="DefaultParagraphFont"/>
    <w:link w:val="BodyText2"/>
    <w:uiPriority w:val="99"/>
    <w:rsid w:val="0051778F"/>
    <w:rPr>
      <w:rFonts w:ascii="Candara" w:eastAsiaTheme="minorHAnsi" w:hAnsi="Candara"/>
      <w:sz w:val="22"/>
      <w:szCs w:val="22"/>
      <w:lang w:val="en-AU"/>
    </w:rPr>
  </w:style>
  <w:style w:type="paragraph" w:styleId="NoSpacing">
    <w:name w:val="No Spacing"/>
    <w:uiPriority w:val="1"/>
    <w:qFormat/>
    <w:locked/>
    <w:rsid w:val="0051778F"/>
    <w:rPr>
      <w:rFonts w:ascii="Candara" w:eastAsiaTheme="minorHAnsi" w:hAnsi="Candara"/>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443FF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43FF4"/>
    <w:rPr>
      <w:rFonts w:ascii="Segoe UI" w:hAnsi="Segoe UI" w:cs="Segoe UI"/>
      <w:sz w:val="18"/>
      <w:szCs w:val="18"/>
    </w:rPr>
  </w:style>
  <w:style w:type="paragraph" w:customStyle="1" w:styleId="Default">
    <w:name w:val="Default"/>
    <w:rsid w:val="00232805"/>
    <w:pPr>
      <w:autoSpaceDE w:val="0"/>
      <w:autoSpaceDN w:val="0"/>
      <w:adjustRightInd w:val="0"/>
    </w:pPr>
    <w:rPr>
      <w:rFonts w:ascii="Times New Roman" w:hAnsi="Times New Roman" w:cs="Times New Roman"/>
      <w:color w:val="000000"/>
      <w:lang w:val="en-AU"/>
    </w:rPr>
  </w:style>
  <w:style w:type="paragraph" w:styleId="NormalWeb">
    <w:name w:val="Normal (Web)"/>
    <w:basedOn w:val="Normal"/>
    <w:uiPriority w:val="99"/>
    <w:semiHidden/>
    <w:unhideWhenUsed/>
    <w:locked/>
    <w:rsid w:val="00170699"/>
    <w:pPr>
      <w:spacing w:after="15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locked/>
    <w:rsid w:val="003E68A5"/>
    <w:rPr>
      <w:sz w:val="16"/>
      <w:szCs w:val="16"/>
    </w:rPr>
  </w:style>
  <w:style w:type="paragraph" w:styleId="CommentText">
    <w:name w:val="annotation text"/>
    <w:basedOn w:val="Normal"/>
    <w:link w:val="CommentTextChar"/>
    <w:uiPriority w:val="99"/>
    <w:semiHidden/>
    <w:unhideWhenUsed/>
    <w:locked/>
    <w:rsid w:val="003E68A5"/>
    <w:pPr>
      <w:spacing w:line="240" w:lineRule="auto"/>
    </w:pPr>
    <w:rPr>
      <w:sz w:val="20"/>
      <w:szCs w:val="20"/>
    </w:rPr>
  </w:style>
  <w:style w:type="character" w:customStyle="1" w:styleId="CommentTextChar">
    <w:name w:val="Comment Text Char"/>
    <w:basedOn w:val="DefaultParagraphFont"/>
    <w:link w:val="CommentText"/>
    <w:uiPriority w:val="99"/>
    <w:semiHidden/>
    <w:rsid w:val="003E68A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3E68A5"/>
    <w:rPr>
      <w:b/>
      <w:bCs/>
    </w:rPr>
  </w:style>
  <w:style w:type="character" w:customStyle="1" w:styleId="CommentSubjectChar">
    <w:name w:val="Comment Subject Char"/>
    <w:basedOn w:val="CommentTextChar"/>
    <w:link w:val="CommentSubject"/>
    <w:uiPriority w:val="99"/>
    <w:semiHidden/>
    <w:rsid w:val="003E68A5"/>
    <w:rPr>
      <w:rFonts w:ascii="Arial" w:hAnsi="Arial" w:cs="Arial"/>
      <w:b/>
      <w:bCs/>
      <w:sz w:val="20"/>
      <w:szCs w:val="20"/>
    </w:rPr>
  </w:style>
  <w:style w:type="paragraph" w:styleId="Revision">
    <w:name w:val="Revision"/>
    <w:hidden/>
    <w:uiPriority w:val="99"/>
    <w:semiHidden/>
    <w:rsid w:val="003E6B25"/>
    <w:rPr>
      <w:rFonts w:ascii="Arial" w:hAnsi="Arial" w:cs="Arial"/>
      <w:sz w:val="22"/>
      <w:szCs w:val="18"/>
      <w:lang w:val="en-AU"/>
    </w:rPr>
  </w:style>
  <w:style w:type="character" w:styleId="FollowedHyperlink">
    <w:name w:val="FollowedHyperlink"/>
    <w:basedOn w:val="DefaultParagraphFont"/>
    <w:semiHidden/>
    <w:unhideWhenUsed/>
    <w:locked/>
    <w:rsid w:val="005611C1"/>
    <w:rPr>
      <w:color w:val="800080" w:themeColor="followedHyperlink"/>
      <w:u w:val="single"/>
    </w:rPr>
  </w:style>
  <w:style w:type="paragraph" w:styleId="ListParagraph">
    <w:name w:val="List Paragraph"/>
    <w:basedOn w:val="Normal"/>
    <w:uiPriority w:val="34"/>
    <w:qFormat/>
    <w:locked/>
    <w:rsid w:val="00544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997">
      <w:bodyDiv w:val="1"/>
      <w:marLeft w:val="0"/>
      <w:marRight w:val="0"/>
      <w:marTop w:val="0"/>
      <w:marBottom w:val="0"/>
      <w:divBdr>
        <w:top w:val="none" w:sz="0" w:space="0" w:color="auto"/>
        <w:left w:val="none" w:sz="0" w:space="0" w:color="auto"/>
        <w:bottom w:val="none" w:sz="0" w:space="0" w:color="auto"/>
        <w:right w:val="none" w:sz="0" w:space="0" w:color="auto"/>
      </w:divBdr>
      <w:divsChild>
        <w:div w:id="1477643401">
          <w:marLeft w:val="0"/>
          <w:marRight w:val="0"/>
          <w:marTop w:val="0"/>
          <w:marBottom w:val="0"/>
          <w:divBdr>
            <w:top w:val="none" w:sz="0" w:space="0" w:color="auto"/>
            <w:left w:val="none" w:sz="0" w:space="0" w:color="auto"/>
            <w:bottom w:val="none" w:sz="0" w:space="0" w:color="auto"/>
            <w:right w:val="none" w:sz="0" w:space="0" w:color="auto"/>
          </w:divBdr>
          <w:divsChild>
            <w:div w:id="1404137642">
              <w:marLeft w:val="0"/>
              <w:marRight w:val="0"/>
              <w:marTop w:val="0"/>
              <w:marBottom w:val="0"/>
              <w:divBdr>
                <w:top w:val="none" w:sz="0" w:space="0" w:color="auto"/>
                <w:left w:val="none" w:sz="0" w:space="0" w:color="auto"/>
                <w:bottom w:val="none" w:sz="0" w:space="0" w:color="auto"/>
                <w:right w:val="none" w:sz="0" w:space="0" w:color="auto"/>
              </w:divBdr>
              <w:divsChild>
                <w:div w:id="557671680">
                  <w:marLeft w:val="0"/>
                  <w:marRight w:val="0"/>
                  <w:marTop w:val="0"/>
                  <w:marBottom w:val="0"/>
                  <w:divBdr>
                    <w:top w:val="none" w:sz="0" w:space="0" w:color="auto"/>
                    <w:left w:val="none" w:sz="0" w:space="0" w:color="auto"/>
                    <w:bottom w:val="none" w:sz="0" w:space="0" w:color="auto"/>
                    <w:right w:val="none" w:sz="0" w:space="0" w:color="auto"/>
                  </w:divBdr>
                  <w:divsChild>
                    <w:div w:id="1135827441">
                      <w:marLeft w:val="0"/>
                      <w:marRight w:val="0"/>
                      <w:marTop w:val="0"/>
                      <w:marBottom w:val="0"/>
                      <w:divBdr>
                        <w:top w:val="none" w:sz="0" w:space="0" w:color="auto"/>
                        <w:left w:val="none" w:sz="0" w:space="0" w:color="auto"/>
                        <w:bottom w:val="none" w:sz="0" w:space="0" w:color="auto"/>
                        <w:right w:val="none" w:sz="0" w:space="0" w:color="auto"/>
                      </w:divBdr>
                      <w:divsChild>
                        <w:div w:id="2045863027">
                          <w:marLeft w:val="0"/>
                          <w:marRight w:val="0"/>
                          <w:marTop w:val="0"/>
                          <w:marBottom w:val="0"/>
                          <w:divBdr>
                            <w:top w:val="none" w:sz="0" w:space="0" w:color="auto"/>
                            <w:left w:val="none" w:sz="0" w:space="0" w:color="auto"/>
                            <w:bottom w:val="none" w:sz="0" w:space="0" w:color="auto"/>
                            <w:right w:val="none" w:sz="0" w:space="0" w:color="auto"/>
                          </w:divBdr>
                          <w:divsChild>
                            <w:div w:id="1721241791">
                              <w:marLeft w:val="0"/>
                              <w:marRight w:val="0"/>
                              <w:marTop w:val="0"/>
                              <w:marBottom w:val="0"/>
                              <w:divBdr>
                                <w:top w:val="none" w:sz="0" w:space="0" w:color="auto"/>
                                <w:left w:val="none" w:sz="0" w:space="0" w:color="auto"/>
                                <w:bottom w:val="none" w:sz="0" w:space="0" w:color="auto"/>
                                <w:right w:val="none" w:sz="0" w:space="0" w:color="auto"/>
                              </w:divBdr>
                              <w:divsChild>
                                <w:div w:id="362246848">
                                  <w:marLeft w:val="0"/>
                                  <w:marRight w:val="0"/>
                                  <w:marTop w:val="0"/>
                                  <w:marBottom w:val="0"/>
                                  <w:divBdr>
                                    <w:top w:val="none" w:sz="0" w:space="0" w:color="auto"/>
                                    <w:left w:val="none" w:sz="0" w:space="0" w:color="auto"/>
                                    <w:bottom w:val="none" w:sz="0" w:space="0" w:color="auto"/>
                                    <w:right w:val="none" w:sz="0" w:space="0" w:color="auto"/>
                                  </w:divBdr>
                                  <w:divsChild>
                                    <w:div w:id="740522974">
                                      <w:marLeft w:val="0"/>
                                      <w:marRight w:val="0"/>
                                      <w:marTop w:val="0"/>
                                      <w:marBottom w:val="0"/>
                                      <w:divBdr>
                                        <w:top w:val="none" w:sz="0" w:space="0" w:color="auto"/>
                                        <w:left w:val="none" w:sz="0" w:space="0" w:color="auto"/>
                                        <w:bottom w:val="none" w:sz="0" w:space="0" w:color="auto"/>
                                        <w:right w:val="none" w:sz="0" w:space="0" w:color="auto"/>
                                      </w:divBdr>
                                      <w:divsChild>
                                        <w:div w:id="2115131065">
                                          <w:marLeft w:val="0"/>
                                          <w:marRight w:val="0"/>
                                          <w:marTop w:val="0"/>
                                          <w:marBottom w:val="0"/>
                                          <w:divBdr>
                                            <w:top w:val="none" w:sz="0" w:space="0" w:color="auto"/>
                                            <w:left w:val="none" w:sz="0" w:space="0" w:color="auto"/>
                                            <w:bottom w:val="none" w:sz="0" w:space="0" w:color="auto"/>
                                            <w:right w:val="none" w:sz="0" w:space="0" w:color="auto"/>
                                          </w:divBdr>
                                          <w:divsChild>
                                            <w:div w:id="545678713">
                                              <w:marLeft w:val="0"/>
                                              <w:marRight w:val="0"/>
                                              <w:marTop w:val="0"/>
                                              <w:marBottom w:val="0"/>
                                              <w:divBdr>
                                                <w:top w:val="none" w:sz="0" w:space="0" w:color="auto"/>
                                                <w:left w:val="none" w:sz="0" w:space="0" w:color="auto"/>
                                                <w:bottom w:val="none" w:sz="0" w:space="0" w:color="auto"/>
                                                <w:right w:val="none" w:sz="0" w:space="0" w:color="auto"/>
                                              </w:divBdr>
                                              <w:divsChild>
                                                <w:div w:id="1556162597">
                                                  <w:marLeft w:val="0"/>
                                                  <w:marRight w:val="0"/>
                                                  <w:marTop w:val="0"/>
                                                  <w:marBottom w:val="0"/>
                                                  <w:divBdr>
                                                    <w:top w:val="none" w:sz="0" w:space="0" w:color="auto"/>
                                                    <w:left w:val="none" w:sz="0" w:space="0" w:color="auto"/>
                                                    <w:bottom w:val="none" w:sz="0" w:space="0" w:color="auto"/>
                                                    <w:right w:val="none" w:sz="0" w:space="0" w:color="auto"/>
                                                  </w:divBdr>
                                                  <w:divsChild>
                                                    <w:div w:id="1743025670">
                                                      <w:marLeft w:val="0"/>
                                                      <w:marRight w:val="0"/>
                                                      <w:marTop w:val="300"/>
                                                      <w:marBottom w:val="0"/>
                                                      <w:divBdr>
                                                        <w:top w:val="none" w:sz="0" w:space="0" w:color="auto"/>
                                                        <w:left w:val="none" w:sz="0" w:space="0" w:color="auto"/>
                                                        <w:bottom w:val="none" w:sz="0" w:space="0" w:color="auto"/>
                                                        <w:right w:val="none" w:sz="0" w:space="0" w:color="auto"/>
                                                      </w:divBdr>
                                                      <w:divsChild>
                                                        <w:div w:id="10654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737867">
      <w:bodyDiv w:val="1"/>
      <w:marLeft w:val="0"/>
      <w:marRight w:val="0"/>
      <w:marTop w:val="0"/>
      <w:marBottom w:val="0"/>
      <w:divBdr>
        <w:top w:val="none" w:sz="0" w:space="0" w:color="auto"/>
        <w:left w:val="none" w:sz="0" w:space="0" w:color="auto"/>
        <w:bottom w:val="none" w:sz="0" w:space="0" w:color="auto"/>
        <w:right w:val="none" w:sz="0" w:space="0" w:color="auto"/>
      </w:divBdr>
      <w:divsChild>
        <w:div w:id="1565263327">
          <w:marLeft w:val="0"/>
          <w:marRight w:val="0"/>
          <w:marTop w:val="0"/>
          <w:marBottom w:val="0"/>
          <w:divBdr>
            <w:top w:val="none" w:sz="0" w:space="0" w:color="auto"/>
            <w:left w:val="none" w:sz="0" w:space="0" w:color="auto"/>
            <w:bottom w:val="none" w:sz="0" w:space="0" w:color="auto"/>
            <w:right w:val="none" w:sz="0" w:space="0" w:color="auto"/>
          </w:divBdr>
          <w:divsChild>
            <w:div w:id="711730751">
              <w:marLeft w:val="0"/>
              <w:marRight w:val="0"/>
              <w:marTop w:val="0"/>
              <w:marBottom w:val="0"/>
              <w:divBdr>
                <w:top w:val="none" w:sz="0" w:space="0" w:color="auto"/>
                <w:left w:val="none" w:sz="0" w:space="0" w:color="auto"/>
                <w:bottom w:val="none" w:sz="0" w:space="0" w:color="auto"/>
                <w:right w:val="none" w:sz="0" w:space="0" w:color="auto"/>
              </w:divBdr>
              <w:divsChild>
                <w:div w:id="2105614202">
                  <w:marLeft w:val="0"/>
                  <w:marRight w:val="0"/>
                  <w:marTop w:val="0"/>
                  <w:marBottom w:val="0"/>
                  <w:divBdr>
                    <w:top w:val="none" w:sz="0" w:space="0" w:color="auto"/>
                    <w:left w:val="none" w:sz="0" w:space="0" w:color="auto"/>
                    <w:bottom w:val="none" w:sz="0" w:space="0" w:color="auto"/>
                    <w:right w:val="none" w:sz="0" w:space="0" w:color="auto"/>
                  </w:divBdr>
                  <w:divsChild>
                    <w:div w:id="878668073">
                      <w:marLeft w:val="0"/>
                      <w:marRight w:val="0"/>
                      <w:marTop w:val="0"/>
                      <w:marBottom w:val="0"/>
                      <w:divBdr>
                        <w:top w:val="none" w:sz="0" w:space="0" w:color="auto"/>
                        <w:left w:val="none" w:sz="0" w:space="0" w:color="auto"/>
                        <w:bottom w:val="none" w:sz="0" w:space="0" w:color="auto"/>
                        <w:right w:val="none" w:sz="0" w:space="0" w:color="auto"/>
                      </w:divBdr>
                      <w:divsChild>
                        <w:div w:id="579019079">
                          <w:marLeft w:val="0"/>
                          <w:marRight w:val="0"/>
                          <w:marTop w:val="1050"/>
                          <w:marBottom w:val="0"/>
                          <w:divBdr>
                            <w:top w:val="none" w:sz="0" w:space="0" w:color="auto"/>
                            <w:left w:val="none" w:sz="0" w:space="0" w:color="auto"/>
                            <w:bottom w:val="none" w:sz="0" w:space="0" w:color="auto"/>
                            <w:right w:val="none" w:sz="0" w:space="0" w:color="auto"/>
                          </w:divBdr>
                          <w:divsChild>
                            <w:div w:id="1804537110">
                              <w:marLeft w:val="-225"/>
                              <w:marRight w:val="-225"/>
                              <w:marTop w:val="0"/>
                              <w:marBottom w:val="0"/>
                              <w:divBdr>
                                <w:top w:val="none" w:sz="0" w:space="0" w:color="auto"/>
                                <w:left w:val="none" w:sz="0" w:space="0" w:color="auto"/>
                                <w:bottom w:val="none" w:sz="0" w:space="0" w:color="auto"/>
                                <w:right w:val="none" w:sz="0" w:space="0" w:color="auto"/>
                              </w:divBdr>
                              <w:divsChild>
                                <w:div w:id="2029794153">
                                  <w:marLeft w:val="0"/>
                                  <w:marRight w:val="0"/>
                                  <w:marTop w:val="0"/>
                                  <w:marBottom w:val="0"/>
                                  <w:divBdr>
                                    <w:top w:val="none" w:sz="0" w:space="0" w:color="auto"/>
                                    <w:left w:val="none" w:sz="0" w:space="0" w:color="auto"/>
                                    <w:bottom w:val="none" w:sz="0" w:space="0" w:color="auto"/>
                                    <w:right w:val="none" w:sz="0" w:space="0" w:color="auto"/>
                                  </w:divBdr>
                                  <w:divsChild>
                                    <w:div w:id="1190216819">
                                      <w:marLeft w:val="0"/>
                                      <w:marRight w:val="0"/>
                                      <w:marTop w:val="0"/>
                                      <w:marBottom w:val="3000"/>
                                      <w:divBdr>
                                        <w:top w:val="single" w:sz="24" w:space="0" w:color="FFFFFF"/>
                                        <w:left w:val="none" w:sz="0" w:space="0" w:color="auto"/>
                                        <w:bottom w:val="none" w:sz="0" w:space="0" w:color="auto"/>
                                        <w:right w:val="none" w:sz="0" w:space="0" w:color="auto"/>
                                      </w:divBdr>
                                      <w:divsChild>
                                        <w:div w:id="10644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gate.eduweb.vic.gov.au/sites/i/pages/production.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gate.eduweb.vic.gov.au/sites/i/pages/productio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edulibrary/Schools/Forms/AllItems.aspx?RootFolder=https://edugate.eduweb.vic.gov.au/edulibrary/Schools/Insurance/Certificate%20of%20Currency&amp;FolderCTID=0x0120006D107000D672D34EAD5AFB6B732D11C3" TargetMode="External"/><Relationship Id="rId5" Type="http://schemas.openxmlformats.org/officeDocument/2006/relationships/numbering" Target="numbering.xml"/><Relationship Id="rId15" Type="http://schemas.openxmlformats.org/officeDocument/2006/relationships/hyperlink" Target="https://www.vmia.vic.gov.au/insure/insurance-programs/school-counci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principals/spag/Pages/spag.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Finance manual for Victorian Government Schools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1B926-5E80-429C-A418-006CB3CE9BEB}"/>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658AB993-C1E7-4A80-9E05-042143C01EF8}"/>
</file>

<file path=docProps/app.xml><?xml version="1.0" encoding="utf-8"?>
<Properties xmlns="http://schemas.openxmlformats.org/officeDocument/2006/extended-properties" xmlns:vt="http://schemas.openxmlformats.org/officeDocument/2006/docPropsVTypes">
  <Template>Normal</Template>
  <TotalTime>2</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Sutherland, Lisa J</cp:lastModifiedBy>
  <cp:revision>3</cp:revision>
  <cp:lastPrinted>2019-02-01T01:13:00Z</cp:lastPrinted>
  <dcterms:created xsi:type="dcterms:W3CDTF">2019-01-25T05:51:00Z</dcterms:created>
  <dcterms:modified xsi:type="dcterms:W3CDTF">2019-02-01T01:13:00Z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