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1A4A" w14:textId="77777777" w:rsidR="006554DD" w:rsidRPr="00210F0F" w:rsidRDefault="00C0703F" w:rsidP="006554DD">
      <w:pPr>
        <w:pStyle w:val="Heading1"/>
        <w:rPr>
          <w:rFonts w:cs="Arial"/>
          <w:b w:val="0"/>
          <w:szCs w:val="44"/>
        </w:rPr>
      </w:pPr>
      <w:bookmarkStart w:id="0" w:name="_Toc455499267"/>
      <w:bookmarkStart w:id="1" w:name="_Toc455499461"/>
      <w:bookmarkStart w:id="2" w:name="_Toc455501167"/>
      <w:r w:rsidRPr="00210F0F">
        <w:rPr>
          <w:rFonts w:cs="Arial"/>
          <w:szCs w:val="44"/>
        </w:rPr>
        <w:t>Section 20</w:t>
      </w:r>
      <w:r w:rsidR="006554DD" w:rsidRPr="000F7966">
        <w:rPr>
          <w:rFonts w:cs="Arial"/>
          <w:szCs w:val="44"/>
        </w:rPr>
        <w:t xml:space="preserve">: </w:t>
      </w:r>
      <w:r w:rsidRPr="00210F0F">
        <w:rPr>
          <w:rFonts w:cs="Arial"/>
          <w:szCs w:val="44"/>
        </w:rPr>
        <w:t>Opening</w:t>
      </w:r>
      <w:r w:rsidR="008353ED" w:rsidRPr="00210F0F">
        <w:rPr>
          <w:rFonts w:cs="Arial"/>
          <w:szCs w:val="44"/>
        </w:rPr>
        <w:t xml:space="preserve">, </w:t>
      </w:r>
      <w:r w:rsidRPr="00210F0F">
        <w:rPr>
          <w:rFonts w:cs="Arial"/>
          <w:szCs w:val="44"/>
        </w:rPr>
        <w:t xml:space="preserve">Closing </w:t>
      </w:r>
      <w:r w:rsidR="008353ED" w:rsidRPr="00210F0F">
        <w:rPr>
          <w:rFonts w:cs="Arial"/>
          <w:szCs w:val="44"/>
        </w:rPr>
        <w:t xml:space="preserve">and </w:t>
      </w:r>
      <w:r w:rsidRPr="00210F0F">
        <w:rPr>
          <w:rFonts w:cs="Arial"/>
          <w:szCs w:val="44"/>
        </w:rPr>
        <w:t>Merging</w:t>
      </w:r>
      <w:r w:rsidR="00CD7140" w:rsidRPr="00210F0F">
        <w:rPr>
          <w:rFonts w:cs="Arial"/>
          <w:szCs w:val="44"/>
        </w:rPr>
        <w:t xml:space="preserve"> Schools</w:t>
      </w:r>
    </w:p>
    <w:p w14:paraId="3C7C7DFF" w14:textId="77777777" w:rsidR="006554DD" w:rsidRPr="009F57A3" w:rsidRDefault="00C0703F" w:rsidP="000366D9">
      <w:pPr>
        <w:pStyle w:val="Heading2"/>
      </w:pPr>
      <w:r>
        <w:t>20</w:t>
      </w:r>
      <w:r w:rsidR="006554DD" w:rsidRPr="009F57A3">
        <w:t>.1</w:t>
      </w:r>
      <w:r w:rsidR="0061618C">
        <w:tab/>
      </w:r>
      <w:r w:rsidR="006554DD" w:rsidRPr="000366D9">
        <w:t>Overview</w:t>
      </w:r>
    </w:p>
    <w:p w14:paraId="0EFA75CF" w14:textId="77777777" w:rsidR="00C84D64" w:rsidRDefault="003B5F69" w:rsidP="006304EE">
      <w:pPr>
        <w:jc w:val="both"/>
      </w:pPr>
      <w:r w:rsidRPr="00A555A7">
        <w:t xml:space="preserve">School reorganisations may involve </w:t>
      </w:r>
      <w:r w:rsidR="003A6157" w:rsidRPr="00A555A7">
        <w:t>opening, closing</w:t>
      </w:r>
      <w:r w:rsidR="006D1CBC" w:rsidRPr="00A555A7">
        <w:t xml:space="preserve"> or</w:t>
      </w:r>
      <w:r w:rsidR="003A6157" w:rsidRPr="00A555A7">
        <w:t xml:space="preserve"> merging </w:t>
      </w:r>
      <w:r w:rsidR="006D1CBC" w:rsidRPr="00A555A7">
        <w:t xml:space="preserve">of </w:t>
      </w:r>
      <w:r w:rsidR="003A6157" w:rsidRPr="00A555A7">
        <w:t>schools</w:t>
      </w:r>
      <w:r w:rsidR="00C84D64" w:rsidRPr="00A555A7">
        <w:t>.</w:t>
      </w:r>
      <w:r w:rsidR="0004209F" w:rsidRPr="00A555A7">
        <w:t xml:space="preserve"> A merger may result in creatin</w:t>
      </w:r>
      <w:r w:rsidR="008B437D">
        <w:t>g</w:t>
      </w:r>
      <w:r w:rsidR="0004209F" w:rsidRPr="00A555A7">
        <w:t xml:space="preserve"> a new school where a new school number is issued or renaming an existing school where one of the merging school numbers is retained.</w:t>
      </w:r>
    </w:p>
    <w:p w14:paraId="39863554" w14:textId="77777777" w:rsidR="007C66EA" w:rsidRDefault="007C66EA" w:rsidP="006304EE">
      <w:pPr>
        <w:jc w:val="both"/>
      </w:pPr>
    </w:p>
    <w:p w14:paraId="6CB8BB05" w14:textId="77777777" w:rsidR="006554DD" w:rsidRDefault="000366D9" w:rsidP="000366D9">
      <w:pPr>
        <w:pStyle w:val="Heading2"/>
      </w:pPr>
      <w:r w:rsidRPr="000366D9">
        <w:t>20</w:t>
      </w:r>
      <w:r w:rsidR="006554DD" w:rsidRPr="000366D9">
        <w:t>.2</w:t>
      </w:r>
      <w:r w:rsidR="0061618C">
        <w:tab/>
      </w:r>
      <w:r w:rsidR="00FC3AD5" w:rsidRPr="000366D9">
        <w:t>School Opening</w:t>
      </w:r>
    </w:p>
    <w:p w14:paraId="05EB910D" w14:textId="77777777" w:rsidR="00BF4A6F" w:rsidRPr="00A555A7" w:rsidRDefault="00BF4A6F" w:rsidP="00A555A7">
      <w:r w:rsidRPr="00A555A7">
        <w:t xml:space="preserve">When a new school is to open, a School Finance Liaison Officer </w:t>
      </w:r>
      <w:r w:rsidR="000A4D92" w:rsidRPr="00A555A7">
        <w:t xml:space="preserve">(SFLO) </w:t>
      </w:r>
      <w:r w:rsidRPr="00A555A7">
        <w:t>will be assigned to assist the new principal and business manager with the financial set up of the school.</w:t>
      </w:r>
    </w:p>
    <w:p w14:paraId="3928584B" w14:textId="77777777" w:rsidR="006554DD" w:rsidRPr="009F57A3" w:rsidRDefault="00657C3C" w:rsidP="006554DD">
      <w:pPr>
        <w:pStyle w:val="Heading3"/>
      </w:pPr>
      <w:r>
        <w:t>20</w:t>
      </w:r>
      <w:r w:rsidR="006554DD" w:rsidRPr="009F57A3">
        <w:t>.2.1</w:t>
      </w:r>
      <w:r w:rsidR="00E12912">
        <w:tab/>
      </w:r>
      <w:r w:rsidR="006554DD" w:rsidRPr="009F57A3">
        <w:t>Mandatory policy (</w:t>
      </w:r>
      <w:r w:rsidR="00C35ABD">
        <w:t>Must do</w:t>
      </w:r>
      <w:r w:rsidR="006554DD" w:rsidRPr="009F57A3">
        <w:t>)</w:t>
      </w:r>
      <w:r w:rsidR="0068640E"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567"/>
      </w:tblGrid>
      <w:tr w:rsidR="0053362B" w:rsidRPr="0091756B" w14:paraId="0E52F56E" w14:textId="77777777" w:rsidTr="0053362B">
        <w:trPr>
          <w:trHeight w:hRule="exact" w:val="73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D01467" w14:textId="77777777" w:rsidR="0053362B" w:rsidRPr="00D60EB6" w:rsidRDefault="0053362B" w:rsidP="0053362B">
            <w:pPr>
              <w:rPr>
                <w:b/>
                <w:sz w:val="18"/>
              </w:rPr>
            </w:pPr>
            <w:r w:rsidRPr="00D60EB6">
              <w:rPr>
                <w:b/>
                <w:sz w:val="18"/>
              </w:rPr>
              <w:t>Sequence Numbers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8ABA77B" w14:textId="77777777" w:rsidR="0053362B" w:rsidRPr="007C4D0A" w:rsidRDefault="0053362B" w:rsidP="0053362B">
            <w:pPr>
              <w:rPr>
                <w:b/>
                <w:sz w:val="20"/>
                <w:szCs w:val="20"/>
              </w:rPr>
            </w:pPr>
            <w:r w:rsidRPr="007C4D0A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450162" w14:textId="77777777" w:rsidR="0053362B" w:rsidRPr="0091756B" w:rsidRDefault="0053362B" w:rsidP="0053362B"/>
        </w:tc>
      </w:tr>
      <w:tr w:rsidR="0053362B" w:rsidRPr="0091756B" w14:paraId="790229BF" w14:textId="77777777" w:rsidTr="0061618C">
        <w:trPr>
          <w:trHeight w:hRule="exact" w:val="1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E34DC" w14:textId="77777777" w:rsidR="0053362B" w:rsidRPr="00A555A7" w:rsidRDefault="0053362B" w:rsidP="0053362B">
            <w:r w:rsidRPr="00A555A7">
              <w:t>20.2.1.2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EA2BB" w14:textId="77777777" w:rsidR="0053362B" w:rsidRPr="00A555A7" w:rsidRDefault="0053362B" w:rsidP="0053362B">
            <w:r w:rsidRPr="00A555A7">
              <w:t>The school is required to open a High Yield Investment account with Westpac Bank and an Official account for transactional purposes at the financial institution of their choice. The SFLO will assist with this process.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5AC5D" w14:textId="77777777" w:rsidR="0053362B" w:rsidRPr="0091756B" w:rsidRDefault="0053362B" w:rsidP="0053362B"/>
        </w:tc>
      </w:tr>
      <w:tr w:rsidR="0053362B" w:rsidRPr="0091756B" w14:paraId="140664D7" w14:textId="77777777" w:rsidTr="0061618C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088CE7" w14:textId="77777777" w:rsidR="0053362B" w:rsidRPr="00A555A7" w:rsidRDefault="0053362B" w:rsidP="0053362B">
            <w:r w:rsidRPr="00A555A7">
              <w:t>20.2.1.3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27852" w14:textId="77777777" w:rsidR="0053362B" w:rsidRPr="00A555A7" w:rsidRDefault="0053362B" w:rsidP="0053362B">
            <w:r w:rsidRPr="00A555A7">
              <w:t xml:space="preserve">Any procurement activity prior to the school opening will be managed through the </w:t>
            </w:r>
            <w:hyperlink r:id="rId12" w:anchor="/app/content/45/structure_&amp;_governance%252Fgroups_and_divisions%252Fregional_services" w:history="1">
              <w:r w:rsidRPr="00A555A7">
                <w:rPr>
                  <w:rStyle w:val="Hyperlink"/>
                </w:rPr>
                <w:t>local region</w:t>
              </w:r>
            </w:hyperlink>
            <w:r w:rsidRPr="00A555A7">
              <w:t>.</w:t>
            </w:r>
            <w:r>
              <w:t xml:space="preserve"> Contact your Regional Finance Officer for further information.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ECC0A" w14:textId="77777777" w:rsidR="0053362B" w:rsidRPr="0091756B" w:rsidRDefault="0053362B" w:rsidP="0053362B"/>
        </w:tc>
      </w:tr>
      <w:tr w:rsidR="0053362B" w:rsidRPr="0091756B" w14:paraId="17032192" w14:textId="77777777" w:rsidTr="0061618C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575157" w14:textId="77777777" w:rsidR="0053362B" w:rsidRPr="00A555A7" w:rsidRDefault="0053362B" w:rsidP="0053362B">
            <w:r w:rsidRPr="00A555A7">
              <w:t>20.2.1.4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84A27" w14:textId="77777777" w:rsidR="0053362B" w:rsidRPr="00A555A7" w:rsidRDefault="0053362B" w:rsidP="0053362B">
            <w:r w:rsidRPr="00A555A7">
              <w:t xml:space="preserve">Liaise with the </w:t>
            </w:r>
            <w:hyperlink r:id="rId13" w:history="1">
              <w:r w:rsidRPr="00A555A7">
                <w:rPr>
                  <w:rStyle w:val="Hyperlink"/>
                </w:rPr>
                <w:t>local school systems training team</w:t>
              </w:r>
            </w:hyperlink>
            <w:r w:rsidRPr="00A555A7">
              <w:t xml:space="preserve"> to have CASES21 set up for the school.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181F2" w14:textId="77777777" w:rsidR="0053362B" w:rsidRPr="0091756B" w:rsidRDefault="0053362B" w:rsidP="0053362B"/>
        </w:tc>
      </w:tr>
    </w:tbl>
    <w:bookmarkEnd w:id="0"/>
    <w:bookmarkEnd w:id="1"/>
    <w:bookmarkEnd w:id="2"/>
    <w:p w14:paraId="6E2B8CCB" w14:textId="77777777" w:rsidR="003A4545" w:rsidRPr="00AD3210" w:rsidRDefault="00493E26" w:rsidP="003D4CFE">
      <w:pPr>
        <w:pStyle w:val="Heading3"/>
      </w:pPr>
      <w:r>
        <w:t>20.2</w:t>
      </w:r>
      <w:r w:rsidR="003A4545" w:rsidRPr="00AD3210">
        <w:t>.2</w:t>
      </w:r>
      <w:r w:rsidR="00E12912">
        <w:tab/>
      </w:r>
      <w:r w:rsidR="003A4545" w:rsidRPr="00AD3210">
        <w:t>Prohibited</w:t>
      </w:r>
      <w:r w:rsidR="003D4CFE">
        <w:t xml:space="preserve"> </w:t>
      </w:r>
      <w:r w:rsidR="003A4545" w:rsidRPr="00AD3210">
        <w:t>policy</w:t>
      </w:r>
      <w:r w:rsidR="003D4CFE">
        <w:t xml:space="preserve"> </w:t>
      </w:r>
      <w:r w:rsidR="003A4545" w:rsidRPr="00AD3210">
        <w:t>(</w:t>
      </w:r>
      <w:r w:rsidR="00C35ABD">
        <w:t>Must not do</w:t>
      </w:r>
      <w:r w:rsidR="003A4545" w:rsidRPr="00AD3210">
        <w:t>)</w:t>
      </w:r>
      <w:r w:rsidR="002D0187"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88"/>
        <w:gridCol w:w="552"/>
      </w:tblGrid>
      <w:tr w:rsidR="0039525C" w:rsidRPr="0091756B" w14:paraId="38A3A11C" w14:textId="77777777" w:rsidTr="0039525C">
        <w:trPr>
          <w:trHeight w:hRule="exact" w:val="737"/>
        </w:trPr>
        <w:tc>
          <w:tcPr>
            <w:tcW w:w="1134" w:type="dxa"/>
            <w:shd w:val="clear" w:color="auto" w:fill="auto"/>
          </w:tcPr>
          <w:p w14:paraId="17C52EC6" w14:textId="77777777" w:rsidR="0039525C" w:rsidRPr="00D60EB6" w:rsidRDefault="0039525C" w:rsidP="0039525C">
            <w:pPr>
              <w:rPr>
                <w:b/>
                <w:sz w:val="18"/>
              </w:rPr>
            </w:pPr>
            <w:r w:rsidRPr="00D60EB6">
              <w:rPr>
                <w:b/>
                <w:sz w:val="18"/>
              </w:rPr>
              <w:t>Sequence Numbers</w:t>
            </w:r>
          </w:p>
        </w:tc>
        <w:tc>
          <w:tcPr>
            <w:tcW w:w="7088" w:type="dxa"/>
            <w:shd w:val="clear" w:color="auto" w:fill="auto"/>
          </w:tcPr>
          <w:p w14:paraId="02A0327B" w14:textId="77777777" w:rsidR="0039525C" w:rsidRPr="007C4D0A" w:rsidRDefault="0039525C" w:rsidP="0039525C">
            <w:pPr>
              <w:rPr>
                <w:b/>
                <w:sz w:val="20"/>
                <w:szCs w:val="20"/>
              </w:rPr>
            </w:pPr>
            <w:r w:rsidRPr="007C4D0A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552" w:type="dxa"/>
            <w:tcBorders>
              <w:top w:val="nil"/>
              <w:right w:val="nil"/>
            </w:tcBorders>
            <w:shd w:val="clear" w:color="auto" w:fill="auto"/>
          </w:tcPr>
          <w:p w14:paraId="56BD5646" w14:textId="77777777" w:rsidR="0039525C" w:rsidRPr="0091756B" w:rsidRDefault="0039525C" w:rsidP="0039525C"/>
        </w:tc>
      </w:tr>
      <w:tr w:rsidR="0039525C" w:rsidRPr="0091756B" w14:paraId="7DDEC951" w14:textId="77777777" w:rsidTr="0061618C">
        <w:trPr>
          <w:trHeight w:hRule="exact" w:val="737"/>
        </w:trPr>
        <w:tc>
          <w:tcPr>
            <w:tcW w:w="1134" w:type="dxa"/>
            <w:shd w:val="clear" w:color="auto" w:fill="auto"/>
          </w:tcPr>
          <w:p w14:paraId="78688C4E" w14:textId="77777777" w:rsidR="0039525C" w:rsidRPr="00A555A7" w:rsidRDefault="0039525C" w:rsidP="0039525C">
            <w:r w:rsidRPr="00A555A7">
              <w:t>20.2.2.1</w:t>
            </w:r>
          </w:p>
        </w:tc>
        <w:tc>
          <w:tcPr>
            <w:tcW w:w="7088" w:type="dxa"/>
            <w:shd w:val="clear" w:color="auto" w:fill="auto"/>
          </w:tcPr>
          <w:p w14:paraId="5DDB8412" w14:textId="77777777" w:rsidR="0039525C" w:rsidRPr="00A555A7" w:rsidRDefault="0039525C" w:rsidP="0039525C">
            <w:r w:rsidRPr="00A555A7">
              <w:t>Cannot transact using ABN or school bank accounts until after the opening date of the school.</w:t>
            </w:r>
          </w:p>
        </w:tc>
        <w:tc>
          <w:tcPr>
            <w:tcW w:w="552" w:type="dxa"/>
            <w:shd w:val="clear" w:color="auto" w:fill="auto"/>
          </w:tcPr>
          <w:p w14:paraId="49668A91" w14:textId="77777777" w:rsidR="0039525C" w:rsidRPr="0091756B" w:rsidRDefault="0039525C" w:rsidP="0039525C"/>
        </w:tc>
      </w:tr>
    </w:tbl>
    <w:p w14:paraId="66DE372A" w14:textId="77777777" w:rsidR="0061618C" w:rsidRDefault="0061618C" w:rsidP="0061618C">
      <w:r>
        <w:br w:type="page"/>
      </w:r>
    </w:p>
    <w:p w14:paraId="75F72125" w14:textId="77777777" w:rsidR="00AE6E06" w:rsidRDefault="0024314E" w:rsidP="00AE6E06">
      <w:pPr>
        <w:pStyle w:val="Heading2"/>
      </w:pPr>
      <w:r>
        <w:lastRenderedPageBreak/>
        <w:t>20</w:t>
      </w:r>
      <w:r w:rsidR="001948A6">
        <w:t>.3</w:t>
      </w:r>
      <w:r w:rsidR="0061618C">
        <w:tab/>
      </w:r>
      <w:r w:rsidR="00AE6E06">
        <w:t>School Closing</w:t>
      </w:r>
    </w:p>
    <w:p w14:paraId="24BF6EF2" w14:textId="77777777" w:rsidR="002F25DF" w:rsidRPr="00A555A7" w:rsidRDefault="002F25DF" w:rsidP="006304EE">
      <w:pPr>
        <w:jc w:val="both"/>
      </w:pPr>
      <w:r w:rsidRPr="00A555A7">
        <w:t xml:space="preserve">From a financial point of view, a school closure will involve finalising contracts, </w:t>
      </w:r>
      <w:r w:rsidR="00C96D19" w:rsidRPr="00A555A7">
        <w:t>clearing commitments, redistributing assets and closing financial operations.</w:t>
      </w:r>
    </w:p>
    <w:p w14:paraId="5F0FFFF8" w14:textId="77777777" w:rsidR="003F2EBB" w:rsidRPr="00A555A7" w:rsidRDefault="007C56A6" w:rsidP="00A555A7">
      <w:r w:rsidRPr="00A555A7">
        <w:t xml:space="preserve">When a school is </w:t>
      </w:r>
      <w:r w:rsidR="00A555A7">
        <w:t xml:space="preserve">scheduled </w:t>
      </w:r>
      <w:r w:rsidRPr="00A555A7">
        <w:t>to close, a School Finance Liaison Officer (SFLO) will be assigned to assist the principal and business manager with the financial closure of the school</w:t>
      </w:r>
      <w:r w:rsidR="007A3827" w:rsidRPr="00A555A7">
        <w:t>.</w:t>
      </w:r>
    </w:p>
    <w:p w14:paraId="03DBC6EE" w14:textId="77777777" w:rsidR="00AE6E06" w:rsidRPr="009F57A3" w:rsidRDefault="0024314E" w:rsidP="00AE6E06">
      <w:pPr>
        <w:pStyle w:val="Heading3"/>
      </w:pPr>
      <w:r>
        <w:t>20</w:t>
      </w:r>
      <w:r w:rsidR="001948A6">
        <w:t>.3</w:t>
      </w:r>
      <w:r w:rsidR="00AE6E06" w:rsidRPr="009F57A3">
        <w:t>.1</w:t>
      </w:r>
      <w:r w:rsidR="00E12912">
        <w:tab/>
      </w:r>
      <w:r w:rsidR="00AE6E06" w:rsidRPr="009F57A3">
        <w:t>Mandatory policy (</w:t>
      </w:r>
      <w:r w:rsidR="00C35ABD">
        <w:t>Must do</w:t>
      </w:r>
      <w:r w:rsidR="00AE6E06" w:rsidRPr="009F57A3">
        <w:t>)</w:t>
      </w:r>
      <w:r w:rsidR="0068640E"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567"/>
      </w:tblGrid>
      <w:tr w:rsidR="00163D37" w:rsidRPr="0091756B" w14:paraId="7278FB61" w14:textId="77777777" w:rsidTr="00163D37">
        <w:trPr>
          <w:trHeight w:hRule="exact" w:val="737"/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B5947" w14:textId="77777777" w:rsidR="00163D37" w:rsidRPr="00D60EB6" w:rsidRDefault="00163D37" w:rsidP="00163D37">
            <w:pPr>
              <w:rPr>
                <w:b/>
                <w:sz w:val="18"/>
              </w:rPr>
            </w:pPr>
            <w:r w:rsidRPr="00D60EB6">
              <w:rPr>
                <w:b/>
                <w:sz w:val="18"/>
              </w:rPr>
              <w:t>Sequence Numbers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2E4CB0D7" w14:textId="77777777" w:rsidR="00163D37" w:rsidRPr="007C4D0A" w:rsidRDefault="00163D37" w:rsidP="00163D37">
            <w:pPr>
              <w:rPr>
                <w:b/>
                <w:sz w:val="20"/>
                <w:szCs w:val="20"/>
              </w:rPr>
            </w:pPr>
            <w:r w:rsidRPr="007C4D0A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28FCD9" w14:textId="77777777" w:rsidR="00163D37" w:rsidRPr="0091756B" w:rsidRDefault="00163D37" w:rsidP="00163D37"/>
        </w:tc>
      </w:tr>
      <w:tr w:rsidR="00163D37" w:rsidRPr="0091756B" w14:paraId="3B591E4C" w14:textId="77777777" w:rsidTr="0061618C">
        <w:trPr>
          <w:trHeight w:hRule="exact" w:val="51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509D52" w14:textId="77777777" w:rsidR="00163D37" w:rsidRPr="00A555A7" w:rsidRDefault="00163D37" w:rsidP="00163D37">
            <w:r w:rsidRPr="00A555A7">
              <w:t>20.3.1.2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7DB0079C" w14:textId="77777777" w:rsidR="00163D37" w:rsidRPr="00A555A7" w:rsidRDefault="00163D37" w:rsidP="00163D37">
            <w:r w:rsidRPr="00A555A7">
              <w:t>Undertake a stocktake of assets.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20EE0C" w14:textId="77777777" w:rsidR="00163D37" w:rsidRPr="0091756B" w:rsidRDefault="00163D37" w:rsidP="00163D37"/>
        </w:tc>
      </w:tr>
      <w:tr w:rsidR="00163D37" w:rsidRPr="0091756B" w14:paraId="15C4AAD7" w14:textId="77777777" w:rsidTr="0000357E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C1E93" w14:textId="77777777" w:rsidR="00163D37" w:rsidRPr="00A555A7" w:rsidRDefault="00163D37" w:rsidP="00163D37">
            <w:r w:rsidRPr="00A555A7">
              <w:t>20.3.1.3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DECDB" w14:textId="77777777" w:rsidR="00163D37" w:rsidRPr="00A555A7" w:rsidRDefault="00163D37" w:rsidP="00163D37">
            <w:r w:rsidRPr="00A555A7">
              <w:t>Convene a Board of Survey to:</w:t>
            </w:r>
          </w:p>
          <w:p w14:paraId="1B546647" w14:textId="77777777" w:rsidR="00163D37" w:rsidRDefault="00163D37" w:rsidP="00163D37">
            <w:pPr>
              <w:pStyle w:val="ListParagraph"/>
              <w:numPr>
                <w:ilvl w:val="0"/>
                <w:numId w:val="28"/>
              </w:numPr>
              <w:ind w:left="396"/>
            </w:pPr>
            <w:r>
              <w:t>identify obsolete or unserviceable equipment;</w:t>
            </w:r>
          </w:p>
          <w:p w14:paraId="0FE467AB" w14:textId="77777777" w:rsidR="00163D37" w:rsidRDefault="00163D37" w:rsidP="00163D37">
            <w:pPr>
              <w:pStyle w:val="ListParagraph"/>
              <w:numPr>
                <w:ilvl w:val="0"/>
                <w:numId w:val="28"/>
              </w:numPr>
              <w:ind w:left="396"/>
            </w:pPr>
            <w:r>
              <w:t>recommend a course of disposal action to school council, for example, relocating items to a neighbouring school, sale of particular items, etc.;</w:t>
            </w:r>
          </w:p>
          <w:p w14:paraId="4869D59A" w14:textId="77777777" w:rsidR="00163D37" w:rsidRDefault="00163D37" w:rsidP="00163D37">
            <w:pPr>
              <w:pStyle w:val="ListParagraph"/>
              <w:numPr>
                <w:ilvl w:val="0"/>
                <w:numId w:val="28"/>
              </w:numPr>
              <w:ind w:left="396"/>
            </w:pPr>
            <w:r>
              <w:t>in the case of asset sales, advertise locally that the asset is available for purchase and request bids from interested parties;</w:t>
            </w:r>
          </w:p>
          <w:p w14:paraId="1F343D8E" w14:textId="77777777" w:rsidR="00163D37" w:rsidRPr="0091756B" w:rsidRDefault="00163D37" w:rsidP="00163D37">
            <w:pPr>
              <w:pStyle w:val="ListParagraph"/>
              <w:numPr>
                <w:ilvl w:val="0"/>
                <w:numId w:val="28"/>
              </w:numPr>
              <w:ind w:left="396"/>
            </w:pPr>
            <w:r>
              <w:t>arrange for any proceeds of sale to be paid into the school council official account.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A2470" w14:textId="77777777" w:rsidR="00163D37" w:rsidRPr="0091756B" w:rsidRDefault="00163D37" w:rsidP="00163D37"/>
        </w:tc>
      </w:tr>
      <w:tr w:rsidR="00163D37" w:rsidRPr="0091756B" w14:paraId="3DBA665A" w14:textId="77777777" w:rsidTr="0061618C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DABEE4" w14:textId="77777777" w:rsidR="00163D37" w:rsidRPr="00A555A7" w:rsidRDefault="00163D37" w:rsidP="00163D37">
            <w:r w:rsidRPr="00A555A7">
              <w:t>20.3.1.4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A00ED" w14:textId="77777777" w:rsidR="00163D37" w:rsidRPr="00A555A7" w:rsidRDefault="00163D37" w:rsidP="00163D37">
            <w:r w:rsidRPr="00A555A7">
              <w:t>Enter the disposal of assets into CASES21.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2649B" w14:textId="77777777" w:rsidR="00163D37" w:rsidRPr="0091756B" w:rsidRDefault="00163D37" w:rsidP="00163D37"/>
        </w:tc>
      </w:tr>
      <w:tr w:rsidR="00163D37" w:rsidRPr="0091756B" w14:paraId="0E166EDE" w14:textId="77777777" w:rsidTr="0061618C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F54E95" w14:textId="77777777" w:rsidR="00163D37" w:rsidRPr="00A555A7" w:rsidRDefault="00163D37" w:rsidP="00163D37">
            <w:r w:rsidRPr="00A555A7">
              <w:t>20.3.1.5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47356" w14:textId="77777777" w:rsidR="00163D37" w:rsidRPr="00A555A7" w:rsidRDefault="00163D37" w:rsidP="00163D37">
            <w:r w:rsidRPr="00A555A7">
              <w:t>Close off school level payroll.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96F79" w14:textId="77777777" w:rsidR="00163D37" w:rsidRPr="0091756B" w:rsidRDefault="00163D37" w:rsidP="00163D37"/>
        </w:tc>
      </w:tr>
      <w:tr w:rsidR="00163D37" w:rsidRPr="0091756B" w14:paraId="11F31962" w14:textId="77777777" w:rsidTr="0061618C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A80282" w14:textId="77777777" w:rsidR="00163D37" w:rsidRPr="00A555A7" w:rsidRDefault="00163D37" w:rsidP="00163D37">
            <w:r w:rsidRPr="00A555A7">
              <w:t>20.3.1.6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4F020" w14:textId="77777777" w:rsidR="00163D37" w:rsidRPr="00A555A7" w:rsidRDefault="00163D37" w:rsidP="00163D37">
            <w:r w:rsidRPr="00A555A7">
              <w:t>All current contracts need to be reviewed and cancelled. This includes but is not limited to leasing arrangements and cleaning contracts as well as any direct debit arrangements.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A641" w14:textId="77777777" w:rsidR="00163D37" w:rsidRPr="0091756B" w:rsidRDefault="00163D37" w:rsidP="00163D37"/>
        </w:tc>
      </w:tr>
      <w:tr w:rsidR="00163D37" w:rsidRPr="0091756B" w14:paraId="37C29057" w14:textId="77777777" w:rsidTr="0061618C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2176BB" w14:textId="77777777" w:rsidR="00163D37" w:rsidRPr="00A555A7" w:rsidRDefault="00163D37" w:rsidP="00163D37">
            <w:r w:rsidRPr="00A555A7">
              <w:t>20.3.1.</w:t>
            </w:r>
            <w: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4AB44" w14:textId="77777777" w:rsidR="00163D37" w:rsidRPr="00A555A7" w:rsidRDefault="00163D37" w:rsidP="00163D37">
            <w:r w:rsidRPr="00A555A7">
              <w:t>Ensure all outstanding accounts have been reviewed and either paid or adjusted.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B268C" w14:textId="77777777" w:rsidR="00163D37" w:rsidRPr="0091756B" w:rsidRDefault="00163D37" w:rsidP="00163D37"/>
        </w:tc>
      </w:tr>
      <w:tr w:rsidR="00163D37" w:rsidRPr="0091756B" w14:paraId="15A30A6F" w14:textId="77777777" w:rsidTr="0061618C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283E62" w14:textId="77777777" w:rsidR="00163D37" w:rsidRPr="00A555A7" w:rsidRDefault="00163D37" w:rsidP="00163D37">
            <w:r w:rsidRPr="00A555A7">
              <w:t>20.3.1.</w:t>
            </w:r>
            <w:r>
              <w:t>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E1B35" w14:textId="77777777" w:rsidR="00163D37" w:rsidRPr="00A555A7" w:rsidRDefault="00163D37" w:rsidP="00163D37">
            <w:r w:rsidRPr="00A555A7">
              <w:t>Write off all uncollected family and sundry debtor debts.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67F6B" w14:textId="77777777" w:rsidR="00163D37" w:rsidRPr="0091756B" w:rsidRDefault="00163D37" w:rsidP="00163D37"/>
        </w:tc>
      </w:tr>
      <w:tr w:rsidR="00163D37" w:rsidRPr="0091756B" w14:paraId="250D3288" w14:textId="77777777" w:rsidTr="0061618C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D400A5" w14:textId="77777777" w:rsidR="00163D37" w:rsidRPr="00A555A7" w:rsidRDefault="00163D37" w:rsidP="00163D37">
            <w:r w:rsidRPr="00A555A7">
              <w:t>20.3.1.</w:t>
            </w:r>
            <w:r>
              <w:t>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975E3" w14:textId="77777777" w:rsidR="00163D37" w:rsidRPr="00A555A7" w:rsidRDefault="00163D37" w:rsidP="00163D37">
            <w:r w:rsidRPr="00A555A7">
              <w:t>Collect and cancel any school purchasing cards.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C44EE" w14:textId="77777777" w:rsidR="00163D37" w:rsidRPr="0091756B" w:rsidRDefault="00163D37" w:rsidP="00163D37"/>
        </w:tc>
      </w:tr>
      <w:tr w:rsidR="00163D37" w:rsidRPr="0091756B" w14:paraId="1B857927" w14:textId="77777777" w:rsidTr="0061618C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585D9B" w14:textId="77777777" w:rsidR="00163D37" w:rsidRPr="00A555A7" w:rsidRDefault="00163D37" w:rsidP="00163D37">
            <w:r w:rsidRPr="00A555A7">
              <w:t>20.3.1.</w:t>
            </w:r>
            <w:r>
              <w:t>10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BC0C1" w14:textId="10406BFA" w:rsidR="00163D37" w:rsidRPr="00A555A7" w:rsidRDefault="00163D37" w:rsidP="00163D37">
            <w:r w:rsidRPr="00A555A7">
              <w:t xml:space="preserve">Conduct a search for unclaimed monies in the name of the school at both the </w:t>
            </w:r>
            <w:hyperlink r:id="rId14" w:history="1">
              <w:r w:rsidRPr="00A555A7">
                <w:rPr>
                  <w:rStyle w:val="Hyperlink"/>
                </w:rPr>
                <w:t>State Revenue Office</w:t>
              </w:r>
            </w:hyperlink>
            <w:r w:rsidRPr="00A555A7">
              <w:t xml:space="preserve"> and the </w:t>
            </w:r>
            <w:hyperlink r:id="rId15" w:history="1">
              <w:r w:rsidRPr="00A555A7">
                <w:rPr>
                  <w:rStyle w:val="Hyperlink"/>
                </w:rPr>
                <w:t>Australian Securities and Investments Commission</w:t>
              </w:r>
            </w:hyperlink>
            <w:r w:rsidRPr="00A555A7"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E5D7D" w14:textId="77777777" w:rsidR="00163D37" w:rsidRPr="0091756B" w:rsidRDefault="00163D37" w:rsidP="00163D37"/>
        </w:tc>
      </w:tr>
      <w:tr w:rsidR="00163D37" w:rsidRPr="0091756B" w14:paraId="74B0066A" w14:textId="77777777" w:rsidTr="0061618C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85807E" w14:textId="77777777" w:rsidR="00163D37" w:rsidRPr="00A555A7" w:rsidRDefault="00163D37" w:rsidP="00163D37">
            <w:r w:rsidRPr="00A555A7">
              <w:t>20.3.1.1</w:t>
            </w: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F4BE0" w14:textId="697AB9A7" w:rsidR="00163D37" w:rsidRPr="00A555A7" w:rsidRDefault="00163D37" w:rsidP="00163D37">
            <w:r w:rsidRPr="00A555A7">
              <w:t>Close the HYIA and</w:t>
            </w:r>
            <w:r w:rsidR="00EC7997">
              <w:t xml:space="preserve"> t</w:t>
            </w:r>
            <w:r w:rsidRPr="00A555A7">
              <w:t>ransfer balances to the School Council Official account.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8BA4" w14:textId="77777777" w:rsidR="00163D37" w:rsidRPr="0091756B" w:rsidRDefault="00163D37" w:rsidP="00163D37"/>
        </w:tc>
      </w:tr>
      <w:tr w:rsidR="00163D37" w:rsidRPr="0091756B" w14:paraId="613DB5FC" w14:textId="77777777" w:rsidTr="0061618C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F309AB" w14:textId="77777777" w:rsidR="00163D37" w:rsidRPr="00A555A7" w:rsidRDefault="00163D37" w:rsidP="00163D37">
            <w:r w:rsidRPr="00A555A7">
              <w:lastRenderedPageBreak/>
              <w:t>20.3.1.1</w:t>
            </w:r>
            <w:r>
              <w:t>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6B405" w14:textId="77777777" w:rsidR="00163D37" w:rsidRPr="00A555A7" w:rsidRDefault="00163D37" w:rsidP="00163D37">
            <w:r w:rsidRPr="00A555A7">
              <w:t>Complete appropriate bank forms for changing signatories to the school council official account.</w:t>
            </w:r>
            <w:r>
              <w:t xml:space="preserve"> These forms are to be completed by the Regional Finance Officer of the school.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507EB" w14:textId="77777777" w:rsidR="00163D37" w:rsidRPr="0091756B" w:rsidRDefault="00163D37" w:rsidP="00163D37"/>
        </w:tc>
      </w:tr>
      <w:tr w:rsidR="00163D37" w:rsidRPr="0091756B" w14:paraId="4DB35EA7" w14:textId="77777777" w:rsidTr="0000357E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7B68CE" w14:textId="77777777" w:rsidR="00163D37" w:rsidRPr="00A555A7" w:rsidRDefault="00163D37" w:rsidP="00163D37">
            <w:r w:rsidRPr="00A555A7">
              <w:t>20.3.1.13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05BA8" w14:textId="77777777" w:rsidR="00163D37" w:rsidRPr="00A555A7" w:rsidRDefault="00163D37" w:rsidP="00163D37">
            <w:r w:rsidRPr="00A555A7">
              <w:t>All funds unexpended after the payment of all outstanding accounts shall be dispersed by the regional director in the following priority:</w:t>
            </w:r>
          </w:p>
          <w:p w14:paraId="15793E69" w14:textId="77777777" w:rsidR="00163D37" w:rsidRDefault="00163D37" w:rsidP="00163D37">
            <w:pPr>
              <w:pStyle w:val="ListParagraph"/>
              <w:numPr>
                <w:ilvl w:val="0"/>
                <w:numId w:val="35"/>
              </w:numPr>
            </w:pPr>
            <w:r>
              <w:t>to the department for the repayment of any SRP debt that may exist;</w:t>
            </w:r>
          </w:p>
          <w:p w14:paraId="675BF7B7" w14:textId="77777777" w:rsidR="00163D37" w:rsidRDefault="00163D37" w:rsidP="00163D37">
            <w:pPr>
              <w:pStyle w:val="ListParagraph"/>
              <w:numPr>
                <w:ilvl w:val="0"/>
                <w:numId w:val="35"/>
              </w:numPr>
            </w:pPr>
            <w:r>
              <w:t>to government schools receiving the students from the closed school.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B22D0" w14:textId="77777777" w:rsidR="00163D37" w:rsidRPr="0091756B" w:rsidRDefault="00163D37" w:rsidP="00163D37"/>
        </w:tc>
      </w:tr>
      <w:tr w:rsidR="00163D37" w:rsidRPr="0091756B" w14:paraId="414218F8" w14:textId="77777777" w:rsidTr="0061618C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430561" w14:textId="77777777" w:rsidR="00163D37" w:rsidRPr="00A555A7" w:rsidRDefault="00163D37" w:rsidP="00163D37">
            <w:r w:rsidRPr="00A555A7">
              <w:t>20.3.1.14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25CD7" w14:textId="77777777" w:rsidR="00163D37" w:rsidRPr="00A555A7" w:rsidRDefault="00163D37" w:rsidP="009374AB">
            <w:r w:rsidRPr="00A555A7">
              <w:t xml:space="preserve">Check the balance of the ATO Running Balance account through the </w:t>
            </w:r>
            <w:hyperlink r:id="rId16" w:history="1">
              <w:r w:rsidRPr="009374AB">
                <w:rPr>
                  <w:rStyle w:val="Hyperlink"/>
                </w:rPr>
                <w:t>ATO’s Business Portal</w:t>
              </w:r>
            </w:hyperlink>
            <w:r w:rsidR="009374AB">
              <w:t>.</w:t>
            </w:r>
            <w:r w:rsidRPr="00A555A7">
              <w:t xml:space="preserve"> If the balance is not zero, take appropriate action to reconcile the balance.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06EA9" w14:textId="77777777" w:rsidR="00163D37" w:rsidRPr="0091756B" w:rsidRDefault="00163D37" w:rsidP="00163D37"/>
        </w:tc>
      </w:tr>
      <w:tr w:rsidR="00163D37" w:rsidRPr="0091756B" w14:paraId="1CECF522" w14:textId="77777777" w:rsidTr="0061618C">
        <w:trPr>
          <w:trHeight w:hRule="exact" w:val="10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4B830" w14:textId="77777777" w:rsidR="00163D37" w:rsidRPr="00A555A7" w:rsidRDefault="00163D37" w:rsidP="00163D37">
            <w:r w:rsidRPr="00A555A7">
              <w:t>20.3.1.15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AD7F6" w14:textId="77777777" w:rsidR="00163D37" w:rsidRPr="00A555A7" w:rsidRDefault="00163D37" w:rsidP="00163D37">
            <w:r w:rsidRPr="00A555A7">
              <w:t xml:space="preserve">Cancel ABN. The Schools Financial Management Support team will assist with this process. Email: </w:t>
            </w:r>
            <w:hyperlink r:id="rId17" w:history="1">
              <w:r w:rsidRPr="00A555A7">
                <w:rPr>
                  <w:rStyle w:val="Hyperlink"/>
                </w:rPr>
                <w:t>schools.finance.support@edumail.vic.gov.au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DFFE" w14:textId="77777777" w:rsidR="00163D37" w:rsidRPr="0091756B" w:rsidRDefault="00163D37" w:rsidP="00163D37"/>
        </w:tc>
      </w:tr>
      <w:tr w:rsidR="00163D37" w:rsidRPr="0091756B" w14:paraId="408292DB" w14:textId="77777777" w:rsidTr="0061618C">
        <w:trPr>
          <w:trHeight w:hRule="exact" w:val="10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84D55E" w14:textId="77777777" w:rsidR="00163D37" w:rsidRPr="00A555A7" w:rsidRDefault="00163D37" w:rsidP="00163D37">
            <w:r w:rsidRPr="00A555A7">
              <w:t>20.3.1.16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A63F3" w14:textId="77777777" w:rsidR="00163D37" w:rsidRPr="00A555A7" w:rsidRDefault="00163D37" w:rsidP="00163D37">
            <w:r w:rsidRPr="00A555A7">
              <w:t xml:space="preserve">Close bank accounts. The Schools Financial Management Support team will assist with this process. Email: </w:t>
            </w:r>
            <w:hyperlink r:id="rId18" w:history="1">
              <w:r w:rsidRPr="00A555A7">
                <w:rPr>
                  <w:rStyle w:val="Hyperlink"/>
                </w:rPr>
                <w:t>schools.finance.support@edumail.vic.gov.au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0ADD" w14:textId="77777777" w:rsidR="00163D37" w:rsidRPr="0091756B" w:rsidRDefault="00163D37" w:rsidP="00163D37"/>
        </w:tc>
      </w:tr>
    </w:tbl>
    <w:p w14:paraId="7274CAB4" w14:textId="77777777" w:rsidR="00A555A7" w:rsidRDefault="00A555A7" w:rsidP="00A555A7"/>
    <w:p w14:paraId="05914664" w14:textId="77777777" w:rsidR="00AE6E06" w:rsidRDefault="001948A6" w:rsidP="00AE6E06">
      <w:pPr>
        <w:pStyle w:val="Heading2"/>
      </w:pPr>
      <w:r>
        <w:t>20.4</w:t>
      </w:r>
      <w:r w:rsidR="00F9398C">
        <w:tab/>
      </w:r>
      <w:r w:rsidR="00AE6E06">
        <w:t>School Merging</w:t>
      </w:r>
    </w:p>
    <w:p w14:paraId="31462C7E" w14:textId="77777777" w:rsidR="00856821" w:rsidRPr="00A555A7" w:rsidRDefault="00856821" w:rsidP="00A555A7">
      <w:r w:rsidRPr="00A555A7">
        <w:t xml:space="preserve">A school merger involves the closure of individual schools and the opening of </w:t>
      </w:r>
      <w:r w:rsidR="007C4CA4">
        <w:t>a</w:t>
      </w:r>
      <w:r w:rsidRPr="00A555A7">
        <w:t xml:space="preserve"> new merged entity.</w:t>
      </w:r>
    </w:p>
    <w:p w14:paraId="6C25A028" w14:textId="77777777" w:rsidR="00BF326C" w:rsidRPr="00A555A7" w:rsidRDefault="002F25DF" w:rsidP="00A555A7">
      <w:r w:rsidRPr="00A555A7">
        <w:t>When schools are to merge, a School Finance Liaison Officer (SFLO) will be assigned to assist the principals and business managers with the financial merger of the schools.</w:t>
      </w:r>
    </w:p>
    <w:p w14:paraId="7A7E1C2F" w14:textId="77777777" w:rsidR="00AE6E06" w:rsidRPr="009F57A3" w:rsidRDefault="001948A6" w:rsidP="00AE6E06">
      <w:pPr>
        <w:pStyle w:val="Heading3"/>
      </w:pPr>
      <w:r>
        <w:t>20.4</w:t>
      </w:r>
      <w:r w:rsidR="00AE6E06" w:rsidRPr="009F57A3">
        <w:t>.1</w:t>
      </w:r>
      <w:r w:rsidR="00E12912">
        <w:tab/>
      </w:r>
      <w:r w:rsidR="00AE6E06" w:rsidRPr="009F57A3">
        <w:t>Mandatory policy (</w:t>
      </w:r>
      <w:r w:rsidR="00C35ABD">
        <w:t>Must do</w:t>
      </w:r>
      <w:r w:rsidR="00AE6E06" w:rsidRPr="009F57A3">
        <w:t>)</w:t>
      </w:r>
      <w:r w:rsidR="00BF326C">
        <w:t xml:space="preserve"> for schools closing as part of the merger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567"/>
      </w:tblGrid>
      <w:tr w:rsidR="00163D37" w:rsidRPr="0091756B" w14:paraId="455F29BB" w14:textId="77777777" w:rsidTr="00163D37">
        <w:trPr>
          <w:trHeight w:hRule="exact" w:val="737"/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C2871" w14:textId="77777777" w:rsidR="00163D37" w:rsidRPr="00D60EB6" w:rsidRDefault="00163D37" w:rsidP="00163D37">
            <w:pPr>
              <w:rPr>
                <w:b/>
                <w:sz w:val="18"/>
              </w:rPr>
            </w:pPr>
            <w:r w:rsidRPr="00D60EB6">
              <w:rPr>
                <w:b/>
                <w:sz w:val="18"/>
              </w:rPr>
              <w:t>Sequence Numbers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14784A26" w14:textId="77777777" w:rsidR="00163D37" w:rsidRPr="007C4D0A" w:rsidRDefault="00163D37" w:rsidP="00163D37">
            <w:pPr>
              <w:rPr>
                <w:b/>
                <w:sz w:val="20"/>
                <w:szCs w:val="20"/>
              </w:rPr>
            </w:pPr>
            <w:r w:rsidRPr="007C4D0A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C15823" w14:textId="77777777" w:rsidR="00163D37" w:rsidRPr="0091756B" w:rsidRDefault="00163D37" w:rsidP="00163D37"/>
        </w:tc>
      </w:tr>
      <w:tr w:rsidR="00163D37" w:rsidRPr="0091756B" w14:paraId="5E77807B" w14:textId="77777777" w:rsidTr="00F9398C">
        <w:trPr>
          <w:trHeight w:hRule="exact" w:val="51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0BDCD" w14:textId="77777777" w:rsidR="00163D37" w:rsidRPr="00A555A7" w:rsidRDefault="00163D37" w:rsidP="00163D37">
            <w:r w:rsidRPr="00A555A7">
              <w:t>20.4.1.2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90E5DA1" w14:textId="77777777" w:rsidR="00163D37" w:rsidRPr="00A555A7" w:rsidRDefault="00163D37" w:rsidP="00163D37">
            <w:r w:rsidRPr="00A555A7">
              <w:t>Undertake a stocktake of assets.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2AC295" w14:textId="77777777" w:rsidR="00163D37" w:rsidRPr="0091756B" w:rsidRDefault="00163D37" w:rsidP="00163D37"/>
        </w:tc>
      </w:tr>
      <w:tr w:rsidR="00163D37" w:rsidRPr="0091756B" w14:paraId="0B332967" w14:textId="77777777" w:rsidTr="0000357E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88CAEC" w14:textId="77777777" w:rsidR="00163D37" w:rsidRPr="00A555A7" w:rsidRDefault="00163D37" w:rsidP="00163D37">
            <w:r w:rsidRPr="00A555A7">
              <w:t>20.4.1.3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D8A36" w14:textId="77777777" w:rsidR="00163D37" w:rsidRPr="00A555A7" w:rsidRDefault="00163D37" w:rsidP="00163D37">
            <w:r w:rsidRPr="00A555A7">
              <w:t>Convene a Board of Survey to:</w:t>
            </w:r>
          </w:p>
          <w:p w14:paraId="710C2895" w14:textId="77777777" w:rsidR="00163D37" w:rsidRDefault="00163D37" w:rsidP="00163D37">
            <w:pPr>
              <w:pStyle w:val="ListParagraph"/>
              <w:numPr>
                <w:ilvl w:val="0"/>
                <w:numId w:val="28"/>
              </w:numPr>
              <w:ind w:left="396"/>
            </w:pPr>
            <w:r>
              <w:t>identify obsolete or unserviceable equipment;</w:t>
            </w:r>
          </w:p>
          <w:p w14:paraId="7A7DDCC7" w14:textId="77777777" w:rsidR="00163D37" w:rsidRDefault="00163D37" w:rsidP="00163D37">
            <w:pPr>
              <w:pStyle w:val="ListParagraph"/>
              <w:numPr>
                <w:ilvl w:val="0"/>
                <w:numId w:val="28"/>
              </w:numPr>
              <w:ind w:left="396"/>
            </w:pPr>
            <w:r>
              <w:t>recommend a course of disposal action to school council, for example, transfer items to the new merged entity, relocating items to a neighbouring school, sale of duplicate items, etc.;</w:t>
            </w:r>
          </w:p>
          <w:p w14:paraId="498BB9D9" w14:textId="77777777" w:rsidR="00163D37" w:rsidRDefault="00163D37" w:rsidP="00163D37">
            <w:pPr>
              <w:pStyle w:val="ListParagraph"/>
              <w:numPr>
                <w:ilvl w:val="0"/>
                <w:numId w:val="28"/>
              </w:numPr>
              <w:ind w:left="396"/>
            </w:pPr>
            <w:r>
              <w:lastRenderedPageBreak/>
              <w:t>in the case of asset sales, advertise locally that the asset is available for purchase and request bids from interested parties;</w:t>
            </w:r>
          </w:p>
          <w:p w14:paraId="1065A7E8" w14:textId="77777777" w:rsidR="00163D37" w:rsidRPr="00A555A7" w:rsidRDefault="00163D37" w:rsidP="00163D37">
            <w:pPr>
              <w:pStyle w:val="ListParagraph"/>
              <w:numPr>
                <w:ilvl w:val="0"/>
                <w:numId w:val="28"/>
              </w:numPr>
              <w:ind w:left="396"/>
            </w:pPr>
            <w:r>
              <w:t>a</w:t>
            </w:r>
            <w:r w:rsidRPr="00A555A7">
              <w:t>rrange for any proceeds of sale to be paid into the school council official account.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71C3D" w14:textId="77777777" w:rsidR="00163D37" w:rsidRPr="0091756B" w:rsidRDefault="00163D37" w:rsidP="00163D37"/>
        </w:tc>
      </w:tr>
      <w:tr w:rsidR="00163D37" w:rsidRPr="0091756B" w14:paraId="65F8DDBE" w14:textId="77777777" w:rsidTr="00F9398C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814B5" w14:textId="77777777" w:rsidR="00163D37" w:rsidRPr="00A555A7" w:rsidRDefault="00163D37" w:rsidP="00163D37">
            <w:r w:rsidRPr="00A555A7">
              <w:t>20.4.1.4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F37C0" w14:textId="77777777" w:rsidR="00163D37" w:rsidRPr="00A555A7" w:rsidRDefault="00163D37" w:rsidP="00163D37">
            <w:r w:rsidRPr="00A555A7">
              <w:t>Enter the disposal of assets into CASES21.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A8BFB" w14:textId="77777777" w:rsidR="00163D37" w:rsidRPr="0091756B" w:rsidRDefault="00163D37" w:rsidP="00163D37"/>
        </w:tc>
      </w:tr>
      <w:tr w:rsidR="00163D37" w:rsidRPr="0091756B" w14:paraId="7BC1000A" w14:textId="77777777" w:rsidTr="00F9398C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5FBFC2" w14:textId="77777777" w:rsidR="00163D37" w:rsidRPr="00A555A7" w:rsidRDefault="00163D37" w:rsidP="00163D37">
            <w:r w:rsidRPr="00A555A7">
              <w:t>20.4.1.5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C2102" w14:textId="77777777" w:rsidR="00163D37" w:rsidRPr="00A555A7" w:rsidRDefault="00163D37" w:rsidP="00163D37">
            <w:r w:rsidRPr="00A555A7">
              <w:t>Close off school level payroll.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B3806" w14:textId="77777777" w:rsidR="00163D37" w:rsidRPr="0091756B" w:rsidRDefault="00163D37" w:rsidP="00163D37"/>
        </w:tc>
      </w:tr>
      <w:tr w:rsidR="00163D37" w:rsidRPr="0091756B" w14:paraId="68428B7B" w14:textId="77777777" w:rsidTr="00F9398C">
        <w:trPr>
          <w:trHeight w:hRule="exact" w:val="1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2B72E0" w14:textId="77777777" w:rsidR="00163D37" w:rsidRPr="00A555A7" w:rsidRDefault="00163D37" w:rsidP="00163D37">
            <w:r w:rsidRPr="00A555A7">
              <w:t>20.4.1.6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2BCF0" w14:textId="77777777" w:rsidR="00163D37" w:rsidRPr="00A555A7" w:rsidRDefault="00163D37" w:rsidP="00163D37">
            <w:r w:rsidRPr="00A555A7">
              <w:t>All current contracts need to be reviewed and cancelled or moved to the new merged entity. This includes</w:t>
            </w:r>
            <w:r>
              <w:t>,</w:t>
            </w:r>
            <w:r w:rsidRPr="00A555A7">
              <w:t xml:space="preserve"> but is not limited to</w:t>
            </w:r>
            <w:r>
              <w:t>,</w:t>
            </w:r>
            <w:r w:rsidRPr="00A555A7">
              <w:t xml:space="preserve"> leasing arrangements and cleaning contracts as well as any direct debit arrangements.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71A8F" w14:textId="77777777" w:rsidR="00163D37" w:rsidRPr="0091756B" w:rsidRDefault="00163D37" w:rsidP="00163D37"/>
        </w:tc>
      </w:tr>
      <w:tr w:rsidR="00163D37" w:rsidRPr="0091756B" w14:paraId="25865893" w14:textId="77777777" w:rsidTr="00F9398C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DDBFA" w14:textId="77777777" w:rsidR="00163D37" w:rsidRPr="00A555A7" w:rsidRDefault="00163D37" w:rsidP="00163D37">
            <w:r w:rsidRPr="00A555A7">
              <w:t>20.4.1.</w:t>
            </w:r>
            <w: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EE0C" w14:textId="77777777" w:rsidR="00163D37" w:rsidRPr="00A555A7" w:rsidRDefault="00163D37" w:rsidP="00163D37">
            <w:r w:rsidRPr="00A555A7">
              <w:t>Ensure all outstanding accounts have been reviewed and either paid or adjusted.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50F3D" w14:textId="77777777" w:rsidR="00163D37" w:rsidRPr="0091756B" w:rsidRDefault="00163D37" w:rsidP="00163D37"/>
        </w:tc>
      </w:tr>
      <w:tr w:rsidR="00163D37" w:rsidRPr="0091756B" w14:paraId="09BB4D8F" w14:textId="77777777" w:rsidTr="00F9398C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0C8D5" w14:textId="77777777" w:rsidR="00163D37" w:rsidRPr="00A555A7" w:rsidRDefault="00163D37" w:rsidP="00163D37">
            <w:r w:rsidRPr="00A555A7">
              <w:t>20.4.1.</w:t>
            </w:r>
            <w: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6D84" w14:textId="77777777" w:rsidR="00163D37" w:rsidRPr="00A555A7" w:rsidRDefault="00163D37" w:rsidP="00163D37">
            <w:r w:rsidRPr="00A555A7">
              <w:t>Write off all uncollected family and sundry debtor debts.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74E80" w14:textId="77777777" w:rsidR="00163D37" w:rsidRPr="0091756B" w:rsidRDefault="00163D37" w:rsidP="00163D37"/>
        </w:tc>
      </w:tr>
      <w:tr w:rsidR="00163D37" w:rsidRPr="0091756B" w14:paraId="46E7C1F1" w14:textId="77777777" w:rsidTr="00F9398C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B1E3E" w14:textId="77777777" w:rsidR="00163D37" w:rsidRPr="00A555A7" w:rsidRDefault="00163D37" w:rsidP="00163D37">
            <w:r w:rsidRPr="00A555A7">
              <w:t>20.4.1.</w:t>
            </w:r>
            <w: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32AC" w14:textId="77777777" w:rsidR="00163D37" w:rsidRPr="00A555A7" w:rsidRDefault="00163D37" w:rsidP="00163D37">
            <w:r w:rsidRPr="00A555A7">
              <w:t>Collect and cancel any school purchasing cards.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8DDF4" w14:textId="77777777" w:rsidR="00163D37" w:rsidRPr="0091756B" w:rsidRDefault="00163D37" w:rsidP="00163D37"/>
        </w:tc>
      </w:tr>
      <w:tr w:rsidR="00163D37" w:rsidRPr="0091756B" w14:paraId="70D6B154" w14:textId="77777777" w:rsidTr="003F2EBB">
        <w:trPr>
          <w:trHeight w:val="11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80E65" w14:textId="77777777" w:rsidR="00163D37" w:rsidRPr="00A555A7" w:rsidRDefault="00163D37" w:rsidP="00163D37">
            <w:r w:rsidRPr="00A555A7">
              <w:t>20.4.1.</w:t>
            </w:r>
            <w: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1C5A" w14:textId="77777777" w:rsidR="00163D37" w:rsidRPr="00A555A7" w:rsidRDefault="00163D37" w:rsidP="00163D37">
            <w:r w:rsidRPr="00A555A7">
              <w:t xml:space="preserve">Conduct a search for unclaimed monies in the name of the school at both the </w:t>
            </w:r>
            <w:hyperlink r:id="rId19" w:history="1">
              <w:r w:rsidRPr="00A555A7">
                <w:rPr>
                  <w:rStyle w:val="Hyperlink"/>
                </w:rPr>
                <w:t>State Revenue Office</w:t>
              </w:r>
            </w:hyperlink>
            <w:r w:rsidRPr="00A555A7">
              <w:t xml:space="preserve"> and the </w:t>
            </w:r>
            <w:hyperlink r:id="rId20" w:history="1">
              <w:r w:rsidRPr="00A555A7">
                <w:rPr>
                  <w:rStyle w:val="Hyperlink"/>
                </w:rPr>
                <w:t>Australian Securities and Investments Commission</w:t>
              </w:r>
            </w:hyperlink>
            <w:r w:rsidRPr="00A555A7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54C22" w14:textId="77777777" w:rsidR="00163D37" w:rsidRPr="0091756B" w:rsidRDefault="00163D37" w:rsidP="00163D37"/>
        </w:tc>
      </w:tr>
      <w:tr w:rsidR="00163D37" w:rsidRPr="0091756B" w14:paraId="1C47F586" w14:textId="77777777" w:rsidTr="00F9398C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DE2D1" w14:textId="77777777" w:rsidR="00163D37" w:rsidRPr="00A555A7" w:rsidRDefault="00163D37" w:rsidP="00163D37">
            <w:r w:rsidRPr="00A555A7">
              <w:t>20.4.1.1</w:t>
            </w: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5D24" w14:textId="51588324" w:rsidR="00163D37" w:rsidRPr="00A555A7" w:rsidRDefault="00163D37" w:rsidP="00163D37">
            <w:r w:rsidRPr="00A555A7">
              <w:t xml:space="preserve">Close the HYIA and </w:t>
            </w:r>
            <w:r w:rsidR="00EC7997">
              <w:t>t</w:t>
            </w:r>
            <w:r w:rsidRPr="00A555A7">
              <w:t>ransfer balances to the School Council Official account.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9199A" w14:textId="77777777" w:rsidR="00163D37" w:rsidRPr="0091756B" w:rsidRDefault="00163D37" w:rsidP="00163D37"/>
        </w:tc>
      </w:tr>
      <w:tr w:rsidR="00163D37" w:rsidRPr="0091756B" w14:paraId="30A88B8F" w14:textId="77777777" w:rsidTr="00F9398C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2E196" w14:textId="77777777" w:rsidR="00163D37" w:rsidRPr="00A555A7" w:rsidRDefault="00163D37" w:rsidP="00163D37">
            <w:r w:rsidRPr="00A555A7">
              <w:t>20.4.1.1</w:t>
            </w:r>
            <w: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EB0A" w14:textId="77777777" w:rsidR="00163D37" w:rsidRPr="00A555A7" w:rsidRDefault="00163D37" w:rsidP="00163D37">
            <w:r w:rsidRPr="00A555A7">
              <w:t>Complete appropriate bank forms for changing signatories to the school council official account.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9DDA4" w14:textId="77777777" w:rsidR="00163D37" w:rsidRPr="0091756B" w:rsidRDefault="00163D37" w:rsidP="00163D37"/>
        </w:tc>
      </w:tr>
      <w:tr w:rsidR="00163D37" w:rsidRPr="0091756B" w14:paraId="76F511FC" w14:textId="77777777" w:rsidTr="00F9398C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EC284" w14:textId="77777777" w:rsidR="00163D37" w:rsidRPr="00A555A7" w:rsidRDefault="00163D37" w:rsidP="00163D37">
            <w:r w:rsidRPr="00A555A7">
              <w:t>20.4.1.13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2C6D" w14:textId="77777777" w:rsidR="00163D37" w:rsidRPr="00A555A7" w:rsidRDefault="00163D37" w:rsidP="00163D37">
            <w:r w:rsidRPr="00A555A7">
              <w:t xml:space="preserve">Cancel ABN. The Schools Financial Management Support team will assist with this process. Email: </w:t>
            </w:r>
            <w:hyperlink r:id="rId21" w:history="1">
              <w:r w:rsidRPr="00A555A7">
                <w:rPr>
                  <w:rStyle w:val="Hyperlink"/>
                </w:rPr>
                <w:t>schools.finance.support@edumail.vic.gov.au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A2FB6" w14:textId="77777777" w:rsidR="00163D37" w:rsidRPr="0091756B" w:rsidRDefault="00163D37" w:rsidP="00163D37"/>
        </w:tc>
      </w:tr>
      <w:tr w:rsidR="00163D37" w:rsidRPr="0091756B" w14:paraId="2F3E2524" w14:textId="77777777" w:rsidTr="00F9398C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FEB95" w14:textId="77777777" w:rsidR="00163D37" w:rsidRPr="00A555A7" w:rsidRDefault="00163D37" w:rsidP="00163D37">
            <w:r w:rsidRPr="00A555A7">
              <w:t>20.4.1.14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7080" w14:textId="77777777" w:rsidR="00163D37" w:rsidRPr="00A555A7" w:rsidRDefault="00163D37" w:rsidP="009374AB">
            <w:r w:rsidRPr="00A555A7">
              <w:t xml:space="preserve">Check the balance of the ATO Running Balance account through the </w:t>
            </w:r>
            <w:hyperlink r:id="rId22" w:history="1">
              <w:r w:rsidRPr="009374AB">
                <w:rPr>
                  <w:rStyle w:val="Hyperlink"/>
                </w:rPr>
                <w:t>ATO’s Business Portal</w:t>
              </w:r>
            </w:hyperlink>
            <w:r w:rsidR="009374AB">
              <w:t xml:space="preserve"> . </w:t>
            </w:r>
            <w:r w:rsidRPr="00A555A7">
              <w:t xml:space="preserve"> If the balance is not zero, take appropriate action to reconcile the balance.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188EA" w14:textId="77777777" w:rsidR="00163D37" w:rsidRPr="0091756B" w:rsidRDefault="00163D37" w:rsidP="00163D37"/>
        </w:tc>
      </w:tr>
      <w:tr w:rsidR="00163D37" w:rsidRPr="0091756B" w14:paraId="19ECF1A5" w14:textId="77777777" w:rsidTr="000F7966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3AF64" w14:textId="77777777" w:rsidR="00163D37" w:rsidRPr="00A555A7" w:rsidRDefault="00163D37" w:rsidP="00163D37">
            <w:r w:rsidRPr="00A555A7">
              <w:t>20.4.1.15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7CF3" w14:textId="77777777" w:rsidR="00163D37" w:rsidRPr="00A555A7" w:rsidRDefault="00163D37" w:rsidP="00163D37">
            <w:r w:rsidRPr="00A555A7">
              <w:t>Transfer funds to the new school.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2463B" w14:textId="77777777" w:rsidR="00163D37" w:rsidRPr="0091756B" w:rsidRDefault="00163D37" w:rsidP="00163D37"/>
        </w:tc>
      </w:tr>
      <w:tr w:rsidR="00163D37" w:rsidRPr="0091756B" w14:paraId="099FA922" w14:textId="77777777" w:rsidTr="00F9398C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F00DD" w14:textId="77777777" w:rsidR="00163D37" w:rsidRPr="00A555A7" w:rsidRDefault="00163D37" w:rsidP="00163D37">
            <w:r w:rsidRPr="00A555A7">
              <w:t>20.4.1.16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E16C" w14:textId="77777777" w:rsidR="00163D37" w:rsidRPr="00A555A7" w:rsidRDefault="00163D37" w:rsidP="00163D37">
            <w:r w:rsidRPr="00A555A7">
              <w:t xml:space="preserve">Close bank accounts. The Schools Financial Management Support team will assist with this process. Email: </w:t>
            </w:r>
            <w:hyperlink r:id="rId23" w:history="1">
              <w:r w:rsidRPr="00A555A7">
                <w:rPr>
                  <w:rStyle w:val="Hyperlink"/>
                </w:rPr>
                <w:t>schools.finance.support@edumail.vic.gov.au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4BC7B" w14:textId="77777777" w:rsidR="00163D37" w:rsidRPr="0091756B" w:rsidRDefault="00163D37" w:rsidP="00163D37"/>
        </w:tc>
      </w:tr>
    </w:tbl>
    <w:p w14:paraId="4D2826C9" w14:textId="77777777" w:rsidR="00242336" w:rsidRPr="009F57A3" w:rsidRDefault="00242336" w:rsidP="00242336">
      <w:pPr>
        <w:pStyle w:val="Heading3"/>
      </w:pPr>
      <w:r>
        <w:t>20.4</w:t>
      </w:r>
      <w:r w:rsidR="00A45C24">
        <w:t>.2</w:t>
      </w:r>
      <w:r w:rsidR="00E12912">
        <w:tab/>
      </w:r>
      <w:r w:rsidRPr="009F57A3">
        <w:t>Mandatory policy (</w:t>
      </w:r>
      <w:r>
        <w:t>Must do</w:t>
      </w:r>
      <w:r w:rsidRPr="009F57A3">
        <w:t>)</w:t>
      </w:r>
      <w:r>
        <w:t xml:space="preserve"> for the new school </w:t>
      </w:r>
      <w:r w:rsidR="00D05ADD">
        <w:t xml:space="preserve">(new school number) </w:t>
      </w:r>
      <w:r w:rsidR="00E12912">
        <w:t xml:space="preserve">   </w:t>
      </w:r>
      <w:r>
        <w:t>created from the merge</w:t>
      </w:r>
      <w:r w:rsidR="007F5DF8">
        <w:t>r</w:t>
      </w:r>
      <w:r w:rsidR="00E12912">
        <w:t xml:space="preserve">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567"/>
      </w:tblGrid>
      <w:tr w:rsidR="00163D37" w:rsidRPr="0091756B" w14:paraId="3618BC7B" w14:textId="77777777" w:rsidTr="00163D37">
        <w:trPr>
          <w:trHeight w:hRule="exact" w:val="77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4D805" w14:textId="77777777" w:rsidR="00163D37" w:rsidRPr="00D60EB6" w:rsidRDefault="00163D37" w:rsidP="00163D37">
            <w:pPr>
              <w:rPr>
                <w:b/>
                <w:sz w:val="18"/>
              </w:rPr>
            </w:pPr>
            <w:r w:rsidRPr="00D60EB6">
              <w:rPr>
                <w:b/>
                <w:sz w:val="18"/>
              </w:rPr>
              <w:lastRenderedPageBreak/>
              <w:t>Sequence Numbers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6FBFF9FA" w14:textId="77777777" w:rsidR="00163D37" w:rsidRPr="007C4D0A" w:rsidRDefault="00163D37" w:rsidP="00163D37">
            <w:pPr>
              <w:rPr>
                <w:b/>
                <w:sz w:val="20"/>
                <w:szCs w:val="20"/>
              </w:rPr>
            </w:pPr>
            <w:r w:rsidRPr="007C4D0A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E5D492" w14:textId="77777777" w:rsidR="00163D37" w:rsidRPr="0091756B" w:rsidRDefault="00163D37" w:rsidP="00163D37"/>
        </w:tc>
      </w:tr>
      <w:tr w:rsidR="00163D37" w:rsidRPr="0091756B" w14:paraId="4FDC9F74" w14:textId="77777777" w:rsidTr="00F9398C">
        <w:trPr>
          <w:trHeight w:hRule="exact" w:val="1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03938C" w14:textId="77777777" w:rsidR="00163D37" w:rsidRPr="00A555A7" w:rsidRDefault="00163D37" w:rsidP="00163D37">
            <w:r w:rsidRPr="00A555A7">
              <w:t>20.4.2.2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04C09" w14:textId="77777777" w:rsidR="00163D37" w:rsidRPr="00A555A7" w:rsidRDefault="00163D37" w:rsidP="00163D37">
            <w:r w:rsidRPr="00A555A7">
              <w:t>The school is required to open a High Yield Investment account with Westpac Bank and an Official account for transactional purposes at the financial institution of their choice. The SFLO will assist with this process.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1B795" w14:textId="77777777" w:rsidR="00163D37" w:rsidRPr="0091756B" w:rsidRDefault="00163D37" w:rsidP="00163D37"/>
        </w:tc>
      </w:tr>
      <w:tr w:rsidR="00163D37" w:rsidRPr="0091756B" w14:paraId="2CAB314E" w14:textId="77777777" w:rsidTr="00F9398C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DDF430" w14:textId="77777777" w:rsidR="00163D37" w:rsidRPr="00A555A7" w:rsidRDefault="00163D37" w:rsidP="00163D37">
            <w:r w:rsidRPr="00A555A7">
              <w:t>20.4.2.3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DC77B" w14:textId="77777777" w:rsidR="00163D37" w:rsidRPr="00A555A7" w:rsidRDefault="00163D37" w:rsidP="00163D37">
            <w:r w:rsidRPr="00A555A7">
              <w:t xml:space="preserve">Liaise with the </w:t>
            </w:r>
            <w:hyperlink r:id="rId24" w:history="1">
              <w:r w:rsidRPr="00A555A7">
                <w:rPr>
                  <w:rStyle w:val="Hyperlink"/>
                </w:rPr>
                <w:t>local school systems training team</w:t>
              </w:r>
            </w:hyperlink>
            <w:r w:rsidRPr="00A555A7">
              <w:t xml:space="preserve"> to have CASES21 set up for the school.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7EB2" w14:textId="77777777" w:rsidR="00163D37" w:rsidRPr="0091756B" w:rsidRDefault="00163D37" w:rsidP="00163D37"/>
        </w:tc>
      </w:tr>
      <w:tr w:rsidR="00163D37" w:rsidRPr="0091756B" w14:paraId="06844813" w14:textId="77777777" w:rsidTr="00F9398C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8F517B" w14:textId="77777777" w:rsidR="00163D37" w:rsidRPr="00A555A7" w:rsidRDefault="00163D37" w:rsidP="00163D37">
            <w:r w:rsidRPr="00A555A7">
              <w:t>20.4.2.4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5B4DA" w14:textId="77777777" w:rsidR="00163D37" w:rsidRPr="00A555A7" w:rsidRDefault="00163D37" w:rsidP="00163D37">
            <w:r w:rsidRPr="00A555A7">
              <w:t>Enter transferred data from old schools into CASES21.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C883" w14:textId="77777777" w:rsidR="00163D37" w:rsidRPr="0091756B" w:rsidRDefault="00163D37" w:rsidP="00163D37"/>
        </w:tc>
      </w:tr>
    </w:tbl>
    <w:p w14:paraId="1BCDA565" w14:textId="77777777" w:rsidR="007C4CA4" w:rsidRDefault="007C4CA4" w:rsidP="00924BFF"/>
    <w:p w14:paraId="3B4ED8C7" w14:textId="77777777" w:rsidR="00D05ADD" w:rsidRDefault="00D05ADD" w:rsidP="00D05ADD">
      <w:pPr>
        <w:pStyle w:val="Heading2"/>
      </w:pPr>
      <w:r>
        <w:t>20.5</w:t>
      </w:r>
      <w:r w:rsidR="00F9398C">
        <w:tab/>
      </w:r>
      <w:r>
        <w:t>School name change</w:t>
      </w:r>
    </w:p>
    <w:p w14:paraId="5ADF0FE6" w14:textId="77777777" w:rsidR="00D05ADD" w:rsidRPr="00A555A7" w:rsidRDefault="00B3306F" w:rsidP="00A555A7">
      <w:r w:rsidRPr="00A555A7">
        <w:t xml:space="preserve">A school name change </w:t>
      </w:r>
      <w:r w:rsidR="007C4CA4">
        <w:t>can</w:t>
      </w:r>
      <w:r w:rsidR="007C4CA4" w:rsidRPr="00A555A7">
        <w:t xml:space="preserve"> </w:t>
      </w:r>
      <w:r w:rsidRPr="00A555A7">
        <w:t>result from a merger where a new school number is not issued and one of the existing school numbers is retained, or through some other reorgani</w:t>
      </w:r>
      <w:r w:rsidR="001E4436" w:rsidRPr="00A555A7">
        <w:t>s</w:t>
      </w:r>
      <w:r w:rsidRPr="00A555A7">
        <w:t>ational change.</w:t>
      </w:r>
    </w:p>
    <w:p w14:paraId="3A71E0F1" w14:textId="77777777" w:rsidR="00D05ADD" w:rsidRPr="009F57A3" w:rsidRDefault="00B3306F" w:rsidP="00D05ADD">
      <w:pPr>
        <w:pStyle w:val="Heading3"/>
      </w:pPr>
      <w:r>
        <w:t>20.5</w:t>
      </w:r>
      <w:r w:rsidR="00D05ADD" w:rsidRPr="009F57A3">
        <w:t>.1</w:t>
      </w:r>
      <w:r w:rsidR="00E12912">
        <w:tab/>
      </w:r>
      <w:r w:rsidR="00D05ADD" w:rsidRPr="009F57A3">
        <w:t>Mandatory policy (</w:t>
      </w:r>
      <w:r w:rsidR="00D05ADD">
        <w:t>Must do</w:t>
      </w:r>
      <w:r w:rsidR="00D05ADD" w:rsidRPr="009F57A3">
        <w:t>)</w:t>
      </w:r>
      <w:r w:rsidR="0068640E"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567"/>
      </w:tblGrid>
      <w:tr w:rsidR="00163D37" w:rsidRPr="0091756B" w14:paraId="31BACFBE" w14:textId="77777777" w:rsidTr="00163D37">
        <w:trPr>
          <w:trHeight w:hRule="exact" w:val="823"/>
        </w:trPr>
        <w:tc>
          <w:tcPr>
            <w:tcW w:w="1134" w:type="dxa"/>
            <w:shd w:val="clear" w:color="auto" w:fill="FFFFFF" w:themeFill="background1"/>
          </w:tcPr>
          <w:p w14:paraId="3DCF5717" w14:textId="77777777" w:rsidR="00163D37" w:rsidRPr="00D60EB6" w:rsidRDefault="00163D37" w:rsidP="00163D37">
            <w:pPr>
              <w:rPr>
                <w:b/>
                <w:sz w:val="18"/>
              </w:rPr>
            </w:pPr>
            <w:r w:rsidRPr="00D60EB6">
              <w:rPr>
                <w:b/>
                <w:sz w:val="18"/>
              </w:rPr>
              <w:t>Sequence Numbers</w:t>
            </w:r>
          </w:p>
        </w:tc>
        <w:tc>
          <w:tcPr>
            <w:tcW w:w="7088" w:type="dxa"/>
            <w:shd w:val="clear" w:color="auto" w:fill="auto"/>
          </w:tcPr>
          <w:p w14:paraId="564CE984" w14:textId="77777777" w:rsidR="00163D37" w:rsidRPr="007C4D0A" w:rsidRDefault="00163D37" w:rsidP="00163D37">
            <w:pPr>
              <w:rPr>
                <w:b/>
                <w:sz w:val="20"/>
                <w:szCs w:val="20"/>
              </w:rPr>
            </w:pPr>
            <w:r w:rsidRPr="007C4D0A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5FA756D3" w14:textId="77777777" w:rsidR="00163D37" w:rsidRPr="0091756B" w:rsidRDefault="00163D37" w:rsidP="00163D37"/>
        </w:tc>
      </w:tr>
      <w:tr w:rsidR="00163D37" w:rsidRPr="0091756B" w14:paraId="71AB80EB" w14:textId="77777777" w:rsidTr="00F9398C">
        <w:trPr>
          <w:trHeight w:val="1643"/>
        </w:trPr>
        <w:tc>
          <w:tcPr>
            <w:tcW w:w="1134" w:type="dxa"/>
            <w:shd w:val="clear" w:color="auto" w:fill="FFFFFF" w:themeFill="background1"/>
          </w:tcPr>
          <w:p w14:paraId="66C085DC" w14:textId="77777777" w:rsidR="00163D37" w:rsidRPr="00A555A7" w:rsidRDefault="00163D37" w:rsidP="00163D37">
            <w:r w:rsidRPr="00A555A7">
              <w:t>20.5.1.2</w:t>
            </w:r>
          </w:p>
        </w:tc>
        <w:tc>
          <w:tcPr>
            <w:tcW w:w="7088" w:type="dxa"/>
            <w:shd w:val="clear" w:color="auto" w:fill="auto"/>
          </w:tcPr>
          <w:p w14:paraId="02DC40F6" w14:textId="77777777" w:rsidR="00163D37" w:rsidRPr="00A555A7" w:rsidRDefault="00163D37" w:rsidP="00163D37">
            <w:r w:rsidRPr="00A555A7">
              <w:t xml:space="preserve">Contact the Schools Financial Management Support team. Email </w:t>
            </w:r>
            <w:hyperlink r:id="rId25" w:history="1">
              <w:r w:rsidRPr="00A555A7">
                <w:rPr>
                  <w:rStyle w:val="Hyperlink"/>
                </w:rPr>
                <w:t>schools.finance.support@edumail.vic.gov.au</w:t>
              </w:r>
            </w:hyperlink>
            <w:r w:rsidRPr="00A555A7">
              <w:t xml:space="preserve"> for assistance with changing the name of the school’s High Yield Investment account with Westpac Bank and any other bank accounts held by the school council.</w:t>
            </w:r>
          </w:p>
        </w:tc>
        <w:tc>
          <w:tcPr>
            <w:tcW w:w="567" w:type="dxa"/>
            <w:shd w:val="clear" w:color="auto" w:fill="FFFFFF" w:themeFill="background1"/>
          </w:tcPr>
          <w:p w14:paraId="56B4D064" w14:textId="77777777" w:rsidR="00163D37" w:rsidRPr="0091756B" w:rsidRDefault="00163D37" w:rsidP="00163D37"/>
        </w:tc>
      </w:tr>
      <w:tr w:rsidR="00163D37" w:rsidRPr="0091756B" w14:paraId="559B5DB7" w14:textId="77777777" w:rsidTr="00F9398C">
        <w:trPr>
          <w:trHeight w:hRule="exact" w:val="7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7D9A20" w14:textId="77777777" w:rsidR="00163D37" w:rsidRPr="00A555A7" w:rsidRDefault="00163D37" w:rsidP="00163D37">
            <w:r w:rsidRPr="00A555A7">
              <w:t>20.5.1.3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7C8EA70C" w14:textId="77777777" w:rsidR="00163D37" w:rsidRPr="00A555A7" w:rsidRDefault="00163D37" w:rsidP="00163D37">
            <w:r w:rsidRPr="00A555A7">
              <w:t xml:space="preserve">Liaise with the </w:t>
            </w:r>
            <w:hyperlink r:id="rId26" w:history="1">
              <w:r w:rsidRPr="00A555A7">
                <w:rPr>
                  <w:rStyle w:val="Hyperlink"/>
                </w:rPr>
                <w:t>local school systems training team</w:t>
              </w:r>
            </w:hyperlink>
            <w:r w:rsidRPr="00A555A7">
              <w:t xml:space="preserve"> to have CASES21 reconfigured with the new name for the school.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AB6702" w14:textId="77777777" w:rsidR="00163D37" w:rsidRPr="0091756B" w:rsidRDefault="00163D37" w:rsidP="00163D37"/>
        </w:tc>
      </w:tr>
    </w:tbl>
    <w:p w14:paraId="446712D7" w14:textId="77777777" w:rsidR="0051778F" w:rsidRDefault="0051778F" w:rsidP="00A555A7"/>
    <w:p w14:paraId="414AA862" w14:textId="77777777" w:rsidR="00F9398C" w:rsidRDefault="00F9398C">
      <w:pPr>
        <w:spacing w:before="0" w:line="240" w:lineRule="auto"/>
      </w:pPr>
      <w:r>
        <w:br w:type="page"/>
      </w:r>
    </w:p>
    <w:p w14:paraId="682A8F1E" w14:textId="77777777" w:rsidR="0051778F" w:rsidRPr="00AD3210" w:rsidRDefault="0051778F" w:rsidP="003D4CFE">
      <w:pPr>
        <w:pStyle w:val="Heading2"/>
      </w:pPr>
      <w:r w:rsidRPr="00AD3210">
        <w:lastRenderedPageBreak/>
        <w:t>Legislative</w:t>
      </w:r>
      <w:r w:rsidR="003D4CFE">
        <w:t xml:space="preserve"> </w:t>
      </w:r>
      <w:r w:rsidRPr="00AD3210">
        <w:t>requirements</w:t>
      </w:r>
    </w:p>
    <w:p w14:paraId="43C151BB" w14:textId="77777777" w:rsidR="0051778F" w:rsidRPr="00AD3210" w:rsidRDefault="0051778F" w:rsidP="003D4CFE">
      <w:pPr>
        <w:pStyle w:val="Heading3"/>
      </w:pPr>
      <w:r w:rsidRPr="00AD3210">
        <w:t>Legislation</w:t>
      </w:r>
    </w:p>
    <w:p w14:paraId="6A6958FC" w14:textId="77777777" w:rsidR="0051778F" w:rsidRPr="00A555A7" w:rsidRDefault="0051778F" w:rsidP="00A555A7">
      <w:r w:rsidRPr="00A555A7">
        <w:t>The</w:t>
      </w:r>
      <w:r w:rsidR="003D4CFE" w:rsidRPr="00A555A7">
        <w:t xml:space="preserve"> </w:t>
      </w:r>
      <w:r w:rsidRPr="00A555A7">
        <w:t>advice</w:t>
      </w:r>
      <w:r w:rsidR="003D4CFE" w:rsidRPr="00A555A7">
        <w:t xml:space="preserve"> </w:t>
      </w:r>
      <w:r w:rsidRPr="00A555A7">
        <w:t>in</w:t>
      </w:r>
      <w:r w:rsidR="003D4CFE" w:rsidRPr="00A555A7">
        <w:t xml:space="preserve"> </w:t>
      </w:r>
      <w:r w:rsidRPr="00A555A7">
        <w:t>this</w:t>
      </w:r>
      <w:r w:rsidR="003D4CFE" w:rsidRPr="00A555A7">
        <w:t xml:space="preserve"> </w:t>
      </w:r>
      <w:r w:rsidRPr="00A555A7">
        <w:t>section</w:t>
      </w:r>
      <w:r w:rsidR="003D4CFE" w:rsidRPr="00A555A7">
        <w:t xml:space="preserve"> </w:t>
      </w:r>
      <w:r w:rsidRPr="00A555A7">
        <w:t>was</w:t>
      </w:r>
      <w:r w:rsidR="003D4CFE" w:rsidRPr="00A555A7">
        <w:t xml:space="preserve"> </w:t>
      </w:r>
      <w:r w:rsidRPr="00A555A7">
        <w:t>based</w:t>
      </w:r>
      <w:r w:rsidR="003D4CFE" w:rsidRPr="00A555A7">
        <w:t xml:space="preserve"> </w:t>
      </w:r>
      <w:r w:rsidRPr="00A555A7">
        <w:t>on</w:t>
      </w:r>
      <w:r w:rsidR="003D4CFE" w:rsidRPr="00A555A7">
        <w:t xml:space="preserve"> </w:t>
      </w:r>
      <w:r w:rsidRPr="00A555A7">
        <w:t>requirements</w:t>
      </w:r>
      <w:r w:rsidR="003D4CFE" w:rsidRPr="00A555A7">
        <w:t xml:space="preserve"> </w:t>
      </w:r>
      <w:r w:rsidRPr="00A555A7">
        <w:t>outlined</w:t>
      </w:r>
      <w:r w:rsidR="003D4CFE" w:rsidRPr="00A555A7">
        <w:t xml:space="preserve"> </w:t>
      </w:r>
      <w:r w:rsidRPr="00A555A7">
        <w:t>in</w:t>
      </w:r>
      <w:r w:rsidR="003D4CFE" w:rsidRPr="00A555A7">
        <w:t xml:space="preserve"> </w:t>
      </w:r>
      <w:r w:rsidRPr="00A555A7">
        <w:t>the</w:t>
      </w:r>
      <w:r w:rsidR="003D4CFE" w:rsidRPr="00A555A7">
        <w:t xml:space="preserve"> </w:t>
      </w:r>
      <w:r w:rsidRPr="00A555A7">
        <w:t>following</w:t>
      </w:r>
      <w:r w:rsidR="003D4CFE" w:rsidRPr="00A555A7">
        <w:t xml:space="preserve"> </w:t>
      </w:r>
      <w:r w:rsidRPr="00A555A7">
        <w:t>legislation:</w:t>
      </w:r>
    </w:p>
    <w:p w14:paraId="6687A485" w14:textId="77777777" w:rsidR="0051778F" w:rsidRPr="00924BFF" w:rsidRDefault="0051778F" w:rsidP="00924BFF">
      <w:pPr>
        <w:pStyle w:val="ListBullet"/>
      </w:pPr>
      <w:r w:rsidRPr="000F7966">
        <w:rPr>
          <w:i/>
        </w:rPr>
        <w:t>Education</w:t>
      </w:r>
      <w:r w:rsidR="003D4CFE" w:rsidRPr="000F7966">
        <w:rPr>
          <w:i/>
        </w:rPr>
        <w:t xml:space="preserve"> </w:t>
      </w:r>
      <w:r w:rsidRPr="000F7966">
        <w:rPr>
          <w:i/>
        </w:rPr>
        <w:t>and</w:t>
      </w:r>
      <w:r w:rsidR="003D4CFE" w:rsidRPr="000F7966">
        <w:rPr>
          <w:i/>
        </w:rPr>
        <w:t xml:space="preserve"> </w:t>
      </w:r>
      <w:r w:rsidRPr="000F7966">
        <w:rPr>
          <w:i/>
        </w:rPr>
        <w:t>Training</w:t>
      </w:r>
      <w:r w:rsidR="003D4CFE" w:rsidRPr="000F7966">
        <w:rPr>
          <w:i/>
        </w:rPr>
        <w:t xml:space="preserve"> </w:t>
      </w:r>
      <w:r w:rsidRPr="000F7966">
        <w:rPr>
          <w:i/>
        </w:rPr>
        <w:t>Reform</w:t>
      </w:r>
      <w:r w:rsidR="003D4CFE" w:rsidRPr="000F7966">
        <w:rPr>
          <w:i/>
        </w:rPr>
        <w:t xml:space="preserve"> </w:t>
      </w:r>
      <w:r w:rsidRPr="000F7966">
        <w:rPr>
          <w:i/>
        </w:rPr>
        <w:t>Act</w:t>
      </w:r>
      <w:r w:rsidR="003D4CFE" w:rsidRPr="000F7966">
        <w:rPr>
          <w:i/>
        </w:rPr>
        <w:t xml:space="preserve"> </w:t>
      </w:r>
      <w:r w:rsidRPr="000F7966">
        <w:rPr>
          <w:i/>
        </w:rPr>
        <w:t>2006</w:t>
      </w:r>
      <w:r w:rsidR="003D4CFE" w:rsidRPr="00924BFF">
        <w:t xml:space="preserve"> </w:t>
      </w:r>
      <w:r w:rsidRPr="00924BFF">
        <w:t>–</w:t>
      </w:r>
      <w:r w:rsidR="003D4CFE" w:rsidRPr="00924BFF">
        <w:t xml:space="preserve"> </w:t>
      </w:r>
      <w:r w:rsidR="00CE1579" w:rsidRPr="00924BFF">
        <w:t>Part</w:t>
      </w:r>
      <w:r w:rsidR="003D4CFE" w:rsidRPr="00924BFF">
        <w:t xml:space="preserve"> </w:t>
      </w:r>
      <w:r w:rsidR="00CE1579" w:rsidRPr="00924BFF">
        <w:t>2.3</w:t>
      </w:r>
      <w:r w:rsidR="003D4CFE" w:rsidRPr="00924BFF">
        <w:t xml:space="preserve"> </w:t>
      </w:r>
      <w:r w:rsidR="00CE1579" w:rsidRPr="00924BFF">
        <w:t>–</w:t>
      </w:r>
      <w:r w:rsidR="003D4CFE" w:rsidRPr="00924BFF">
        <w:t xml:space="preserve"> </w:t>
      </w:r>
      <w:r w:rsidR="00CE1579" w:rsidRPr="00924BFF">
        <w:t>Government</w:t>
      </w:r>
      <w:r w:rsidR="003D4CFE" w:rsidRPr="00924BFF">
        <w:t xml:space="preserve"> </w:t>
      </w:r>
      <w:r w:rsidR="00CE1579" w:rsidRPr="00924BFF">
        <w:t>School</w:t>
      </w:r>
      <w:r w:rsidR="003D4CFE" w:rsidRPr="00924BFF">
        <w:t xml:space="preserve"> </w:t>
      </w:r>
      <w:r w:rsidR="00CE1579" w:rsidRPr="00924BFF">
        <w:t>Councils</w:t>
      </w:r>
      <w:r w:rsidR="007C4CA4" w:rsidRPr="00924BFF">
        <w:t>.</w:t>
      </w:r>
    </w:p>
    <w:p w14:paraId="7CBF6E82" w14:textId="77777777" w:rsidR="00451C82" w:rsidRPr="00924BFF" w:rsidRDefault="00986052" w:rsidP="00924BFF">
      <w:pPr>
        <w:pStyle w:val="ListBullet"/>
      </w:pPr>
      <w:r w:rsidRPr="00F1501C">
        <w:rPr>
          <w:i/>
        </w:rPr>
        <w:t>Education and Training Regulations 20</w:t>
      </w:r>
      <w:r>
        <w:rPr>
          <w:i/>
        </w:rPr>
        <w:t>1</w:t>
      </w:r>
      <w:r w:rsidRPr="00F1501C">
        <w:rPr>
          <w:i/>
        </w:rPr>
        <w:t>7</w:t>
      </w:r>
      <w:r w:rsidRPr="0008210B">
        <w:t xml:space="preserve"> – Part </w:t>
      </w:r>
      <w:r>
        <w:t>4</w:t>
      </w:r>
      <w:r w:rsidRPr="0008210B">
        <w:t xml:space="preserve"> – Government School Councils</w:t>
      </w:r>
      <w:r>
        <w:t xml:space="preserve"> and Parents Clubs.</w:t>
      </w:r>
    </w:p>
    <w:p w14:paraId="56FF7C84" w14:textId="77777777" w:rsidR="0051778F" w:rsidRPr="00AD3210" w:rsidRDefault="0051778F" w:rsidP="003D4CFE">
      <w:pPr>
        <w:pStyle w:val="Heading2"/>
      </w:pPr>
      <w:r w:rsidRPr="00AD3210">
        <w:t>Definitions</w:t>
      </w:r>
      <w:r w:rsidR="003D4CFE">
        <w:t xml:space="preserve"> 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979"/>
        <w:gridCol w:w="7028"/>
      </w:tblGrid>
      <w:tr w:rsidR="00451C82" w:rsidRPr="003D4CFE" w14:paraId="15D72AA7" w14:textId="77777777" w:rsidTr="003D4CFE">
        <w:tc>
          <w:tcPr>
            <w:tcW w:w="1985" w:type="dxa"/>
          </w:tcPr>
          <w:p w14:paraId="2258C792" w14:textId="77777777" w:rsidR="00451C82" w:rsidRPr="006A4FB3" w:rsidRDefault="00451C82" w:rsidP="00A555A7">
            <w:pPr>
              <w:rPr>
                <w:b/>
              </w:rPr>
            </w:pPr>
            <w:r w:rsidRPr="006A4FB3">
              <w:rPr>
                <w:b/>
              </w:rPr>
              <w:t>ATO Running Balance account</w:t>
            </w:r>
          </w:p>
        </w:tc>
        <w:tc>
          <w:tcPr>
            <w:tcW w:w="7088" w:type="dxa"/>
          </w:tcPr>
          <w:p w14:paraId="42ECE9EE" w14:textId="77777777" w:rsidR="00451C82" w:rsidRPr="00A555A7" w:rsidRDefault="00451C82" w:rsidP="006A4FB3">
            <w:pPr>
              <w:jc w:val="both"/>
            </w:pPr>
            <w:r w:rsidRPr="00A555A7">
              <w:t>Online record of the school’s transactions (debits and credits) with the ATO.</w:t>
            </w:r>
          </w:p>
        </w:tc>
      </w:tr>
      <w:tr w:rsidR="0051778F" w:rsidRPr="003D4CFE" w14:paraId="3D79D5D4" w14:textId="77777777" w:rsidTr="00FA0CAE">
        <w:trPr>
          <w:trHeight w:val="609"/>
        </w:trPr>
        <w:tc>
          <w:tcPr>
            <w:tcW w:w="1985" w:type="dxa"/>
            <w:shd w:val="clear" w:color="auto" w:fill="F2F2F2" w:themeFill="background1" w:themeFillShade="F2"/>
          </w:tcPr>
          <w:p w14:paraId="7A8BFE50" w14:textId="77777777" w:rsidR="0051778F" w:rsidRPr="006A4FB3" w:rsidRDefault="004A6764" w:rsidP="00A555A7">
            <w:pPr>
              <w:rPr>
                <w:b/>
              </w:rPr>
            </w:pPr>
            <w:r w:rsidRPr="006A4FB3">
              <w:rPr>
                <w:b/>
              </w:rPr>
              <w:t>ABN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67A8455C" w14:textId="77777777" w:rsidR="0051778F" w:rsidRPr="00A555A7" w:rsidRDefault="00004FD8" w:rsidP="006A4FB3">
            <w:pPr>
              <w:jc w:val="both"/>
            </w:pPr>
            <w:r w:rsidRPr="00A555A7">
              <w:t>Australian Business Number – Unique identifying number, which indicates that, a school is registered and listed on the Australian Business Register. A school can only obtain an ABN through Department, as ATO requires proof of identity for schools from Department.</w:t>
            </w:r>
          </w:p>
        </w:tc>
      </w:tr>
      <w:tr w:rsidR="004A6764" w:rsidRPr="003D4CFE" w14:paraId="1B2773C0" w14:textId="77777777" w:rsidTr="004A6764">
        <w:trPr>
          <w:trHeight w:val="609"/>
        </w:trPr>
        <w:tc>
          <w:tcPr>
            <w:tcW w:w="1985" w:type="dxa"/>
            <w:shd w:val="clear" w:color="auto" w:fill="auto"/>
          </w:tcPr>
          <w:p w14:paraId="060D0614" w14:textId="77777777" w:rsidR="004A6764" w:rsidRPr="006A4FB3" w:rsidRDefault="003302B3" w:rsidP="00A555A7">
            <w:pPr>
              <w:rPr>
                <w:b/>
              </w:rPr>
            </w:pPr>
            <w:r w:rsidRPr="006A4FB3">
              <w:rPr>
                <w:b/>
              </w:rPr>
              <w:t>AUS</w:t>
            </w:r>
            <w:r w:rsidR="004A6764" w:rsidRPr="006A4FB3">
              <w:rPr>
                <w:b/>
              </w:rPr>
              <w:t>key</w:t>
            </w:r>
          </w:p>
        </w:tc>
        <w:tc>
          <w:tcPr>
            <w:tcW w:w="7088" w:type="dxa"/>
            <w:shd w:val="clear" w:color="auto" w:fill="auto"/>
          </w:tcPr>
          <w:p w14:paraId="3CAEDB7F" w14:textId="77777777" w:rsidR="004A6764" w:rsidRPr="00A555A7" w:rsidRDefault="00004FD8" w:rsidP="006A4FB3">
            <w:pPr>
              <w:jc w:val="both"/>
            </w:pPr>
            <w:r w:rsidRPr="00A555A7">
              <w:t xml:space="preserve">AUSkey is the ATO’s electronic commerce system and is the only way a school can lodge its BAS online via the ATOs Business Portal. An AUSkey is specific to a school </w:t>
            </w:r>
            <w:r w:rsidR="00291EE1" w:rsidRPr="00A555A7">
              <w:t>ABN, to an individual,</w:t>
            </w:r>
            <w:r w:rsidRPr="00A555A7">
              <w:t xml:space="preserve"> and to that individual’s computer. It is recommended that a school try to maintain 2 valid, up-to-date AUSkeys.</w:t>
            </w:r>
          </w:p>
        </w:tc>
      </w:tr>
      <w:tr w:rsidR="004A6764" w:rsidRPr="003D4CFE" w14:paraId="7E4B57FB" w14:textId="77777777" w:rsidTr="00FA0CAE">
        <w:trPr>
          <w:trHeight w:val="609"/>
        </w:trPr>
        <w:tc>
          <w:tcPr>
            <w:tcW w:w="1985" w:type="dxa"/>
            <w:shd w:val="clear" w:color="auto" w:fill="F2F2F2" w:themeFill="background1" w:themeFillShade="F2"/>
          </w:tcPr>
          <w:p w14:paraId="539053B5" w14:textId="77777777" w:rsidR="004A6764" w:rsidRPr="006A4FB3" w:rsidRDefault="004A6764" w:rsidP="00A555A7">
            <w:pPr>
              <w:rPr>
                <w:b/>
              </w:rPr>
            </w:pPr>
            <w:r w:rsidRPr="006A4FB3">
              <w:rPr>
                <w:b/>
              </w:rPr>
              <w:t xml:space="preserve">Board of </w:t>
            </w:r>
            <w:r w:rsidR="00924BFF" w:rsidRPr="006A4FB3">
              <w:rPr>
                <w:b/>
              </w:rPr>
              <w:t>S</w:t>
            </w:r>
            <w:r w:rsidRPr="006A4FB3">
              <w:rPr>
                <w:b/>
              </w:rPr>
              <w:t>urvey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62E8211E" w14:textId="77777777" w:rsidR="004A6764" w:rsidRPr="00A555A7" w:rsidRDefault="00004FD8" w:rsidP="006A4FB3">
            <w:pPr>
              <w:jc w:val="both"/>
            </w:pPr>
            <w:r w:rsidRPr="00A555A7">
              <w:t xml:space="preserve">Group convened to provide advice on status of assets. In the normal course of </w:t>
            </w:r>
            <w:r w:rsidR="003F2EBB" w:rsidRPr="00A555A7">
              <w:t>events,</w:t>
            </w:r>
            <w:r w:rsidRPr="00A555A7">
              <w:t xml:space="preserve"> the board will consist of the principal, a school council representative and a third nominee.</w:t>
            </w:r>
          </w:p>
        </w:tc>
      </w:tr>
      <w:tr w:rsidR="0051778F" w:rsidRPr="003D4CFE" w14:paraId="1259F661" w14:textId="77777777" w:rsidTr="003D4CFE">
        <w:trPr>
          <w:trHeight w:val="785"/>
        </w:trPr>
        <w:tc>
          <w:tcPr>
            <w:tcW w:w="1985" w:type="dxa"/>
          </w:tcPr>
          <w:p w14:paraId="2B7B4174" w14:textId="77777777" w:rsidR="0051778F" w:rsidRPr="006A4FB3" w:rsidRDefault="00FD7308" w:rsidP="00A555A7">
            <w:pPr>
              <w:rPr>
                <w:b/>
              </w:rPr>
            </w:pPr>
            <w:r w:rsidRPr="006A4FB3">
              <w:rPr>
                <w:b/>
              </w:rPr>
              <w:t>CASES21</w:t>
            </w:r>
          </w:p>
        </w:tc>
        <w:tc>
          <w:tcPr>
            <w:tcW w:w="7088" w:type="dxa"/>
          </w:tcPr>
          <w:p w14:paraId="328ACFFD" w14:textId="77777777" w:rsidR="0051778F" w:rsidRPr="00A555A7" w:rsidRDefault="00F70CB4" w:rsidP="00B343C8">
            <w:pPr>
              <w:jc w:val="both"/>
            </w:pPr>
            <w:r w:rsidRPr="00A555A7">
              <w:t>CASES21</w:t>
            </w:r>
            <w:r w:rsidR="003D4CFE" w:rsidRPr="00A555A7">
              <w:t xml:space="preserve"> </w:t>
            </w:r>
            <w:r w:rsidRPr="00A555A7">
              <w:t>is</w:t>
            </w:r>
            <w:r w:rsidR="003D4CFE" w:rsidRPr="00A555A7">
              <w:t xml:space="preserve"> </w:t>
            </w:r>
            <w:r w:rsidRPr="00A555A7">
              <w:t>the</w:t>
            </w:r>
            <w:r w:rsidR="003D4CFE" w:rsidRPr="00A555A7">
              <w:t xml:space="preserve"> </w:t>
            </w:r>
            <w:r w:rsidRPr="00A555A7">
              <w:t>software</w:t>
            </w:r>
            <w:r w:rsidR="003D4CFE" w:rsidRPr="00A555A7">
              <w:t xml:space="preserve"> </w:t>
            </w:r>
            <w:r w:rsidRPr="00A555A7">
              <w:t>component</w:t>
            </w:r>
            <w:r w:rsidR="003D4CFE" w:rsidRPr="00A555A7">
              <w:t xml:space="preserve"> </w:t>
            </w:r>
            <w:r w:rsidRPr="00A555A7">
              <w:t>of</w:t>
            </w:r>
            <w:r w:rsidR="003D4CFE" w:rsidRPr="00A555A7">
              <w:t xml:space="preserve"> </w:t>
            </w:r>
            <w:r w:rsidRPr="00A555A7">
              <w:t>CASES</w:t>
            </w:r>
            <w:r w:rsidR="003D4CFE" w:rsidRPr="00A555A7">
              <w:t xml:space="preserve"> </w:t>
            </w:r>
            <w:r w:rsidRPr="00A555A7">
              <w:t>(Computerised</w:t>
            </w:r>
            <w:r w:rsidR="003D4CFE" w:rsidRPr="00A555A7">
              <w:t xml:space="preserve"> </w:t>
            </w:r>
            <w:r w:rsidRPr="00A555A7">
              <w:t>Administrative</w:t>
            </w:r>
            <w:r w:rsidR="003D4CFE" w:rsidRPr="00A555A7">
              <w:t xml:space="preserve"> </w:t>
            </w:r>
            <w:r w:rsidRPr="00A555A7">
              <w:t>System</w:t>
            </w:r>
            <w:r w:rsidR="003D4CFE" w:rsidRPr="00A555A7">
              <w:t xml:space="preserve"> </w:t>
            </w:r>
            <w:r w:rsidRPr="00A555A7">
              <w:t>Environment</w:t>
            </w:r>
            <w:r w:rsidR="003D4CFE" w:rsidRPr="00A555A7">
              <w:t xml:space="preserve"> </w:t>
            </w:r>
            <w:r w:rsidRPr="00A555A7">
              <w:t>in</w:t>
            </w:r>
            <w:r w:rsidR="003D4CFE" w:rsidRPr="00A555A7">
              <w:t xml:space="preserve"> </w:t>
            </w:r>
            <w:r w:rsidRPr="00A555A7">
              <w:t>Schools)</w:t>
            </w:r>
            <w:r w:rsidR="003D4CFE" w:rsidRPr="00A555A7">
              <w:t xml:space="preserve"> </w:t>
            </w:r>
            <w:r w:rsidRPr="00A555A7">
              <w:t>which</w:t>
            </w:r>
            <w:r w:rsidR="003D4CFE" w:rsidRPr="00A555A7">
              <w:t xml:space="preserve"> </w:t>
            </w:r>
            <w:r w:rsidRPr="00A555A7">
              <w:t>is</w:t>
            </w:r>
            <w:r w:rsidR="003D4CFE" w:rsidRPr="00A555A7">
              <w:t xml:space="preserve"> </w:t>
            </w:r>
            <w:r w:rsidRPr="00A555A7">
              <w:t>the</w:t>
            </w:r>
            <w:r w:rsidR="003D4CFE" w:rsidRPr="00A555A7">
              <w:t xml:space="preserve"> </w:t>
            </w:r>
            <w:r w:rsidRPr="00A555A7">
              <w:t>package</w:t>
            </w:r>
            <w:r w:rsidR="003D4CFE" w:rsidRPr="00A555A7">
              <w:t xml:space="preserve"> </w:t>
            </w:r>
            <w:r w:rsidRPr="00A555A7">
              <w:t>provided</w:t>
            </w:r>
            <w:r w:rsidR="003D4CFE" w:rsidRPr="00A555A7">
              <w:t xml:space="preserve"> </w:t>
            </w:r>
            <w:r w:rsidRPr="00A555A7">
              <w:t>to</w:t>
            </w:r>
            <w:r w:rsidR="003D4CFE" w:rsidRPr="00A555A7">
              <w:t xml:space="preserve"> </w:t>
            </w:r>
            <w:r w:rsidRPr="00A555A7">
              <w:t>Victorian</w:t>
            </w:r>
            <w:r w:rsidR="003D4CFE" w:rsidRPr="00A555A7">
              <w:t xml:space="preserve"> </w:t>
            </w:r>
            <w:r w:rsidR="00B343C8">
              <w:t>G</w:t>
            </w:r>
            <w:r w:rsidRPr="00A555A7">
              <w:t>overnment</w:t>
            </w:r>
            <w:r w:rsidR="003D4CFE" w:rsidRPr="00A555A7">
              <w:t xml:space="preserve"> </w:t>
            </w:r>
            <w:r w:rsidRPr="00A555A7">
              <w:t>schools</w:t>
            </w:r>
            <w:r w:rsidR="003D4CFE" w:rsidRPr="00A555A7">
              <w:t xml:space="preserve"> </w:t>
            </w:r>
            <w:r w:rsidRPr="00A555A7">
              <w:t>to</w:t>
            </w:r>
            <w:r w:rsidR="003D4CFE" w:rsidRPr="00A555A7">
              <w:t xml:space="preserve"> </w:t>
            </w:r>
            <w:r w:rsidRPr="00A555A7">
              <w:t>support</w:t>
            </w:r>
            <w:r w:rsidR="003D4CFE" w:rsidRPr="00A555A7">
              <w:t xml:space="preserve"> </w:t>
            </w:r>
            <w:r w:rsidRPr="00A555A7">
              <w:t>school</w:t>
            </w:r>
            <w:r w:rsidR="003D4CFE" w:rsidRPr="00A555A7">
              <w:t xml:space="preserve"> </w:t>
            </w:r>
            <w:r w:rsidRPr="00A555A7">
              <w:t>administration,</w:t>
            </w:r>
            <w:r w:rsidR="003D4CFE" w:rsidRPr="00A555A7">
              <w:t xml:space="preserve"> </w:t>
            </w:r>
            <w:r w:rsidRPr="00A555A7">
              <w:t>finance</w:t>
            </w:r>
            <w:r w:rsidR="003D4CFE" w:rsidRPr="00A555A7">
              <w:t xml:space="preserve"> </w:t>
            </w:r>
            <w:r w:rsidRPr="00A555A7">
              <w:t>and</w:t>
            </w:r>
            <w:r w:rsidR="003D4CFE" w:rsidRPr="00A555A7">
              <w:t xml:space="preserve"> </w:t>
            </w:r>
            <w:r w:rsidRPr="00A555A7">
              <w:t>central</w:t>
            </w:r>
            <w:r w:rsidR="003D4CFE" w:rsidRPr="00A555A7">
              <w:t xml:space="preserve"> </w:t>
            </w:r>
            <w:r w:rsidRPr="00A555A7">
              <w:t>reporting</w:t>
            </w:r>
            <w:r w:rsidR="0003247C" w:rsidRPr="00A555A7">
              <w:t>.</w:t>
            </w:r>
          </w:p>
        </w:tc>
      </w:tr>
      <w:tr w:rsidR="0051778F" w:rsidRPr="003D4CFE" w14:paraId="4A777C56" w14:textId="77777777" w:rsidTr="00FA0CAE">
        <w:tc>
          <w:tcPr>
            <w:tcW w:w="1985" w:type="dxa"/>
            <w:shd w:val="clear" w:color="auto" w:fill="F2F2F2" w:themeFill="background1" w:themeFillShade="F2"/>
          </w:tcPr>
          <w:p w14:paraId="204D9612" w14:textId="77777777" w:rsidR="0051778F" w:rsidRPr="006A4FB3" w:rsidRDefault="004A6764" w:rsidP="00A555A7">
            <w:pPr>
              <w:rPr>
                <w:b/>
              </w:rPr>
            </w:pPr>
            <w:r w:rsidRPr="006A4FB3">
              <w:rPr>
                <w:b/>
              </w:rPr>
              <w:t>School purchasing card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5B82F82B" w14:textId="77777777" w:rsidR="0051778F" w:rsidRPr="00A555A7" w:rsidRDefault="00004FD8" w:rsidP="006A4FB3">
            <w:pPr>
              <w:jc w:val="both"/>
            </w:pPr>
            <w:r w:rsidRPr="00A555A7">
              <w:t>A method of payment utilising a corporate charge card.</w:t>
            </w:r>
          </w:p>
        </w:tc>
      </w:tr>
      <w:tr w:rsidR="00451C82" w:rsidRPr="003D4CFE" w14:paraId="59706039" w14:textId="77777777" w:rsidTr="004A6764">
        <w:tc>
          <w:tcPr>
            <w:tcW w:w="1985" w:type="dxa"/>
            <w:shd w:val="clear" w:color="auto" w:fill="auto"/>
          </w:tcPr>
          <w:p w14:paraId="64E9CC9A" w14:textId="77777777" w:rsidR="00451C82" w:rsidRPr="006A4FB3" w:rsidRDefault="00451C82" w:rsidP="00A555A7">
            <w:pPr>
              <w:rPr>
                <w:b/>
              </w:rPr>
            </w:pPr>
            <w:r w:rsidRPr="006A4FB3">
              <w:rPr>
                <w:b/>
              </w:rPr>
              <w:t>School Finance Liaison Officer (SFLO)</w:t>
            </w:r>
          </w:p>
        </w:tc>
        <w:tc>
          <w:tcPr>
            <w:tcW w:w="7088" w:type="dxa"/>
            <w:shd w:val="clear" w:color="auto" w:fill="auto"/>
          </w:tcPr>
          <w:p w14:paraId="785B1638" w14:textId="77777777" w:rsidR="00451C82" w:rsidRPr="00A555A7" w:rsidRDefault="00451C82" w:rsidP="006A4FB3">
            <w:pPr>
              <w:jc w:val="both"/>
            </w:pPr>
            <w:r w:rsidRPr="00A555A7">
              <w:t>Departmental officer who provides financial management support to schools</w:t>
            </w:r>
            <w:r w:rsidR="001E4436" w:rsidRPr="00A555A7">
              <w:t>.</w:t>
            </w:r>
          </w:p>
        </w:tc>
      </w:tr>
    </w:tbl>
    <w:p w14:paraId="47284A8A" w14:textId="77777777" w:rsidR="0091756B" w:rsidRDefault="0091756B" w:rsidP="00A555A7"/>
    <w:p w14:paraId="6FC0762F" w14:textId="77777777" w:rsidR="006A4FB3" w:rsidRDefault="006A4FB3" w:rsidP="00A555A7"/>
    <w:p w14:paraId="4582D20C" w14:textId="6AC43450" w:rsidR="00EC7997" w:rsidRDefault="00EC7997">
      <w:pPr>
        <w:spacing w:before="0" w:line="240" w:lineRule="auto"/>
      </w:pPr>
      <w:r>
        <w:br w:type="page"/>
      </w:r>
    </w:p>
    <w:p w14:paraId="46C102A1" w14:textId="77777777" w:rsidR="0051778F" w:rsidRPr="00AD3210" w:rsidRDefault="0051778F" w:rsidP="0091756B">
      <w:pPr>
        <w:pStyle w:val="Heading2"/>
      </w:pPr>
      <w:r w:rsidRPr="00AD3210">
        <w:lastRenderedPageBreak/>
        <w:t>Additional</w:t>
      </w:r>
      <w:r w:rsidR="003D4CFE">
        <w:t xml:space="preserve"> </w:t>
      </w:r>
      <w:r w:rsidR="00E12912">
        <w:t>r</w:t>
      </w:r>
      <w:r w:rsidRPr="00AD3210">
        <w:t>esources</w:t>
      </w:r>
    </w:p>
    <w:p w14:paraId="7CF7D68C" w14:textId="510F93A0" w:rsidR="009374AB" w:rsidRDefault="00E61090" w:rsidP="00EC7997">
      <w:pPr>
        <w:pStyle w:val="ListBullet"/>
      </w:pPr>
      <w:hyperlink r:id="rId27" w:history="1">
        <w:r w:rsidR="00A379F0" w:rsidRPr="009374AB">
          <w:rPr>
            <w:rStyle w:val="Hyperlink"/>
          </w:rPr>
          <w:t>Money Smart – ASIC unclaimed monies</w:t>
        </w:r>
      </w:hyperlink>
    </w:p>
    <w:p w14:paraId="09976091" w14:textId="356504B0" w:rsidR="00EC7997" w:rsidRPr="00EC7997" w:rsidRDefault="00E61090" w:rsidP="00EC7997">
      <w:pPr>
        <w:pStyle w:val="ListBullet"/>
        <w:rPr>
          <w:rStyle w:val="Hyperlink"/>
          <w:color w:val="auto"/>
          <w:u w:val="none"/>
        </w:rPr>
      </w:pPr>
      <w:hyperlink r:id="rId28" w:history="1">
        <w:r w:rsidR="00E46AA6" w:rsidRPr="009374AB">
          <w:rPr>
            <w:rStyle w:val="Hyperlink"/>
          </w:rPr>
          <w:t>School financial management resources</w:t>
        </w:r>
      </w:hyperlink>
    </w:p>
    <w:p w14:paraId="449488A2" w14:textId="0F6049BC" w:rsidR="00924BFF" w:rsidRDefault="00E61090" w:rsidP="00EC7997">
      <w:pPr>
        <w:pStyle w:val="ListBullet"/>
      </w:pPr>
      <w:hyperlink r:id="rId29" w:history="1">
        <w:r w:rsidR="00F9398C" w:rsidRPr="009374AB">
          <w:rPr>
            <w:rStyle w:val="Hyperlink"/>
          </w:rPr>
          <w:t>State Revenue Office – Unclaimed monies</w:t>
        </w:r>
      </w:hyperlink>
      <w:r w:rsidR="00F9398C" w:rsidRPr="00924BFF">
        <w:br/>
      </w:r>
    </w:p>
    <w:p w14:paraId="114A8F83" w14:textId="77777777" w:rsidR="006A4FB3" w:rsidRDefault="006A4FB3" w:rsidP="00A555A7"/>
    <w:p w14:paraId="74705433" w14:textId="77777777" w:rsidR="006A4FB3" w:rsidRDefault="006A4FB3" w:rsidP="00A555A7"/>
    <w:p w14:paraId="145B30E6" w14:textId="77777777" w:rsidR="006A4FB3" w:rsidRDefault="006A4FB3" w:rsidP="00A555A7"/>
    <w:p w14:paraId="096FB183" w14:textId="77777777" w:rsidR="006A4FB3" w:rsidRDefault="006A4FB3" w:rsidP="00A555A7"/>
    <w:p w14:paraId="1CF9ACC8" w14:textId="77777777" w:rsidR="006A4FB3" w:rsidRDefault="006A4FB3" w:rsidP="00A555A7"/>
    <w:p w14:paraId="3166455B" w14:textId="77777777" w:rsidR="006A4FB3" w:rsidRDefault="006A4FB3" w:rsidP="00A555A7"/>
    <w:p w14:paraId="3B7F7F96" w14:textId="77777777" w:rsidR="006A4FB3" w:rsidRDefault="006A4FB3" w:rsidP="00A555A7"/>
    <w:p w14:paraId="254E7AEE" w14:textId="77777777" w:rsidR="006A4FB3" w:rsidRDefault="006A4FB3" w:rsidP="00A555A7"/>
    <w:p w14:paraId="4ECEC358" w14:textId="77777777" w:rsidR="006A4FB3" w:rsidRDefault="006A4FB3" w:rsidP="00A555A7"/>
    <w:p w14:paraId="6D28DA5D" w14:textId="77777777" w:rsidR="006A4FB3" w:rsidRDefault="006A4FB3" w:rsidP="00A555A7"/>
    <w:p w14:paraId="534E01FE" w14:textId="77777777" w:rsidR="00E12912" w:rsidRDefault="00E12912" w:rsidP="00A555A7"/>
    <w:p w14:paraId="72AF4FCD" w14:textId="77777777" w:rsidR="006A4FB3" w:rsidRDefault="006A4FB3" w:rsidP="00A555A7"/>
    <w:p w14:paraId="4A956634" w14:textId="77777777" w:rsidR="006A4FB3" w:rsidRDefault="006A4FB3" w:rsidP="00A555A7"/>
    <w:p w14:paraId="607EC71C" w14:textId="77777777" w:rsidR="006A4FB3" w:rsidRDefault="006A4FB3" w:rsidP="00A555A7"/>
    <w:p w14:paraId="7AA95E6D" w14:textId="77777777" w:rsidR="006A4FB3" w:rsidRDefault="006A4FB3" w:rsidP="00A555A7"/>
    <w:p w14:paraId="4E9872F5" w14:textId="7F71AD8C" w:rsidR="006A4FB3" w:rsidRDefault="006A4FB3" w:rsidP="00A555A7"/>
    <w:p w14:paraId="471BDD5A" w14:textId="1307AB87" w:rsidR="00EC7997" w:rsidRDefault="00EC7997" w:rsidP="00A555A7"/>
    <w:p w14:paraId="239381B8" w14:textId="6CE44795" w:rsidR="00EC7997" w:rsidRDefault="00EC7997" w:rsidP="00A555A7">
      <w:bookmarkStart w:id="3" w:name="_GoBack"/>
      <w:bookmarkEnd w:id="3"/>
    </w:p>
    <w:p w14:paraId="0C9B13DF" w14:textId="3456057D" w:rsidR="00EC7997" w:rsidRDefault="00EC7997" w:rsidP="00A555A7"/>
    <w:p w14:paraId="631D5E15" w14:textId="78AF2504" w:rsidR="00EC7997" w:rsidRDefault="00EC7997" w:rsidP="00A555A7"/>
    <w:p w14:paraId="722BFF0A" w14:textId="77777777" w:rsidR="00EC7997" w:rsidRDefault="00EC7997" w:rsidP="00A555A7"/>
    <w:p w14:paraId="497F087B" w14:textId="77777777" w:rsidR="006A4FB3" w:rsidRDefault="006A4FB3" w:rsidP="00A555A7"/>
    <w:p w14:paraId="29752A9B" w14:textId="77777777" w:rsidR="00451C82" w:rsidRPr="00B44818" w:rsidRDefault="00FA0CAE" w:rsidP="00451C82">
      <w:pPr>
        <w:pStyle w:val="Heading2"/>
      </w:pPr>
      <w:r>
        <w:t xml:space="preserve">Version and </w:t>
      </w:r>
      <w:r w:rsidR="00E12912">
        <w:t>r</w:t>
      </w:r>
      <w:r w:rsidR="00451C82" w:rsidRPr="00B44818">
        <w:t xml:space="preserve">evision </w:t>
      </w:r>
      <w:r>
        <w:t xml:space="preserve">control </w:t>
      </w:r>
      <w:r w:rsidR="00451C82" w:rsidRPr="00B44818">
        <w:t>record</w:t>
      </w:r>
    </w:p>
    <w:tbl>
      <w:tblPr>
        <w:tblStyle w:val="GridTable6Colorful1"/>
        <w:tblW w:w="0" w:type="auto"/>
        <w:tblLook w:val="04A0" w:firstRow="1" w:lastRow="0" w:firstColumn="1" w:lastColumn="0" w:noHBand="0" w:noVBand="1"/>
        <w:tblDescription w:val="version and revision control record information"/>
      </w:tblPr>
      <w:tblGrid>
        <w:gridCol w:w="1318"/>
        <w:gridCol w:w="1133"/>
        <w:gridCol w:w="4914"/>
        <w:gridCol w:w="1689"/>
      </w:tblGrid>
      <w:tr w:rsidR="00451C82" w:rsidRPr="00AD3210" w14:paraId="7801A373" w14:textId="77777777" w:rsidTr="00937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F04092" w14:textId="77777777" w:rsidR="00451C82" w:rsidRPr="00A555A7" w:rsidRDefault="00451C82" w:rsidP="00A555A7">
            <w:r w:rsidRPr="00A555A7">
              <w:t>Date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E9E6B9" w14:textId="77777777" w:rsidR="00451C82" w:rsidRPr="00A555A7" w:rsidRDefault="00451C82" w:rsidP="00A55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5A7">
              <w:t>Version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451E32" w14:textId="77777777" w:rsidR="00451C82" w:rsidRPr="00A555A7" w:rsidRDefault="00451C82" w:rsidP="00A55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5A7">
              <w:t>Approver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A45FF1" w14:textId="77777777" w:rsidR="00451C82" w:rsidRPr="00A555A7" w:rsidRDefault="00451C82" w:rsidP="00A55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5A7">
              <w:t>Next Review</w:t>
            </w:r>
          </w:p>
        </w:tc>
      </w:tr>
      <w:tr w:rsidR="00451C82" w:rsidRPr="00AD3210" w14:paraId="13B15DA6" w14:textId="77777777" w:rsidTr="00937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71E85934" w14:textId="66B9EA82" w:rsidR="00451C82" w:rsidRPr="006A4FB3" w:rsidRDefault="0052649F" w:rsidP="00A555A7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675461">
              <w:rPr>
                <w:b w:val="0"/>
              </w:rPr>
              <w:t>1/20</w:t>
            </w:r>
            <w:r w:rsidR="00EC7997">
              <w:rPr>
                <w:b w:val="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79B3056A" w14:textId="42CDB159" w:rsidR="00451C82" w:rsidRPr="00675461" w:rsidRDefault="00675461" w:rsidP="00A55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1.</w:t>
            </w:r>
            <w:r w:rsidR="00EC7997">
              <w:rPr>
                <w:b w:val="0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3B881" w14:textId="681973E1" w:rsidR="00451C82" w:rsidRPr="00675461" w:rsidRDefault="00451C82" w:rsidP="00A55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5461">
              <w:rPr>
                <w:b w:val="0"/>
              </w:rPr>
              <w:t>Chief Finance Officer - Financial Services Division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14:paraId="322A1697" w14:textId="38FA05FB" w:rsidR="00451C82" w:rsidRPr="00675461" w:rsidRDefault="0052649F" w:rsidP="0067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5461">
              <w:rPr>
                <w:b w:val="0"/>
              </w:rPr>
              <w:t>0</w:t>
            </w:r>
            <w:r w:rsidR="00675461">
              <w:rPr>
                <w:b w:val="0"/>
              </w:rPr>
              <w:t>1</w:t>
            </w:r>
            <w:r w:rsidRPr="00675461">
              <w:rPr>
                <w:b w:val="0"/>
              </w:rPr>
              <w:t>/20</w:t>
            </w:r>
            <w:r w:rsidR="00675461">
              <w:rPr>
                <w:b w:val="0"/>
              </w:rPr>
              <w:t>2</w:t>
            </w:r>
            <w:r w:rsidR="00EC7997">
              <w:rPr>
                <w:b w:val="0"/>
              </w:rPr>
              <w:t>1</w:t>
            </w:r>
          </w:p>
        </w:tc>
      </w:tr>
    </w:tbl>
    <w:p w14:paraId="16626507" w14:textId="77777777" w:rsidR="0051778F" w:rsidRPr="00A555A7" w:rsidRDefault="0051778F" w:rsidP="00A555A7"/>
    <w:sectPr w:rsidR="0051778F" w:rsidRPr="00A555A7" w:rsidSect="00CD7140">
      <w:footerReference w:type="default" r:id="rId30"/>
      <w:pgSz w:w="11900" w:h="16840" w:code="9"/>
      <w:pgMar w:top="1701" w:right="1418" w:bottom="1701" w:left="1418" w:header="567" w:footer="851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EED8" w14:textId="77777777" w:rsidR="00E61090" w:rsidRDefault="00E61090" w:rsidP="008766A4">
      <w:r>
        <w:separator/>
      </w:r>
    </w:p>
  </w:endnote>
  <w:endnote w:type="continuationSeparator" w:id="0">
    <w:p w14:paraId="3B896324" w14:textId="77777777" w:rsidR="00E61090" w:rsidRDefault="00E61090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6F8B" w14:textId="1F01FB8A" w:rsidR="003D4CFE" w:rsidRPr="003E29B5" w:rsidRDefault="00BF5296" w:rsidP="00714E93">
    <w:pPr>
      <w:pStyle w:val="Footer"/>
    </w:pPr>
    <w:r w:rsidRPr="009F7CA2">
      <w:t xml:space="preserve">Section </w:t>
    </w:r>
    <w:r>
      <w:t>20</w:t>
    </w:r>
    <w:r w:rsidR="0068640E">
      <w:t>:</w:t>
    </w:r>
    <w:r w:rsidRPr="009F7CA2">
      <w:t xml:space="preserve"> </w:t>
    </w:r>
    <w:r>
      <w:t xml:space="preserve">Opening, Closing and Merging </w:t>
    </w:r>
    <w:r w:rsidRPr="009F7CA2">
      <w:t xml:space="preserve">| </w:t>
    </w:r>
    <w:r w:rsidR="00675461">
      <w:t>January</w:t>
    </w:r>
    <w:r w:rsidR="00DD43C7">
      <w:t xml:space="preserve"> </w:t>
    </w:r>
    <w:r w:rsidR="00675461">
      <w:t>20</w:t>
    </w:r>
    <w:r w:rsidR="00EC7997">
      <w:t>20</w:t>
    </w:r>
    <w:r>
      <w:rPr>
        <w:noProof/>
      </w:rPr>
      <w:tab/>
    </w:r>
    <w:sdt>
      <w:sdtPr>
        <w:rPr>
          <w:rFonts w:eastAsia="Arial" w:cs="Times New Roman"/>
        </w:rPr>
        <w:id w:val="2083842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eastAsia="Arial" w:cs="Times New Roman"/>
          </w:rPr>
          <w:t xml:space="preserve">Page </w:t>
        </w:r>
        <w:r w:rsidR="002A293C" w:rsidRPr="00006534">
          <w:rPr>
            <w:rFonts w:eastAsia="Arial" w:cs="Times New Roman"/>
          </w:rPr>
          <w:fldChar w:fldCharType="begin"/>
        </w:r>
        <w:r w:rsidRPr="00006534">
          <w:rPr>
            <w:rFonts w:eastAsia="Arial" w:cs="Times New Roman"/>
          </w:rPr>
          <w:instrText xml:space="preserve"> TITLE  \* MERGEFORMAT </w:instrText>
        </w:r>
        <w:r w:rsidR="002A293C" w:rsidRPr="00006534">
          <w:rPr>
            <w:rFonts w:eastAsia="Arial" w:cs="Times New Roman"/>
          </w:rPr>
          <w:fldChar w:fldCharType="end"/>
        </w:r>
        <w:r w:rsidR="002A293C" w:rsidRPr="007B2B29">
          <w:rPr>
            <w:rFonts w:eastAsia="Arial" w:cs="Times New Roman"/>
          </w:rPr>
          <w:fldChar w:fldCharType="begin"/>
        </w:r>
        <w:r w:rsidRPr="007B2B29">
          <w:rPr>
            <w:rFonts w:eastAsia="Arial" w:cs="Times New Roman"/>
          </w:rPr>
          <w:instrText xml:space="preserve"> PAGE   \* MERGEFORMAT </w:instrText>
        </w:r>
        <w:r w:rsidR="002A293C" w:rsidRPr="007B2B29">
          <w:rPr>
            <w:rFonts w:eastAsia="Arial" w:cs="Times New Roman"/>
          </w:rPr>
          <w:fldChar w:fldCharType="separate"/>
        </w:r>
        <w:r w:rsidR="003E0708">
          <w:rPr>
            <w:rFonts w:eastAsia="Arial" w:cs="Times New Roman"/>
            <w:noProof/>
          </w:rPr>
          <w:t>1</w:t>
        </w:r>
        <w:r w:rsidR="002A293C" w:rsidRPr="007B2B29">
          <w:rPr>
            <w:rFonts w:eastAsia="Arial" w:cs="Times New Roman"/>
            <w:noProof/>
          </w:rPr>
          <w:fldChar w:fldCharType="end"/>
        </w:r>
      </w:sdtContent>
    </w:sdt>
    <w:r w:rsidRPr="00BF5296" w:rsidDel="00BF5296">
      <w:rPr>
        <w:noProof/>
      </w:rPr>
      <w:t xml:space="preserve"> </w:t>
    </w:r>
    <w:r w:rsidR="003D4CFE" w:rsidRPr="00006534">
      <w:rPr>
        <w:noProof/>
        <w:lang w:eastAsia="en-AU"/>
      </w:rPr>
      <w:drawing>
        <wp:anchor distT="0" distB="0" distL="114300" distR="114300" simplePos="0" relativeHeight="251683328" behindDoc="1" locked="0" layoutInCell="1" allowOverlap="1" wp14:anchorId="44382FE5" wp14:editId="3A924C91">
          <wp:simplePos x="0" y="0"/>
          <wp:positionH relativeFrom="page">
            <wp:posOffset>762000</wp:posOffset>
          </wp:positionH>
          <wp:positionV relativeFrom="page">
            <wp:posOffset>9728200</wp:posOffset>
          </wp:positionV>
          <wp:extent cx="6627959" cy="721995"/>
          <wp:effectExtent l="0" t="0" r="1905" b="1905"/>
          <wp:wrapNone/>
          <wp:docPr id="1" name="Picture 1" descr="footer box with name of document, page number and education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959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CFE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068C" w14:textId="77777777" w:rsidR="00E61090" w:rsidRDefault="00E61090" w:rsidP="008766A4">
      <w:r>
        <w:separator/>
      </w:r>
    </w:p>
  </w:footnote>
  <w:footnote w:type="continuationSeparator" w:id="0">
    <w:p w14:paraId="519AAA56" w14:textId="77777777" w:rsidR="00E61090" w:rsidRDefault="00E61090" w:rsidP="0087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5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8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9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E42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CCC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EB78D0"/>
    <w:multiLevelType w:val="hybridMultilevel"/>
    <w:tmpl w:val="EF820D6E"/>
    <w:lvl w:ilvl="0" w:tplc="D0F02E0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57FE7"/>
    <w:multiLevelType w:val="hybridMultilevel"/>
    <w:tmpl w:val="D2386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7406E"/>
    <w:multiLevelType w:val="hybridMultilevel"/>
    <w:tmpl w:val="D4CE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64D5B"/>
    <w:multiLevelType w:val="hybridMultilevel"/>
    <w:tmpl w:val="60E837CE"/>
    <w:lvl w:ilvl="0" w:tplc="F3189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7A7B7D"/>
        <w:w w:val="14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17FD5"/>
    <w:multiLevelType w:val="hybridMultilevel"/>
    <w:tmpl w:val="A992B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F6C13"/>
    <w:multiLevelType w:val="hybridMultilevel"/>
    <w:tmpl w:val="D2386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4CAE"/>
    <w:multiLevelType w:val="hybridMultilevel"/>
    <w:tmpl w:val="3662B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E2F49"/>
    <w:multiLevelType w:val="hybridMultilevel"/>
    <w:tmpl w:val="96106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796"/>
    <w:multiLevelType w:val="hybridMultilevel"/>
    <w:tmpl w:val="1D58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D749D"/>
    <w:multiLevelType w:val="hybridMultilevel"/>
    <w:tmpl w:val="ED64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A7B32"/>
    <w:multiLevelType w:val="hybridMultilevel"/>
    <w:tmpl w:val="059EE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84301"/>
    <w:multiLevelType w:val="hybridMultilevel"/>
    <w:tmpl w:val="60064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A2504F"/>
    <w:multiLevelType w:val="hybridMultilevel"/>
    <w:tmpl w:val="3A8E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36218B"/>
    <w:multiLevelType w:val="hybridMultilevel"/>
    <w:tmpl w:val="F120EB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30"/>
  </w:num>
  <w:num w:numId="14">
    <w:abstractNumId w:val="25"/>
  </w:num>
  <w:num w:numId="15">
    <w:abstractNumId w:val="27"/>
  </w:num>
  <w:num w:numId="16">
    <w:abstractNumId w:val="16"/>
  </w:num>
  <w:num w:numId="17">
    <w:abstractNumId w:val="19"/>
  </w:num>
  <w:num w:numId="18">
    <w:abstractNumId w:val="20"/>
  </w:num>
  <w:num w:numId="19">
    <w:abstractNumId w:val="29"/>
  </w:num>
  <w:num w:numId="20">
    <w:abstractNumId w:val="15"/>
  </w:num>
  <w:num w:numId="21">
    <w:abstractNumId w:val="14"/>
  </w:num>
  <w:num w:numId="22">
    <w:abstractNumId w:val="17"/>
  </w:num>
  <w:num w:numId="23">
    <w:abstractNumId w:val="22"/>
  </w:num>
  <w:num w:numId="24">
    <w:abstractNumId w:val="21"/>
  </w:num>
  <w:num w:numId="25">
    <w:abstractNumId w:val="23"/>
  </w:num>
  <w:num w:numId="26">
    <w:abstractNumId w:val="26"/>
  </w:num>
  <w:num w:numId="27">
    <w:abstractNumId w:val="12"/>
  </w:num>
  <w:num w:numId="28">
    <w:abstractNumId w:val="24"/>
  </w:num>
  <w:num w:numId="29">
    <w:abstractNumId w:val="18"/>
  </w:num>
  <w:num w:numId="30">
    <w:abstractNumId w:val="13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038D4"/>
    <w:rsid w:val="00004FD8"/>
    <w:rsid w:val="0003247C"/>
    <w:rsid w:val="00035071"/>
    <w:rsid w:val="000366D9"/>
    <w:rsid w:val="0004209F"/>
    <w:rsid w:val="000852D5"/>
    <w:rsid w:val="00096CA9"/>
    <w:rsid w:val="000A1C9A"/>
    <w:rsid w:val="000A4D92"/>
    <w:rsid w:val="000B0506"/>
    <w:rsid w:val="000B6F69"/>
    <w:rsid w:val="000C01B4"/>
    <w:rsid w:val="000C499D"/>
    <w:rsid w:val="000C5885"/>
    <w:rsid w:val="000C68BB"/>
    <w:rsid w:val="000D5A19"/>
    <w:rsid w:val="000E4ACB"/>
    <w:rsid w:val="000F155E"/>
    <w:rsid w:val="000F47AB"/>
    <w:rsid w:val="000F4C22"/>
    <w:rsid w:val="000F6110"/>
    <w:rsid w:val="000F7966"/>
    <w:rsid w:val="00104432"/>
    <w:rsid w:val="00114F00"/>
    <w:rsid w:val="00124DC1"/>
    <w:rsid w:val="00127189"/>
    <w:rsid w:val="00127682"/>
    <w:rsid w:val="00130301"/>
    <w:rsid w:val="0013716D"/>
    <w:rsid w:val="0014310A"/>
    <w:rsid w:val="001534D7"/>
    <w:rsid w:val="001574A3"/>
    <w:rsid w:val="00163D37"/>
    <w:rsid w:val="0016676F"/>
    <w:rsid w:val="00170377"/>
    <w:rsid w:val="00181290"/>
    <w:rsid w:val="00187894"/>
    <w:rsid w:val="00193A4B"/>
    <w:rsid w:val="001948A6"/>
    <w:rsid w:val="00194FB4"/>
    <w:rsid w:val="001A6947"/>
    <w:rsid w:val="001C5C38"/>
    <w:rsid w:val="001E4436"/>
    <w:rsid w:val="001F639F"/>
    <w:rsid w:val="00210F0F"/>
    <w:rsid w:val="00213F6F"/>
    <w:rsid w:val="0022212D"/>
    <w:rsid w:val="00226B71"/>
    <w:rsid w:val="00230EF6"/>
    <w:rsid w:val="00231D0D"/>
    <w:rsid w:val="00232805"/>
    <w:rsid w:val="00234998"/>
    <w:rsid w:val="00242336"/>
    <w:rsid w:val="0024314E"/>
    <w:rsid w:val="002525C5"/>
    <w:rsid w:val="00255E0C"/>
    <w:rsid w:val="00261E81"/>
    <w:rsid w:val="00271AB6"/>
    <w:rsid w:val="00271F77"/>
    <w:rsid w:val="002839CA"/>
    <w:rsid w:val="00291EE1"/>
    <w:rsid w:val="0029780D"/>
    <w:rsid w:val="002A293C"/>
    <w:rsid w:val="002A494D"/>
    <w:rsid w:val="002B2D6F"/>
    <w:rsid w:val="002B37D8"/>
    <w:rsid w:val="002D0187"/>
    <w:rsid w:val="002F25DF"/>
    <w:rsid w:val="002F304C"/>
    <w:rsid w:val="002F47BA"/>
    <w:rsid w:val="002F4E54"/>
    <w:rsid w:val="00304007"/>
    <w:rsid w:val="0031136B"/>
    <w:rsid w:val="00313358"/>
    <w:rsid w:val="00320E5E"/>
    <w:rsid w:val="00323B39"/>
    <w:rsid w:val="00326F48"/>
    <w:rsid w:val="003302B3"/>
    <w:rsid w:val="00347714"/>
    <w:rsid w:val="00350363"/>
    <w:rsid w:val="003514AD"/>
    <w:rsid w:val="00365685"/>
    <w:rsid w:val="00366BF2"/>
    <w:rsid w:val="00371965"/>
    <w:rsid w:val="0039525C"/>
    <w:rsid w:val="003A4545"/>
    <w:rsid w:val="003A6157"/>
    <w:rsid w:val="003B01B0"/>
    <w:rsid w:val="003B28DA"/>
    <w:rsid w:val="003B43EC"/>
    <w:rsid w:val="003B5F69"/>
    <w:rsid w:val="003C7FD3"/>
    <w:rsid w:val="003D3230"/>
    <w:rsid w:val="003D4CFE"/>
    <w:rsid w:val="003D646A"/>
    <w:rsid w:val="003E0708"/>
    <w:rsid w:val="003E29B5"/>
    <w:rsid w:val="003E51EB"/>
    <w:rsid w:val="003E7FAC"/>
    <w:rsid w:val="003F2EBB"/>
    <w:rsid w:val="003F3C92"/>
    <w:rsid w:val="003F5E75"/>
    <w:rsid w:val="004177BE"/>
    <w:rsid w:val="00422933"/>
    <w:rsid w:val="0042385D"/>
    <w:rsid w:val="00434E35"/>
    <w:rsid w:val="00443FF4"/>
    <w:rsid w:val="00451C82"/>
    <w:rsid w:val="004615C4"/>
    <w:rsid w:val="00463E55"/>
    <w:rsid w:val="0047029B"/>
    <w:rsid w:val="004801D1"/>
    <w:rsid w:val="004836E4"/>
    <w:rsid w:val="0048402B"/>
    <w:rsid w:val="00487E67"/>
    <w:rsid w:val="00493E26"/>
    <w:rsid w:val="00494BC1"/>
    <w:rsid w:val="00494EB8"/>
    <w:rsid w:val="004A6764"/>
    <w:rsid w:val="004B24FF"/>
    <w:rsid w:val="004C601C"/>
    <w:rsid w:val="004C66DF"/>
    <w:rsid w:val="004D6461"/>
    <w:rsid w:val="004E6EF8"/>
    <w:rsid w:val="005023B5"/>
    <w:rsid w:val="0051778F"/>
    <w:rsid w:val="00520E55"/>
    <w:rsid w:val="00523478"/>
    <w:rsid w:val="0052649F"/>
    <w:rsid w:val="0053362B"/>
    <w:rsid w:val="00544F79"/>
    <w:rsid w:val="0054594E"/>
    <w:rsid w:val="00553170"/>
    <w:rsid w:val="005541D5"/>
    <w:rsid w:val="00560D92"/>
    <w:rsid w:val="00562B13"/>
    <w:rsid w:val="005676AA"/>
    <w:rsid w:val="005711D2"/>
    <w:rsid w:val="0057654B"/>
    <w:rsid w:val="00577AE2"/>
    <w:rsid w:val="005832B7"/>
    <w:rsid w:val="0058443C"/>
    <w:rsid w:val="00596923"/>
    <w:rsid w:val="005A0C09"/>
    <w:rsid w:val="005A1BE0"/>
    <w:rsid w:val="005A23F9"/>
    <w:rsid w:val="005B3B56"/>
    <w:rsid w:val="005C165F"/>
    <w:rsid w:val="005D1E06"/>
    <w:rsid w:val="005D6AA1"/>
    <w:rsid w:val="005D7156"/>
    <w:rsid w:val="00600EB1"/>
    <w:rsid w:val="0061125D"/>
    <w:rsid w:val="006143AF"/>
    <w:rsid w:val="0061618C"/>
    <w:rsid w:val="00621CFE"/>
    <w:rsid w:val="00622D4E"/>
    <w:rsid w:val="00623F69"/>
    <w:rsid w:val="006304EE"/>
    <w:rsid w:val="00646CD9"/>
    <w:rsid w:val="00651C93"/>
    <w:rsid w:val="006554DD"/>
    <w:rsid w:val="00657C3C"/>
    <w:rsid w:val="006724C4"/>
    <w:rsid w:val="00675461"/>
    <w:rsid w:val="00675AB7"/>
    <w:rsid w:val="0068640E"/>
    <w:rsid w:val="006935C9"/>
    <w:rsid w:val="00694524"/>
    <w:rsid w:val="00694796"/>
    <w:rsid w:val="006A4F51"/>
    <w:rsid w:val="006A4FB3"/>
    <w:rsid w:val="006B5AAD"/>
    <w:rsid w:val="006B7257"/>
    <w:rsid w:val="006B7939"/>
    <w:rsid w:val="006D1CBC"/>
    <w:rsid w:val="006D7338"/>
    <w:rsid w:val="006E2451"/>
    <w:rsid w:val="006E3951"/>
    <w:rsid w:val="006F077B"/>
    <w:rsid w:val="006F6214"/>
    <w:rsid w:val="00711670"/>
    <w:rsid w:val="0071225A"/>
    <w:rsid w:val="00714E93"/>
    <w:rsid w:val="007178F0"/>
    <w:rsid w:val="00722DD0"/>
    <w:rsid w:val="00725687"/>
    <w:rsid w:val="00727502"/>
    <w:rsid w:val="007276C8"/>
    <w:rsid w:val="0073072D"/>
    <w:rsid w:val="00751081"/>
    <w:rsid w:val="00760289"/>
    <w:rsid w:val="007640BE"/>
    <w:rsid w:val="00784798"/>
    <w:rsid w:val="007A3827"/>
    <w:rsid w:val="007C4CA4"/>
    <w:rsid w:val="007C4D0A"/>
    <w:rsid w:val="007C56A6"/>
    <w:rsid w:val="007C66EA"/>
    <w:rsid w:val="007D09D2"/>
    <w:rsid w:val="007E01DA"/>
    <w:rsid w:val="007E2162"/>
    <w:rsid w:val="007F4A35"/>
    <w:rsid w:val="007F5DF8"/>
    <w:rsid w:val="00816ED5"/>
    <w:rsid w:val="00831BB4"/>
    <w:rsid w:val="008334BF"/>
    <w:rsid w:val="00834489"/>
    <w:rsid w:val="00834BAB"/>
    <w:rsid w:val="008353ED"/>
    <w:rsid w:val="00841F2A"/>
    <w:rsid w:val="00856821"/>
    <w:rsid w:val="00866DFD"/>
    <w:rsid w:val="00870C71"/>
    <w:rsid w:val="00871EC0"/>
    <w:rsid w:val="00875079"/>
    <w:rsid w:val="008766A4"/>
    <w:rsid w:val="00877262"/>
    <w:rsid w:val="008815C2"/>
    <w:rsid w:val="00887E2D"/>
    <w:rsid w:val="008919D9"/>
    <w:rsid w:val="00895870"/>
    <w:rsid w:val="00896FF2"/>
    <w:rsid w:val="008A240B"/>
    <w:rsid w:val="008A5234"/>
    <w:rsid w:val="008B437D"/>
    <w:rsid w:val="008B7A74"/>
    <w:rsid w:val="008C0B02"/>
    <w:rsid w:val="008C6FA8"/>
    <w:rsid w:val="008D2D16"/>
    <w:rsid w:val="008D3BDE"/>
    <w:rsid w:val="008E459A"/>
    <w:rsid w:val="008F185F"/>
    <w:rsid w:val="008F3046"/>
    <w:rsid w:val="008F3B4C"/>
    <w:rsid w:val="009030AA"/>
    <w:rsid w:val="00912FEE"/>
    <w:rsid w:val="0091756B"/>
    <w:rsid w:val="00917F2A"/>
    <w:rsid w:val="00924BFF"/>
    <w:rsid w:val="009269FD"/>
    <w:rsid w:val="009279EA"/>
    <w:rsid w:val="00927DEE"/>
    <w:rsid w:val="00932D63"/>
    <w:rsid w:val="00933910"/>
    <w:rsid w:val="00936E74"/>
    <w:rsid w:val="009374AB"/>
    <w:rsid w:val="009478ED"/>
    <w:rsid w:val="009652F7"/>
    <w:rsid w:val="00967210"/>
    <w:rsid w:val="00967755"/>
    <w:rsid w:val="009731D8"/>
    <w:rsid w:val="0097421F"/>
    <w:rsid w:val="0097544E"/>
    <w:rsid w:val="00980015"/>
    <w:rsid w:val="00986052"/>
    <w:rsid w:val="009A25B7"/>
    <w:rsid w:val="009A58A8"/>
    <w:rsid w:val="009D3BB9"/>
    <w:rsid w:val="009E4078"/>
    <w:rsid w:val="009F2302"/>
    <w:rsid w:val="00A04E5A"/>
    <w:rsid w:val="00A140E9"/>
    <w:rsid w:val="00A24325"/>
    <w:rsid w:val="00A33C93"/>
    <w:rsid w:val="00A35727"/>
    <w:rsid w:val="00A379F0"/>
    <w:rsid w:val="00A45C24"/>
    <w:rsid w:val="00A555A7"/>
    <w:rsid w:val="00A62653"/>
    <w:rsid w:val="00A62D1A"/>
    <w:rsid w:val="00A74400"/>
    <w:rsid w:val="00A8302C"/>
    <w:rsid w:val="00A91881"/>
    <w:rsid w:val="00A94E33"/>
    <w:rsid w:val="00AA0A7C"/>
    <w:rsid w:val="00AB689C"/>
    <w:rsid w:val="00AD3210"/>
    <w:rsid w:val="00AD4561"/>
    <w:rsid w:val="00AE44A6"/>
    <w:rsid w:val="00AE6E06"/>
    <w:rsid w:val="00B134F9"/>
    <w:rsid w:val="00B17AF7"/>
    <w:rsid w:val="00B230DB"/>
    <w:rsid w:val="00B239F0"/>
    <w:rsid w:val="00B325DD"/>
    <w:rsid w:val="00B3306F"/>
    <w:rsid w:val="00B343C8"/>
    <w:rsid w:val="00B40154"/>
    <w:rsid w:val="00B44818"/>
    <w:rsid w:val="00B5537C"/>
    <w:rsid w:val="00B578B2"/>
    <w:rsid w:val="00B742FC"/>
    <w:rsid w:val="00B86337"/>
    <w:rsid w:val="00B9003A"/>
    <w:rsid w:val="00B949EF"/>
    <w:rsid w:val="00BB0C3B"/>
    <w:rsid w:val="00BB5F6F"/>
    <w:rsid w:val="00BC3DEC"/>
    <w:rsid w:val="00BD0FF8"/>
    <w:rsid w:val="00BF326C"/>
    <w:rsid w:val="00BF4A6F"/>
    <w:rsid w:val="00BF5296"/>
    <w:rsid w:val="00C052CB"/>
    <w:rsid w:val="00C0703F"/>
    <w:rsid w:val="00C1688C"/>
    <w:rsid w:val="00C16E5A"/>
    <w:rsid w:val="00C35ABD"/>
    <w:rsid w:val="00C40E1A"/>
    <w:rsid w:val="00C412C9"/>
    <w:rsid w:val="00C41D57"/>
    <w:rsid w:val="00C62EEA"/>
    <w:rsid w:val="00C75380"/>
    <w:rsid w:val="00C849AC"/>
    <w:rsid w:val="00C84D64"/>
    <w:rsid w:val="00C869E5"/>
    <w:rsid w:val="00C87FF8"/>
    <w:rsid w:val="00C91AC2"/>
    <w:rsid w:val="00C9521A"/>
    <w:rsid w:val="00C96775"/>
    <w:rsid w:val="00C96D19"/>
    <w:rsid w:val="00CA25F6"/>
    <w:rsid w:val="00CA7DD8"/>
    <w:rsid w:val="00CB07FD"/>
    <w:rsid w:val="00CB3722"/>
    <w:rsid w:val="00CC7F0A"/>
    <w:rsid w:val="00CD1DB8"/>
    <w:rsid w:val="00CD44D5"/>
    <w:rsid w:val="00CD7140"/>
    <w:rsid w:val="00CE1579"/>
    <w:rsid w:val="00CE6B2B"/>
    <w:rsid w:val="00D0356B"/>
    <w:rsid w:val="00D049D0"/>
    <w:rsid w:val="00D05ADD"/>
    <w:rsid w:val="00D26CF0"/>
    <w:rsid w:val="00D31299"/>
    <w:rsid w:val="00D56FBC"/>
    <w:rsid w:val="00D84C0F"/>
    <w:rsid w:val="00D84FB5"/>
    <w:rsid w:val="00DA020D"/>
    <w:rsid w:val="00DB7AE5"/>
    <w:rsid w:val="00DC426F"/>
    <w:rsid w:val="00DD43C7"/>
    <w:rsid w:val="00DD7D45"/>
    <w:rsid w:val="00DE0F00"/>
    <w:rsid w:val="00DE643D"/>
    <w:rsid w:val="00DF1C42"/>
    <w:rsid w:val="00DF3649"/>
    <w:rsid w:val="00DF5C09"/>
    <w:rsid w:val="00E12912"/>
    <w:rsid w:val="00E42E39"/>
    <w:rsid w:val="00E46AA6"/>
    <w:rsid w:val="00E5496F"/>
    <w:rsid w:val="00E61090"/>
    <w:rsid w:val="00E756D0"/>
    <w:rsid w:val="00E85EAE"/>
    <w:rsid w:val="00E97212"/>
    <w:rsid w:val="00EB6BC7"/>
    <w:rsid w:val="00EC718D"/>
    <w:rsid w:val="00EC7997"/>
    <w:rsid w:val="00EF04D3"/>
    <w:rsid w:val="00EF1BC2"/>
    <w:rsid w:val="00F10A69"/>
    <w:rsid w:val="00F16129"/>
    <w:rsid w:val="00F27799"/>
    <w:rsid w:val="00F32698"/>
    <w:rsid w:val="00F36897"/>
    <w:rsid w:val="00F37E0C"/>
    <w:rsid w:val="00F414EE"/>
    <w:rsid w:val="00F42BC1"/>
    <w:rsid w:val="00F512FA"/>
    <w:rsid w:val="00F534C5"/>
    <w:rsid w:val="00F546B5"/>
    <w:rsid w:val="00F57F74"/>
    <w:rsid w:val="00F64C5E"/>
    <w:rsid w:val="00F676E6"/>
    <w:rsid w:val="00F70CB4"/>
    <w:rsid w:val="00F7204D"/>
    <w:rsid w:val="00F84D08"/>
    <w:rsid w:val="00F85A04"/>
    <w:rsid w:val="00F85A39"/>
    <w:rsid w:val="00F91A79"/>
    <w:rsid w:val="00F93658"/>
    <w:rsid w:val="00F9398C"/>
    <w:rsid w:val="00F97B56"/>
    <w:rsid w:val="00FA0CAE"/>
    <w:rsid w:val="00FA6B94"/>
    <w:rsid w:val="00FB1204"/>
    <w:rsid w:val="00FB5C2D"/>
    <w:rsid w:val="00FC1624"/>
    <w:rsid w:val="00FC3AD5"/>
    <w:rsid w:val="00FD508A"/>
    <w:rsid w:val="00FD7308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767F1"/>
  <w15:docId w15:val="{CE8AB3A2-0167-4F88-8049-2474C4FF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924BFF"/>
    <w:pPr>
      <w:spacing w:before="120" w:line="280" w:lineRule="atLeast"/>
    </w:pPr>
    <w:rPr>
      <w:rFonts w:ascii="Arial" w:hAnsi="Arial" w:cs="Arial"/>
      <w:sz w:val="22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D4CFE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F272F"/>
      <w:sz w:val="44"/>
      <w:szCs w:val="20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2D0187"/>
    <w:pPr>
      <w:pBdr>
        <w:top w:val="single" w:sz="8" w:space="3" w:color="AF272F"/>
      </w:pBdr>
      <w:ind w:left="851" w:hanging="851"/>
      <w:outlineLvl w:val="1"/>
    </w:pPr>
    <w:rPr>
      <w:bCs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2D0187"/>
    <w:pPr>
      <w:tabs>
        <w:tab w:val="left" w:pos="851"/>
      </w:tabs>
      <w:spacing w:before="240" w:after="240"/>
      <w:outlineLvl w:val="2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CFE"/>
    <w:rPr>
      <w:rFonts w:ascii="Arial" w:eastAsiaTheme="majorEastAsia" w:hAnsi="Arial" w:cstheme="majorBidi"/>
      <w:b/>
      <w:bCs/>
      <w:color w:val="AF272F"/>
      <w:sz w:val="4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D0187"/>
    <w:rPr>
      <w:rFonts w:ascii="Arial" w:eastAsiaTheme="majorEastAsia" w:hAnsi="Arial" w:cstheme="majorBidi"/>
      <w:b/>
      <w:color w:val="AF272F"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D0187"/>
    <w:rPr>
      <w:rFonts w:ascii="Arial" w:hAnsi="Arial" w:cs="Arial"/>
      <w:b/>
      <w:color w:val="000000" w:themeColor="text1"/>
      <w:szCs w:val="18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Footer">
    <w:name w:val="footer"/>
    <w:basedOn w:val="Normal"/>
    <w:link w:val="FooterChar"/>
    <w:uiPriority w:val="99"/>
    <w:rsid w:val="00714E93"/>
    <w:pPr>
      <w:tabs>
        <w:tab w:val="right" w:pos="6804"/>
      </w:tabs>
      <w:spacing w:before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14E93"/>
    <w:rPr>
      <w:rFonts w:ascii="Arial" w:hAnsi="Arial" w:cs="Arial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qFormat/>
    <w:locked/>
    <w:rsid w:val="00326F48"/>
    <w:rPr>
      <w:i/>
      <w:iCs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locked/>
    <w:rsid w:val="00714E93"/>
    <w:pPr>
      <w:spacing w:before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14E93"/>
    <w:rPr>
      <w:rFonts w:ascii="Arial" w:hAnsi="Arial" w:cs="Arial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after="0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271F77"/>
    <w:pPr>
      <w:spacing w:after="40" w:line="240" w:lineRule="auto"/>
    </w:pPr>
    <w:rPr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210"/>
    <w:rPr>
      <w:rFonts w:ascii="Arial" w:hAnsi="Arial" w:cs="Arial"/>
      <w:sz w:val="11"/>
      <w:szCs w:val="11"/>
    </w:rPr>
  </w:style>
  <w:style w:type="paragraph" w:customStyle="1" w:styleId="NoteLevel1">
    <w:name w:val="Note Level 1"/>
    <w:basedOn w:val="Normal"/>
    <w:uiPriority w:val="99"/>
    <w:semiHidden/>
    <w:locked/>
    <w:rsid w:val="00895870"/>
    <w:pPr>
      <w:keepNext/>
      <w:ind w:left="284" w:hanging="36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locked/>
    <w:rsid w:val="00D84C0F"/>
    <w:pPr>
      <w:keepNext/>
      <w:tabs>
        <w:tab w:val="num" w:pos="-240"/>
      </w:tabs>
      <w:ind w:left="120"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semiHidden/>
    <w:locked/>
    <w:rsid w:val="00D84C0F"/>
    <w:pPr>
      <w:keepNext/>
      <w:tabs>
        <w:tab w:val="num" w:pos="480"/>
      </w:tabs>
      <w:ind w:left="840"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locked/>
    <w:rsid w:val="00D84C0F"/>
    <w:pPr>
      <w:keepNext/>
      <w:tabs>
        <w:tab w:val="num" w:pos="1200"/>
      </w:tabs>
      <w:ind w:left="1560"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locked/>
    <w:rsid w:val="00D84C0F"/>
    <w:pPr>
      <w:keepNext/>
      <w:numPr>
        <w:ilvl w:val="4"/>
        <w:numId w:val="11"/>
      </w:numPr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locked/>
    <w:rsid w:val="00D84C0F"/>
    <w:pPr>
      <w:keepNext/>
      <w:tabs>
        <w:tab w:val="num" w:pos="2640"/>
      </w:tabs>
      <w:ind w:left="3000"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semiHidden/>
    <w:locked/>
    <w:rsid w:val="00D84C0F"/>
    <w:pPr>
      <w:ind w:left="3402" w:firstLine="0"/>
    </w:pPr>
  </w:style>
  <w:style w:type="paragraph" w:customStyle="1" w:styleId="NoteLevel8">
    <w:name w:val="Note Level 8"/>
    <w:basedOn w:val="Normal"/>
    <w:uiPriority w:val="99"/>
    <w:semiHidden/>
    <w:locked/>
    <w:rsid w:val="00D84C0F"/>
    <w:pPr>
      <w:keepNext/>
      <w:numPr>
        <w:ilvl w:val="7"/>
        <w:numId w:val="11"/>
      </w:numPr>
      <w:contextualSpacing/>
      <w:outlineLvl w:val="7"/>
    </w:pPr>
  </w:style>
  <w:style w:type="character" w:styleId="FootnoteReference">
    <w:name w:val="footnote reference"/>
    <w:basedOn w:val="DefaultParagraphFont"/>
    <w:uiPriority w:val="99"/>
    <w:semiHidden/>
    <w:locked/>
    <w:rsid w:val="00271F77"/>
    <w:rPr>
      <w:color w:val="AF272F"/>
      <w:sz w:val="13"/>
      <w:szCs w:val="13"/>
      <w:vertAlign w:val="superscript"/>
    </w:rPr>
  </w:style>
  <w:style w:type="paragraph" w:customStyle="1" w:styleId="NoteLevel9">
    <w:name w:val="Note Level 9"/>
    <w:basedOn w:val="Normal"/>
    <w:uiPriority w:val="99"/>
    <w:semiHidden/>
    <w:locked/>
    <w:rsid w:val="00D84C0F"/>
    <w:pPr>
      <w:keepNext/>
      <w:numPr>
        <w:ilvl w:val="8"/>
        <w:numId w:val="11"/>
      </w:numPr>
      <w:contextualSpacing/>
      <w:outlineLvl w:val="8"/>
    </w:pPr>
  </w:style>
  <w:style w:type="paragraph" w:styleId="TOC3">
    <w:name w:val="toc 3"/>
    <w:basedOn w:val="Normal"/>
    <w:next w:val="Normal"/>
    <w:autoRedefine/>
    <w:uiPriority w:val="39"/>
    <w:semiHidden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semiHidden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semiHidden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semiHidden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semiHidden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semiHidden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semiHidden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semiHidden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semiHidden/>
    <w:locked/>
    <w:rsid w:val="00895870"/>
    <w:pPr>
      <w:ind w:left="1440"/>
    </w:pPr>
  </w:style>
  <w:style w:type="character" w:styleId="EndnoteReference">
    <w:name w:val="endnote reference"/>
    <w:uiPriority w:val="99"/>
    <w:semiHidden/>
    <w:locked/>
    <w:rsid w:val="00271F77"/>
    <w:rPr>
      <w:b w:val="0"/>
      <w:i w:val="0"/>
      <w:sz w:val="15"/>
      <w:szCs w:val="15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locked/>
    <w:rsid w:val="00927DEE"/>
    <w:rPr>
      <w:color w:val="0000FF"/>
      <w:u w:val="single"/>
    </w:rPr>
  </w:style>
  <w:style w:type="paragraph" w:styleId="ListBullet">
    <w:name w:val="List Bullet"/>
    <w:basedOn w:val="Normal"/>
    <w:uiPriority w:val="99"/>
    <w:locked/>
    <w:rsid w:val="007C4CA4"/>
    <w:pPr>
      <w:numPr>
        <w:numId w:val="27"/>
      </w:numPr>
    </w:pPr>
    <w:rPr>
      <w:rFonts w:eastAsiaTheme="minorHAnsi" w:cstheme="minorBidi"/>
      <w:szCs w:val="22"/>
    </w:rPr>
  </w:style>
  <w:style w:type="paragraph" w:styleId="ListBullet2">
    <w:name w:val="List Bullet 2"/>
    <w:basedOn w:val="Normal"/>
    <w:uiPriority w:val="99"/>
    <w:locked/>
    <w:rsid w:val="00927DEE"/>
    <w:pPr>
      <w:spacing w:before="60"/>
      <w:ind w:left="568" w:hanging="284"/>
    </w:pPr>
    <w:rPr>
      <w:rFonts w:ascii="Candara" w:eastAsiaTheme="minorHAnsi" w:hAnsi="Candara" w:cstheme="minorBidi"/>
      <w:szCs w:val="22"/>
    </w:rPr>
  </w:style>
  <w:style w:type="table" w:styleId="LightList-Accent3">
    <w:name w:val="Light List Accent 3"/>
    <w:basedOn w:val="TableNormal"/>
    <w:uiPriority w:val="61"/>
    <w:locked/>
    <w:rsid w:val="00927DEE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semiHidden/>
    <w:locked/>
    <w:rsid w:val="0051778F"/>
    <w:rPr>
      <w:color w:val="0000FF"/>
      <w:u w:val="single"/>
    </w:rPr>
  </w:style>
  <w:style w:type="paragraph" w:styleId="ListContinue">
    <w:name w:val="List Continue"/>
    <w:basedOn w:val="Normal"/>
    <w:uiPriority w:val="99"/>
    <w:unhideWhenUsed/>
    <w:locked/>
    <w:rsid w:val="0051778F"/>
    <w:pPr>
      <w:ind w:left="284"/>
    </w:pPr>
    <w:rPr>
      <w:rFonts w:ascii="Candara" w:eastAsiaTheme="minorHAnsi" w:hAnsi="Candara" w:cstheme="minorBidi"/>
      <w:szCs w:val="22"/>
    </w:rPr>
  </w:style>
  <w:style w:type="paragraph" w:styleId="BodyText">
    <w:name w:val="Body Text"/>
    <w:basedOn w:val="Normal"/>
    <w:link w:val="BodyTextChar"/>
    <w:uiPriority w:val="99"/>
    <w:unhideWhenUsed/>
    <w:locked/>
    <w:rsid w:val="0051778F"/>
    <w:pPr>
      <w:pBdr>
        <w:top w:val="single" w:sz="2" w:space="1" w:color="F79646" w:themeColor="accent6" w:shadow="1"/>
        <w:left w:val="single" w:sz="2" w:space="4" w:color="F79646" w:themeColor="accent6" w:shadow="1"/>
        <w:bottom w:val="single" w:sz="2" w:space="1" w:color="F79646" w:themeColor="accent6" w:shadow="1"/>
        <w:right w:val="single" w:sz="2" w:space="4" w:color="F79646" w:themeColor="accent6" w:shadow="1"/>
      </w:pBdr>
      <w:ind w:left="567" w:right="567"/>
    </w:pPr>
    <w:rPr>
      <w:rFonts w:ascii="Candara" w:eastAsiaTheme="minorHAnsi" w:hAnsi="Candara" w:cstheme="minorBidi"/>
      <w:b/>
      <w:color w:val="F79646" w:themeColor="accent6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1778F"/>
    <w:rPr>
      <w:rFonts w:ascii="Candara" w:eastAsiaTheme="minorHAnsi" w:hAnsi="Candara"/>
      <w:b/>
      <w:color w:val="F79646" w:themeColor="accent6"/>
      <w:szCs w:val="22"/>
      <w:lang w:val="en-AU"/>
    </w:rPr>
  </w:style>
  <w:style w:type="paragraph" w:styleId="BodyText2">
    <w:name w:val="Body Text 2"/>
    <w:basedOn w:val="Normal"/>
    <w:link w:val="BodyText2Char"/>
    <w:uiPriority w:val="99"/>
    <w:unhideWhenUsed/>
    <w:locked/>
    <w:rsid w:val="0051778F"/>
    <w:pPr>
      <w:pBdr>
        <w:top w:val="single" w:sz="2" w:space="1" w:color="F79646" w:themeColor="accent6" w:shadow="1"/>
        <w:left w:val="single" w:sz="2" w:space="4" w:color="F79646" w:themeColor="accent6" w:shadow="1"/>
        <w:bottom w:val="single" w:sz="2" w:space="1" w:color="F79646" w:themeColor="accent6" w:shadow="1"/>
        <w:right w:val="single" w:sz="2" w:space="4" w:color="F79646" w:themeColor="accent6" w:shadow="1"/>
      </w:pBdr>
      <w:ind w:left="567" w:right="567"/>
    </w:pPr>
    <w:rPr>
      <w:rFonts w:ascii="Candara" w:eastAsiaTheme="minorHAnsi" w:hAnsi="Candara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778F"/>
    <w:rPr>
      <w:rFonts w:ascii="Candara" w:eastAsiaTheme="minorHAnsi" w:hAnsi="Candara"/>
      <w:sz w:val="22"/>
      <w:szCs w:val="22"/>
      <w:lang w:val="en-AU"/>
    </w:rPr>
  </w:style>
  <w:style w:type="paragraph" w:styleId="NoSpacing">
    <w:name w:val="No Spacing"/>
    <w:uiPriority w:val="1"/>
    <w:qFormat/>
    <w:locked/>
    <w:rsid w:val="0051778F"/>
    <w:rPr>
      <w:rFonts w:ascii="Candara" w:eastAsiaTheme="minorHAnsi" w:hAnsi="Candara"/>
      <w:sz w:val="22"/>
      <w:szCs w:val="22"/>
      <w:lang w:val="en-AU"/>
    </w:rPr>
  </w:style>
  <w:style w:type="table" w:customStyle="1" w:styleId="GridTable6Colorful1">
    <w:name w:val="Grid Table 6 Colorful1"/>
    <w:basedOn w:val="TableNormal"/>
    <w:uiPriority w:val="51"/>
    <w:locked/>
    <w:rsid w:val="0051778F"/>
    <w:rPr>
      <w:rFonts w:eastAsiaTheme="minorHAns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43FF4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28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character" w:customStyle="1" w:styleId="Mention1">
    <w:name w:val="Mention1"/>
    <w:basedOn w:val="DefaultParagraphFont"/>
    <w:uiPriority w:val="99"/>
    <w:semiHidden/>
    <w:unhideWhenUsed/>
    <w:rsid w:val="0091756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qFormat/>
    <w:locked/>
    <w:rsid w:val="000D5A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A55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55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A7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55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A7"/>
    <w:rPr>
      <w:rFonts w:ascii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6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567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2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gate.eduweb.vic.gov.au/Services/IT/ITServices/ITTC/Default.aspx" TargetMode="External"/><Relationship Id="rId18" Type="http://schemas.openxmlformats.org/officeDocument/2006/relationships/hyperlink" Target="mailto:schools.finance.support@edumail.vic.gov.au" TargetMode="External"/><Relationship Id="rId26" Type="http://schemas.openxmlformats.org/officeDocument/2006/relationships/hyperlink" Target="https://edugate.eduweb.vic.gov.au/Services/IT/ITServices/ITTC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chools.finance.support@edumail.vic.gov.au" TargetMode="External"/><Relationship Id="rId7" Type="http://schemas.openxmlformats.org/officeDocument/2006/relationships/styles" Target="styles.xml"/><Relationship Id="rId12" Type="http://schemas.openxmlformats.org/officeDocument/2006/relationships/hyperlink" Target="https://edugate.eduweb.vic.gov.au/sites/i/pages/production.aspx" TargetMode="External"/><Relationship Id="rId17" Type="http://schemas.openxmlformats.org/officeDocument/2006/relationships/hyperlink" Target="mailto:schools.finance.support@edumail.vic.gov.au" TargetMode="External"/><Relationship Id="rId25" Type="http://schemas.openxmlformats.org/officeDocument/2006/relationships/hyperlink" Target="mailto:schools.finance.support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p.ato.gov.au/" TargetMode="External"/><Relationship Id="rId20" Type="http://schemas.openxmlformats.org/officeDocument/2006/relationships/hyperlink" Target="https://www.moneysmart.gov.au/tools-and-resources/find-unclaimed-money" TargetMode="External"/><Relationship Id="rId29" Type="http://schemas.openxmlformats.org/officeDocument/2006/relationships/hyperlink" Target="https://www.sro.vic.gov.au/unclaimed-mone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edugate.eduweb.vic.gov.au/Services/IT/ITServices/ITTC/Default.aspx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oneysmart.gov.au/find-unclaimed-money" TargetMode="External"/><Relationship Id="rId23" Type="http://schemas.openxmlformats.org/officeDocument/2006/relationships/hyperlink" Target="mailto:schools.finance.support@edumail.vic.gov.au" TargetMode="External"/><Relationship Id="rId28" Type="http://schemas.openxmlformats.org/officeDocument/2006/relationships/hyperlink" Target="http://www.education.vic.gov.au/school/teachers/management/finance/Pages/cases21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sro.vic.gov.au/unclaimed-money" TargetMode="External"/><Relationship Id="rId31" Type="http://schemas.openxmlformats.org/officeDocument/2006/relationships/fontTable" Target="fontTable.xml"/><Relationship Id="rId30" Type="http://schemas.openxmlformats.org/officeDocument/2006/relationships/footer" Target="footer1.xml"/><Relationship Id="rId9" Type="http://schemas.openxmlformats.org/officeDocument/2006/relationships/webSettings" Target="webSettings.xml"/><Relationship Id="rId14" Type="http://schemas.openxmlformats.org/officeDocument/2006/relationships/hyperlink" Target="http://www.sro.vic.gov.au/unclaimed-money" TargetMode="External"/><Relationship Id="rId22" Type="http://schemas.openxmlformats.org/officeDocument/2006/relationships/hyperlink" Target="https://bp.ato.gov.au/" TargetMode="External"/><Relationship Id="rId27" Type="http://schemas.openxmlformats.org/officeDocument/2006/relationships/hyperlink" Target="https://moneysmart.gov.au/find-unclaimed-mone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Finance manual for Victorian Government Schools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500c308d-f2fb-4fe0-9990-16f1afa0b8fb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FFA30-596A-4C7A-BCCC-06CAD7E94F27}"/>
</file>

<file path=customXml/itemProps4.xml><?xml version="1.0" encoding="utf-8"?>
<ds:datastoreItem xmlns:ds="http://schemas.openxmlformats.org/officeDocument/2006/customXml" ds:itemID="{463C56E0-2ED8-4EFA-8877-8BDF689CB4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C6A345-9DD5-4B74-8C63-CA9AE6A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Stacey, Kimberley C</cp:lastModifiedBy>
  <cp:revision>4</cp:revision>
  <cp:lastPrinted>2019-02-01T01:12:00Z</cp:lastPrinted>
  <dcterms:created xsi:type="dcterms:W3CDTF">2019-08-06T01:03:00Z</dcterms:created>
  <dcterms:modified xsi:type="dcterms:W3CDTF">2020-02-14T01:17:00Z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