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8ED37" w14:textId="77777777" w:rsidR="00927DEE" w:rsidRPr="00A256BD" w:rsidRDefault="00927DEE" w:rsidP="00DB6966">
      <w:pPr>
        <w:pStyle w:val="Heading1"/>
      </w:pPr>
      <w:bookmarkStart w:id="0" w:name="_Toc455499267"/>
      <w:bookmarkStart w:id="1" w:name="_Toc455499461"/>
      <w:bookmarkStart w:id="2" w:name="_Toc455501167"/>
      <w:r w:rsidRPr="00A256BD">
        <w:t xml:space="preserve">Section </w:t>
      </w:r>
      <w:r w:rsidR="006D6ECF" w:rsidRPr="00A256BD">
        <w:t>1</w:t>
      </w:r>
      <w:r w:rsidR="008A4AC9" w:rsidRPr="00A256BD">
        <w:t>8</w:t>
      </w:r>
      <w:bookmarkStart w:id="3" w:name="_GoBack"/>
      <w:bookmarkEnd w:id="3"/>
      <w:r w:rsidRPr="00A256BD">
        <w:t xml:space="preserve">: </w:t>
      </w:r>
      <w:r w:rsidR="008A4AC9" w:rsidRPr="00A256BD">
        <w:t xml:space="preserve">End of </w:t>
      </w:r>
      <w:r w:rsidR="00057527">
        <w:t xml:space="preserve">Financial </w:t>
      </w:r>
      <w:r w:rsidR="008A4AC9" w:rsidRPr="00A256BD">
        <w:t>Year</w:t>
      </w:r>
      <w:r w:rsidR="00EE4D0E">
        <w:t xml:space="preserve"> </w:t>
      </w:r>
      <w:r w:rsidR="005D249D">
        <w:t xml:space="preserve">reporting </w:t>
      </w:r>
      <w:r w:rsidR="00EE4D0E">
        <w:t xml:space="preserve">(30 June) </w:t>
      </w:r>
    </w:p>
    <w:p w14:paraId="17212223" w14:textId="77777777" w:rsidR="008A4AC9" w:rsidRPr="00245EA3" w:rsidRDefault="008A4AC9" w:rsidP="008A4AC9">
      <w:pPr>
        <w:pStyle w:val="Heading2"/>
      </w:pPr>
      <w:r>
        <w:t>18</w:t>
      </w:r>
      <w:r w:rsidRPr="00245EA3">
        <w:t>.1</w:t>
      </w:r>
      <w:r w:rsidR="00E10994">
        <w:tab/>
      </w:r>
      <w:r w:rsidRPr="00245EA3">
        <w:t>Overview</w:t>
      </w:r>
    </w:p>
    <w:p w14:paraId="6D27534E" w14:textId="77777777" w:rsidR="00057527" w:rsidRDefault="00BD3BCD" w:rsidP="00A256BD">
      <w:r w:rsidRPr="00BD3BCD">
        <w:t>Previously, End of Financial Year (30 June) procedures have predominately been based around the processing of payment summaries. However, as schools</w:t>
      </w:r>
      <w:r w:rsidR="00121CBF">
        <w:t>’</w:t>
      </w:r>
      <w:r w:rsidRPr="00BD3BCD">
        <w:t xml:space="preserve"> financial transactions form</w:t>
      </w:r>
      <w:r w:rsidR="00A256BD">
        <w:t>s</w:t>
      </w:r>
      <w:r w:rsidRPr="00BD3BCD">
        <w:t xml:space="preserve"> part of the Department’s </w:t>
      </w:r>
      <w:r w:rsidR="003F57B3">
        <w:t>A</w:t>
      </w:r>
      <w:r w:rsidRPr="00BD3BCD">
        <w:t xml:space="preserve">nnual </w:t>
      </w:r>
      <w:r w:rsidR="003F57B3">
        <w:t>R</w:t>
      </w:r>
      <w:r w:rsidRPr="00BD3BCD">
        <w:t xml:space="preserve">eport and Whole of Government Financial reporting, to increase best practice financial management in schools, additional financial information </w:t>
      </w:r>
      <w:r w:rsidR="003F57B3">
        <w:t xml:space="preserve">is </w:t>
      </w:r>
      <w:r w:rsidRPr="00BD3BCD">
        <w:t xml:space="preserve">now </w:t>
      </w:r>
      <w:r w:rsidR="003F57B3">
        <w:t xml:space="preserve">required to </w:t>
      </w:r>
      <w:r w:rsidRPr="00BD3BCD">
        <w:t>be completed</w:t>
      </w:r>
      <w:r w:rsidR="008D278A">
        <w:t>.</w:t>
      </w:r>
    </w:p>
    <w:p w14:paraId="7368DD01" w14:textId="6936D0CF" w:rsidR="00927DEE" w:rsidRPr="006F7B96" w:rsidRDefault="0078128B" w:rsidP="00A256BD">
      <w:pPr>
        <w:pStyle w:val="Heading2"/>
      </w:pPr>
      <w:r>
        <w:t>1</w:t>
      </w:r>
      <w:r w:rsidR="008A4AC9">
        <w:t>8</w:t>
      </w:r>
      <w:r>
        <w:t>.</w:t>
      </w:r>
      <w:r w:rsidR="007F09E3">
        <w:t>2</w:t>
      </w:r>
      <w:r>
        <w:tab/>
      </w:r>
      <w:r w:rsidR="00B94979">
        <w:t>Prepaid Expenses</w:t>
      </w:r>
    </w:p>
    <w:p w14:paraId="18F37650" w14:textId="76F586A3" w:rsidR="00932654" w:rsidRPr="002A00EF" w:rsidRDefault="00932654" w:rsidP="00932654">
      <w:pPr>
        <w:pStyle w:val="Heading3"/>
      </w:pPr>
      <w:r w:rsidRPr="002A00EF">
        <w:t>1</w:t>
      </w:r>
      <w:r>
        <w:t>8</w:t>
      </w:r>
      <w:r w:rsidRPr="002A00EF">
        <w:t>.</w:t>
      </w:r>
      <w:r w:rsidR="007F09E3">
        <w:t>2</w:t>
      </w:r>
      <w:r>
        <w:t>.1</w:t>
      </w:r>
      <w:r>
        <w:tab/>
      </w:r>
      <w:r w:rsidRPr="002A00EF">
        <w:t>Mandatory policy (</w:t>
      </w:r>
      <w:r>
        <w:t>Must do</w:t>
      </w:r>
      <w:r w:rsidRPr="002A00EF">
        <w:t>)</w:t>
      </w:r>
      <w: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0F2190" w:rsidRPr="0091756B" w14:paraId="55CFA7C5" w14:textId="02FC162A" w:rsidTr="004138D4">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5EEDE2" w14:textId="77777777" w:rsidR="000F2190" w:rsidRPr="00D60EB6" w:rsidRDefault="000F2190" w:rsidP="00EF64C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D8B512" w14:textId="77777777" w:rsidR="000F2190" w:rsidRPr="0006343D" w:rsidRDefault="000F2190" w:rsidP="00EF64C9">
            <w:pPr>
              <w:rPr>
                <w:b/>
                <w:sz w:val="20"/>
                <w:szCs w:val="20"/>
              </w:rPr>
            </w:pPr>
            <w:r w:rsidRPr="0006343D">
              <w:rPr>
                <w:b/>
                <w:sz w:val="20"/>
                <w:szCs w:val="20"/>
              </w:rPr>
              <w:t>Information</w:t>
            </w:r>
          </w:p>
        </w:tc>
        <w:tc>
          <w:tcPr>
            <w:tcW w:w="788" w:type="dxa"/>
            <w:tcBorders>
              <w:top w:val="nil"/>
              <w:left w:val="single" w:sz="4" w:space="0" w:color="auto"/>
              <w:bottom w:val="single" w:sz="4" w:space="0" w:color="auto"/>
              <w:right w:val="nil"/>
            </w:tcBorders>
          </w:tcPr>
          <w:p w14:paraId="1BEAEB0E" w14:textId="77777777" w:rsidR="000F2190" w:rsidRPr="00D60EB6" w:rsidRDefault="000F2190" w:rsidP="00EF64C9">
            <w:pPr>
              <w:rPr>
                <w:b/>
              </w:rPr>
            </w:pPr>
          </w:p>
        </w:tc>
      </w:tr>
      <w:tr w:rsidR="000F2190" w:rsidRPr="00EC7D90" w14:paraId="648BF81A" w14:textId="1E48287F"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4F0E93C8" w14:textId="443B1B91" w:rsidR="000F2190" w:rsidRPr="00FE581C" w:rsidRDefault="000F2190" w:rsidP="007F09E3">
            <w:pPr>
              <w:rPr>
                <w:rFonts w:eastAsiaTheme="minorHAnsi"/>
              </w:rPr>
            </w:pPr>
            <w:r>
              <w:rPr>
                <w:rFonts w:eastAsiaTheme="minorHAnsi"/>
              </w:rPr>
              <w:t>18.</w:t>
            </w:r>
            <w:r w:rsidR="007F09E3">
              <w:rPr>
                <w:rFonts w:eastAsiaTheme="minorHAnsi"/>
              </w:rPr>
              <w:t>2</w:t>
            </w:r>
            <w:r>
              <w:rPr>
                <w:rFonts w:eastAsiaTheme="minorHAnsi"/>
              </w:rPr>
              <w:t>.1.1</w:t>
            </w:r>
          </w:p>
        </w:tc>
        <w:tc>
          <w:tcPr>
            <w:tcW w:w="7088" w:type="dxa"/>
            <w:tcBorders>
              <w:top w:val="single" w:sz="4" w:space="0" w:color="auto"/>
              <w:left w:val="single" w:sz="4" w:space="0" w:color="auto"/>
              <w:bottom w:val="single" w:sz="4" w:space="0" w:color="auto"/>
              <w:right w:val="single" w:sz="4" w:space="0" w:color="auto"/>
            </w:tcBorders>
          </w:tcPr>
          <w:p w14:paraId="7D484CC0" w14:textId="77777777" w:rsidR="000F2190" w:rsidRDefault="000F2190" w:rsidP="006940DD">
            <w:pPr>
              <w:rPr>
                <w:b/>
              </w:rPr>
            </w:pPr>
            <w:r>
              <w:t>Regularly re</w:t>
            </w:r>
            <w:r w:rsidRPr="00565F86">
              <w:t xml:space="preserve">view all </w:t>
            </w:r>
            <w:r>
              <w:t>prepaid expense balances to ensure that only current balances are recognised in CASES21 using the relevant Chart of Account code 12005 Prepaid expenses.</w:t>
            </w:r>
          </w:p>
          <w:p w14:paraId="59B54D92" w14:textId="77777777" w:rsidR="000F2190" w:rsidRPr="004138D4" w:rsidRDefault="000F2190" w:rsidP="006E2664"/>
          <w:p w14:paraId="1B6DC291" w14:textId="77777777" w:rsidR="000F2190" w:rsidRPr="004138D4" w:rsidRDefault="000F2190" w:rsidP="004138D4">
            <w:pPr>
              <w:jc w:val="center"/>
            </w:pPr>
          </w:p>
        </w:tc>
        <w:tc>
          <w:tcPr>
            <w:tcW w:w="788" w:type="dxa"/>
            <w:tcBorders>
              <w:top w:val="single" w:sz="4" w:space="0" w:color="auto"/>
              <w:left w:val="single" w:sz="4" w:space="0" w:color="auto"/>
              <w:bottom w:val="single" w:sz="4" w:space="0" w:color="auto"/>
              <w:right w:val="single" w:sz="4" w:space="0" w:color="auto"/>
            </w:tcBorders>
          </w:tcPr>
          <w:p w14:paraId="5146414A" w14:textId="77777777" w:rsidR="000F2190" w:rsidRDefault="000F2190" w:rsidP="006940DD"/>
        </w:tc>
      </w:tr>
    </w:tbl>
    <w:p w14:paraId="68B9EEBC" w14:textId="2A9D695C" w:rsidR="00057527" w:rsidRPr="00457903" w:rsidRDefault="00057527" w:rsidP="00057527">
      <w:pPr>
        <w:pStyle w:val="Heading2"/>
      </w:pPr>
      <w:r w:rsidRPr="006A2E12">
        <w:t>18.</w:t>
      </w:r>
      <w:r w:rsidR="007F09E3">
        <w:t>3</w:t>
      </w:r>
      <w:r w:rsidRPr="006A2E12">
        <w:tab/>
        <w:t>Accounts receivable and payable balances (ageing balances</w:t>
      </w:r>
      <w:r w:rsidRPr="00457903">
        <w:t>)</w:t>
      </w:r>
    </w:p>
    <w:p w14:paraId="400894B6" w14:textId="73DFC689" w:rsidR="00CB1AF9" w:rsidRPr="00480F63" w:rsidRDefault="006D6ECF" w:rsidP="00480F63">
      <w:pPr>
        <w:pStyle w:val="Heading3"/>
      </w:pPr>
      <w:r w:rsidRPr="00480F63">
        <w:t>1</w:t>
      </w:r>
      <w:r w:rsidR="003D7EA0" w:rsidRPr="00480F63">
        <w:t>8.</w:t>
      </w:r>
      <w:r w:rsidR="007F09E3">
        <w:t>3</w:t>
      </w:r>
      <w:r w:rsidR="003D7EA0" w:rsidRPr="00480F63">
        <w:t>.1</w:t>
      </w:r>
      <w:r w:rsidR="0078128B" w:rsidRPr="00480F63">
        <w:tab/>
      </w:r>
      <w:r w:rsidR="00CB1AF9" w:rsidRPr="00480F63">
        <w:t>Overview</w:t>
      </w:r>
    </w:p>
    <w:p w14:paraId="243DF1F8" w14:textId="77777777" w:rsidR="00932654" w:rsidRPr="00CA54BA" w:rsidRDefault="00480F63" w:rsidP="006A2E12">
      <w:r w:rsidRPr="00CA54BA">
        <w:t>A</w:t>
      </w:r>
      <w:r w:rsidR="00932654" w:rsidRPr="00CA54BA">
        <w:t>s part of best practice financial management</w:t>
      </w:r>
      <w:r w:rsidRPr="00CA54BA">
        <w:t>, schools are required</w:t>
      </w:r>
      <w:r w:rsidR="00932654" w:rsidRPr="00CA54BA">
        <w:t xml:space="preserve"> to review all accounts receivable and accounts payable balances on a regular basis. This includes reviewing invoices processed in accounts receivable (families and sundry debtors) and accounts payable (creditors) to ensure the most accurate and up-to-date information is available.</w:t>
      </w:r>
      <w:r w:rsidR="0001121B" w:rsidRPr="00CA54BA">
        <w:t xml:space="preserve"> This practice will ensure that financial reports do not include </w:t>
      </w:r>
      <w:r w:rsidR="008871FD" w:rsidRPr="00CA54BA">
        <w:t xml:space="preserve">revenue </w:t>
      </w:r>
      <w:r w:rsidR="00121CBF">
        <w:t>that</w:t>
      </w:r>
      <w:r w:rsidR="0001121B" w:rsidRPr="00CA54BA">
        <w:t xml:space="preserve"> will not be collected</w:t>
      </w:r>
      <w:r w:rsidR="003D7EA0" w:rsidRPr="00CA54BA">
        <w:t>.</w:t>
      </w:r>
    </w:p>
    <w:p w14:paraId="7778877D" w14:textId="6AD066FC" w:rsidR="009B4EE0" w:rsidRDefault="006D6ECF" w:rsidP="006F7B96">
      <w:pPr>
        <w:pStyle w:val="Heading3"/>
      </w:pPr>
      <w:r w:rsidRPr="002A00EF">
        <w:t>1</w:t>
      </w:r>
      <w:r w:rsidR="003D7EA0">
        <w:t>8</w:t>
      </w:r>
      <w:r w:rsidRPr="002A00EF">
        <w:t>.</w:t>
      </w:r>
      <w:r w:rsidR="007F09E3">
        <w:t>3</w:t>
      </w:r>
      <w:r w:rsidRPr="002A00EF">
        <w:t>.2</w:t>
      </w:r>
      <w:r w:rsidR="0078128B">
        <w:tab/>
      </w:r>
      <w:r w:rsidR="009B4EE0" w:rsidRPr="002A00EF">
        <w:t>Mandatory policy (</w:t>
      </w:r>
      <w:r w:rsidR="00826440">
        <w:t>Must do</w:t>
      </w:r>
      <w:r w:rsidR="009B4EE0" w:rsidRPr="002A00EF">
        <w:t>)</w:t>
      </w:r>
      <w:r w:rsidR="0078128B">
        <w:t>:</w:t>
      </w:r>
    </w:p>
    <w:p w14:paraId="65F2C2CA" w14:textId="77777777" w:rsidR="00F81106" w:rsidRPr="009C4DC7" w:rsidRDefault="00224C0C" w:rsidP="00A509B6">
      <w:pPr>
        <w:pStyle w:val="Heading3"/>
      </w:pPr>
      <w:r>
        <w:t>Account Receivable balances</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0F2190" w:rsidRPr="0091756B" w14:paraId="1169A9C1" w14:textId="77777777" w:rsidTr="004138D4">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F60E57" w14:textId="77777777" w:rsidR="000F2190" w:rsidRPr="00D60EB6" w:rsidRDefault="000F2190" w:rsidP="00EF64C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910DC0" w14:textId="77777777" w:rsidR="000F2190" w:rsidRPr="0006343D" w:rsidRDefault="000F2190" w:rsidP="00EF64C9">
            <w:pPr>
              <w:rPr>
                <w:b/>
                <w:sz w:val="20"/>
                <w:szCs w:val="20"/>
              </w:rPr>
            </w:pPr>
            <w:r w:rsidRPr="0006343D">
              <w:rPr>
                <w:b/>
                <w:sz w:val="20"/>
                <w:szCs w:val="20"/>
              </w:rPr>
              <w:t>Information</w:t>
            </w:r>
          </w:p>
        </w:tc>
        <w:tc>
          <w:tcPr>
            <w:tcW w:w="930" w:type="dxa"/>
            <w:tcBorders>
              <w:top w:val="nil"/>
              <w:left w:val="single" w:sz="4" w:space="0" w:color="auto"/>
              <w:bottom w:val="single" w:sz="4" w:space="0" w:color="auto"/>
              <w:right w:val="nil"/>
            </w:tcBorders>
          </w:tcPr>
          <w:p w14:paraId="45C89B3F" w14:textId="77777777" w:rsidR="000F2190" w:rsidRPr="00D60EB6" w:rsidRDefault="000F2190" w:rsidP="00EF64C9">
            <w:pPr>
              <w:rPr>
                <w:b/>
              </w:rPr>
            </w:pPr>
          </w:p>
        </w:tc>
      </w:tr>
      <w:tr w:rsidR="000F2190" w:rsidRPr="00F81106" w14:paraId="1186B80F" w14:textId="3BF8A86A"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2D27AD4E" w14:textId="580BBD11" w:rsidR="000F2190" w:rsidRPr="00F81106" w:rsidRDefault="000F2190" w:rsidP="007F09E3">
            <w:r w:rsidRPr="00F81106">
              <w:t>18.</w:t>
            </w:r>
            <w:r w:rsidR="007F09E3">
              <w:t>3</w:t>
            </w:r>
            <w:r w:rsidRPr="00F81106">
              <w:t>.2.1</w:t>
            </w:r>
          </w:p>
        </w:tc>
        <w:tc>
          <w:tcPr>
            <w:tcW w:w="7088" w:type="dxa"/>
            <w:tcBorders>
              <w:top w:val="single" w:sz="4" w:space="0" w:color="auto"/>
              <w:left w:val="single" w:sz="4" w:space="0" w:color="auto"/>
              <w:bottom w:val="single" w:sz="4" w:space="0" w:color="auto"/>
              <w:right w:val="single" w:sz="4" w:space="0" w:color="auto"/>
            </w:tcBorders>
          </w:tcPr>
          <w:p w14:paraId="66304EB8" w14:textId="77777777" w:rsidR="000F2190" w:rsidRPr="00F81106" w:rsidRDefault="000F2190" w:rsidP="006A2E12">
            <w:r w:rsidRPr="00F81106">
              <w:t>Must ensure that invoices relating to the month of June are entered by the 30 June into CASES21 Accounts Receivable</w:t>
            </w:r>
            <w:r>
              <w:t xml:space="preserve"> module</w:t>
            </w:r>
            <w:r w:rsidRPr="00F81106">
              <w:t xml:space="preserve">.  </w:t>
            </w:r>
          </w:p>
        </w:tc>
        <w:tc>
          <w:tcPr>
            <w:tcW w:w="930" w:type="dxa"/>
            <w:tcBorders>
              <w:top w:val="single" w:sz="4" w:space="0" w:color="auto"/>
              <w:left w:val="single" w:sz="4" w:space="0" w:color="auto"/>
              <w:bottom w:val="single" w:sz="4" w:space="0" w:color="auto"/>
              <w:right w:val="single" w:sz="4" w:space="0" w:color="auto"/>
            </w:tcBorders>
          </w:tcPr>
          <w:p w14:paraId="4D61ACE5" w14:textId="77777777" w:rsidR="000F2190" w:rsidRPr="00F81106" w:rsidRDefault="000F2190" w:rsidP="006A2E12"/>
        </w:tc>
      </w:tr>
      <w:tr w:rsidR="000F2190" w:rsidRPr="00F81106" w14:paraId="18671D38" w14:textId="3732A47C"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784FCC1F" w14:textId="55612831" w:rsidR="000F2190" w:rsidRPr="00F81106" w:rsidRDefault="000F2190" w:rsidP="003F57B3">
            <w:r w:rsidRPr="007773DB">
              <w:lastRenderedPageBreak/>
              <w:t>18.</w:t>
            </w:r>
            <w:r w:rsidR="007F09E3">
              <w:t>3</w:t>
            </w:r>
            <w:r w:rsidRPr="007773DB">
              <w:t>.2.</w:t>
            </w:r>
            <w:r>
              <w:t>2</w:t>
            </w:r>
          </w:p>
        </w:tc>
        <w:tc>
          <w:tcPr>
            <w:tcW w:w="7088" w:type="dxa"/>
            <w:tcBorders>
              <w:top w:val="single" w:sz="4" w:space="0" w:color="auto"/>
              <w:left w:val="single" w:sz="4" w:space="0" w:color="auto"/>
              <w:bottom w:val="single" w:sz="4" w:space="0" w:color="auto"/>
              <w:right w:val="single" w:sz="4" w:space="0" w:color="auto"/>
            </w:tcBorders>
          </w:tcPr>
          <w:p w14:paraId="2856B5B4" w14:textId="77777777" w:rsidR="000F2190" w:rsidRPr="00F81106" w:rsidRDefault="000F2190" w:rsidP="003F57B3">
            <w:r w:rsidRPr="007773DB">
              <w:t>All account receivable balances must be reviewed to ensure only current balances are recognised in CASES21 Accounts Receivable module.</w:t>
            </w:r>
          </w:p>
        </w:tc>
        <w:tc>
          <w:tcPr>
            <w:tcW w:w="930" w:type="dxa"/>
            <w:tcBorders>
              <w:top w:val="single" w:sz="4" w:space="0" w:color="auto"/>
              <w:left w:val="single" w:sz="4" w:space="0" w:color="auto"/>
              <w:bottom w:val="single" w:sz="4" w:space="0" w:color="auto"/>
              <w:right w:val="single" w:sz="4" w:space="0" w:color="auto"/>
            </w:tcBorders>
          </w:tcPr>
          <w:p w14:paraId="2CDCF3FA" w14:textId="77777777" w:rsidR="000F2190" w:rsidRPr="007773DB" w:rsidRDefault="000F2190" w:rsidP="003F57B3"/>
        </w:tc>
      </w:tr>
      <w:tr w:rsidR="000F2190" w:rsidRPr="00F81106" w14:paraId="05624A82" w14:textId="338889E0"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1134" w:type="dxa"/>
            <w:tcBorders>
              <w:top w:val="single" w:sz="4" w:space="0" w:color="auto"/>
              <w:left w:val="single" w:sz="4" w:space="0" w:color="auto"/>
              <w:bottom w:val="single" w:sz="4" w:space="0" w:color="auto"/>
              <w:right w:val="single" w:sz="4" w:space="0" w:color="auto"/>
            </w:tcBorders>
          </w:tcPr>
          <w:p w14:paraId="46D89EDF" w14:textId="0B4FB2AD" w:rsidR="000F2190" w:rsidRPr="00F81106" w:rsidRDefault="000F2190" w:rsidP="003F57B3">
            <w:r w:rsidRPr="00F81106">
              <w:t>18.</w:t>
            </w:r>
            <w:r w:rsidR="007F09E3">
              <w:t>3</w:t>
            </w:r>
            <w:r w:rsidRPr="00F81106">
              <w:t>.2.</w:t>
            </w:r>
            <w:r>
              <w:t>3</w:t>
            </w:r>
          </w:p>
        </w:tc>
        <w:tc>
          <w:tcPr>
            <w:tcW w:w="7088" w:type="dxa"/>
            <w:tcBorders>
              <w:top w:val="single" w:sz="4" w:space="0" w:color="auto"/>
              <w:left w:val="single" w:sz="4" w:space="0" w:color="auto"/>
              <w:bottom w:val="single" w:sz="4" w:space="0" w:color="auto"/>
              <w:right w:val="single" w:sz="4" w:space="0" w:color="auto"/>
            </w:tcBorders>
          </w:tcPr>
          <w:p w14:paraId="7F53AD52" w14:textId="77777777" w:rsidR="000F2190" w:rsidRPr="00F81106" w:rsidRDefault="000F2190" w:rsidP="006A2E12">
            <w:r w:rsidRPr="00F81106">
              <w:t>As part of the end of financial year (30 June) schools must review all outstanding invoices</w:t>
            </w:r>
            <w:r>
              <w:t xml:space="preserve">, especially </w:t>
            </w:r>
            <w:r w:rsidRPr="00F81106">
              <w:t>old invoices in families and sundry debtor charges (ageing balances).</w:t>
            </w:r>
            <w:r>
              <w:t xml:space="preserve"> This review is undertaken to determine why they have not been collected and why they remain outstanding.</w:t>
            </w:r>
          </w:p>
        </w:tc>
        <w:tc>
          <w:tcPr>
            <w:tcW w:w="930" w:type="dxa"/>
            <w:tcBorders>
              <w:top w:val="single" w:sz="4" w:space="0" w:color="auto"/>
              <w:left w:val="single" w:sz="4" w:space="0" w:color="auto"/>
              <w:bottom w:val="single" w:sz="4" w:space="0" w:color="auto"/>
              <w:right w:val="single" w:sz="4" w:space="0" w:color="auto"/>
            </w:tcBorders>
          </w:tcPr>
          <w:p w14:paraId="181E17DD" w14:textId="77777777" w:rsidR="000F2190" w:rsidRPr="00F81106" w:rsidRDefault="000F2190" w:rsidP="006A2E12"/>
        </w:tc>
      </w:tr>
      <w:tr w:rsidR="000F2190" w:rsidRPr="00F81106" w14:paraId="755F73FF" w14:textId="558649AF"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1134" w:type="dxa"/>
            <w:tcBorders>
              <w:top w:val="single" w:sz="4" w:space="0" w:color="auto"/>
              <w:left w:val="single" w:sz="4" w:space="0" w:color="auto"/>
              <w:bottom w:val="single" w:sz="4" w:space="0" w:color="auto"/>
              <w:right w:val="single" w:sz="4" w:space="0" w:color="auto"/>
            </w:tcBorders>
          </w:tcPr>
          <w:p w14:paraId="26D1186C" w14:textId="0B864648" w:rsidR="000F2190" w:rsidRPr="00F81106" w:rsidRDefault="000F2190" w:rsidP="003F57B3">
            <w:r w:rsidRPr="00F81106">
              <w:t>18.</w:t>
            </w:r>
            <w:r w:rsidR="007F09E3">
              <w:t>3</w:t>
            </w:r>
            <w:r w:rsidRPr="00F81106">
              <w:t>.2.</w:t>
            </w:r>
            <w:r>
              <w:t>4</w:t>
            </w:r>
          </w:p>
        </w:tc>
        <w:tc>
          <w:tcPr>
            <w:tcW w:w="7088" w:type="dxa"/>
            <w:tcBorders>
              <w:top w:val="single" w:sz="4" w:space="0" w:color="auto"/>
              <w:left w:val="single" w:sz="4" w:space="0" w:color="auto"/>
              <w:bottom w:val="single" w:sz="4" w:space="0" w:color="auto"/>
              <w:right w:val="single" w:sz="4" w:space="0" w:color="auto"/>
            </w:tcBorders>
          </w:tcPr>
          <w:p w14:paraId="3EA2ADBE" w14:textId="77777777" w:rsidR="000F2190" w:rsidRPr="00F81106" w:rsidRDefault="000F2190" w:rsidP="006A2E12">
            <w:r w:rsidRPr="00F81106">
              <w:t xml:space="preserve">Write off any invoices that are unlikely to be collected and deemed unrecoverable. For example, students who did not attend an excursion or camp </w:t>
            </w:r>
            <w:r>
              <w:t xml:space="preserve">will have </w:t>
            </w:r>
            <w:r w:rsidRPr="00F81106">
              <w:t xml:space="preserve">outstanding invoices </w:t>
            </w:r>
            <w:r>
              <w:t xml:space="preserve">that </w:t>
            </w:r>
            <w:r w:rsidRPr="00F81106">
              <w:t>will not be paid by these families.</w:t>
            </w:r>
          </w:p>
        </w:tc>
        <w:tc>
          <w:tcPr>
            <w:tcW w:w="930" w:type="dxa"/>
            <w:tcBorders>
              <w:top w:val="single" w:sz="4" w:space="0" w:color="auto"/>
              <w:left w:val="single" w:sz="4" w:space="0" w:color="auto"/>
              <w:bottom w:val="single" w:sz="4" w:space="0" w:color="auto"/>
              <w:right w:val="single" w:sz="4" w:space="0" w:color="auto"/>
            </w:tcBorders>
          </w:tcPr>
          <w:p w14:paraId="1BC59498" w14:textId="77777777" w:rsidR="000F2190" w:rsidRPr="00F81106" w:rsidRDefault="000F2190" w:rsidP="006A2E12"/>
        </w:tc>
      </w:tr>
    </w:tbl>
    <w:p w14:paraId="69F204A8" w14:textId="3942EACF" w:rsidR="00D95211" w:rsidRDefault="00D95211">
      <w:pPr>
        <w:spacing w:before="0" w:line="240" w:lineRule="auto"/>
        <w:rPr>
          <w:b/>
          <w:color w:val="000000" w:themeColor="text1"/>
          <w:sz w:val="24"/>
        </w:rPr>
      </w:pPr>
    </w:p>
    <w:p w14:paraId="04A99E17" w14:textId="77777777" w:rsidR="00F81106" w:rsidRPr="009C4DC7" w:rsidRDefault="00224C0C" w:rsidP="00A509B6">
      <w:pPr>
        <w:pStyle w:val="Heading3"/>
      </w:pPr>
      <w:r>
        <w:t>Accounts Payable balances</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0F2190" w:rsidRPr="0091756B" w14:paraId="40E980B4" w14:textId="4A66BB31" w:rsidTr="004138D4">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64FF" w14:textId="77777777" w:rsidR="000F2190" w:rsidRPr="00D60EB6" w:rsidRDefault="000F2190" w:rsidP="00EF64C9">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B447E67" w14:textId="77777777" w:rsidR="000F2190" w:rsidRPr="0006343D" w:rsidRDefault="000F2190" w:rsidP="00EF64C9">
            <w:pPr>
              <w:rPr>
                <w:b/>
                <w:sz w:val="20"/>
                <w:szCs w:val="20"/>
              </w:rPr>
            </w:pPr>
            <w:r w:rsidRPr="0006343D">
              <w:rPr>
                <w:b/>
                <w:sz w:val="20"/>
                <w:szCs w:val="20"/>
              </w:rPr>
              <w:t>Information</w:t>
            </w:r>
          </w:p>
        </w:tc>
        <w:tc>
          <w:tcPr>
            <w:tcW w:w="930" w:type="dxa"/>
            <w:tcBorders>
              <w:top w:val="nil"/>
              <w:left w:val="single" w:sz="4" w:space="0" w:color="auto"/>
              <w:bottom w:val="single" w:sz="4" w:space="0" w:color="auto"/>
              <w:right w:val="nil"/>
            </w:tcBorders>
          </w:tcPr>
          <w:p w14:paraId="62281D57" w14:textId="77777777" w:rsidR="000F2190" w:rsidRPr="00D60EB6" w:rsidRDefault="000F2190" w:rsidP="00EF64C9">
            <w:pPr>
              <w:rPr>
                <w:b/>
              </w:rPr>
            </w:pPr>
          </w:p>
        </w:tc>
      </w:tr>
      <w:tr w:rsidR="000F2190" w:rsidRPr="00F81106" w14:paraId="7DCF9F0D" w14:textId="37FA8AF1"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4"/>
        </w:trPr>
        <w:tc>
          <w:tcPr>
            <w:tcW w:w="1134" w:type="dxa"/>
            <w:tcBorders>
              <w:top w:val="single" w:sz="4" w:space="0" w:color="auto"/>
              <w:left w:val="single" w:sz="4" w:space="0" w:color="auto"/>
              <w:bottom w:val="single" w:sz="4" w:space="0" w:color="auto"/>
              <w:right w:val="single" w:sz="4" w:space="0" w:color="auto"/>
            </w:tcBorders>
          </w:tcPr>
          <w:p w14:paraId="7A2291E6" w14:textId="5736D8F2" w:rsidR="000F2190" w:rsidRPr="00F81106" w:rsidRDefault="000F2190" w:rsidP="003F57B3">
            <w:r w:rsidRPr="00F81106">
              <w:t>18.</w:t>
            </w:r>
            <w:r w:rsidR="007F09E3">
              <w:t>3</w:t>
            </w:r>
            <w:r w:rsidRPr="00F81106">
              <w:t>.2.</w:t>
            </w:r>
            <w:r>
              <w:t>5</w:t>
            </w:r>
          </w:p>
        </w:tc>
        <w:tc>
          <w:tcPr>
            <w:tcW w:w="7088" w:type="dxa"/>
            <w:tcBorders>
              <w:top w:val="single" w:sz="4" w:space="0" w:color="auto"/>
              <w:left w:val="single" w:sz="4" w:space="0" w:color="auto"/>
              <w:bottom w:val="single" w:sz="4" w:space="0" w:color="auto"/>
              <w:right w:val="single" w:sz="4" w:space="0" w:color="auto"/>
            </w:tcBorders>
          </w:tcPr>
          <w:p w14:paraId="1B441194" w14:textId="77777777" w:rsidR="000F2190" w:rsidRPr="00F81106" w:rsidRDefault="000F2190" w:rsidP="006A2E12">
            <w:r w:rsidRPr="00F81106">
              <w:t>Must ensure that all unpaid invoices as at the 30 June have been entered into the month of June in CASES21 Accounts Payable</w:t>
            </w:r>
            <w:r>
              <w:t xml:space="preserve"> module. </w:t>
            </w:r>
            <w:r w:rsidRPr="00F81106">
              <w:t>This does not mean that the payment needs to be made from the bank, only that the invoices received are entered into CASES21. Payments are still made within the terms of the purchase.</w:t>
            </w:r>
          </w:p>
        </w:tc>
        <w:tc>
          <w:tcPr>
            <w:tcW w:w="930" w:type="dxa"/>
            <w:tcBorders>
              <w:top w:val="single" w:sz="4" w:space="0" w:color="auto"/>
              <w:left w:val="single" w:sz="4" w:space="0" w:color="auto"/>
              <w:bottom w:val="single" w:sz="4" w:space="0" w:color="auto"/>
              <w:right w:val="single" w:sz="4" w:space="0" w:color="auto"/>
            </w:tcBorders>
          </w:tcPr>
          <w:p w14:paraId="21B10E74" w14:textId="77777777" w:rsidR="000F2190" w:rsidRPr="00F81106" w:rsidRDefault="000F2190" w:rsidP="006A2E12"/>
        </w:tc>
      </w:tr>
      <w:tr w:rsidR="000F2190" w:rsidRPr="00F81106" w14:paraId="060EC473" w14:textId="208435E2"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2115B960" w14:textId="6E2D9C45" w:rsidR="000F2190" w:rsidRPr="00F81106" w:rsidRDefault="000F2190" w:rsidP="003F57B3">
            <w:r w:rsidRPr="00F81106">
              <w:t>18.</w:t>
            </w:r>
            <w:r w:rsidR="007F09E3">
              <w:t>3</w:t>
            </w:r>
            <w:r w:rsidRPr="00F81106">
              <w:t>.2.</w:t>
            </w:r>
            <w:r>
              <w:t>6</w:t>
            </w:r>
          </w:p>
        </w:tc>
        <w:tc>
          <w:tcPr>
            <w:tcW w:w="7088" w:type="dxa"/>
            <w:tcBorders>
              <w:top w:val="single" w:sz="4" w:space="0" w:color="auto"/>
              <w:left w:val="single" w:sz="4" w:space="0" w:color="auto"/>
              <w:bottom w:val="single" w:sz="4" w:space="0" w:color="auto"/>
              <w:right w:val="single" w:sz="4" w:space="0" w:color="auto"/>
            </w:tcBorders>
          </w:tcPr>
          <w:p w14:paraId="597550E5" w14:textId="77777777" w:rsidR="000F2190" w:rsidRPr="00F81106" w:rsidRDefault="000F2190" w:rsidP="006A2E12">
            <w:r w:rsidRPr="00F81106">
              <w:t>It is recommended that all account payable balances be reviewed to ensure only current balances are recognised in CASES21.</w:t>
            </w:r>
          </w:p>
        </w:tc>
        <w:tc>
          <w:tcPr>
            <w:tcW w:w="930" w:type="dxa"/>
            <w:tcBorders>
              <w:top w:val="single" w:sz="4" w:space="0" w:color="auto"/>
              <w:left w:val="single" w:sz="4" w:space="0" w:color="auto"/>
              <w:bottom w:val="single" w:sz="4" w:space="0" w:color="auto"/>
              <w:right w:val="single" w:sz="4" w:space="0" w:color="auto"/>
            </w:tcBorders>
          </w:tcPr>
          <w:p w14:paraId="0B13EC5B" w14:textId="77777777" w:rsidR="000F2190" w:rsidRPr="00F81106" w:rsidRDefault="000F2190" w:rsidP="006A2E12"/>
        </w:tc>
      </w:tr>
      <w:tr w:rsidR="000F2190" w:rsidRPr="00F81106" w14:paraId="2744EF56" w14:textId="165F1CF4"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1134" w:type="dxa"/>
            <w:tcBorders>
              <w:top w:val="single" w:sz="4" w:space="0" w:color="auto"/>
              <w:left w:val="single" w:sz="4" w:space="0" w:color="auto"/>
              <w:bottom w:val="single" w:sz="4" w:space="0" w:color="auto"/>
              <w:right w:val="single" w:sz="4" w:space="0" w:color="auto"/>
            </w:tcBorders>
          </w:tcPr>
          <w:p w14:paraId="7F93335C" w14:textId="66D0F388" w:rsidR="000F2190" w:rsidRPr="00F81106" w:rsidRDefault="000F2190" w:rsidP="007F09E3">
            <w:r w:rsidRPr="00F81106">
              <w:t>18.</w:t>
            </w:r>
            <w:r w:rsidR="007F09E3">
              <w:t>3</w:t>
            </w:r>
            <w:r w:rsidRPr="00F81106">
              <w:t>.2.</w:t>
            </w:r>
            <w:r>
              <w:t>7</w:t>
            </w:r>
          </w:p>
        </w:tc>
        <w:tc>
          <w:tcPr>
            <w:tcW w:w="7088" w:type="dxa"/>
            <w:tcBorders>
              <w:top w:val="single" w:sz="4" w:space="0" w:color="auto"/>
              <w:left w:val="single" w:sz="4" w:space="0" w:color="auto"/>
              <w:bottom w:val="single" w:sz="4" w:space="0" w:color="auto"/>
              <w:right w:val="single" w:sz="4" w:space="0" w:color="auto"/>
            </w:tcBorders>
          </w:tcPr>
          <w:p w14:paraId="4D264A7B" w14:textId="77777777" w:rsidR="000F2190" w:rsidRPr="00F81106" w:rsidRDefault="000F2190" w:rsidP="006A2E12">
            <w:r w:rsidRPr="00F81106">
              <w:t>The review of old invoices must be undertaken to determine why they remain outstanding or have not been paid within payment terms. Review balances in the aged balances 30-60 days through to 120+ days.</w:t>
            </w:r>
          </w:p>
        </w:tc>
        <w:tc>
          <w:tcPr>
            <w:tcW w:w="930" w:type="dxa"/>
            <w:tcBorders>
              <w:top w:val="single" w:sz="4" w:space="0" w:color="auto"/>
              <w:left w:val="single" w:sz="4" w:space="0" w:color="auto"/>
              <w:bottom w:val="single" w:sz="4" w:space="0" w:color="auto"/>
              <w:right w:val="single" w:sz="4" w:space="0" w:color="auto"/>
            </w:tcBorders>
          </w:tcPr>
          <w:p w14:paraId="59E67177" w14:textId="77777777" w:rsidR="000F2190" w:rsidRPr="00F81106" w:rsidRDefault="000F2190" w:rsidP="006A2E12"/>
        </w:tc>
      </w:tr>
      <w:tr w:rsidR="000F2190" w:rsidRPr="00F81106" w14:paraId="503EC5C9" w14:textId="789BBE3D" w:rsidTr="00413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5"/>
        </w:trPr>
        <w:tc>
          <w:tcPr>
            <w:tcW w:w="1134" w:type="dxa"/>
            <w:tcBorders>
              <w:top w:val="single" w:sz="4" w:space="0" w:color="auto"/>
              <w:left w:val="single" w:sz="4" w:space="0" w:color="auto"/>
              <w:bottom w:val="single" w:sz="4" w:space="0" w:color="auto"/>
              <w:right w:val="single" w:sz="4" w:space="0" w:color="auto"/>
            </w:tcBorders>
          </w:tcPr>
          <w:p w14:paraId="1A9E87FE" w14:textId="791B9AF8" w:rsidR="000F2190" w:rsidRPr="00F81106" w:rsidRDefault="000F2190" w:rsidP="007F09E3">
            <w:r w:rsidRPr="00F81106">
              <w:lastRenderedPageBreak/>
              <w:t>18.</w:t>
            </w:r>
            <w:r w:rsidR="007F09E3">
              <w:t>3</w:t>
            </w:r>
            <w:r w:rsidRPr="00F81106">
              <w:t>.2.</w:t>
            </w:r>
            <w:r>
              <w:t>8</w:t>
            </w:r>
          </w:p>
        </w:tc>
        <w:tc>
          <w:tcPr>
            <w:tcW w:w="7088" w:type="dxa"/>
            <w:tcBorders>
              <w:top w:val="single" w:sz="4" w:space="0" w:color="auto"/>
              <w:left w:val="single" w:sz="4" w:space="0" w:color="auto"/>
              <w:bottom w:val="single" w:sz="4" w:space="0" w:color="auto"/>
              <w:right w:val="single" w:sz="4" w:space="0" w:color="auto"/>
            </w:tcBorders>
          </w:tcPr>
          <w:p w14:paraId="4ED3D544" w14:textId="77777777" w:rsidR="000F2190" w:rsidRPr="00713FF2" w:rsidRDefault="000F2190" w:rsidP="006A2E12">
            <w:r w:rsidRPr="00713FF2">
              <w:t>Schools must print (hardcopy) or save as PDF the following reports as listed below after the close off for June month-end. These reports and information must be made available upon request by the Department for end of financial year (30 June):</w:t>
            </w:r>
          </w:p>
          <w:p w14:paraId="2FA9822C" w14:textId="77777777" w:rsidR="000F2190" w:rsidRPr="00713FF2" w:rsidRDefault="000F2190" w:rsidP="006A2E12">
            <w:pPr>
              <w:pStyle w:val="ListBullet"/>
            </w:pPr>
            <w:r w:rsidRPr="00713FF2">
              <w:t>CASE21 Accounts Payable Trial Balance (CR21101) as at 30 June;</w:t>
            </w:r>
          </w:p>
          <w:p w14:paraId="14F39E1D" w14:textId="77777777" w:rsidR="000F2190" w:rsidRPr="00713FF2" w:rsidRDefault="000F2190" w:rsidP="006A2E12">
            <w:pPr>
              <w:pStyle w:val="ListBullet"/>
            </w:pPr>
            <w:r w:rsidRPr="00713FF2">
              <w:t>CASE21 Accounts Payable Trial Balance (CR21101) as at 31 July;</w:t>
            </w:r>
          </w:p>
          <w:p w14:paraId="610586FD" w14:textId="77777777" w:rsidR="000F2190" w:rsidRPr="00713FF2" w:rsidRDefault="000F2190" w:rsidP="006A2E12">
            <w:pPr>
              <w:pStyle w:val="ListBullet"/>
            </w:pPr>
            <w:r w:rsidRPr="00713FF2">
              <w:t>CASES21 Invoice awaiting payment – detailed report (CR21118) as at 30 June;</w:t>
            </w:r>
          </w:p>
          <w:p w14:paraId="2C188A8D" w14:textId="77777777" w:rsidR="000F2190" w:rsidRPr="00713FF2" w:rsidRDefault="000F2190" w:rsidP="006A2E12">
            <w:pPr>
              <w:pStyle w:val="ListBullet"/>
            </w:pPr>
            <w:r w:rsidRPr="00713FF2">
              <w:t>CASES21 Invoice awaiting payment – detailed report (CR21118) as at 31 July;</w:t>
            </w:r>
          </w:p>
          <w:p w14:paraId="4488199D" w14:textId="77777777" w:rsidR="000F2190" w:rsidRPr="00713FF2" w:rsidRDefault="000F2190" w:rsidP="006A2E12">
            <w:pPr>
              <w:pStyle w:val="ListBullet"/>
            </w:pPr>
            <w:r w:rsidRPr="00713FF2">
              <w:t>Invoices;</w:t>
            </w:r>
          </w:p>
          <w:p w14:paraId="344B866F" w14:textId="77777777" w:rsidR="000F2190" w:rsidRPr="00713FF2" w:rsidRDefault="000F2190" w:rsidP="00F81106">
            <w:pPr>
              <w:pStyle w:val="ListBullet"/>
            </w:pPr>
            <w:r w:rsidRPr="00713FF2">
              <w:t>Credit voucher payment approved/signed off by the principal.</w:t>
            </w:r>
          </w:p>
          <w:p w14:paraId="50712777" w14:textId="77777777" w:rsidR="000F2190" w:rsidRPr="00713FF2" w:rsidRDefault="000F2190" w:rsidP="00F2029A">
            <w:pPr>
              <w:jc w:val="both"/>
            </w:pPr>
            <w:r w:rsidRPr="00713FF2">
              <w:t xml:space="preserve">Refer to: </w:t>
            </w:r>
            <w:hyperlink r:id="rId12" w:history="1">
              <w:r w:rsidRPr="00713FF2">
                <w:rPr>
                  <w:rStyle w:val="Hyperlink"/>
                </w:rPr>
                <w:t>CASES21 Finance Business Process Guide Section 8 – End of Period.</w:t>
              </w:r>
            </w:hyperlink>
          </w:p>
        </w:tc>
        <w:tc>
          <w:tcPr>
            <w:tcW w:w="930" w:type="dxa"/>
            <w:tcBorders>
              <w:top w:val="single" w:sz="4" w:space="0" w:color="auto"/>
              <w:left w:val="single" w:sz="4" w:space="0" w:color="auto"/>
              <w:bottom w:val="single" w:sz="4" w:space="0" w:color="auto"/>
              <w:right w:val="single" w:sz="4" w:space="0" w:color="auto"/>
            </w:tcBorders>
          </w:tcPr>
          <w:p w14:paraId="09DE2C77" w14:textId="77777777" w:rsidR="000F2190" w:rsidRPr="00F81106" w:rsidRDefault="000F2190" w:rsidP="006A2E12"/>
        </w:tc>
      </w:tr>
      <w:bookmarkEnd w:id="0"/>
      <w:bookmarkEnd w:id="1"/>
      <w:bookmarkEnd w:id="2"/>
    </w:tbl>
    <w:p w14:paraId="13369720" w14:textId="357DCBCD" w:rsidR="00A256BD" w:rsidRDefault="00A256BD" w:rsidP="00A256BD"/>
    <w:p w14:paraId="305057B4" w14:textId="2FC36DE5" w:rsidR="00B94979" w:rsidRDefault="00B94979" w:rsidP="00A256BD">
      <w:pPr>
        <w:pStyle w:val="Heading2"/>
      </w:pPr>
      <w:r w:rsidRPr="00B94979">
        <w:t>18.</w:t>
      </w:r>
      <w:r w:rsidR="007F09E3">
        <w:t>4</w:t>
      </w:r>
      <w:r w:rsidRPr="00B94979">
        <w:tab/>
      </w:r>
      <w:r w:rsidR="001C16FE">
        <w:t>Operating Leases</w:t>
      </w:r>
    </w:p>
    <w:p w14:paraId="15416D42" w14:textId="775BB844" w:rsidR="006D6ECF" w:rsidRPr="00EC7D90" w:rsidRDefault="0005501F" w:rsidP="006F7B96">
      <w:pPr>
        <w:pStyle w:val="Heading3"/>
      </w:pPr>
      <w:r>
        <w:t>18.</w:t>
      </w:r>
      <w:r w:rsidR="007F09E3">
        <w:t>4</w:t>
      </w:r>
      <w:r>
        <w:t>.1</w:t>
      </w:r>
      <w:r w:rsidR="006D6ECF" w:rsidRPr="00EC7D90">
        <w:t xml:space="preserve"> </w:t>
      </w:r>
      <w:r w:rsidR="0078128B">
        <w:tab/>
      </w:r>
      <w:r w:rsidR="006D6ECF" w:rsidRPr="00EC7D90">
        <w:t>Mandatory policy (</w:t>
      </w:r>
      <w:r w:rsidR="00826440">
        <w:t>Must do</w:t>
      </w:r>
      <w:r w:rsidR="006D6ECF" w:rsidRPr="00EC7D90">
        <w:t>)</w:t>
      </w:r>
      <w:r w:rsidR="0078128B">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F4704E" w:rsidRPr="00F4704E" w14:paraId="3DCA23E6" w14:textId="01A0CA19" w:rsidTr="000F2190">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4B865" w14:textId="77777777" w:rsidR="000F2190" w:rsidRPr="00F4704E" w:rsidRDefault="000F2190" w:rsidP="00EF64C9">
            <w:pPr>
              <w:rPr>
                <w:b/>
                <w:sz w:val="18"/>
              </w:rPr>
            </w:pPr>
            <w:r w:rsidRPr="00F4704E">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7A2E371" w14:textId="77777777" w:rsidR="000F2190" w:rsidRPr="0006343D" w:rsidRDefault="000F2190" w:rsidP="00EF64C9">
            <w:pPr>
              <w:rPr>
                <w:b/>
                <w:sz w:val="20"/>
                <w:szCs w:val="20"/>
              </w:rPr>
            </w:pPr>
            <w:r w:rsidRPr="0006343D">
              <w:rPr>
                <w:b/>
                <w:sz w:val="20"/>
                <w:szCs w:val="20"/>
              </w:rPr>
              <w:t>Information</w:t>
            </w:r>
          </w:p>
        </w:tc>
        <w:tc>
          <w:tcPr>
            <w:tcW w:w="930" w:type="dxa"/>
            <w:tcBorders>
              <w:top w:val="nil"/>
              <w:left w:val="single" w:sz="4" w:space="0" w:color="auto"/>
              <w:bottom w:val="single" w:sz="4" w:space="0" w:color="auto"/>
              <w:right w:val="nil"/>
            </w:tcBorders>
          </w:tcPr>
          <w:p w14:paraId="1075D8FB" w14:textId="77777777" w:rsidR="000F2190" w:rsidRPr="00F4704E" w:rsidRDefault="000F2190" w:rsidP="00EF64C9">
            <w:pPr>
              <w:rPr>
                <w:b/>
              </w:rPr>
            </w:pPr>
          </w:p>
        </w:tc>
      </w:tr>
      <w:tr w:rsidR="000F2190" w:rsidRPr="00EC7D90" w14:paraId="64CE1A11" w14:textId="1411DBFF" w:rsidTr="004138D4">
        <w:trPr>
          <w:trHeight w:hRule="exact" w:val="737"/>
        </w:trPr>
        <w:tc>
          <w:tcPr>
            <w:tcW w:w="1134" w:type="dxa"/>
          </w:tcPr>
          <w:p w14:paraId="0A0940CA" w14:textId="14B903E3" w:rsidR="000F2190" w:rsidRPr="00EC7D90" w:rsidRDefault="000F2190" w:rsidP="00874952">
            <w:pPr>
              <w:rPr>
                <w:rFonts w:eastAsiaTheme="minorHAnsi"/>
              </w:rPr>
            </w:pPr>
            <w:r>
              <w:rPr>
                <w:rFonts w:eastAsiaTheme="minorHAnsi"/>
              </w:rPr>
              <w:t>18.</w:t>
            </w:r>
            <w:r w:rsidR="007F09E3">
              <w:rPr>
                <w:rFonts w:eastAsiaTheme="minorHAnsi"/>
              </w:rPr>
              <w:t>4</w:t>
            </w:r>
            <w:r>
              <w:rPr>
                <w:rFonts w:eastAsiaTheme="minorHAnsi"/>
              </w:rPr>
              <w:t>.1.1</w:t>
            </w:r>
          </w:p>
        </w:tc>
        <w:tc>
          <w:tcPr>
            <w:tcW w:w="7088" w:type="dxa"/>
          </w:tcPr>
          <w:p w14:paraId="2007479F" w14:textId="77777777" w:rsidR="000F2190" w:rsidRPr="006D6ECF" w:rsidRDefault="000F2190" w:rsidP="006A2E12">
            <w:pPr>
              <w:rPr>
                <w:b/>
              </w:rPr>
            </w:pPr>
            <w:r>
              <w:t>Schools must review and keep up-to-date details for operating leases entered into the CASES21 asset module (asset register).</w:t>
            </w:r>
          </w:p>
        </w:tc>
        <w:tc>
          <w:tcPr>
            <w:tcW w:w="930" w:type="dxa"/>
          </w:tcPr>
          <w:p w14:paraId="0C317735" w14:textId="77777777" w:rsidR="000F2190" w:rsidRDefault="000F2190" w:rsidP="006A2E12"/>
        </w:tc>
      </w:tr>
      <w:tr w:rsidR="000F2190" w:rsidRPr="00EC7D90" w14:paraId="3BFE343C" w14:textId="60B6D281" w:rsidTr="004138D4">
        <w:trPr>
          <w:trHeight w:hRule="exact" w:val="1021"/>
        </w:trPr>
        <w:tc>
          <w:tcPr>
            <w:tcW w:w="1134" w:type="dxa"/>
          </w:tcPr>
          <w:p w14:paraId="51CAEFD7" w14:textId="18D6E69F" w:rsidR="000F2190" w:rsidRPr="00EC7D90" w:rsidRDefault="000F2190" w:rsidP="00874952">
            <w:pPr>
              <w:rPr>
                <w:rFonts w:eastAsiaTheme="minorHAnsi"/>
              </w:rPr>
            </w:pPr>
            <w:r>
              <w:rPr>
                <w:rFonts w:eastAsiaTheme="minorHAnsi"/>
              </w:rPr>
              <w:t>18.</w:t>
            </w:r>
            <w:r w:rsidR="007F09E3">
              <w:rPr>
                <w:rFonts w:eastAsiaTheme="minorHAnsi"/>
              </w:rPr>
              <w:t>4</w:t>
            </w:r>
            <w:r>
              <w:rPr>
                <w:rFonts w:eastAsiaTheme="minorHAnsi"/>
              </w:rPr>
              <w:t>.1.2</w:t>
            </w:r>
          </w:p>
        </w:tc>
        <w:tc>
          <w:tcPr>
            <w:tcW w:w="7088" w:type="dxa"/>
          </w:tcPr>
          <w:p w14:paraId="715FF9FF" w14:textId="77777777" w:rsidR="000F2190" w:rsidRPr="00044B09" w:rsidRDefault="000F2190" w:rsidP="006A2E12">
            <w:r>
              <w:t>Accurate information in relation to the type of asset, the quantity, the monthly lease payment, and the lease term must be recorded in CASES21.</w:t>
            </w:r>
          </w:p>
        </w:tc>
        <w:tc>
          <w:tcPr>
            <w:tcW w:w="930" w:type="dxa"/>
          </w:tcPr>
          <w:p w14:paraId="60B6816E" w14:textId="77777777" w:rsidR="000F2190" w:rsidRDefault="000F2190" w:rsidP="006A2E12"/>
        </w:tc>
      </w:tr>
    </w:tbl>
    <w:p w14:paraId="2226AD2D" w14:textId="12299DD0" w:rsidR="00E10994" w:rsidRDefault="00E10994" w:rsidP="00E10994"/>
    <w:p w14:paraId="40CE66D9" w14:textId="5577178C" w:rsidR="00874D35" w:rsidRPr="006F7B96" w:rsidRDefault="00874D35" w:rsidP="00A256BD">
      <w:pPr>
        <w:pStyle w:val="Heading2"/>
      </w:pPr>
      <w:r w:rsidRPr="006F238A">
        <w:t>1</w:t>
      </w:r>
      <w:r w:rsidR="009E1C59" w:rsidRPr="006F238A">
        <w:t>8</w:t>
      </w:r>
      <w:r w:rsidRPr="006F238A">
        <w:t>.</w:t>
      </w:r>
      <w:r w:rsidR="007F09E3">
        <w:t>5</w:t>
      </w:r>
      <w:r w:rsidR="0078128B" w:rsidRPr="006F238A">
        <w:tab/>
      </w:r>
      <w:r w:rsidR="00287A8D">
        <w:t>Schools</w:t>
      </w:r>
      <w:r w:rsidR="00287A8D" w:rsidRPr="006F238A">
        <w:t xml:space="preserve"> </w:t>
      </w:r>
      <w:r w:rsidR="009E1C59" w:rsidRPr="006F238A">
        <w:t>Certification</w:t>
      </w:r>
      <w:r w:rsidR="009E1C59">
        <w:t xml:space="preserve"> checklist</w:t>
      </w:r>
    </w:p>
    <w:p w14:paraId="494C61F5" w14:textId="26FEAA8C" w:rsidR="00874D35" w:rsidRPr="006F7B96" w:rsidRDefault="00874D35" w:rsidP="008A1405">
      <w:pPr>
        <w:pStyle w:val="Heading3"/>
      </w:pPr>
      <w:r w:rsidRPr="006F7B96">
        <w:t>1</w:t>
      </w:r>
      <w:r w:rsidR="0005501F">
        <w:t>8</w:t>
      </w:r>
      <w:r w:rsidRPr="006F7B96">
        <w:t>.</w:t>
      </w:r>
      <w:r w:rsidR="007F09E3">
        <w:t>5</w:t>
      </w:r>
      <w:r w:rsidR="0078128B">
        <w:t>.1</w:t>
      </w:r>
      <w:r w:rsidR="0078128B">
        <w:tab/>
      </w:r>
      <w:r w:rsidRPr="006F7B96">
        <w:t>Overview</w:t>
      </w:r>
    </w:p>
    <w:p w14:paraId="1256C6A7" w14:textId="7CE4E12F" w:rsidR="009E1C59" w:rsidRPr="00F81106" w:rsidRDefault="009E1C59" w:rsidP="006A2E12">
      <w:r w:rsidRPr="00CD11B5">
        <w:t xml:space="preserve">The </w:t>
      </w:r>
      <w:r w:rsidR="00287A8D">
        <w:t>schools</w:t>
      </w:r>
      <w:r w:rsidR="00287A8D" w:rsidRPr="00CD11B5">
        <w:t xml:space="preserve"> </w:t>
      </w:r>
      <w:r w:rsidRPr="00CD11B5">
        <w:t xml:space="preserve">certification checklist has been developed </w:t>
      </w:r>
      <w:r w:rsidR="00CD11B5">
        <w:t>so</w:t>
      </w:r>
      <w:r w:rsidRPr="00CD11B5">
        <w:t xml:space="preserve"> schools </w:t>
      </w:r>
      <w:r w:rsidR="00CD11B5">
        <w:t>can</w:t>
      </w:r>
      <w:r w:rsidRPr="00CD11B5">
        <w:t xml:space="preserve"> undertake a self-assessment </w:t>
      </w:r>
      <w:r w:rsidR="00CD11B5">
        <w:t>for</w:t>
      </w:r>
      <w:r w:rsidRPr="00CD11B5">
        <w:t xml:space="preserve"> key internal </w:t>
      </w:r>
      <w:r w:rsidR="009C4DC7" w:rsidRPr="00CD11B5">
        <w:t>controls, which</w:t>
      </w:r>
      <w:r w:rsidRPr="00CD11B5">
        <w:t xml:space="preserve"> </w:t>
      </w:r>
      <w:r w:rsidR="00874952" w:rsidRPr="00CD11B5">
        <w:t xml:space="preserve">must </w:t>
      </w:r>
      <w:r w:rsidRPr="00CD11B5">
        <w:t xml:space="preserve">be present in each area of governance, finance and assets.  </w:t>
      </w:r>
    </w:p>
    <w:p w14:paraId="260FB58F" w14:textId="77777777" w:rsidR="009E1C59" w:rsidRPr="00F81106" w:rsidRDefault="009E1C59" w:rsidP="006A2E12">
      <w:r w:rsidRPr="00F81106">
        <w:lastRenderedPageBreak/>
        <w:t xml:space="preserve">This document is to provide the Department with reasonable assurance that schools have robust and efficient systems in place for monitoring, recording and reporting </w:t>
      </w:r>
      <w:r w:rsidR="00F81106">
        <w:t xml:space="preserve">the </w:t>
      </w:r>
      <w:r w:rsidR="00216490" w:rsidRPr="00F81106">
        <w:t>school’s</w:t>
      </w:r>
      <w:r w:rsidRPr="00F81106">
        <w:t xml:space="preserve"> financial transactions.</w:t>
      </w:r>
    </w:p>
    <w:p w14:paraId="43B4EDF7" w14:textId="77777777" w:rsidR="009E1C59" w:rsidRPr="00F81106" w:rsidRDefault="009E1C59" w:rsidP="006A2E12">
      <w:r w:rsidRPr="00F81106">
        <w:t>The questions included in the self-assessment checklist covers a broad range of categories and will assist with ensuring financial policy compliance, further reducing the risk of non-compliance by schools.</w:t>
      </w:r>
    </w:p>
    <w:p w14:paraId="0F19ED5B" w14:textId="12E18E62" w:rsidR="00874D35" w:rsidRPr="00DE4DB9" w:rsidRDefault="00874D35" w:rsidP="006F7B96">
      <w:pPr>
        <w:pStyle w:val="Heading3"/>
      </w:pPr>
      <w:r w:rsidRPr="00DE4DB9">
        <w:t>1</w:t>
      </w:r>
      <w:r w:rsidR="00A41C50">
        <w:t>8</w:t>
      </w:r>
      <w:r w:rsidRPr="00DE4DB9">
        <w:t>.</w:t>
      </w:r>
      <w:r w:rsidR="007F09E3">
        <w:t>5</w:t>
      </w:r>
      <w:r w:rsidR="0078128B">
        <w:t>.2</w:t>
      </w:r>
      <w:r w:rsidR="0078128B">
        <w:tab/>
      </w:r>
      <w:r w:rsidRPr="00DE4DB9">
        <w:t>Mandatory policy (</w:t>
      </w:r>
      <w:r w:rsidR="00826440">
        <w:t>Must do</w:t>
      </w:r>
      <w:r w:rsidRPr="00DE4DB9">
        <w:t>)</w:t>
      </w:r>
      <w:r w:rsidR="007812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7088"/>
      </w:tblGrid>
      <w:tr w:rsidR="00F4704E" w:rsidRPr="00F81106" w14:paraId="2D1928BE" w14:textId="77777777" w:rsidTr="004138D4">
        <w:trPr>
          <w:trHeight w:hRule="exact" w:val="735"/>
          <w:tblHeader/>
        </w:trPr>
        <w:tc>
          <w:tcPr>
            <w:tcW w:w="1134" w:type="dxa"/>
          </w:tcPr>
          <w:p w14:paraId="0FB8C75E" w14:textId="4F19B534" w:rsidR="00F4704E" w:rsidRPr="0006343D" w:rsidRDefault="00F4704E" w:rsidP="00F4704E">
            <w:pPr>
              <w:rPr>
                <w:b/>
                <w:sz w:val="20"/>
                <w:szCs w:val="20"/>
              </w:rPr>
            </w:pPr>
            <w:r w:rsidRPr="0006343D">
              <w:rPr>
                <w:b/>
                <w:sz w:val="20"/>
                <w:szCs w:val="20"/>
              </w:rPr>
              <w:t>Sequence Numbers</w:t>
            </w:r>
          </w:p>
        </w:tc>
        <w:tc>
          <w:tcPr>
            <w:tcW w:w="7088" w:type="dxa"/>
          </w:tcPr>
          <w:p w14:paraId="3EC52B41" w14:textId="28495A0B" w:rsidR="00F4704E" w:rsidRPr="0006343D" w:rsidRDefault="00F4704E" w:rsidP="00F4704E">
            <w:pPr>
              <w:rPr>
                <w:b/>
                <w:sz w:val="20"/>
                <w:szCs w:val="20"/>
              </w:rPr>
            </w:pPr>
            <w:r w:rsidRPr="0006343D">
              <w:rPr>
                <w:b/>
                <w:sz w:val="20"/>
                <w:szCs w:val="20"/>
              </w:rPr>
              <w:t>Information</w:t>
            </w:r>
          </w:p>
        </w:tc>
      </w:tr>
      <w:tr w:rsidR="00CB5EA8" w:rsidRPr="00F81106" w14:paraId="02B99F41" w14:textId="77777777" w:rsidTr="00544201">
        <w:trPr>
          <w:trHeight w:hRule="exact" w:val="1021"/>
        </w:trPr>
        <w:tc>
          <w:tcPr>
            <w:tcW w:w="1134" w:type="dxa"/>
          </w:tcPr>
          <w:p w14:paraId="70B3809E" w14:textId="7220110D" w:rsidR="00CB5EA8" w:rsidRPr="00F81106" w:rsidRDefault="00CB5EA8" w:rsidP="00F81106">
            <w:r w:rsidRPr="00F81106">
              <w:t>18.</w:t>
            </w:r>
            <w:r w:rsidR="007F09E3">
              <w:t>5</w:t>
            </w:r>
            <w:r w:rsidRPr="00F81106">
              <w:t>.2.1</w:t>
            </w:r>
          </w:p>
        </w:tc>
        <w:tc>
          <w:tcPr>
            <w:tcW w:w="7088" w:type="dxa"/>
          </w:tcPr>
          <w:p w14:paraId="315A0EF5" w14:textId="5858550A" w:rsidR="00CB5EA8" w:rsidRPr="00F81106" w:rsidRDefault="00CB5EA8" w:rsidP="00287A8D">
            <w:r>
              <w:t xml:space="preserve">Either the </w:t>
            </w:r>
            <w:r w:rsidRPr="00F81106">
              <w:t xml:space="preserve">Principal or Acting Principal will be required to complete and authorise the </w:t>
            </w:r>
            <w:r w:rsidR="00287A8D">
              <w:t>schools</w:t>
            </w:r>
            <w:r w:rsidR="00287A8D" w:rsidRPr="00F81106">
              <w:t xml:space="preserve"> </w:t>
            </w:r>
            <w:r w:rsidRPr="00F81106">
              <w:t>certification checklist for the end of financial year period ending 30 June.</w:t>
            </w:r>
          </w:p>
        </w:tc>
      </w:tr>
      <w:tr w:rsidR="00CB5EA8" w:rsidRPr="00F81106" w14:paraId="39B2992B" w14:textId="77777777" w:rsidTr="001E219D">
        <w:trPr>
          <w:trHeight w:val="4772"/>
        </w:trPr>
        <w:tc>
          <w:tcPr>
            <w:tcW w:w="1134" w:type="dxa"/>
          </w:tcPr>
          <w:p w14:paraId="261F2076" w14:textId="533B1C8D" w:rsidR="00CB5EA8" w:rsidRPr="00F81106" w:rsidRDefault="00CB5EA8" w:rsidP="007F09E3">
            <w:r w:rsidRPr="00F81106">
              <w:t>18.</w:t>
            </w:r>
            <w:r w:rsidR="007F09E3">
              <w:t>5</w:t>
            </w:r>
            <w:r w:rsidRPr="00F81106">
              <w:t>.2.2</w:t>
            </w:r>
          </w:p>
        </w:tc>
        <w:tc>
          <w:tcPr>
            <w:tcW w:w="7088" w:type="dxa"/>
          </w:tcPr>
          <w:p w14:paraId="132D09EB" w14:textId="77777777" w:rsidR="00CB5EA8" w:rsidRPr="00F81106" w:rsidRDefault="00CB5EA8" w:rsidP="006A2E12">
            <w:r w:rsidRPr="00F81106">
              <w:t xml:space="preserve">Spot checks will be performed over a sample of returned attestations and schools will be contacted to provide evidence to verify their attestations. Selected schools </w:t>
            </w:r>
            <w:r>
              <w:t xml:space="preserve">will be </w:t>
            </w:r>
            <w:r w:rsidRPr="00F81106">
              <w:t xml:space="preserve">contacted to provide supporting documentation for the following information: </w:t>
            </w:r>
          </w:p>
          <w:p w14:paraId="41E22595" w14:textId="77777777" w:rsidR="00CB5EA8" w:rsidRPr="00F81106" w:rsidRDefault="00CB5EA8" w:rsidP="006A2E12">
            <w:pPr>
              <w:pStyle w:val="ListBullet"/>
            </w:pPr>
            <w:r w:rsidRPr="00F81106">
              <w:t>operating contracts not entered into CASES21 (operating commitments – goods and services)</w:t>
            </w:r>
            <w:r>
              <w:t>;</w:t>
            </w:r>
          </w:p>
          <w:p w14:paraId="1BC89B39" w14:textId="77777777" w:rsidR="00CB5EA8" w:rsidRPr="00F81106" w:rsidRDefault="00CB5EA8" w:rsidP="006A2E12">
            <w:pPr>
              <w:pStyle w:val="ListBullet"/>
            </w:pPr>
            <w:r w:rsidRPr="00F81106">
              <w:t>capital contracts not entered into CASES21 (capital commitments i.e. capital works and acquisitions)</w:t>
            </w:r>
            <w:r>
              <w:t>;</w:t>
            </w:r>
          </w:p>
          <w:p w14:paraId="79F7A83B" w14:textId="77777777" w:rsidR="00CB5EA8" w:rsidRPr="00F81106" w:rsidRDefault="00CB5EA8" w:rsidP="006A2E12">
            <w:pPr>
              <w:pStyle w:val="ListBullet"/>
            </w:pPr>
            <w:r w:rsidRPr="00F81106">
              <w:t>receiving compensation from a third party from a legal action (contingent assets)</w:t>
            </w:r>
            <w:r>
              <w:t>;</w:t>
            </w:r>
          </w:p>
          <w:p w14:paraId="2CFDC710" w14:textId="77777777" w:rsidR="00CB5EA8" w:rsidRPr="00F81106" w:rsidRDefault="00CB5EA8" w:rsidP="006A2E12">
            <w:pPr>
              <w:pStyle w:val="ListBullet"/>
            </w:pPr>
            <w:r w:rsidRPr="00F81106">
              <w:t>any legal action/outstanding law suits (contingent liabilities)</w:t>
            </w:r>
            <w:r>
              <w:t>.</w:t>
            </w:r>
          </w:p>
          <w:p w14:paraId="1ECA6C62" w14:textId="77777777" w:rsidR="00CB5EA8" w:rsidRPr="00F81106" w:rsidRDefault="00CB5EA8" w:rsidP="006A2E12">
            <w:r w:rsidRPr="00F81106">
              <w:t>Refer to the definitions table for a more detailed explanation on the above types of supporting documentation that maybe be requested by the Department for the end of financial year period ending 30 June.</w:t>
            </w:r>
          </w:p>
        </w:tc>
      </w:tr>
    </w:tbl>
    <w:p w14:paraId="13AAD6F2" w14:textId="77777777" w:rsidR="005B42A5" w:rsidRDefault="005B42A5">
      <w:pPr>
        <w:spacing w:before="0" w:line="240" w:lineRule="auto"/>
      </w:pPr>
    </w:p>
    <w:p w14:paraId="7FD15F68" w14:textId="6197F958" w:rsidR="00E10994" w:rsidRDefault="00E10994">
      <w:pPr>
        <w:spacing w:before="0" w:line="240" w:lineRule="auto"/>
      </w:pPr>
    </w:p>
    <w:p w14:paraId="1E460428" w14:textId="77777777" w:rsidR="0051778F" w:rsidRPr="006F7B96" w:rsidRDefault="0051778F" w:rsidP="00A256BD">
      <w:pPr>
        <w:pStyle w:val="Heading2"/>
      </w:pPr>
      <w:r w:rsidRPr="006F7B96">
        <w:t>Legislative requirements</w:t>
      </w:r>
    </w:p>
    <w:p w14:paraId="7F1A313E" w14:textId="77777777" w:rsidR="0051778F" w:rsidRPr="006F7B96" w:rsidRDefault="0051778F" w:rsidP="00DE4DB9">
      <w:pPr>
        <w:pStyle w:val="Heading3"/>
      </w:pPr>
      <w:r w:rsidRPr="006F7B96">
        <w:t>Legislation</w:t>
      </w:r>
    </w:p>
    <w:p w14:paraId="2AE01900" w14:textId="77777777" w:rsidR="00874D35" w:rsidRPr="00874D35" w:rsidRDefault="00874D35" w:rsidP="00874D35">
      <w:pPr>
        <w:rPr>
          <w:szCs w:val="22"/>
        </w:rPr>
      </w:pPr>
      <w:r w:rsidRPr="00874D35">
        <w:rPr>
          <w:szCs w:val="22"/>
        </w:rPr>
        <w:t>The advice in this section was based on requirements outlined in the following legislation:</w:t>
      </w:r>
    </w:p>
    <w:p w14:paraId="722BEA0A" w14:textId="1E459B6F" w:rsidR="006940DD" w:rsidRPr="001E219D" w:rsidRDefault="006940DD" w:rsidP="006940DD">
      <w:pPr>
        <w:pStyle w:val="ListBullet"/>
      </w:pPr>
      <w:r w:rsidRPr="006B4A1F">
        <w:t>AASB 101 Presentation of Financial Statements</w:t>
      </w:r>
      <w:r>
        <w:t xml:space="preserve">, </w:t>
      </w:r>
      <w:r w:rsidRPr="006B4A1F">
        <w:t>AASB 116 Property, Plant and Equipment</w:t>
      </w:r>
      <w:r>
        <w:t xml:space="preserve">, </w:t>
      </w:r>
      <w:r w:rsidRPr="001E219D">
        <w:t>AASB 117 Leases</w:t>
      </w:r>
      <w:r>
        <w:t xml:space="preserve">, </w:t>
      </w:r>
      <w:r w:rsidRPr="001E219D">
        <w:t>AASB137 Contingent Liabilities and Contingent Assets</w:t>
      </w:r>
      <w:r>
        <w:t xml:space="preserve"> and </w:t>
      </w:r>
      <w:r w:rsidRPr="001E219D">
        <w:t xml:space="preserve">AASB 139 Financial Instruments Recognition and </w:t>
      </w:r>
      <w:r w:rsidR="00EB21C6">
        <w:t xml:space="preserve"> Measurement</w:t>
      </w:r>
    </w:p>
    <w:p w14:paraId="19BE880F" w14:textId="77777777" w:rsidR="008C4859" w:rsidRPr="008601E3" w:rsidRDefault="008C4859" w:rsidP="001E219D">
      <w:pPr>
        <w:pStyle w:val="ListBullet"/>
        <w:rPr>
          <w:i/>
        </w:rPr>
      </w:pPr>
      <w:r w:rsidRPr="008601E3">
        <w:rPr>
          <w:i/>
        </w:rPr>
        <w:t>Financial Management Act 1994</w:t>
      </w:r>
    </w:p>
    <w:p w14:paraId="3D7655D5" w14:textId="1DC33EBE" w:rsidR="00937C63" w:rsidRPr="00E44FB3" w:rsidRDefault="008C4859" w:rsidP="001E219D">
      <w:pPr>
        <w:pStyle w:val="ListBullet"/>
      </w:pPr>
      <w:r w:rsidRPr="00E44FB3">
        <w:lastRenderedPageBreak/>
        <w:t>Standing Directions of the Minister of Finance 201</w:t>
      </w:r>
      <w:r w:rsidR="00E44FB3" w:rsidRPr="003E5790">
        <w:t>8</w:t>
      </w:r>
      <w:r w:rsidRPr="00E44FB3">
        <w:t xml:space="preserve"> </w:t>
      </w:r>
      <w:r w:rsidR="008D15F6" w:rsidRPr="00E44FB3">
        <w:t xml:space="preserve">under the </w:t>
      </w:r>
      <w:r w:rsidR="008D15F6" w:rsidRPr="00E44FB3">
        <w:rPr>
          <w:i/>
        </w:rPr>
        <w:t>Financial Management Act 1994</w:t>
      </w:r>
      <w:r w:rsidR="008D15F6" w:rsidRPr="00E44FB3">
        <w:t xml:space="preserve"> </w:t>
      </w:r>
      <w:r w:rsidRPr="00E44FB3">
        <w:t xml:space="preserve">- Section </w:t>
      </w:r>
      <w:r w:rsidR="00937C63" w:rsidRPr="00E44FB3">
        <w:t>4.1 Planning and managing performance, 5.1 Financial management compliance, 5.2 Annual reporting</w:t>
      </w:r>
      <w:r w:rsidR="008D15F6" w:rsidRPr="00E44FB3">
        <w:t xml:space="preserve"> and </w:t>
      </w:r>
      <w:r w:rsidR="00937C63" w:rsidRPr="00E44FB3">
        <w:t>5.3 External reporting and information provision</w:t>
      </w:r>
    </w:p>
    <w:p w14:paraId="7FC7908F" w14:textId="77777777" w:rsidR="006940DD" w:rsidRPr="006B4A1F" w:rsidRDefault="006940DD" w:rsidP="006940DD">
      <w:pPr>
        <w:pStyle w:val="ListBullet"/>
        <w:numPr>
          <w:ilvl w:val="0"/>
          <w:numId w:val="0"/>
        </w:numPr>
      </w:pPr>
    </w:p>
    <w:p w14:paraId="2601C965" w14:textId="77777777" w:rsidR="0051778F" w:rsidRPr="006F7B96" w:rsidRDefault="0051778F" w:rsidP="00DE4DB9">
      <w:pPr>
        <w:pStyle w:val="Heading2"/>
      </w:pPr>
      <w:r w:rsidRPr="006F7B96">
        <w:t>D</w:t>
      </w:r>
      <w:r w:rsidR="00534DA6" w:rsidRPr="006F7B96">
        <w:t>efinitions</w:t>
      </w:r>
      <w:r w:rsidRPr="006F7B96">
        <w:t xml:space="preserve"> </w:t>
      </w:r>
    </w:p>
    <w:tbl>
      <w:tblPr>
        <w:tblW w:w="9015" w:type="dxa"/>
        <w:tblInd w:w="57" w:type="dxa"/>
        <w:tblLayout w:type="fixed"/>
        <w:tblLook w:val="04A0" w:firstRow="1" w:lastRow="0" w:firstColumn="1" w:lastColumn="0" w:noHBand="0" w:noVBand="1"/>
      </w:tblPr>
      <w:tblGrid>
        <w:gridCol w:w="1973"/>
        <w:gridCol w:w="7042"/>
      </w:tblGrid>
      <w:tr w:rsidR="00057527" w:rsidRPr="00CA54BA" w14:paraId="5BE6D2AB" w14:textId="77777777" w:rsidTr="00057527">
        <w:trPr>
          <w:trHeight w:val="2212"/>
        </w:trPr>
        <w:tc>
          <w:tcPr>
            <w:tcW w:w="1973" w:type="dxa"/>
            <w:shd w:val="clear" w:color="auto" w:fill="FFFFFF" w:themeFill="background1"/>
          </w:tcPr>
          <w:p w14:paraId="2D97DC84" w14:textId="77777777" w:rsidR="00057527" w:rsidRPr="00057527" w:rsidRDefault="00057527" w:rsidP="00057527">
            <w:pPr>
              <w:rPr>
                <w:b/>
              </w:rPr>
            </w:pPr>
            <w:r w:rsidRPr="00057527">
              <w:rPr>
                <w:b/>
              </w:rPr>
              <w:t>Capital commitments</w:t>
            </w:r>
          </w:p>
        </w:tc>
        <w:tc>
          <w:tcPr>
            <w:tcW w:w="7042" w:type="dxa"/>
            <w:shd w:val="clear" w:color="auto" w:fill="FFFFFF" w:themeFill="background1"/>
          </w:tcPr>
          <w:p w14:paraId="35F38FF7" w14:textId="77777777" w:rsidR="00057527" w:rsidRPr="00C97A77" w:rsidRDefault="00057527" w:rsidP="00057527">
            <w:r w:rsidRPr="00C97A77">
              <w:t>A capital commitment will arise when</w:t>
            </w:r>
            <w:r w:rsidR="006E2664">
              <w:t xml:space="preserve"> a</w:t>
            </w:r>
            <w:r w:rsidRPr="00C97A77">
              <w:t xml:space="preserve"> school enters into a legally binding non-cancellable agreement/contract for the acquisition of equipment or capital works. A capital commitment does not include maintenance contracts associated with assets held (these are usually an operating commitment). Capital commitments are not recognised in the CASES21 as they occur in the future.</w:t>
            </w:r>
          </w:p>
        </w:tc>
      </w:tr>
      <w:tr w:rsidR="00874D35" w:rsidRPr="00CA54BA" w14:paraId="11502422" w14:textId="77777777" w:rsidTr="00057527">
        <w:trPr>
          <w:trHeight w:val="1299"/>
        </w:trPr>
        <w:tc>
          <w:tcPr>
            <w:tcW w:w="1973" w:type="dxa"/>
            <w:shd w:val="clear" w:color="auto" w:fill="F2F2F2" w:themeFill="background1" w:themeFillShade="F2"/>
          </w:tcPr>
          <w:p w14:paraId="412CBF17" w14:textId="77777777" w:rsidR="00874D35" w:rsidRPr="006A2E12" w:rsidRDefault="003D6B1D" w:rsidP="00CA54BA">
            <w:pPr>
              <w:rPr>
                <w:b/>
              </w:rPr>
            </w:pPr>
            <w:r w:rsidRPr="006A2E12">
              <w:rPr>
                <w:b/>
              </w:rPr>
              <w:t>Contingent assets</w:t>
            </w:r>
          </w:p>
        </w:tc>
        <w:tc>
          <w:tcPr>
            <w:tcW w:w="7042" w:type="dxa"/>
            <w:shd w:val="clear" w:color="auto" w:fill="F2F2F2" w:themeFill="background1" w:themeFillShade="F2"/>
          </w:tcPr>
          <w:p w14:paraId="6CABAE71" w14:textId="77777777" w:rsidR="00874D35" w:rsidRPr="00CA54BA" w:rsidRDefault="00BF4581" w:rsidP="006A2E12">
            <w:r w:rsidRPr="00CA54BA">
              <w:t xml:space="preserve">A potential asset that may arise depending on the outcome of a future event. For </w:t>
            </w:r>
            <w:r w:rsidR="009C4DC7" w:rsidRPr="00CA54BA">
              <w:t>example,</w:t>
            </w:r>
            <w:r w:rsidRPr="00CA54BA">
              <w:t xml:space="preserve"> the school has taken legal action against a third party for a breach of contract, and the likely outcome will result in receiving compensation from </w:t>
            </w:r>
            <w:r w:rsidR="005C1F07">
              <w:t>that</w:t>
            </w:r>
            <w:r w:rsidR="005C1F07" w:rsidRPr="00CA54BA">
              <w:t xml:space="preserve"> </w:t>
            </w:r>
            <w:r w:rsidRPr="00CA54BA">
              <w:t>third party.</w:t>
            </w:r>
          </w:p>
        </w:tc>
      </w:tr>
      <w:tr w:rsidR="00874D35" w:rsidRPr="00CA54BA" w14:paraId="58F30AD4" w14:textId="77777777" w:rsidTr="00057527">
        <w:trPr>
          <w:trHeight w:val="2466"/>
        </w:trPr>
        <w:tc>
          <w:tcPr>
            <w:tcW w:w="1973" w:type="dxa"/>
            <w:shd w:val="clear" w:color="auto" w:fill="FFFFFF" w:themeFill="background1"/>
          </w:tcPr>
          <w:p w14:paraId="4A86E23A" w14:textId="77777777" w:rsidR="00874D35" w:rsidRPr="006A2E12" w:rsidRDefault="003D6B1D" w:rsidP="00CA54BA">
            <w:pPr>
              <w:rPr>
                <w:b/>
              </w:rPr>
            </w:pPr>
            <w:r w:rsidRPr="006A2E12">
              <w:rPr>
                <w:b/>
              </w:rPr>
              <w:t>Contingent liabilities</w:t>
            </w:r>
          </w:p>
        </w:tc>
        <w:tc>
          <w:tcPr>
            <w:tcW w:w="7042" w:type="dxa"/>
            <w:shd w:val="clear" w:color="auto" w:fill="FFFFFF" w:themeFill="background1"/>
          </w:tcPr>
          <w:p w14:paraId="33A1958D" w14:textId="77777777" w:rsidR="00874D35" w:rsidRPr="00CA54BA" w:rsidRDefault="006A008D" w:rsidP="006940DD">
            <w:r w:rsidRPr="00CA54BA">
              <w:t xml:space="preserve">A potential obligation that may be incurred depending on the outcome of a future event. A contingent liability is one where the outcome of an existing situation is uncertain, and that uncertainty will be resolved by a future event. </w:t>
            </w:r>
            <w:r w:rsidR="005C1F07">
              <w:t xml:space="preserve">For example, </w:t>
            </w:r>
            <w:r w:rsidRPr="00CA54BA">
              <w:t xml:space="preserve">where there is an outstanding legal action against the school, but not enough certainty to place the settlement value on the balance sheet. Where a contingent liability may exist, the matter must be referred to the </w:t>
            </w:r>
            <w:r w:rsidR="006940DD">
              <w:t>L</w:t>
            </w:r>
            <w:r w:rsidRPr="00CA54BA">
              <w:t xml:space="preserve">egal </w:t>
            </w:r>
            <w:r w:rsidR="006940DD">
              <w:t>D</w:t>
            </w:r>
            <w:r w:rsidRPr="00CA54BA">
              <w:t>ivision of D</w:t>
            </w:r>
            <w:r w:rsidR="00874952" w:rsidRPr="00CA54BA">
              <w:t>epartment</w:t>
            </w:r>
            <w:r w:rsidRPr="00CA54BA">
              <w:t>.</w:t>
            </w:r>
          </w:p>
        </w:tc>
      </w:tr>
      <w:tr w:rsidR="00874D35" w:rsidRPr="00CA54BA" w14:paraId="249A08C4" w14:textId="77777777" w:rsidTr="00057527">
        <w:trPr>
          <w:trHeight w:val="3123"/>
        </w:trPr>
        <w:tc>
          <w:tcPr>
            <w:tcW w:w="1973" w:type="dxa"/>
            <w:shd w:val="clear" w:color="auto" w:fill="F2F2F2" w:themeFill="background1" w:themeFillShade="F2"/>
          </w:tcPr>
          <w:p w14:paraId="7EF3413A" w14:textId="77777777" w:rsidR="00FA267B" w:rsidRPr="006A2E12" w:rsidRDefault="006A008D" w:rsidP="00CA54BA">
            <w:pPr>
              <w:rPr>
                <w:b/>
              </w:rPr>
            </w:pPr>
            <w:r w:rsidRPr="006A2E12">
              <w:rPr>
                <w:b/>
              </w:rPr>
              <w:t>Operating commitments – contracts for goods and/or services</w:t>
            </w:r>
          </w:p>
        </w:tc>
        <w:tc>
          <w:tcPr>
            <w:tcW w:w="7042" w:type="dxa"/>
            <w:shd w:val="clear" w:color="auto" w:fill="F2F2F2" w:themeFill="background1" w:themeFillShade="F2"/>
          </w:tcPr>
          <w:p w14:paraId="551A4295" w14:textId="77777777" w:rsidR="005B42A5" w:rsidRDefault="004E63B0" w:rsidP="008D15F6">
            <w:r w:rsidRPr="00CA54BA">
              <w:t>A</w:t>
            </w:r>
            <w:r w:rsidR="006A008D" w:rsidRPr="00CA54BA">
              <w:t xml:space="preserve">n operating commitment will arise when the school enters into a legally binding non-cancellable agreement/contract for the future provision of a good and/or service. </w:t>
            </w:r>
            <w:r w:rsidR="001B1F9A" w:rsidRPr="00CA54BA">
              <w:t xml:space="preserve">In most cases where there is a legal contract, there is a penalty and financial obligation upon rendering the contact void and not continuing with the purchase/service. Operating commitments are not recognised in </w:t>
            </w:r>
            <w:r w:rsidR="005C1F07">
              <w:t xml:space="preserve">the </w:t>
            </w:r>
            <w:r w:rsidR="001B1F9A" w:rsidRPr="00CA54BA">
              <w:t xml:space="preserve">CASES21 as they </w:t>
            </w:r>
            <w:r w:rsidR="005C1F07">
              <w:t xml:space="preserve">generally </w:t>
            </w:r>
            <w:r w:rsidR="001B1F9A" w:rsidRPr="00CA54BA">
              <w:t>occur in the future.</w:t>
            </w:r>
          </w:p>
          <w:p w14:paraId="6B793959" w14:textId="1D86F2A3" w:rsidR="00874D35" w:rsidRPr="00CA54BA" w:rsidRDefault="006A008D" w:rsidP="008D15F6">
            <w:r w:rsidRPr="00CA54BA">
              <w:t>Examples of an operating commitment include</w:t>
            </w:r>
            <w:r w:rsidR="002B7F90">
              <w:t>,</w:t>
            </w:r>
            <w:r w:rsidRPr="00CA54BA">
              <w:t xml:space="preserve"> </w:t>
            </w:r>
            <w:r w:rsidR="001B1F9A" w:rsidRPr="00CA54BA">
              <w:t>but are not limited to</w:t>
            </w:r>
            <w:r w:rsidR="002B7F90">
              <w:t>,</w:t>
            </w:r>
            <w:r w:rsidR="001B1F9A" w:rsidRPr="00CA54BA">
              <w:t xml:space="preserve"> </w:t>
            </w:r>
            <w:r w:rsidRPr="00CA54BA">
              <w:t xml:space="preserve">provision of services by contractors, IT services, </w:t>
            </w:r>
            <w:r w:rsidR="00F4704E" w:rsidRPr="00CA54BA">
              <w:t>labour</w:t>
            </w:r>
            <w:r w:rsidRPr="00CA54BA">
              <w:t xml:space="preserve"> hire, maintenance and annual facility charges.</w:t>
            </w:r>
            <w:r w:rsidR="004E63B0" w:rsidRPr="00CA54BA">
              <w:t xml:space="preserve"> </w:t>
            </w:r>
          </w:p>
        </w:tc>
      </w:tr>
      <w:tr w:rsidR="00874D35" w:rsidRPr="00CA54BA" w14:paraId="1BB5584D" w14:textId="77777777" w:rsidTr="00057527">
        <w:trPr>
          <w:trHeight w:val="1998"/>
        </w:trPr>
        <w:tc>
          <w:tcPr>
            <w:tcW w:w="1973" w:type="dxa"/>
            <w:shd w:val="clear" w:color="auto" w:fill="FFFFFF" w:themeFill="background1"/>
          </w:tcPr>
          <w:p w14:paraId="444EFD60" w14:textId="77777777" w:rsidR="00874D35" w:rsidRPr="006A2E12" w:rsidRDefault="00451CB8" w:rsidP="00057527">
            <w:pPr>
              <w:rPr>
                <w:b/>
              </w:rPr>
            </w:pPr>
            <w:r w:rsidRPr="006A2E12">
              <w:rPr>
                <w:b/>
              </w:rPr>
              <w:t xml:space="preserve">Operating </w:t>
            </w:r>
            <w:r w:rsidR="00057527">
              <w:rPr>
                <w:b/>
              </w:rPr>
              <w:t>l</w:t>
            </w:r>
            <w:r w:rsidRPr="006A2E12">
              <w:rPr>
                <w:b/>
              </w:rPr>
              <w:t>eases</w:t>
            </w:r>
          </w:p>
        </w:tc>
        <w:tc>
          <w:tcPr>
            <w:tcW w:w="7042" w:type="dxa"/>
            <w:shd w:val="clear" w:color="auto" w:fill="FFFFFF" w:themeFill="background1"/>
          </w:tcPr>
          <w:p w14:paraId="255B323B" w14:textId="77777777" w:rsidR="005B42A5" w:rsidRDefault="004B053C" w:rsidP="006A2E12">
            <w:r w:rsidRPr="00CA54BA">
              <w:t>A lease for which the lessee acquires the property for only a small portion of its useful life. An operating lease is commonly used to acquire equipment on a short-term basis.</w:t>
            </w:r>
          </w:p>
          <w:p w14:paraId="36A2B98E" w14:textId="77777777" w:rsidR="00874D35" w:rsidRPr="00CA54BA" w:rsidRDefault="00874952" w:rsidP="006A2E12">
            <w:r w:rsidRPr="00CA54BA">
              <w:t xml:space="preserve">An example of an operating lease is the rental of a photocopier machine or other office equipment. </w:t>
            </w:r>
            <w:r w:rsidR="004B053C" w:rsidRPr="00CA54BA">
              <w:t>Any lease that is not a capital lease is an operating lease.</w:t>
            </w:r>
          </w:p>
        </w:tc>
      </w:tr>
      <w:tr w:rsidR="00057527" w:rsidRPr="00CA54BA" w14:paraId="3687E8CD" w14:textId="77777777" w:rsidTr="00057527">
        <w:trPr>
          <w:trHeight w:val="1998"/>
        </w:trPr>
        <w:tc>
          <w:tcPr>
            <w:tcW w:w="1973" w:type="dxa"/>
            <w:shd w:val="clear" w:color="auto" w:fill="F2F2F2" w:themeFill="background1" w:themeFillShade="F2"/>
          </w:tcPr>
          <w:p w14:paraId="1709420A" w14:textId="77777777" w:rsidR="00057527" w:rsidRPr="00057527" w:rsidRDefault="00057527" w:rsidP="00057527">
            <w:pPr>
              <w:rPr>
                <w:b/>
              </w:rPr>
            </w:pPr>
            <w:r w:rsidRPr="00057527">
              <w:rPr>
                <w:b/>
              </w:rPr>
              <w:lastRenderedPageBreak/>
              <w:t>Prepaid expenses</w:t>
            </w:r>
          </w:p>
        </w:tc>
        <w:tc>
          <w:tcPr>
            <w:tcW w:w="7042" w:type="dxa"/>
            <w:shd w:val="clear" w:color="auto" w:fill="F2F2F2" w:themeFill="background1" w:themeFillShade="F2"/>
          </w:tcPr>
          <w:p w14:paraId="593738B9" w14:textId="77777777" w:rsidR="00057527" w:rsidRPr="00004451" w:rsidRDefault="00057527" w:rsidP="00057527">
            <w:r w:rsidRPr="00004451">
              <w:t>Expenses recognised when a payment has been made to a supplier for goods or services that will be received in a future accounting period. Examples of this are rent paid in advance or license fees paid in advance. Prepayments are recorded by way of a journal into the CASES21 Finance system. These journals are reversed in the relevant future period thus bringing the expense to account in the correct period. (Chart of account code 12005).</w:t>
            </w:r>
          </w:p>
        </w:tc>
      </w:tr>
      <w:tr w:rsidR="00057527" w:rsidRPr="00CA54BA" w14:paraId="7E68CCBF" w14:textId="77777777" w:rsidTr="00057527">
        <w:trPr>
          <w:trHeight w:val="1998"/>
        </w:trPr>
        <w:tc>
          <w:tcPr>
            <w:tcW w:w="1973" w:type="dxa"/>
            <w:shd w:val="clear" w:color="auto" w:fill="FFFFFF" w:themeFill="background1"/>
          </w:tcPr>
          <w:p w14:paraId="16FAC0EA" w14:textId="77777777" w:rsidR="00057527" w:rsidRPr="00057527" w:rsidRDefault="00057527" w:rsidP="00057527">
            <w:pPr>
              <w:rPr>
                <w:b/>
              </w:rPr>
            </w:pPr>
            <w:r w:rsidRPr="00057527">
              <w:rPr>
                <w:b/>
              </w:rPr>
              <w:t>Revenues paid in Advance</w:t>
            </w:r>
          </w:p>
        </w:tc>
        <w:tc>
          <w:tcPr>
            <w:tcW w:w="7042" w:type="dxa"/>
            <w:shd w:val="clear" w:color="auto" w:fill="FFFFFF" w:themeFill="background1"/>
          </w:tcPr>
          <w:p w14:paraId="2CC78C94" w14:textId="77777777" w:rsidR="00057527" w:rsidRDefault="00057527" w:rsidP="00057527">
            <w:r w:rsidRPr="00004451">
              <w:t>Revenue recognised as having been received in advance of them being earned. (Chart of Account code 38002).</w:t>
            </w:r>
          </w:p>
        </w:tc>
      </w:tr>
    </w:tbl>
    <w:p w14:paraId="1583CA6E" w14:textId="77777777" w:rsidR="005B42A5" w:rsidRDefault="005B42A5" w:rsidP="00CA54BA"/>
    <w:p w14:paraId="3B6D193D" w14:textId="77777777" w:rsidR="0051778F" w:rsidRPr="006F7B96" w:rsidRDefault="00317AB9">
      <w:pPr>
        <w:pStyle w:val="Heading2"/>
      </w:pPr>
      <w:r>
        <w:t>Additional r</w:t>
      </w:r>
      <w:r w:rsidR="0051778F" w:rsidRPr="006F7B96">
        <w:t>esources</w:t>
      </w:r>
      <w:r w:rsidR="00A223D8" w:rsidRPr="006F7B96">
        <w:t xml:space="preserve"> </w:t>
      </w:r>
    </w:p>
    <w:p w14:paraId="636E1AA4" w14:textId="77777777" w:rsidR="00C9305A" w:rsidRPr="00027FA2" w:rsidRDefault="00027FA2" w:rsidP="00C9305A">
      <w:pPr>
        <w:pStyle w:val="ListBullet"/>
        <w:rPr>
          <w:rStyle w:val="Hyperlink"/>
        </w:rPr>
      </w:pPr>
      <w:r>
        <w:rPr>
          <w:color w:val="0000FF"/>
          <w:u w:val="single"/>
        </w:rPr>
        <w:fldChar w:fldCharType="begin"/>
      </w:r>
      <w:r>
        <w:rPr>
          <w:color w:val="0000FF"/>
          <w:u w:val="single"/>
        </w:rPr>
        <w:instrText xml:space="preserve"> HYPERLINK "https://edugate.eduweb.vic.gov.au/edulibrary/Schools/Forms/AllItems.aspx?RootFolder=%2fedulibrary%2fSchools%2fCASES21%2fCASES21%20Finance%2fFinance%20Business%20Process%20Guide&amp;FolderCTID=&amp;View=%7b393E28AF%2d9188%2d49EC%2d9B2F%2d5B1CA6BF217D%7d" </w:instrText>
      </w:r>
      <w:r>
        <w:rPr>
          <w:color w:val="0000FF"/>
          <w:u w:val="single"/>
        </w:rPr>
        <w:fldChar w:fldCharType="separate"/>
      </w:r>
      <w:r w:rsidR="00C9305A" w:rsidRPr="00027FA2">
        <w:rPr>
          <w:rStyle w:val="Hyperlink"/>
        </w:rPr>
        <w:t>CASES21 Finance Business Process Guide Section 8 – End of Period</w:t>
      </w:r>
    </w:p>
    <w:p w14:paraId="1200EB7C" w14:textId="77777777" w:rsidR="00C9305A" w:rsidRPr="00557E53" w:rsidRDefault="00027FA2" w:rsidP="00C9305A">
      <w:pPr>
        <w:pStyle w:val="ListBullet"/>
        <w:rPr>
          <w:rStyle w:val="Hyperlink"/>
        </w:rPr>
      </w:pPr>
      <w:r>
        <w:rPr>
          <w:color w:val="0000FF"/>
          <w:u w:val="single"/>
        </w:rPr>
        <w:fldChar w:fldCharType="end"/>
      </w:r>
      <w:r w:rsidR="00557E53">
        <w:rPr>
          <w:color w:val="0000FF"/>
          <w:u w:val="single"/>
        </w:rPr>
        <w:fldChar w:fldCharType="begin"/>
      </w:r>
      <w:r w:rsidR="00557E53">
        <w:rPr>
          <w:color w:val="0000FF"/>
          <w:u w:val="single"/>
        </w:rPr>
        <w:instrText xml:space="preserve"> HYPERLINK "https://edugate.eduweb.vic.gov.au/edulibrary/Schools/Forms/AllItems.aspx?RootFolder=%2fedulibrary%2fSchools%2fCASES21%2fCASES21%20Finance%2fFinance%20Business%20Process%20Guide&amp;FolderCTID=&amp;View=%7b393E28AF%2d9188%2d49EC%2d9B2F%2d5B1CA6BF217D%7d" </w:instrText>
      </w:r>
      <w:r w:rsidR="00557E53">
        <w:rPr>
          <w:color w:val="0000FF"/>
          <w:u w:val="single"/>
        </w:rPr>
        <w:fldChar w:fldCharType="separate"/>
      </w:r>
      <w:r w:rsidR="00C9305A" w:rsidRPr="00557E53">
        <w:rPr>
          <w:rStyle w:val="Hyperlink"/>
        </w:rPr>
        <w:t>CASES21 Finance Business Process Guide Section 10 – Balance Day Adjustment</w:t>
      </w:r>
    </w:p>
    <w:p w14:paraId="4856A8B9" w14:textId="6DDF29D6" w:rsidR="00C9305A" w:rsidRDefault="00557E53" w:rsidP="00C9305A">
      <w:pPr>
        <w:pStyle w:val="ListBullet"/>
        <w:rPr>
          <w:rStyle w:val="Hyperlink"/>
        </w:rPr>
      </w:pPr>
      <w:r>
        <w:rPr>
          <w:color w:val="0000FF"/>
          <w:u w:val="single"/>
        </w:rPr>
        <w:fldChar w:fldCharType="end"/>
      </w:r>
      <w:hyperlink r:id="rId13" w:history="1">
        <w:r w:rsidR="00C9305A" w:rsidRPr="00557E53">
          <w:rPr>
            <w:rStyle w:val="Hyperlink"/>
          </w:rPr>
          <w:t>CASES21 Finance Business Process Guide Section 11 – End of Year</w:t>
        </w:r>
      </w:hyperlink>
    </w:p>
    <w:p w14:paraId="3129C9D0" w14:textId="77777777" w:rsidR="009B348C" w:rsidRDefault="00316280" w:rsidP="009B348C">
      <w:pPr>
        <w:pStyle w:val="ListBullet"/>
        <w:rPr>
          <w:rStyle w:val="Hyperlink"/>
        </w:rPr>
      </w:pPr>
      <w:hyperlink r:id="rId14" w:history="1">
        <w:r w:rsidR="009B348C" w:rsidRPr="009B348C">
          <w:rPr>
            <w:rStyle w:val="Hyperlink"/>
          </w:rPr>
          <w:t>Schools Certification Checklist</w:t>
        </w:r>
      </w:hyperlink>
    </w:p>
    <w:p w14:paraId="1AECA157" w14:textId="4F66ADE3" w:rsidR="00EB4F5B" w:rsidRPr="009B348C" w:rsidRDefault="00316280" w:rsidP="009B348C">
      <w:pPr>
        <w:pStyle w:val="ListBullet"/>
        <w:rPr>
          <w:color w:val="0000FF"/>
          <w:u w:val="single"/>
        </w:rPr>
      </w:pPr>
      <w:hyperlink r:id="rId15" w:history="1">
        <w:r w:rsidR="002805CC" w:rsidRPr="009B348C">
          <w:rPr>
            <w:rStyle w:val="Hyperlink"/>
            <w:rFonts w:eastAsiaTheme="minorEastAsia" w:cs="Arial"/>
            <w:szCs w:val="18"/>
          </w:rPr>
          <w:t>School Policy and Advisory Guide</w:t>
        </w:r>
      </w:hyperlink>
      <w:r w:rsidR="00CA54BA" w:rsidRPr="00CA54BA">
        <w:br/>
      </w:r>
    </w:p>
    <w:p w14:paraId="02F63477" w14:textId="77777777" w:rsidR="005B42A5" w:rsidRDefault="005B42A5" w:rsidP="005F12DB">
      <w:pPr>
        <w:rPr>
          <w:szCs w:val="22"/>
        </w:rPr>
      </w:pPr>
    </w:p>
    <w:p w14:paraId="3A477300" w14:textId="77777777" w:rsidR="005B42A5" w:rsidRDefault="005B42A5" w:rsidP="005F12DB">
      <w:pPr>
        <w:rPr>
          <w:szCs w:val="22"/>
        </w:rPr>
      </w:pPr>
    </w:p>
    <w:p w14:paraId="6213A290" w14:textId="77777777" w:rsidR="005B42A5" w:rsidRDefault="005B42A5" w:rsidP="005F12DB">
      <w:pPr>
        <w:rPr>
          <w:szCs w:val="22"/>
        </w:rPr>
      </w:pPr>
    </w:p>
    <w:p w14:paraId="26505DCF" w14:textId="77777777" w:rsidR="005B42A5" w:rsidRDefault="005B42A5" w:rsidP="005F12DB">
      <w:pPr>
        <w:rPr>
          <w:szCs w:val="22"/>
        </w:rPr>
      </w:pPr>
    </w:p>
    <w:p w14:paraId="742B8C76" w14:textId="77A788D2" w:rsidR="005B42A5" w:rsidRDefault="005B42A5" w:rsidP="005F12DB">
      <w:pPr>
        <w:rPr>
          <w:szCs w:val="22"/>
        </w:rPr>
      </w:pPr>
    </w:p>
    <w:p w14:paraId="7138D04E" w14:textId="77777777" w:rsidR="00F4704E" w:rsidRDefault="00F4704E" w:rsidP="005F12DB">
      <w:pPr>
        <w:rPr>
          <w:szCs w:val="22"/>
        </w:rPr>
      </w:pPr>
    </w:p>
    <w:p w14:paraId="5368A71C" w14:textId="77777777" w:rsidR="005B42A5" w:rsidRDefault="005B42A5" w:rsidP="005F12DB">
      <w:pPr>
        <w:rPr>
          <w:szCs w:val="22"/>
        </w:rPr>
      </w:pPr>
    </w:p>
    <w:p w14:paraId="70DFC8EB" w14:textId="77777777" w:rsidR="005B42A5" w:rsidRDefault="005B42A5" w:rsidP="005F12DB">
      <w:pPr>
        <w:rPr>
          <w:szCs w:val="22"/>
        </w:rPr>
      </w:pPr>
    </w:p>
    <w:p w14:paraId="234BC9BB" w14:textId="77777777" w:rsidR="009F0AA7" w:rsidRPr="00103913" w:rsidRDefault="00C9305A" w:rsidP="009F0AA7">
      <w:pPr>
        <w:pStyle w:val="Heading2"/>
      </w:pPr>
      <w:r>
        <w:t xml:space="preserve">Version and </w:t>
      </w:r>
      <w:r w:rsidR="00057527">
        <w:t>r</w:t>
      </w:r>
      <w:r w:rsidR="009F0AA7" w:rsidRPr="00103913">
        <w:t>evision control</w:t>
      </w:r>
      <w:r>
        <w:t xml:space="preserve"> record</w:t>
      </w:r>
    </w:p>
    <w:tbl>
      <w:tblPr>
        <w:tblStyle w:val="GridTable6Colorful2"/>
        <w:tblW w:w="0" w:type="auto"/>
        <w:tblLook w:val="04A0" w:firstRow="1" w:lastRow="0" w:firstColumn="1" w:lastColumn="0" w:noHBand="0" w:noVBand="1"/>
        <w:tblDescription w:val="footer box containing version and revision control information"/>
      </w:tblPr>
      <w:tblGrid>
        <w:gridCol w:w="1318"/>
        <w:gridCol w:w="1133"/>
        <w:gridCol w:w="4914"/>
        <w:gridCol w:w="1689"/>
      </w:tblGrid>
      <w:tr w:rsidR="00E378B3" w:rsidRPr="00E378B3" w14:paraId="330F536C" w14:textId="77777777" w:rsidTr="00332F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2D86CC6C" w14:textId="77777777" w:rsidR="00E378B3" w:rsidRPr="00E378B3" w:rsidRDefault="00E378B3" w:rsidP="00E378B3">
            <w:r w:rsidRPr="00E378B3">
              <w:t>Date</w:t>
            </w:r>
          </w:p>
        </w:tc>
        <w:tc>
          <w:tcPr>
            <w:tcW w:w="1133" w:type="dxa"/>
            <w:tcBorders>
              <w:top w:val="single" w:sz="4" w:space="0" w:color="auto"/>
              <w:bottom w:val="single" w:sz="4" w:space="0" w:color="auto"/>
            </w:tcBorders>
            <w:shd w:val="clear" w:color="auto" w:fill="F2F2F2" w:themeFill="background1" w:themeFillShade="F2"/>
          </w:tcPr>
          <w:p w14:paraId="275D1BA2"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14:paraId="39F9EBDF"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43DA9191"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Next Review</w:t>
            </w:r>
          </w:p>
        </w:tc>
      </w:tr>
      <w:tr w:rsidR="00E378B3" w:rsidRPr="00E378B3" w14:paraId="79C902D8" w14:textId="77777777" w:rsidTr="00D1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6E0037B7" w14:textId="65E47EFC" w:rsidR="00E378B3" w:rsidRPr="00E378B3" w:rsidRDefault="00E44FB3" w:rsidP="00E44FB3">
            <w:pPr>
              <w:rPr>
                <w:b w:val="0"/>
              </w:rPr>
            </w:pPr>
            <w:r>
              <w:rPr>
                <w:b w:val="0"/>
              </w:rPr>
              <w:t>01/2019</w:t>
            </w:r>
          </w:p>
        </w:tc>
        <w:tc>
          <w:tcPr>
            <w:tcW w:w="1133" w:type="dxa"/>
            <w:tcBorders>
              <w:top w:val="single" w:sz="4" w:space="0" w:color="auto"/>
            </w:tcBorders>
            <w:shd w:val="clear" w:color="auto" w:fill="auto"/>
          </w:tcPr>
          <w:p w14:paraId="19664D63" w14:textId="09E87B5E" w:rsidR="00E378B3" w:rsidRPr="00E378B3" w:rsidRDefault="00EB2732" w:rsidP="00E378B3">
            <w:pPr>
              <w:cnfStyle w:val="000000100000" w:firstRow="0" w:lastRow="0" w:firstColumn="0" w:lastColumn="0" w:oddVBand="0" w:evenVBand="0" w:oddHBand="1" w:evenHBand="0" w:firstRowFirstColumn="0" w:firstRowLastColumn="0" w:lastRowFirstColumn="0" w:lastRowLastColumn="0"/>
            </w:pPr>
            <w:r>
              <w:t>1.</w:t>
            </w:r>
            <w:r w:rsidR="00F81CE2">
              <w:t>2</w:t>
            </w:r>
          </w:p>
        </w:tc>
        <w:tc>
          <w:tcPr>
            <w:tcW w:w="4914" w:type="dxa"/>
            <w:tcBorders>
              <w:top w:val="single" w:sz="4" w:space="0" w:color="auto"/>
            </w:tcBorders>
            <w:shd w:val="clear" w:color="auto" w:fill="auto"/>
          </w:tcPr>
          <w:p w14:paraId="04B383A5" w14:textId="77777777" w:rsidR="00E378B3" w:rsidRPr="00E378B3" w:rsidRDefault="00E378B3" w:rsidP="00E378B3">
            <w:pPr>
              <w:cnfStyle w:val="000000100000" w:firstRow="0" w:lastRow="0" w:firstColumn="0" w:lastColumn="0" w:oddVBand="0" w:evenVBand="0" w:oddHBand="1" w:evenHBand="0" w:firstRowFirstColumn="0" w:firstRowLastColumn="0" w:lastRowFirstColumn="0" w:lastRowLastColumn="0"/>
            </w:pPr>
            <w:r w:rsidRPr="00E378B3">
              <w:t>Chief Finance Officer -  Financial Services Division</w:t>
            </w:r>
          </w:p>
        </w:tc>
        <w:tc>
          <w:tcPr>
            <w:tcW w:w="1689" w:type="dxa"/>
            <w:tcBorders>
              <w:top w:val="single" w:sz="4" w:space="0" w:color="auto"/>
            </w:tcBorders>
            <w:shd w:val="clear" w:color="auto" w:fill="auto"/>
          </w:tcPr>
          <w:p w14:paraId="75CDF8A7" w14:textId="4359C56B" w:rsidR="00E378B3" w:rsidRPr="00E378B3" w:rsidRDefault="00E44FB3" w:rsidP="00E44FB3">
            <w:pPr>
              <w:cnfStyle w:val="000000100000" w:firstRow="0" w:lastRow="0" w:firstColumn="0" w:lastColumn="0" w:oddVBand="0" w:evenVBand="0" w:oddHBand="1" w:evenHBand="0" w:firstRowFirstColumn="0" w:firstRowLastColumn="0" w:lastRowFirstColumn="0" w:lastRowLastColumn="0"/>
            </w:pPr>
            <w:r>
              <w:t>01/2020</w:t>
            </w:r>
          </w:p>
        </w:tc>
      </w:tr>
    </w:tbl>
    <w:p w14:paraId="2F7F1321" w14:textId="77777777" w:rsidR="0051778F" w:rsidRDefault="0051778F" w:rsidP="00E378B3"/>
    <w:sectPr w:rsidR="0051778F" w:rsidSect="00480F63">
      <w:footerReference w:type="default" r:id="rId16"/>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0E7B" w14:textId="77777777" w:rsidR="00316280" w:rsidRDefault="00316280" w:rsidP="008766A4">
      <w:r>
        <w:separator/>
      </w:r>
    </w:p>
  </w:endnote>
  <w:endnote w:type="continuationSeparator" w:id="0">
    <w:p w14:paraId="18C32223" w14:textId="77777777" w:rsidR="00316280" w:rsidRDefault="0031628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3F8B" w14:textId="37931BA8" w:rsidR="00FA267B" w:rsidRPr="008A1405" w:rsidRDefault="00FA267B" w:rsidP="008A1405">
    <w:pPr>
      <w:pStyle w:val="Footer"/>
    </w:pPr>
    <w:r w:rsidRPr="008A1405">
      <w:rPr>
        <w:noProof/>
        <w:lang w:eastAsia="en-AU"/>
      </w:rPr>
      <w:drawing>
        <wp:anchor distT="0" distB="0" distL="114300" distR="114300" simplePos="0" relativeHeight="251662848" behindDoc="1" locked="0" layoutInCell="1" allowOverlap="1" wp14:anchorId="1635E527" wp14:editId="0DCF5865">
          <wp:simplePos x="0" y="0"/>
          <wp:positionH relativeFrom="margin">
            <wp:align>left</wp:align>
          </wp:positionH>
          <wp:positionV relativeFrom="page">
            <wp:posOffset>9867900</wp:posOffset>
          </wp:positionV>
          <wp:extent cx="6632496" cy="657225"/>
          <wp:effectExtent l="0" t="0" r="0" b="0"/>
          <wp:wrapNone/>
          <wp:docPr id="3" name="Picture 3" descr="footer with document name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32496" cy="657225"/>
                  </a:xfrm>
                  <a:prstGeom prst="rect">
                    <a:avLst/>
                  </a:prstGeom>
                </pic:spPr>
              </pic:pic>
            </a:graphicData>
          </a:graphic>
        </wp:anchor>
      </w:drawing>
    </w:r>
    <w:r w:rsidRPr="008A1405">
      <w:t xml:space="preserve">Section </w:t>
    </w:r>
    <w:r w:rsidR="001C16FE">
      <w:t>18</w:t>
    </w:r>
    <w:r w:rsidR="006940DD">
      <w:t>:</w:t>
    </w:r>
    <w:r w:rsidR="001C16FE">
      <w:t xml:space="preserve"> End of Financial Year </w:t>
    </w:r>
    <w:r w:rsidR="005D249D">
      <w:t xml:space="preserve">reporting </w:t>
    </w:r>
    <w:r w:rsidR="00EE4D0E">
      <w:t>(30 June)</w:t>
    </w:r>
    <w:r w:rsidR="002B7F90">
      <w:t xml:space="preserve"> </w:t>
    </w:r>
    <w:r w:rsidRPr="008A1405">
      <w:t xml:space="preserve">| </w:t>
    </w:r>
    <w:r w:rsidR="00BA4C65">
      <w:t xml:space="preserve">January 2019 </w:t>
    </w:r>
    <w:r w:rsidRPr="008A1405">
      <w:t xml:space="preserve"> </w:t>
    </w:r>
    <w:sdt>
      <w:sdtPr>
        <w:id w:val="1822625101"/>
        <w:docPartObj>
          <w:docPartGallery w:val="Page Numbers (Bottom of Page)"/>
          <w:docPartUnique/>
        </w:docPartObj>
      </w:sdtPr>
      <w:sdtEndPr/>
      <w:sdtContent>
        <w:r w:rsidRPr="008A1405">
          <w:tab/>
        </w:r>
        <w:r w:rsidR="00EE4D0E">
          <w:t>P</w:t>
        </w:r>
        <w:r w:rsidRPr="008A1405">
          <w:t xml:space="preserve">age </w:t>
        </w:r>
        <w:r w:rsidR="00863B01">
          <w:fldChar w:fldCharType="begin"/>
        </w:r>
        <w:r w:rsidR="005C5739">
          <w:instrText xml:space="preserve"> PAGE   \* MERGEFORMAT </w:instrText>
        </w:r>
        <w:r w:rsidR="00863B01">
          <w:fldChar w:fldCharType="separate"/>
        </w:r>
        <w:r w:rsidR="006C25B0">
          <w:rPr>
            <w:noProof/>
          </w:rPr>
          <w:t>1</w:t>
        </w:r>
        <w:r w:rsidR="00863B0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B326" w14:textId="77777777" w:rsidR="00316280" w:rsidRDefault="00316280" w:rsidP="008766A4">
      <w:r>
        <w:separator/>
      </w:r>
    </w:p>
  </w:footnote>
  <w:footnote w:type="continuationSeparator" w:id="0">
    <w:p w14:paraId="5D497456" w14:textId="77777777" w:rsidR="00316280" w:rsidRDefault="00316280"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FC3"/>
    <w:multiLevelType w:val="hybridMultilevel"/>
    <w:tmpl w:val="3FD8C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2F4D2D"/>
    <w:multiLevelType w:val="hybridMultilevel"/>
    <w:tmpl w:val="F8CC7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A03AF"/>
    <w:multiLevelType w:val="hybridMultilevel"/>
    <w:tmpl w:val="E064E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134861C1"/>
    <w:multiLevelType w:val="hybridMultilevel"/>
    <w:tmpl w:val="FA3E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A19F6"/>
    <w:multiLevelType w:val="hybridMultilevel"/>
    <w:tmpl w:val="4F528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960668"/>
    <w:multiLevelType w:val="hybridMultilevel"/>
    <w:tmpl w:val="CA302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256BA1"/>
    <w:multiLevelType w:val="hybridMultilevel"/>
    <w:tmpl w:val="AAA4F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447C50"/>
    <w:multiLevelType w:val="hybridMultilevel"/>
    <w:tmpl w:val="B9A0D572"/>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B7575"/>
    <w:multiLevelType w:val="hybridMultilevel"/>
    <w:tmpl w:val="B89C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235884"/>
    <w:multiLevelType w:val="hybridMultilevel"/>
    <w:tmpl w:val="8654ECBC"/>
    <w:lvl w:ilvl="0" w:tplc="6F663FA2">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982937"/>
    <w:multiLevelType w:val="hybridMultilevel"/>
    <w:tmpl w:val="9A7C0900"/>
    <w:lvl w:ilvl="0" w:tplc="3BACAC9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97770A4"/>
    <w:multiLevelType w:val="hybridMultilevel"/>
    <w:tmpl w:val="45900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236D5C"/>
    <w:multiLevelType w:val="hybridMultilevel"/>
    <w:tmpl w:val="4F94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5E1B9E"/>
    <w:multiLevelType w:val="hybridMultilevel"/>
    <w:tmpl w:val="E9A4B860"/>
    <w:lvl w:ilvl="0" w:tplc="E09C7FF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24A6"/>
    <w:multiLevelType w:val="hybridMultilevel"/>
    <w:tmpl w:val="A6FEE7E0"/>
    <w:lvl w:ilvl="0" w:tplc="679097B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C42EB6"/>
    <w:multiLevelType w:val="hybridMultilevel"/>
    <w:tmpl w:val="87DEE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2C5BB1"/>
    <w:multiLevelType w:val="hybridMultilevel"/>
    <w:tmpl w:val="AC2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43085"/>
    <w:multiLevelType w:val="hybridMultilevel"/>
    <w:tmpl w:val="2AA44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EA004F"/>
    <w:multiLevelType w:val="hybridMultilevel"/>
    <w:tmpl w:val="867016BA"/>
    <w:lvl w:ilvl="0" w:tplc="1CE012E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0"/>
  </w:num>
  <w:num w:numId="4">
    <w:abstractNumId w:val="17"/>
  </w:num>
  <w:num w:numId="5">
    <w:abstractNumId w:val="0"/>
  </w:num>
  <w:num w:numId="6">
    <w:abstractNumId w:val="13"/>
  </w:num>
  <w:num w:numId="7">
    <w:abstractNumId w:val="12"/>
  </w:num>
  <w:num w:numId="8">
    <w:abstractNumId w:val="18"/>
  </w:num>
  <w:num w:numId="9">
    <w:abstractNumId w:val="16"/>
  </w:num>
  <w:num w:numId="10">
    <w:abstractNumId w:val="2"/>
  </w:num>
  <w:num w:numId="11">
    <w:abstractNumId w:val="11"/>
  </w:num>
  <w:num w:numId="12">
    <w:abstractNumId w:val="9"/>
  </w:num>
  <w:num w:numId="13">
    <w:abstractNumId w:val="5"/>
  </w:num>
  <w:num w:numId="14">
    <w:abstractNumId w:val="8"/>
  </w:num>
  <w:num w:numId="15">
    <w:abstractNumId w:val="7"/>
  </w:num>
  <w:num w:numId="16">
    <w:abstractNumId w:val="6"/>
  </w:num>
  <w:num w:numId="17">
    <w:abstractNumId w:val="15"/>
  </w:num>
  <w:num w:numId="18">
    <w:abstractNumId w:val="1"/>
  </w:num>
  <w:num w:numId="19">
    <w:abstractNumId w:val="4"/>
  </w:num>
  <w:num w:numId="20">
    <w:abstractNumId w:val="14"/>
  </w:num>
  <w:num w:numId="21">
    <w:abstractNumId w:val="14"/>
  </w:num>
  <w:num w:numId="22">
    <w:abstractNumId w:val="14"/>
  </w:num>
  <w:num w:numId="23">
    <w:abstractNumId w:val="14"/>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US" w:vendorID="64" w:dllVersion="6" w:nlCheck="1" w:checkStyle="0"/>
  <w:activeWritingStyle w:appName="MSWord" w:lang="en-AU" w:vendorID="64" w:dllVersion="6" w:nlCheck="1" w:checkStyle="0"/>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B21"/>
    <w:rsid w:val="0001121B"/>
    <w:rsid w:val="00027FA2"/>
    <w:rsid w:val="000347D9"/>
    <w:rsid w:val="00044B09"/>
    <w:rsid w:val="0004542A"/>
    <w:rsid w:val="0005501F"/>
    <w:rsid w:val="00057527"/>
    <w:rsid w:val="0006343D"/>
    <w:rsid w:val="0008630F"/>
    <w:rsid w:val="0008758C"/>
    <w:rsid w:val="000A2D3C"/>
    <w:rsid w:val="000B668D"/>
    <w:rsid w:val="000C499D"/>
    <w:rsid w:val="000F155E"/>
    <w:rsid w:val="000F2190"/>
    <w:rsid w:val="000F4C22"/>
    <w:rsid w:val="001017B1"/>
    <w:rsid w:val="00121CBF"/>
    <w:rsid w:val="00127682"/>
    <w:rsid w:val="00130200"/>
    <w:rsid w:val="0013716D"/>
    <w:rsid w:val="00137179"/>
    <w:rsid w:val="001374A1"/>
    <w:rsid w:val="0014310A"/>
    <w:rsid w:val="001446DC"/>
    <w:rsid w:val="00152101"/>
    <w:rsid w:val="0015415A"/>
    <w:rsid w:val="00172AFD"/>
    <w:rsid w:val="0017525D"/>
    <w:rsid w:val="00193A4B"/>
    <w:rsid w:val="001A1558"/>
    <w:rsid w:val="001B1F9A"/>
    <w:rsid w:val="001C16FE"/>
    <w:rsid w:val="001C378C"/>
    <w:rsid w:val="001E219D"/>
    <w:rsid w:val="001E4C24"/>
    <w:rsid w:val="001F375F"/>
    <w:rsid w:val="00200CD2"/>
    <w:rsid w:val="002061F7"/>
    <w:rsid w:val="0021230D"/>
    <w:rsid w:val="0021324F"/>
    <w:rsid w:val="00216490"/>
    <w:rsid w:val="00216E22"/>
    <w:rsid w:val="00220C69"/>
    <w:rsid w:val="0022212D"/>
    <w:rsid w:val="00224C0C"/>
    <w:rsid w:val="00226B71"/>
    <w:rsid w:val="002431E9"/>
    <w:rsid w:val="0025449A"/>
    <w:rsid w:val="00255E0C"/>
    <w:rsid w:val="00263118"/>
    <w:rsid w:val="00265896"/>
    <w:rsid w:val="0027062A"/>
    <w:rsid w:val="00271F77"/>
    <w:rsid w:val="00273373"/>
    <w:rsid w:val="002805CC"/>
    <w:rsid w:val="00287A8D"/>
    <w:rsid w:val="002A00EF"/>
    <w:rsid w:val="002B7F90"/>
    <w:rsid w:val="002F4E54"/>
    <w:rsid w:val="003020F0"/>
    <w:rsid w:val="00316280"/>
    <w:rsid w:val="00317617"/>
    <w:rsid w:val="00317AB9"/>
    <w:rsid w:val="00326F48"/>
    <w:rsid w:val="00332FFA"/>
    <w:rsid w:val="003373A6"/>
    <w:rsid w:val="0033799B"/>
    <w:rsid w:val="00347714"/>
    <w:rsid w:val="00352A17"/>
    <w:rsid w:val="00361B20"/>
    <w:rsid w:val="00363920"/>
    <w:rsid w:val="00364919"/>
    <w:rsid w:val="00376EAD"/>
    <w:rsid w:val="00387492"/>
    <w:rsid w:val="0039320E"/>
    <w:rsid w:val="003A46EB"/>
    <w:rsid w:val="003A5EA2"/>
    <w:rsid w:val="003B01B0"/>
    <w:rsid w:val="003B13B6"/>
    <w:rsid w:val="003D6B1D"/>
    <w:rsid w:val="003D7EA0"/>
    <w:rsid w:val="003E29B5"/>
    <w:rsid w:val="003E5790"/>
    <w:rsid w:val="003E57C4"/>
    <w:rsid w:val="003F3C92"/>
    <w:rsid w:val="003F57B3"/>
    <w:rsid w:val="00402F6E"/>
    <w:rsid w:val="004136D4"/>
    <w:rsid w:val="004138D4"/>
    <w:rsid w:val="00415090"/>
    <w:rsid w:val="0042385D"/>
    <w:rsid w:val="0042387A"/>
    <w:rsid w:val="00437C31"/>
    <w:rsid w:val="00440510"/>
    <w:rsid w:val="004464B4"/>
    <w:rsid w:val="00451A87"/>
    <w:rsid w:val="00451CB8"/>
    <w:rsid w:val="004615C4"/>
    <w:rsid w:val="00480F63"/>
    <w:rsid w:val="00483776"/>
    <w:rsid w:val="004B053C"/>
    <w:rsid w:val="004C37EC"/>
    <w:rsid w:val="004D6B0E"/>
    <w:rsid w:val="004E63B0"/>
    <w:rsid w:val="004E683E"/>
    <w:rsid w:val="0051778F"/>
    <w:rsid w:val="00526D2D"/>
    <w:rsid w:val="00534DA6"/>
    <w:rsid w:val="00544201"/>
    <w:rsid w:val="00557E53"/>
    <w:rsid w:val="00565F86"/>
    <w:rsid w:val="005674D1"/>
    <w:rsid w:val="005711D2"/>
    <w:rsid w:val="0057654B"/>
    <w:rsid w:val="00581A7C"/>
    <w:rsid w:val="005832B7"/>
    <w:rsid w:val="0059560C"/>
    <w:rsid w:val="00596923"/>
    <w:rsid w:val="005A23F9"/>
    <w:rsid w:val="005B3B56"/>
    <w:rsid w:val="005B42A5"/>
    <w:rsid w:val="005B717E"/>
    <w:rsid w:val="005C1F07"/>
    <w:rsid w:val="005C5739"/>
    <w:rsid w:val="005D249D"/>
    <w:rsid w:val="005E253B"/>
    <w:rsid w:val="005F10A0"/>
    <w:rsid w:val="005F12DB"/>
    <w:rsid w:val="00600EB1"/>
    <w:rsid w:val="00614BEA"/>
    <w:rsid w:val="00627D90"/>
    <w:rsid w:val="00636171"/>
    <w:rsid w:val="00651C93"/>
    <w:rsid w:val="00666960"/>
    <w:rsid w:val="00672950"/>
    <w:rsid w:val="0067601B"/>
    <w:rsid w:val="006935C9"/>
    <w:rsid w:val="006940DD"/>
    <w:rsid w:val="00694796"/>
    <w:rsid w:val="006A008D"/>
    <w:rsid w:val="006A099C"/>
    <w:rsid w:val="006A2E12"/>
    <w:rsid w:val="006B4A1F"/>
    <w:rsid w:val="006C25B0"/>
    <w:rsid w:val="006D1CFF"/>
    <w:rsid w:val="006D6ECF"/>
    <w:rsid w:val="006D7CA2"/>
    <w:rsid w:val="006E1C6D"/>
    <w:rsid w:val="006E2664"/>
    <w:rsid w:val="006F238A"/>
    <w:rsid w:val="006F7B96"/>
    <w:rsid w:val="00713FF2"/>
    <w:rsid w:val="0071497B"/>
    <w:rsid w:val="007178F0"/>
    <w:rsid w:val="00743B9D"/>
    <w:rsid w:val="00751081"/>
    <w:rsid w:val="0076312D"/>
    <w:rsid w:val="0078128B"/>
    <w:rsid w:val="00781C4C"/>
    <w:rsid w:val="00784798"/>
    <w:rsid w:val="007A5765"/>
    <w:rsid w:val="007A5971"/>
    <w:rsid w:val="007C0D40"/>
    <w:rsid w:val="007C73DD"/>
    <w:rsid w:val="007E19F8"/>
    <w:rsid w:val="007F09E3"/>
    <w:rsid w:val="00816ED5"/>
    <w:rsid w:val="008203E8"/>
    <w:rsid w:val="00826440"/>
    <w:rsid w:val="00826C6F"/>
    <w:rsid w:val="00841F2A"/>
    <w:rsid w:val="00842386"/>
    <w:rsid w:val="008601E3"/>
    <w:rsid w:val="00863B01"/>
    <w:rsid w:val="00867356"/>
    <w:rsid w:val="00867E79"/>
    <w:rsid w:val="00873C1C"/>
    <w:rsid w:val="00874952"/>
    <w:rsid w:val="00874D35"/>
    <w:rsid w:val="008766A4"/>
    <w:rsid w:val="008767CC"/>
    <w:rsid w:val="00877262"/>
    <w:rsid w:val="008871FD"/>
    <w:rsid w:val="00895870"/>
    <w:rsid w:val="00895896"/>
    <w:rsid w:val="00895F66"/>
    <w:rsid w:val="008A1405"/>
    <w:rsid w:val="008A4AC9"/>
    <w:rsid w:val="008A54FC"/>
    <w:rsid w:val="008C0B7B"/>
    <w:rsid w:val="008C4859"/>
    <w:rsid w:val="008C6FA8"/>
    <w:rsid w:val="008D15F6"/>
    <w:rsid w:val="008D278A"/>
    <w:rsid w:val="008D3BDE"/>
    <w:rsid w:val="008F3046"/>
    <w:rsid w:val="00907F7B"/>
    <w:rsid w:val="00927DEE"/>
    <w:rsid w:val="00932654"/>
    <w:rsid w:val="00933910"/>
    <w:rsid w:val="00937C63"/>
    <w:rsid w:val="00940785"/>
    <w:rsid w:val="00956187"/>
    <w:rsid w:val="00963BAA"/>
    <w:rsid w:val="00966666"/>
    <w:rsid w:val="009669E0"/>
    <w:rsid w:val="00980015"/>
    <w:rsid w:val="009907B4"/>
    <w:rsid w:val="00994600"/>
    <w:rsid w:val="009B348C"/>
    <w:rsid w:val="009B4EE0"/>
    <w:rsid w:val="009C4DC7"/>
    <w:rsid w:val="009D4FE6"/>
    <w:rsid w:val="009E1C59"/>
    <w:rsid w:val="009E4078"/>
    <w:rsid w:val="009E41C2"/>
    <w:rsid w:val="009E49AE"/>
    <w:rsid w:val="009F030B"/>
    <w:rsid w:val="009F0AA7"/>
    <w:rsid w:val="009F2302"/>
    <w:rsid w:val="009F5CB4"/>
    <w:rsid w:val="009F6EA9"/>
    <w:rsid w:val="00A06F7E"/>
    <w:rsid w:val="00A223D8"/>
    <w:rsid w:val="00A256BD"/>
    <w:rsid w:val="00A33C93"/>
    <w:rsid w:val="00A3693C"/>
    <w:rsid w:val="00A41C50"/>
    <w:rsid w:val="00A509B6"/>
    <w:rsid w:val="00A65A92"/>
    <w:rsid w:val="00A74087"/>
    <w:rsid w:val="00A871C1"/>
    <w:rsid w:val="00A87A9F"/>
    <w:rsid w:val="00AB0070"/>
    <w:rsid w:val="00AB49E5"/>
    <w:rsid w:val="00AE4681"/>
    <w:rsid w:val="00AE52AD"/>
    <w:rsid w:val="00AF4BEE"/>
    <w:rsid w:val="00AF738E"/>
    <w:rsid w:val="00B17AF7"/>
    <w:rsid w:val="00B40154"/>
    <w:rsid w:val="00B47FE1"/>
    <w:rsid w:val="00B570F4"/>
    <w:rsid w:val="00B6030C"/>
    <w:rsid w:val="00B73EC2"/>
    <w:rsid w:val="00B850E1"/>
    <w:rsid w:val="00B94979"/>
    <w:rsid w:val="00BA3A95"/>
    <w:rsid w:val="00BA4C65"/>
    <w:rsid w:val="00BB085A"/>
    <w:rsid w:val="00BB33A5"/>
    <w:rsid w:val="00BC20EE"/>
    <w:rsid w:val="00BD307E"/>
    <w:rsid w:val="00BD3BCD"/>
    <w:rsid w:val="00BE22B0"/>
    <w:rsid w:val="00BF4581"/>
    <w:rsid w:val="00C052CB"/>
    <w:rsid w:val="00C06CA5"/>
    <w:rsid w:val="00C1598F"/>
    <w:rsid w:val="00C268F5"/>
    <w:rsid w:val="00C471FD"/>
    <w:rsid w:val="00C63676"/>
    <w:rsid w:val="00C641B3"/>
    <w:rsid w:val="00C90FDE"/>
    <w:rsid w:val="00C91AC2"/>
    <w:rsid w:val="00C9305A"/>
    <w:rsid w:val="00C95672"/>
    <w:rsid w:val="00C96775"/>
    <w:rsid w:val="00CA54BA"/>
    <w:rsid w:val="00CA58FF"/>
    <w:rsid w:val="00CA5E98"/>
    <w:rsid w:val="00CB0337"/>
    <w:rsid w:val="00CB1AF9"/>
    <w:rsid w:val="00CB3A36"/>
    <w:rsid w:val="00CB5EA8"/>
    <w:rsid w:val="00CC7F0A"/>
    <w:rsid w:val="00CD11B5"/>
    <w:rsid w:val="00CD725B"/>
    <w:rsid w:val="00CE74B0"/>
    <w:rsid w:val="00D049D0"/>
    <w:rsid w:val="00D128D5"/>
    <w:rsid w:val="00D263A2"/>
    <w:rsid w:val="00D31299"/>
    <w:rsid w:val="00D41CE5"/>
    <w:rsid w:val="00D75869"/>
    <w:rsid w:val="00D8417C"/>
    <w:rsid w:val="00D84C0F"/>
    <w:rsid w:val="00D93736"/>
    <w:rsid w:val="00D95211"/>
    <w:rsid w:val="00DB00BE"/>
    <w:rsid w:val="00DB0ABC"/>
    <w:rsid w:val="00DB15A7"/>
    <w:rsid w:val="00DB6966"/>
    <w:rsid w:val="00DC03B9"/>
    <w:rsid w:val="00DE4DB9"/>
    <w:rsid w:val="00DF1C42"/>
    <w:rsid w:val="00DF28A6"/>
    <w:rsid w:val="00DF72AD"/>
    <w:rsid w:val="00E01659"/>
    <w:rsid w:val="00E05BBC"/>
    <w:rsid w:val="00E10994"/>
    <w:rsid w:val="00E378B3"/>
    <w:rsid w:val="00E42E39"/>
    <w:rsid w:val="00E44FB3"/>
    <w:rsid w:val="00E56570"/>
    <w:rsid w:val="00E872B9"/>
    <w:rsid w:val="00E93CCE"/>
    <w:rsid w:val="00E95E9D"/>
    <w:rsid w:val="00EA0489"/>
    <w:rsid w:val="00EA7F56"/>
    <w:rsid w:val="00EB21C6"/>
    <w:rsid w:val="00EB2732"/>
    <w:rsid w:val="00EB4F5B"/>
    <w:rsid w:val="00EC4687"/>
    <w:rsid w:val="00EC4C52"/>
    <w:rsid w:val="00EC7AF5"/>
    <w:rsid w:val="00EC7D90"/>
    <w:rsid w:val="00EE4D0E"/>
    <w:rsid w:val="00EF04D3"/>
    <w:rsid w:val="00F072CC"/>
    <w:rsid w:val="00F2029A"/>
    <w:rsid w:val="00F27799"/>
    <w:rsid w:val="00F36897"/>
    <w:rsid w:val="00F3741B"/>
    <w:rsid w:val="00F37E0C"/>
    <w:rsid w:val="00F4458F"/>
    <w:rsid w:val="00F4704E"/>
    <w:rsid w:val="00F52421"/>
    <w:rsid w:val="00F53C60"/>
    <w:rsid w:val="00F56517"/>
    <w:rsid w:val="00F81106"/>
    <w:rsid w:val="00F81B03"/>
    <w:rsid w:val="00F81CE2"/>
    <w:rsid w:val="00F85A04"/>
    <w:rsid w:val="00F85A39"/>
    <w:rsid w:val="00F97B56"/>
    <w:rsid w:val="00FA267B"/>
    <w:rsid w:val="00FA6B94"/>
    <w:rsid w:val="00FB5115"/>
    <w:rsid w:val="00FC6788"/>
    <w:rsid w:val="00FE581C"/>
    <w:rsid w:val="00FF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3338"/>
  <w15:docId w15:val="{D2863539-A07E-4605-BF32-4D22B5D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21CBF"/>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78128B"/>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78128B"/>
    <w:pPr>
      <w:pBdr>
        <w:top w:val="single" w:sz="8" w:space="3" w:color="AF272F"/>
      </w:pBdr>
      <w:spacing w:before="360"/>
      <w:ind w:left="851" w:hanging="851"/>
      <w:outlineLvl w:val="1"/>
    </w:pPr>
    <w:rPr>
      <w:bCs w:val="0"/>
      <w:sz w:val="36"/>
    </w:rPr>
  </w:style>
  <w:style w:type="paragraph" w:styleId="Heading3">
    <w:name w:val="heading 3"/>
    <w:basedOn w:val="Normal"/>
    <w:next w:val="Normal"/>
    <w:link w:val="Heading3Char"/>
    <w:uiPriority w:val="9"/>
    <w:qFormat/>
    <w:locked/>
    <w:rsid w:val="007A5765"/>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B"/>
    <w:rPr>
      <w:rFonts w:ascii="Arial" w:eastAsiaTheme="majorEastAsia" w:hAnsi="Arial" w:cstheme="majorBidi"/>
      <w:b/>
      <w:bCs/>
      <w:color w:val="AF272F"/>
      <w:sz w:val="44"/>
      <w:szCs w:val="20"/>
    </w:rPr>
  </w:style>
  <w:style w:type="character" w:customStyle="1" w:styleId="Heading2Char">
    <w:name w:val="Heading 2 Char"/>
    <w:basedOn w:val="DefaultParagraphFont"/>
    <w:link w:val="Heading2"/>
    <w:uiPriority w:val="9"/>
    <w:rsid w:val="0078128B"/>
    <w:rPr>
      <w:rFonts w:ascii="Arial" w:eastAsiaTheme="majorEastAsia" w:hAnsi="Arial" w:cstheme="majorBidi"/>
      <w:b/>
      <w:color w:val="AF272F"/>
      <w:sz w:val="36"/>
      <w:szCs w:val="20"/>
    </w:rPr>
  </w:style>
  <w:style w:type="character" w:customStyle="1" w:styleId="Heading3Char">
    <w:name w:val="Heading 3 Char"/>
    <w:basedOn w:val="DefaultParagraphFont"/>
    <w:link w:val="Heading3"/>
    <w:uiPriority w:val="9"/>
    <w:rsid w:val="007A5765"/>
    <w:rPr>
      <w:rFonts w:ascii="Arial" w:hAnsi="Arial" w:cs="Arial"/>
      <w:b/>
      <w:color w:val="000000" w:themeColor="text1"/>
      <w:szCs w:val="18"/>
      <w:lang w:val="en-AU"/>
    </w:rPr>
  </w:style>
  <w:style w:type="character" w:styleId="CommentReference">
    <w:name w:val="annotation reference"/>
    <w:basedOn w:val="DefaultParagraphFont"/>
    <w:uiPriority w:val="99"/>
    <w:semiHidden/>
    <w:unhideWhenUsed/>
    <w:locked/>
    <w:rsid w:val="00E95E9D"/>
    <w:rPr>
      <w:sz w:val="16"/>
      <w:szCs w:val="16"/>
    </w:rPr>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8A1405"/>
    <w:pPr>
      <w:tabs>
        <w:tab w:val="right" w:pos="6804"/>
      </w:tabs>
      <w:spacing w:before="0" w:line="240" w:lineRule="auto"/>
    </w:pPr>
    <w:rPr>
      <w:sz w:val="20"/>
    </w:rPr>
  </w:style>
  <w:style w:type="character" w:customStyle="1" w:styleId="FooterChar">
    <w:name w:val="Footer Char"/>
    <w:basedOn w:val="DefaultParagraphFont"/>
    <w:link w:val="Footer"/>
    <w:uiPriority w:val="99"/>
    <w:rsid w:val="008A1405"/>
    <w:rPr>
      <w:rFonts w:ascii="Arial" w:hAnsi="Arial" w:cs="Arial"/>
      <w:sz w:val="20"/>
      <w:szCs w:val="18"/>
    </w:rPr>
  </w:style>
  <w:style w:type="paragraph" w:styleId="CommentText">
    <w:name w:val="annotation text"/>
    <w:basedOn w:val="Normal"/>
    <w:link w:val="CommentTextChar"/>
    <w:uiPriority w:val="99"/>
    <w:semiHidden/>
    <w:unhideWhenUsed/>
    <w:locked/>
    <w:rsid w:val="00E95E9D"/>
    <w:pPr>
      <w:spacing w:line="240" w:lineRule="auto"/>
    </w:pPr>
    <w:rPr>
      <w:sz w:val="20"/>
      <w:szCs w:val="20"/>
    </w:rPr>
  </w:style>
  <w:style w:type="character" w:customStyle="1" w:styleId="CommentTextChar">
    <w:name w:val="Comment Text Char"/>
    <w:basedOn w:val="DefaultParagraphFont"/>
    <w:link w:val="CommentText"/>
    <w:uiPriority w:val="99"/>
    <w:semiHidden/>
    <w:rsid w:val="00E95E9D"/>
    <w:rPr>
      <w:rFonts w:ascii="Arial" w:hAnsi="Arial" w:cs="Arial"/>
      <w:sz w:val="20"/>
      <w:szCs w:val="20"/>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paragraph" w:styleId="Title">
    <w:name w:val="Title"/>
    <w:next w:val="Subtitle"/>
    <w:link w:val="TitleChar"/>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2A00EF"/>
    <w:pPr>
      <w:tabs>
        <w:tab w:val="right" w:pos="9072"/>
      </w:tabs>
      <w:spacing w:before="0" w:line="240" w:lineRule="auto"/>
    </w:pPr>
    <w:rPr>
      <w:sz w:val="18"/>
    </w:rPr>
  </w:style>
  <w:style w:type="character" w:customStyle="1" w:styleId="HeaderChar">
    <w:name w:val="Header Char"/>
    <w:basedOn w:val="DefaultParagraphFont"/>
    <w:link w:val="Header"/>
    <w:uiPriority w:val="99"/>
    <w:rsid w:val="002A00EF"/>
    <w:rPr>
      <w:rFonts w:ascii="Arial" w:hAnsi="Arial" w:cs="Arial"/>
      <w:sz w:val="18"/>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locked/>
    <w:rsid w:val="00E95E9D"/>
    <w:rPr>
      <w:b/>
      <w:bCs/>
    </w:rPr>
  </w:style>
  <w:style w:type="character" w:customStyle="1" w:styleId="CommentSubjectChar">
    <w:name w:val="Comment Subject Char"/>
    <w:basedOn w:val="CommentTextChar"/>
    <w:link w:val="CommentSubject"/>
    <w:uiPriority w:val="99"/>
    <w:semiHidden/>
    <w:rsid w:val="00E95E9D"/>
    <w:rPr>
      <w:rFonts w:ascii="Arial" w:hAnsi="Arial" w:cs="Arial"/>
      <w:b/>
      <w:bCs/>
      <w:sz w:val="20"/>
      <w:szCs w:val="20"/>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styleId="TOC3">
    <w:name w:val="toc 3"/>
    <w:basedOn w:val="Normal"/>
    <w:next w:val="Normal"/>
    <w:autoRedefine/>
    <w:uiPriority w:val="39"/>
    <w:semiHidden/>
    <w:locked/>
    <w:rsid w:val="00895870"/>
    <w:pPr>
      <w:ind w:left="360"/>
    </w:p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DB6966"/>
    <w:rPr>
      <w:rFonts w:ascii="Arial" w:hAnsi="Arial"/>
      <w:color w:val="0000FF"/>
      <w:sz w:val="22"/>
      <w:u w:val="single"/>
    </w:rPr>
  </w:style>
  <w:style w:type="paragraph" w:styleId="ListBullet">
    <w:name w:val="List Bullet"/>
    <w:basedOn w:val="Normal"/>
    <w:uiPriority w:val="99"/>
    <w:unhideWhenUsed/>
    <w:locked/>
    <w:rsid w:val="00121CBF"/>
    <w:pPr>
      <w:numPr>
        <w:numId w:val="2"/>
      </w:numPr>
    </w:pPr>
    <w:rPr>
      <w:rFonts w:eastAsiaTheme="minorHAnsi" w:cstheme="minorBidi"/>
      <w:szCs w:val="22"/>
    </w:rPr>
  </w:style>
  <w:style w:type="paragraph" w:styleId="ListBullet2">
    <w:name w:val="List Bullet 2"/>
    <w:basedOn w:val="Normal"/>
    <w:uiPriority w:val="99"/>
    <w:unhideWhenUsed/>
    <w:locked/>
    <w:rsid w:val="004D6B0E"/>
    <w:pPr>
      <w:numPr>
        <w:numId w:val="3"/>
      </w:numPr>
      <w:spacing w:before="60"/>
      <w:ind w:left="568"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DB6966"/>
    <w:pPr>
      <w:ind w:left="284"/>
    </w:pPr>
    <w:rPr>
      <w:rFonts w:eastAsiaTheme="minorHAnsi" w:cstheme="minorBidi"/>
      <w:szCs w:val="22"/>
    </w:rPr>
  </w:style>
  <w:style w:type="paragraph" w:styleId="BodyText">
    <w:name w:val="Body Text"/>
    <w:basedOn w:val="Normal"/>
    <w:link w:val="BodyTextChar"/>
    <w:uiPriority w:val="99"/>
    <w:unhideWhenUsed/>
    <w:locked/>
    <w:rsid w:val="00D75869"/>
    <w:pPr>
      <w:spacing w:before="0"/>
    </w:pPr>
    <w:rPr>
      <w:rFonts w:eastAsiaTheme="minorHAnsi" w:cstheme="minorBidi"/>
      <w:sz w:val="20"/>
      <w:szCs w:val="22"/>
    </w:rPr>
  </w:style>
  <w:style w:type="character" w:customStyle="1" w:styleId="BodyTextChar">
    <w:name w:val="Body Text Char"/>
    <w:basedOn w:val="DefaultParagraphFont"/>
    <w:link w:val="BodyText"/>
    <w:uiPriority w:val="99"/>
    <w:rsid w:val="00D75869"/>
    <w:rPr>
      <w:rFonts w:ascii="Arial" w:eastAsiaTheme="minorHAnsi" w:hAnsi="Arial"/>
      <w:sz w:val="20"/>
      <w:szCs w:val="22"/>
      <w:lang w:val="en-AU"/>
    </w:rPr>
  </w:style>
  <w:style w:type="paragraph" w:styleId="BodyText2">
    <w:name w:val="Body Text 2"/>
    <w:basedOn w:val="Normal"/>
    <w:link w:val="BodyText2Char"/>
    <w:uiPriority w:val="99"/>
    <w:unhideWhenUsed/>
    <w:locked/>
    <w:rsid w:val="00D75869"/>
    <w:pPr>
      <w:spacing w:before="0"/>
    </w:pPr>
    <w:rPr>
      <w:rFonts w:eastAsiaTheme="minorHAnsi" w:cstheme="minorBidi"/>
      <w:b/>
      <w:sz w:val="20"/>
      <w:szCs w:val="22"/>
    </w:rPr>
  </w:style>
  <w:style w:type="character" w:customStyle="1" w:styleId="BodyText2Char">
    <w:name w:val="Body Text 2 Char"/>
    <w:basedOn w:val="DefaultParagraphFont"/>
    <w:link w:val="BodyText2"/>
    <w:uiPriority w:val="99"/>
    <w:rsid w:val="00D75869"/>
    <w:rPr>
      <w:rFonts w:ascii="Arial" w:eastAsiaTheme="minorHAnsi" w:hAnsi="Arial"/>
      <w:b/>
      <w:sz w:val="20"/>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387492"/>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87492"/>
    <w:rPr>
      <w:rFonts w:ascii="Segoe UI" w:hAnsi="Segoe UI" w:cs="Segoe UI"/>
      <w:sz w:val="18"/>
      <w:szCs w:val="18"/>
    </w:rPr>
  </w:style>
  <w:style w:type="table" w:customStyle="1" w:styleId="TableGrid2">
    <w:name w:val="Table Grid2"/>
    <w:basedOn w:val="TableNormal"/>
    <w:next w:val="TableGrid"/>
    <w:uiPriority w:val="59"/>
    <w:rsid w:val="0062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8F5"/>
    <w:rPr>
      <w:rFonts w:ascii="Arial" w:hAnsi="Arial" w:cs="Arial"/>
      <w:sz w:val="18"/>
      <w:szCs w:val="18"/>
    </w:rPr>
  </w:style>
  <w:style w:type="paragraph" w:styleId="ListParagraph">
    <w:name w:val="List Paragraph"/>
    <w:aliases w:val="List Paragraph1,List Paragraph11"/>
    <w:basedOn w:val="Normal"/>
    <w:uiPriority w:val="34"/>
    <w:qFormat/>
    <w:locked/>
    <w:rsid w:val="00BB085A"/>
    <w:pPr>
      <w:ind w:left="720"/>
      <w:contextualSpacing/>
    </w:pPr>
  </w:style>
  <w:style w:type="table" w:customStyle="1" w:styleId="GridTable6Colorful2">
    <w:name w:val="Grid Table 6 Colorful2"/>
    <w:basedOn w:val="TableNormal"/>
    <w:uiPriority w:val="51"/>
    <w:rsid w:val="00E378B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Data">
    <w:name w:val="TableData"/>
    <w:basedOn w:val="Normal"/>
    <w:rsid w:val="00CD725B"/>
    <w:pPr>
      <w:tabs>
        <w:tab w:val="decimal" w:pos="1008"/>
      </w:tabs>
      <w:spacing w:after="120" w:line="120" w:lineRule="atLeast"/>
      <w:ind w:left="72" w:right="72"/>
    </w:pPr>
    <w:rPr>
      <w:rFonts w:eastAsia="Times New Roman" w:cs="Times New Roman"/>
      <w:sz w:val="20"/>
      <w:szCs w:val="20"/>
    </w:rPr>
  </w:style>
  <w:style w:type="paragraph" w:customStyle="1" w:styleId="AddressPhone">
    <w:name w:val="Address/Phone"/>
    <w:basedOn w:val="Normal"/>
    <w:rsid w:val="00CD725B"/>
    <w:pPr>
      <w:spacing w:before="0" w:line="240" w:lineRule="auto"/>
      <w:ind w:left="245"/>
    </w:pPr>
    <w:rPr>
      <w:rFonts w:eastAsia="Times New Roman" w:cs="Times New Roman"/>
      <w:sz w:val="20"/>
      <w:szCs w:val="20"/>
    </w:rPr>
  </w:style>
  <w:style w:type="paragraph" w:customStyle="1" w:styleId="TableText">
    <w:name w:val="TableText"/>
    <w:basedOn w:val="TableData"/>
    <w:rsid w:val="00CD725B"/>
    <w:pPr>
      <w:tabs>
        <w:tab w:val="clear" w:pos="1008"/>
      </w:tabs>
    </w:pPr>
  </w:style>
  <w:style w:type="paragraph" w:customStyle="1" w:styleId="CompanyName">
    <w:name w:val="Company Name"/>
    <w:basedOn w:val="Normal"/>
    <w:next w:val="Slogan"/>
    <w:rsid w:val="00CD725B"/>
    <w:pPr>
      <w:spacing w:before="0" w:line="240" w:lineRule="atLeast"/>
      <w:ind w:left="245"/>
    </w:pPr>
    <w:rPr>
      <w:rFonts w:eastAsia="Times New Roman" w:cs="Times New Roman"/>
      <w:b/>
      <w:sz w:val="36"/>
      <w:szCs w:val="20"/>
    </w:rPr>
  </w:style>
  <w:style w:type="paragraph" w:customStyle="1" w:styleId="Slogan">
    <w:name w:val="Slogan"/>
    <w:basedOn w:val="AddressPhone"/>
    <w:next w:val="AddressPhone"/>
    <w:rsid w:val="00CD725B"/>
    <w:rPr>
      <w:b/>
      <w:i/>
    </w:rPr>
  </w:style>
  <w:style w:type="paragraph" w:customStyle="1" w:styleId="ColumnHead">
    <w:name w:val="ColumnHead"/>
    <w:basedOn w:val="Normal"/>
    <w:rsid w:val="00CD725B"/>
    <w:pPr>
      <w:spacing w:before="0" w:line="240" w:lineRule="auto"/>
      <w:jc w:val="center"/>
    </w:pPr>
    <w:rPr>
      <w:rFonts w:eastAsia="Times New Roman" w:cs="Times New Roman"/>
      <w:b/>
      <w:caps/>
      <w:color w:val="000000"/>
      <w:sz w:val="20"/>
      <w:szCs w:val="20"/>
    </w:rPr>
  </w:style>
  <w:style w:type="paragraph" w:customStyle="1" w:styleId="DatesNotes">
    <w:name w:val="Dates/Notes"/>
    <w:basedOn w:val="Normal"/>
    <w:rsid w:val="00CD725B"/>
    <w:pPr>
      <w:spacing w:before="0" w:line="240" w:lineRule="auto"/>
    </w:pPr>
    <w:rPr>
      <w:rFonts w:eastAsia="Times New Roman" w:cs="Times New Roman"/>
      <w:b/>
      <w:sz w:val="20"/>
      <w:szCs w:val="20"/>
    </w:rPr>
  </w:style>
  <w:style w:type="paragraph" w:customStyle="1" w:styleId="NonDecimalTableData">
    <w:name w:val="NonDecimalTableData"/>
    <w:basedOn w:val="TableData"/>
    <w:rsid w:val="00CD725B"/>
    <w:pPr>
      <w:tabs>
        <w:tab w:val="right" w:pos="1008"/>
      </w:tabs>
    </w:pPr>
  </w:style>
  <w:style w:type="paragraph" w:customStyle="1" w:styleId="Default">
    <w:name w:val="Default"/>
    <w:rsid w:val="00130200"/>
    <w:pPr>
      <w:autoSpaceDE w:val="0"/>
      <w:autoSpaceDN w:val="0"/>
      <w:adjustRightInd w:val="0"/>
    </w:pPr>
    <w:rPr>
      <w:rFonts w:ascii="Verdana" w:hAnsi="Verdana" w:cs="Verdana"/>
      <w:color w:val="000000"/>
      <w:lang w:val="en-AU"/>
    </w:rPr>
  </w:style>
  <w:style w:type="character" w:customStyle="1" w:styleId="Mention1">
    <w:name w:val="Mention1"/>
    <w:basedOn w:val="DefaultParagraphFont"/>
    <w:uiPriority w:val="99"/>
    <w:semiHidden/>
    <w:unhideWhenUsed/>
    <w:rsid w:val="00CA54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9006">
      <w:bodyDiv w:val="1"/>
      <w:marLeft w:val="0"/>
      <w:marRight w:val="0"/>
      <w:marTop w:val="0"/>
      <w:marBottom w:val="0"/>
      <w:divBdr>
        <w:top w:val="none" w:sz="0" w:space="0" w:color="auto"/>
        <w:left w:val="none" w:sz="0" w:space="0" w:color="auto"/>
        <w:bottom w:val="none" w:sz="0" w:space="0" w:color="auto"/>
        <w:right w:val="none" w:sz="0" w:space="0" w:color="auto"/>
      </w:divBdr>
    </w:div>
    <w:div w:id="150385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principals/spag/Pages/spag.aspx" TargetMode="External"/><Relationship Id="rId10" Type="http://schemas.openxmlformats.org/officeDocument/2006/relationships/footnotes" Target="footnotes.xml"/><Relationship Id="rId14" Type="http://schemas.openxmlformats.org/officeDocument/2006/relationships/hyperlink" Target="https://edugate.eduweb.vic.gov.au/edrms/keyprocess/FS/Pages/FC.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Section 18: End of Financial Year reporting
(30 June)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C338474-2277-43BF-9AE2-28744B3D93C3}"/>
</file>

<file path=customXml/itemProps4.xml><?xml version="1.0" encoding="utf-8"?>
<ds:datastoreItem xmlns:ds="http://schemas.openxmlformats.org/officeDocument/2006/customXml" ds:itemID="{41646097-49DB-48A2-A439-C37E6C20894E}">
  <ds:schemaRefs>
    <ds:schemaRef ds:uri="http://schemas.microsoft.com/sharepoint/events"/>
  </ds:schemaRefs>
</ds:datastoreItem>
</file>

<file path=customXml/itemProps5.xml><?xml version="1.0" encoding="utf-8"?>
<ds:datastoreItem xmlns:ds="http://schemas.openxmlformats.org/officeDocument/2006/customXml" ds:itemID="{11BC7767-1DF8-4E9F-96EC-01D0693A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 </dc:title>
  <dc:creator>Dori Maniatakis</dc:creator>
  <cp:lastModifiedBy>Chantelle Cox</cp:lastModifiedBy>
  <cp:revision>2</cp:revision>
  <cp:lastPrinted>2019-09-09T01:05:00Z</cp:lastPrinted>
  <dcterms:created xsi:type="dcterms:W3CDTF">2019-09-10T05:33:00Z</dcterms:created>
  <dcterms:modified xsi:type="dcterms:W3CDTF">2019-09-10T05:33:00Z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