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21F3" w14:textId="77777777" w:rsidR="00927DEE" w:rsidRPr="00C942A0" w:rsidRDefault="00927DEE" w:rsidP="00DB6966">
      <w:pPr>
        <w:pStyle w:val="Heading1"/>
      </w:pPr>
      <w:bookmarkStart w:id="0" w:name="_Toc455499267"/>
      <w:bookmarkStart w:id="1" w:name="_Toc455499461"/>
      <w:bookmarkStart w:id="2" w:name="_Toc455501167"/>
      <w:r w:rsidRPr="00C942A0">
        <w:t xml:space="preserve">Section </w:t>
      </w:r>
      <w:r w:rsidR="006D6ECF" w:rsidRPr="00C942A0">
        <w:t>15</w:t>
      </w:r>
      <w:r w:rsidRPr="00C942A0">
        <w:t xml:space="preserve">: </w:t>
      </w:r>
      <w:r w:rsidR="006D6ECF" w:rsidRPr="00C942A0">
        <w:t>Taxation</w:t>
      </w:r>
    </w:p>
    <w:p w14:paraId="0E844DC8" w14:textId="77777777" w:rsidR="00927DEE" w:rsidRPr="006F7B96" w:rsidRDefault="0078128B" w:rsidP="006F7B96">
      <w:pPr>
        <w:pStyle w:val="Heading2"/>
      </w:pPr>
      <w:r>
        <w:t>15.1</w:t>
      </w:r>
      <w:r>
        <w:tab/>
      </w:r>
      <w:r w:rsidR="00826440">
        <w:t>I</w:t>
      </w:r>
      <w:r w:rsidR="006D6ECF" w:rsidRPr="006F7B96">
        <w:t>ncome tax</w:t>
      </w:r>
      <w:r w:rsidR="00B6030C" w:rsidRPr="006F7B96">
        <w:t xml:space="preserve"> </w:t>
      </w:r>
    </w:p>
    <w:p w14:paraId="04A8B7B8" w14:textId="77777777" w:rsidR="006D6ECF" w:rsidRPr="006F7B96" w:rsidRDefault="0078128B" w:rsidP="006F7B96">
      <w:pPr>
        <w:pStyle w:val="Heading3"/>
      </w:pPr>
      <w:r>
        <w:t>15.1.1</w:t>
      </w:r>
      <w:r>
        <w:tab/>
      </w:r>
      <w:r w:rsidR="006D6ECF" w:rsidRPr="006F7B96">
        <w:t>Overview</w:t>
      </w:r>
    </w:p>
    <w:p w14:paraId="579CBAF3" w14:textId="77777777" w:rsidR="006D6ECF" w:rsidRPr="006D6ECF" w:rsidRDefault="006D6ECF" w:rsidP="00C942A0">
      <w:pPr>
        <w:rPr>
          <w:rFonts w:eastAsiaTheme="minorHAnsi"/>
        </w:rPr>
      </w:pPr>
      <w:r w:rsidRPr="006D6ECF">
        <w:rPr>
          <w:rFonts w:eastAsiaTheme="minorHAnsi"/>
        </w:rPr>
        <w:t xml:space="preserve">Schools do not pay Income Tax pursuant to </w:t>
      </w:r>
      <w:r w:rsidR="000B7C8B">
        <w:rPr>
          <w:rFonts w:eastAsiaTheme="minorHAnsi"/>
        </w:rPr>
        <w:t>S</w:t>
      </w:r>
      <w:r w:rsidRPr="006D6ECF">
        <w:rPr>
          <w:rFonts w:eastAsiaTheme="minorHAnsi"/>
        </w:rPr>
        <w:t xml:space="preserve">ection 24AK of the </w:t>
      </w:r>
      <w:r w:rsidRPr="00A620B8">
        <w:rPr>
          <w:rFonts w:eastAsiaTheme="minorHAnsi"/>
          <w:i/>
        </w:rPr>
        <w:t>Income Tax Assessment Act 1936</w:t>
      </w:r>
      <w:r w:rsidR="00D75869">
        <w:rPr>
          <w:rFonts w:eastAsiaTheme="minorHAnsi"/>
        </w:rPr>
        <w:t xml:space="preserve">. </w:t>
      </w:r>
      <w:r w:rsidRPr="006D6ECF">
        <w:rPr>
          <w:rFonts w:eastAsiaTheme="minorHAnsi"/>
        </w:rPr>
        <w:t>Schools meet the definition of a State/Territory Body and are therefore exempt from income tax.</w:t>
      </w:r>
    </w:p>
    <w:p w14:paraId="32BCE374" w14:textId="77777777" w:rsidR="006D6ECF" w:rsidRDefault="006D6ECF" w:rsidP="00C942A0">
      <w:pPr>
        <w:rPr>
          <w:rFonts w:eastAsiaTheme="minorHAnsi"/>
        </w:rPr>
      </w:pPr>
      <w:r w:rsidRPr="00E8786F">
        <w:rPr>
          <w:rFonts w:eastAsiaTheme="minorHAnsi"/>
        </w:rPr>
        <w:t xml:space="preserve">There is no income tax exemption certificate as such, but if schools need to quote </w:t>
      </w:r>
      <w:r>
        <w:rPr>
          <w:rFonts w:eastAsiaTheme="minorHAnsi"/>
        </w:rPr>
        <w:t xml:space="preserve">that they are exempt from income tax, they should quote the section above. </w:t>
      </w:r>
    </w:p>
    <w:p w14:paraId="136EB78E" w14:textId="77777777" w:rsidR="00927DEE" w:rsidRPr="006F7B96" w:rsidRDefault="006D6ECF" w:rsidP="006F7B96">
      <w:pPr>
        <w:pStyle w:val="Heading2"/>
      </w:pPr>
      <w:r w:rsidRPr="006F7B96">
        <w:t>15.2</w:t>
      </w:r>
      <w:r w:rsidR="0078128B">
        <w:tab/>
        <w:t>Good and S</w:t>
      </w:r>
      <w:r w:rsidRPr="006F7B96">
        <w:t xml:space="preserve">ervices </w:t>
      </w:r>
      <w:r w:rsidR="0078128B">
        <w:t>T</w:t>
      </w:r>
      <w:r w:rsidRPr="006F7B96">
        <w:t>ax (GST)</w:t>
      </w:r>
      <w:r w:rsidR="00B6030C" w:rsidRPr="006F7B96">
        <w:t xml:space="preserve"> </w:t>
      </w:r>
    </w:p>
    <w:p w14:paraId="198470F8" w14:textId="77777777" w:rsidR="00CB1AF9" w:rsidRPr="006F7B96" w:rsidRDefault="006D6ECF" w:rsidP="006F7B96">
      <w:pPr>
        <w:pStyle w:val="Heading3"/>
      </w:pPr>
      <w:r w:rsidRPr="006F7B96">
        <w:t>15.2</w:t>
      </w:r>
      <w:r w:rsidR="009F030B" w:rsidRPr="006F7B96">
        <w:t>.1</w:t>
      </w:r>
      <w:r w:rsidR="0078128B">
        <w:tab/>
      </w:r>
      <w:r w:rsidR="00CB1AF9" w:rsidRPr="006F7B96">
        <w:t>Overview</w:t>
      </w:r>
    </w:p>
    <w:p w14:paraId="08EE9E48" w14:textId="77777777" w:rsidR="006D6ECF" w:rsidRPr="006D6ECF" w:rsidRDefault="006D6ECF" w:rsidP="00C942A0">
      <w:r w:rsidRPr="006D6ECF">
        <w:t>All schools are registered with an Australian Business Number (ABN) and are registered for GST</w:t>
      </w:r>
      <w:r w:rsidR="00D75869">
        <w:t xml:space="preserve">. </w:t>
      </w:r>
      <w:r w:rsidRPr="006D6ECF">
        <w:t xml:space="preserve">Schools must comply with the GST law in </w:t>
      </w:r>
      <w:r w:rsidR="000B7C8B">
        <w:t>every</w:t>
      </w:r>
      <w:r w:rsidR="000B7C8B" w:rsidRPr="006D6ECF">
        <w:t xml:space="preserve"> </w:t>
      </w:r>
      <w:r w:rsidRPr="006D6ECF">
        <w:t>respect.</w:t>
      </w:r>
    </w:p>
    <w:p w14:paraId="00EABC21" w14:textId="62902256" w:rsidR="001D71C8" w:rsidRDefault="006D6ECF" w:rsidP="001D71C8">
      <w:r w:rsidRPr="006D6ECF">
        <w:t xml:space="preserve">As well as the </w:t>
      </w:r>
      <w:r w:rsidR="00602AFC">
        <w:t>m</w:t>
      </w:r>
      <w:r w:rsidRPr="006D6ECF">
        <w:t xml:space="preserve">andatory policies below, schools should refer to the Tax </w:t>
      </w:r>
      <w:r w:rsidR="000B7C8B">
        <w:t xml:space="preserve">EduGate </w:t>
      </w:r>
      <w:r w:rsidRPr="006D6ECF">
        <w:t xml:space="preserve">page </w:t>
      </w:r>
      <w:r w:rsidR="00602AFC" w:rsidRPr="00602AFC">
        <w:t xml:space="preserve">for extensive support and assistance in complying with the school’s GST </w:t>
      </w:r>
      <w:r w:rsidR="00602AFC">
        <w:t>o</w:t>
      </w:r>
      <w:r w:rsidR="00602AFC" w:rsidRPr="00602AFC">
        <w:t>bligations.</w:t>
      </w:r>
      <w:r w:rsidR="00602AFC">
        <w:t xml:space="preserve"> Refer to </w:t>
      </w:r>
      <w:hyperlink r:id="rId12" w:history="1">
        <w:r w:rsidR="001D71C8" w:rsidRPr="001D71C8">
          <w:rPr>
            <w:rStyle w:val="Hyperlink"/>
          </w:rPr>
          <w:t>Tax Pages</w:t>
        </w:r>
      </w:hyperlink>
      <w:r w:rsidR="001D71C8">
        <w:t xml:space="preserve"> on the Department website.</w:t>
      </w:r>
    </w:p>
    <w:p w14:paraId="70ADC76F" w14:textId="77777777" w:rsidR="00FC4A7F" w:rsidRDefault="00FC4A7F" w:rsidP="00FC4A7F">
      <w:r w:rsidRPr="006D6ECF">
        <w:t>Schools can check their own, and their suppliers’ ABN details at</w:t>
      </w:r>
      <w:r>
        <w:t xml:space="preserve"> </w:t>
      </w:r>
      <w:hyperlink r:id="rId13" w:history="1">
        <w:r w:rsidRPr="001D71C8">
          <w:rPr>
            <w:rStyle w:val="Hyperlink"/>
          </w:rPr>
          <w:t>ABR Business Search</w:t>
        </w:r>
      </w:hyperlink>
      <w:r>
        <w:t>.</w:t>
      </w:r>
    </w:p>
    <w:p w14:paraId="483FECAB" w14:textId="77777777" w:rsidR="009B4EE0" w:rsidRPr="002A00EF" w:rsidRDefault="006D6ECF" w:rsidP="006F7B96">
      <w:pPr>
        <w:pStyle w:val="Heading3"/>
      </w:pPr>
      <w:r w:rsidRPr="002A00EF">
        <w:t>15.2.2</w:t>
      </w:r>
      <w:r w:rsidR="0078128B">
        <w:tab/>
      </w:r>
      <w:r w:rsidR="009B4EE0" w:rsidRPr="002A00EF">
        <w:t>Mandatory policy (</w:t>
      </w:r>
      <w:r w:rsidR="00826440">
        <w:t>Must do</w:t>
      </w:r>
      <w:r w:rsidR="009B4EE0" w:rsidRPr="002A00EF">
        <w:t>)</w:t>
      </w:r>
      <w:r w:rsidR="0078128B">
        <w:t>:</w:t>
      </w:r>
    </w:p>
    <w:tbl>
      <w:tblPr>
        <w:tblW w:w="0" w:type="auto"/>
        <w:tblInd w:w="57" w:type="dxa"/>
        <w:tblLook w:val="04A0" w:firstRow="1" w:lastRow="0" w:firstColumn="1" w:lastColumn="0" w:noHBand="0" w:noVBand="1"/>
        <w:tblDescription w:val="table containing scenario numbers and policy information"/>
      </w:tblPr>
      <w:tblGrid>
        <w:gridCol w:w="1256"/>
        <w:gridCol w:w="6904"/>
        <w:gridCol w:w="837"/>
      </w:tblGrid>
      <w:tr w:rsidR="00E57EB0" w:rsidRPr="0091756B" w14:paraId="28EEC382" w14:textId="77777777" w:rsidTr="007673BB">
        <w:trPr>
          <w:trHeight w:val="533"/>
          <w:tblHeader/>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14:paraId="57673C2E" w14:textId="77777777" w:rsidR="00E57EB0" w:rsidRPr="007673BB" w:rsidRDefault="00E57EB0" w:rsidP="0037676B">
            <w:pPr>
              <w:rPr>
                <w:rFonts w:eastAsiaTheme="minorHAnsi"/>
                <w:b/>
                <w:sz w:val="20"/>
                <w:szCs w:val="20"/>
              </w:rPr>
            </w:pPr>
            <w:r w:rsidRPr="007673BB">
              <w:rPr>
                <w:rFonts w:eastAsiaTheme="minorHAnsi"/>
                <w:b/>
                <w:sz w:val="20"/>
                <w:szCs w:val="20"/>
              </w:rPr>
              <w:t>Sequence Numbers</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2E7C90C5" w14:textId="77777777" w:rsidR="00E57EB0" w:rsidRPr="007673BB" w:rsidRDefault="00E57EB0" w:rsidP="0037676B">
            <w:pPr>
              <w:rPr>
                <w:b/>
                <w:sz w:val="20"/>
                <w:szCs w:val="20"/>
              </w:rPr>
            </w:pPr>
            <w:r w:rsidRPr="007673BB">
              <w:rPr>
                <w:b/>
                <w:sz w:val="20"/>
                <w:szCs w:val="20"/>
              </w:rPr>
              <w:t>Information</w:t>
            </w:r>
          </w:p>
        </w:tc>
        <w:tc>
          <w:tcPr>
            <w:tcW w:w="837" w:type="dxa"/>
            <w:tcBorders>
              <w:left w:val="single" w:sz="4" w:space="0" w:color="auto"/>
              <w:bottom w:val="single" w:sz="4" w:space="0" w:color="auto"/>
            </w:tcBorders>
          </w:tcPr>
          <w:p w14:paraId="7BCAAA28" w14:textId="77777777" w:rsidR="00E57EB0" w:rsidRPr="00C509BF" w:rsidRDefault="00E57EB0" w:rsidP="0037676B">
            <w:pPr>
              <w:rPr>
                <w:b/>
              </w:rPr>
            </w:pPr>
          </w:p>
        </w:tc>
      </w:tr>
      <w:tr w:rsidR="00E57EB0" w:rsidRPr="00EC7D90" w14:paraId="25902C94" w14:textId="77777777" w:rsidTr="00E57EB0">
        <w:trPr>
          <w:trHeight w:val="1679"/>
        </w:trPr>
        <w:tc>
          <w:tcPr>
            <w:tcW w:w="1256" w:type="dxa"/>
            <w:tcBorders>
              <w:top w:val="single" w:sz="4" w:space="0" w:color="auto"/>
              <w:left w:val="single" w:sz="4" w:space="0" w:color="auto"/>
              <w:bottom w:val="single" w:sz="4" w:space="0" w:color="auto"/>
              <w:right w:val="single" w:sz="4" w:space="0" w:color="auto"/>
            </w:tcBorders>
          </w:tcPr>
          <w:p w14:paraId="6ACF192E" w14:textId="77777777" w:rsidR="00E57EB0" w:rsidRPr="00FE581C" w:rsidRDefault="00E57EB0" w:rsidP="0078128B">
            <w:pPr>
              <w:rPr>
                <w:rFonts w:eastAsiaTheme="minorHAnsi"/>
              </w:rPr>
            </w:pPr>
            <w:r>
              <w:rPr>
                <w:rFonts w:eastAsiaTheme="minorHAnsi"/>
              </w:rPr>
              <w:t>15.2.2.1</w:t>
            </w:r>
          </w:p>
        </w:tc>
        <w:tc>
          <w:tcPr>
            <w:tcW w:w="6904" w:type="dxa"/>
            <w:tcBorders>
              <w:top w:val="single" w:sz="4" w:space="0" w:color="auto"/>
              <w:left w:val="single" w:sz="4" w:space="0" w:color="auto"/>
              <w:bottom w:val="single" w:sz="4" w:space="0" w:color="auto"/>
              <w:right w:val="single" w:sz="4" w:space="0" w:color="auto"/>
            </w:tcBorders>
          </w:tcPr>
          <w:p w14:paraId="2605FA71" w14:textId="77777777" w:rsidR="00E57EB0" w:rsidRPr="006D6ECF" w:rsidRDefault="00E57EB0" w:rsidP="00620786">
            <w:pPr>
              <w:rPr>
                <w:b/>
              </w:rPr>
            </w:pPr>
            <w:r>
              <w:t>The principal of each s</w:t>
            </w:r>
            <w:r w:rsidRPr="006D6ECF">
              <w:t xml:space="preserve">chool must </w:t>
            </w:r>
            <w:r>
              <w:t xml:space="preserve">approve and </w:t>
            </w:r>
            <w:r w:rsidRPr="006D6ECF">
              <w:t>lodge a B</w:t>
            </w:r>
            <w:r>
              <w:t>usiness Activity Statement (BAS)</w:t>
            </w:r>
            <w:r w:rsidRPr="006D6ECF">
              <w:t xml:space="preserve"> with the A</w:t>
            </w:r>
            <w:r>
              <w:t>ustralian Taxation Office (A</w:t>
            </w:r>
            <w:r w:rsidRPr="006D6ECF">
              <w:t>TO</w:t>
            </w:r>
            <w:r>
              <w:t>)</w:t>
            </w:r>
            <w:r w:rsidRPr="006D6ECF">
              <w:t xml:space="preserve"> each month within the required timeframe, and as early as possible when in a GST refund position</w:t>
            </w:r>
            <w:r>
              <w:t>. The business manager of the school can be the preparer of the Business Activity Statement (BAS).</w:t>
            </w:r>
          </w:p>
        </w:tc>
        <w:tc>
          <w:tcPr>
            <w:tcW w:w="837" w:type="dxa"/>
            <w:tcBorders>
              <w:top w:val="single" w:sz="4" w:space="0" w:color="auto"/>
              <w:left w:val="single" w:sz="4" w:space="0" w:color="auto"/>
              <w:bottom w:val="single" w:sz="4" w:space="0" w:color="auto"/>
              <w:right w:val="single" w:sz="4" w:space="0" w:color="auto"/>
            </w:tcBorders>
          </w:tcPr>
          <w:p w14:paraId="4E6576EC" w14:textId="77777777" w:rsidR="00E57EB0" w:rsidRDefault="00E57EB0" w:rsidP="00620786"/>
        </w:tc>
      </w:tr>
      <w:tr w:rsidR="00E57EB0" w:rsidRPr="00EC7D90" w14:paraId="7A6656FD" w14:textId="77777777" w:rsidTr="00E57EB0">
        <w:trPr>
          <w:trHeight w:val="1054"/>
        </w:trPr>
        <w:tc>
          <w:tcPr>
            <w:tcW w:w="1256" w:type="dxa"/>
            <w:tcBorders>
              <w:top w:val="single" w:sz="4" w:space="0" w:color="auto"/>
              <w:left w:val="single" w:sz="4" w:space="0" w:color="auto"/>
              <w:bottom w:val="single" w:sz="4" w:space="0" w:color="auto"/>
              <w:right w:val="single" w:sz="4" w:space="0" w:color="auto"/>
            </w:tcBorders>
          </w:tcPr>
          <w:p w14:paraId="270AF25F" w14:textId="77777777" w:rsidR="00E57EB0" w:rsidRPr="00FE581C" w:rsidRDefault="00E57EB0" w:rsidP="0078128B">
            <w:pPr>
              <w:rPr>
                <w:rFonts w:eastAsiaTheme="minorHAnsi"/>
              </w:rPr>
            </w:pPr>
            <w:r>
              <w:rPr>
                <w:rFonts w:eastAsiaTheme="minorHAnsi"/>
              </w:rPr>
              <w:t>15.2.2.2</w:t>
            </w:r>
          </w:p>
        </w:tc>
        <w:tc>
          <w:tcPr>
            <w:tcW w:w="6904" w:type="dxa"/>
            <w:tcBorders>
              <w:top w:val="single" w:sz="4" w:space="0" w:color="auto"/>
              <w:left w:val="single" w:sz="4" w:space="0" w:color="auto"/>
              <w:bottom w:val="single" w:sz="4" w:space="0" w:color="auto"/>
              <w:right w:val="single" w:sz="4" w:space="0" w:color="auto"/>
            </w:tcBorders>
          </w:tcPr>
          <w:p w14:paraId="6A0100B9" w14:textId="77777777" w:rsidR="00E57EB0" w:rsidRPr="003373A6" w:rsidRDefault="00E57EB0" w:rsidP="001D71C8">
            <w:pPr>
              <w:rPr>
                <w:bCs/>
              </w:rPr>
            </w:pPr>
            <w:r w:rsidRPr="003373A6">
              <w:rPr>
                <w:bCs/>
              </w:rPr>
              <w:t xml:space="preserve">Schools </w:t>
            </w:r>
            <w:r>
              <w:rPr>
                <w:bCs/>
              </w:rPr>
              <w:t>must</w:t>
            </w:r>
            <w:r w:rsidRPr="003373A6">
              <w:rPr>
                <w:bCs/>
              </w:rPr>
              <w:t xml:space="preserve"> lodge the Business Activity Statement (BAS) electronically through the </w:t>
            </w:r>
            <w:hyperlink r:id="rId14" w:history="1">
              <w:r w:rsidRPr="001D71C8">
                <w:rPr>
                  <w:rStyle w:val="Hyperlink"/>
                  <w:bCs/>
                </w:rPr>
                <w:t>ATO’s Business Portal</w:t>
              </w:r>
            </w:hyperlink>
            <w:r>
              <w:rPr>
                <w:bCs/>
              </w:rPr>
              <w:t>.</w:t>
            </w:r>
          </w:p>
        </w:tc>
        <w:tc>
          <w:tcPr>
            <w:tcW w:w="837" w:type="dxa"/>
            <w:tcBorders>
              <w:top w:val="single" w:sz="4" w:space="0" w:color="auto"/>
              <w:left w:val="single" w:sz="4" w:space="0" w:color="auto"/>
              <w:bottom w:val="single" w:sz="4" w:space="0" w:color="auto"/>
              <w:right w:val="single" w:sz="4" w:space="0" w:color="auto"/>
            </w:tcBorders>
          </w:tcPr>
          <w:p w14:paraId="4385ADB8" w14:textId="77777777" w:rsidR="00E57EB0" w:rsidRPr="003373A6" w:rsidRDefault="00E57EB0" w:rsidP="001D71C8">
            <w:pPr>
              <w:rPr>
                <w:bCs/>
              </w:rPr>
            </w:pPr>
          </w:p>
        </w:tc>
      </w:tr>
      <w:tr w:rsidR="00E57EB0" w:rsidRPr="00EC7D90" w14:paraId="12A55BB3" w14:textId="77777777" w:rsidTr="00E57EB0">
        <w:trPr>
          <w:trHeight w:val="831"/>
        </w:trPr>
        <w:tc>
          <w:tcPr>
            <w:tcW w:w="1256" w:type="dxa"/>
            <w:tcBorders>
              <w:top w:val="single" w:sz="4" w:space="0" w:color="auto"/>
              <w:left w:val="single" w:sz="4" w:space="0" w:color="auto"/>
              <w:bottom w:val="single" w:sz="4" w:space="0" w:color="auto"/>
              <w:right w:val="single" w:sz="4" w:space="0" w:color="auto"/>
            </w:tcBorders>
          </w:tcPr>
          <w:p w14:paraId="43241E5F" w14:textId="77777777" w:rsidR="00E57EB0" w:rsidRPr="00FE581C" w:rsidRDefault="00E57EB0" w:rsidP="0078128B">
            <w:pPr>
              <w:rPr>
                <w:rFonts w:eastAsiaTheme="minorHAnsi"/>
              </w:rPr>
            </w:pPr>
            <w:r>
              <w:rPr>
                <w:rFonts w:eastAsiaTheme="minorHAnsi"/>
              </w:rPr>
              <w:t>15.2.2.3</w:t>
            </w:r>
          </w:p>
        </w:tc>
        <w:tc>
          <w:tcPr>
            <w:tcW w:w="6904" w:type="dxa"/>
            <w:tcBorders>
              <w:top w:val="single" w:sz="4" w:space="0" w:color="auto"/>
              <w:left w:val="single" w:sz="4" w:space="0" w:color="auto"/>
              <w:bottom w:val="single" w:sz="4" w:space="0" w:color="auto"/>
              <w:right w:val="single" w:sz="4" w:space="0" w:color="auto"/>
            </w:tcBorders>
          </w:tcPr>
          <w:p w14:paraId="5BAE0318" w14:textId="65B926B9" w:rsidR="00E57EB0" w:rsidRPr="003373A6" w:rsidRDefault="00E57EB0" w:rsidP="00A620B8">
            <w:r w:rsidRPr="003373A6">
              <w:rPr>
                <w:bCs/>
              </w:rPr>
              <w:t xml:space="preserve">Relevant school staff </w:t>
            </w:r>
            <w:r>
              <w:rPr>
                <w:bCs/>
              </w:rPr>
              <w:t>must</w:t>
            </w:r>
            <w:r w:rsidRPr="003373A6">
              <w:rPr>
                <w:bCs/>
              </w:rPr>
              <w:t xml:space="preserve"> have an </w:t>
            </w:r>
            <w:r w:rsidR="00FC4A7F" w:rsidRPr="003373A6">
              <w:rPr>
                <w:bCs/>
              </w:rPr>
              <w:t>up to date</w:t>
            </w:r>
            <w:r w:rsidRPr="003373A6">
              <w:rPr>
                <w:bCs/>
              </w:rPr>
              <w:t xml:space="preserve"> AUSkey</w:t>
            </w:r>
            <w:r w:rsidR="00FC4A7F">
              <w:rPr>
                <w:bCs/>
              </w:rPr>
              <w:t>/myGovID</w:t>
            </w:r>
            <w:r>
              <w:rPr>
                <w:bCs/>
              </w:rPr>
              <w:t>.</w:t>
            </w:r>
            <w:r w:rsidRPr="003373A6">
              <w:rPr>
                <w:bCs/>
              </w:rPr>
              <w:t xml:space="preserve"> </w:t>
            </w:r>
            <w:r>
              <w:rPr>
                <w:bCs/>
              </w:rPr>
              <w:t>F</w:t>
            </w:r>
            <w:r w:rsidRPr="003373A6">
              <w:rPr>
                <w:bCs/>
              </w:rPr>
              <w:t>or further details about schools and the AUSkey</w:t>
            </w:r>
            <w:r w:rsidR="00FC4A7F">
              <w:rPr>
                <w:bCs/>
              </w:rPr>
              <w:t>/myGovID</w:t>
            </w:r>
            <w:r>
              <w:rPr>
                <w:bCs/>
              </w:rPr>
              <w:t xml:space="preserve">, refer to </w:t>
            </w:r>
            <w:hyperlink r:id="rId15" w:history="1">
              <w:r w:rsidRPr="00BF3E12">
                <w:rPr>
                  <w:rStyle w:val="Hyperlink"/>
                  <w:bCs/>
                </w:rPr>
                <w:t>AUSkey Fact Sheet</w:t>
              </w:r>
            </w:hyperlink>
            <w:r>
              <w:rPr>
                <w:bCs/>
              </w:rPr>
              <w:t xml:space="preserve"> </w:t>
            </w:r>
          </w:p>
        </w:tc>
        <w:tc>
          <w:tcPr>
            <w:tcW w:w="837" w:type="dxa"/>
            <w:tcBorders>
              <w:top w:val="single" w:sz="4" w:space="0" w:color="auto"/>
              <w:left w:val="single" w:sz="4" w:space="0" w:color="auto"/>
              <w:bottom w:val="single" w:sz="4" w:space="0" w:color="auto"/>
              <w:right w:val="single" w:sz="4" w:space="0" w:color="auto"/>
            </w:tcBorders>
          </w:tcPr>
          <w:p w14:paraId="3DB98EBA" w14:textId="77777777" w:rsidR="00E57EB0" w:rsidRPr="003373A6" w:rsidRDefault="00E57EB0" w:rsidP="00A620B8">
            <w:pPr>
              <w:rPr>
                <w:bCs/>
              </w:rPr>
            </w:pPr>
          </w:p>
        </w:tc>
      </w:tr>
    </w:tbl>
    <w:p w14:paraId="6CBBAB9B" w14:textId="77777777" w:rsidR="0037769E" w:rsidRDefault="0037769E">
      <w:r>
        <w:br w:type="page"/>
      </w:r>
    </w:p>
    <w:tbl>
      <w:tblPr>
        <w:tblW w:w="0" w:type="auto"/>
        <w:tblInd w:w="57" w:type="dxa"/>
        <w:tblLook w:val="04A0" w:firstRow="1" w:lastRow="0" w:firstColumn="1" w:lastColumn="0" w:noHBand="0" w:noVBand="1"/>
      </w:tblPr>
      <w:tblGrid>
        <w:gridCol w:w="1256"/>
        <w:gridCol w:w="6904"/>
        <w:gridCol w:w="837"/>
      </w:tblGrid>
      <w:tr w:rsidR="00E57EB0" w:rsidRPr="0091756B" w14:paraId="78E1BBA0" w14:textId="77777777" w:rsidTr="00E57EB0">
        <w:trPr>
          <w:trHeight w:hRule="exact" w:val="723"/>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34162" w14:textId="77777777" w:rsidR="00E57EB0" w:rsidRPr="007673BB" w:rsidRDefault="00E57EB0" w:rsidP="0037676B">
            <w:pPr>
              <w:rPr>
                <w:rFonts w:eastAsiaTheme="minorHAnsi"/>
                <w:b/>
                <w:sz w:val="20"/>
                <w:szCs w:val="20"/>
              </w:rPr>
            </w:pPr>
            <w:r w:rsidRPr="007673BB">
              <w:rPr>
                <w:rFonts w:eastAsiaTheme="minorHAnsi"/>
                <w:b/>
                <w:sz w:val="20"/>
                <w:szCs w:val="20"/>
              </w:rPr>
              <w:lastRenderedPageBreak/>
              <w:t>Sequence Numbers</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55E031FB" w14:textId="77777777" w:rsidR="00E57EB0" w:rsidRPr="007673BB" w:rsidRDefault="00E57EB0" w:rsidP="0037676B">
            <w:pPr>
              <w:rPr>
                <w:b/>
                <w:sz w:val="20"/>
                <w:szCs w:val="20"/>
              </w:rPr>
            </w:pPr>
            <w:r w:rsidRPr="007673BB">
              <w:rPr>
                <w:b/>
                <w:sz w:val="20"/>
                <w:szCs w:val="20"/>
              </w:rPr>
              <w:t>Information</w:t>
            </w:r>
          </w:p>
        </w:tc>
        <w:tc>
          <w:tcPr>
            <w:tcW w:w="837" w:type="dxa"/>
            <w:tcBorders>
              <w:left w:val="single" w:sz="4" w:space="0" w:color="auto"/>
              <w:bottom w:val="single" w:sz="4" w:space="0" w:color="auto"/>
            </w:tcBorders>
          </w:tcPr>
          <w:p w14:paraId="14EA3AE2" w14:textId="77777777" w:rsidR="00E57EB0" w:rsidRPr="00C509BF" w:rsidRDefault="00E57EB0" w:rsidP="0037676B">
            <w:pPr>
              <w:rPr>
                <w:b/>
              </w:rPr>
            </w:pPr>
          </w:p>
        </w:tc>
      </w:tr>
      <w:tr w:rsidR="00E57EB0" w:rsidRPr="00EC7D90" w14:paraId="73CFDDDD" w14:textId="77777777" w:rsidTr="00E57EB0">
        <w:trPr>
          <w:trHeight w:hRule="exact" w:val="1021"/>
        </w:trPr>
        <w:tc>
          <w:tcPr>
            <w:tcW w:w="1256" w:type="dxa"/>
            <w:tcBorders>
              <w:top w:val="single" w:sz="4" w:space="0" w:color="auto"/>
              <w:left w:val="single" w:sz="4" w:space="0" w:color="auto"/>
              <w:bottom w:val="single" w:sz="4" w:space="0" w:color="auto"/>
              <w:right w:val="single" w:sz="4" w:space="0" w:color="auto"/>
            </w:tcBorders>
          </w:tcPr>
          <w:p w14:paraId="06E7ECED" w14:textId="77777777" w:rsidR="00E57EB0" w:rsidRPr="00FE581C" w:rsidRDefault="00E57EB0" w:rsidP="0078128B">
            <w:pPr>
              <w:rPr>
                <w:rFonts w:eastAsiaTheme="minorHAnsi"/>
              </w:rPr>
            </w:pPr>
            <w:r>
              <w:rPr>
                <w:rFonts w:eastAsiaTheme="minorHAnsi"/>
              </w:rPr>
              <w:t>15.2.2.4</w:t>
            </w:r>
          </w:p>
        </w:tc>
        <w:tc>
          <w:tcPr>
            <w:tcW w:w="6904" w:type="dxa"/>
            <w:tcBorders>
              <w:top w:val="single" w:sz="4" w:space="0" w:color="auto"/>
              <w:left w:val="single" w:sz="4" w:space="0" w:color="auto"/>
              <w:bottom w:val="single" w:sz="4" w:space="0" w:color="auto"/>
              <w:right w:val="single" w:sz="4" w:space="0" w:color="auto"/>
            </w:tcBorders>
          </w:tcPr>
          <w:p w14:paraId="0A79070F" w14:textId="6AFE91CB" w:rsidR="00E57EB0" w:rsidRPr="00330ACA" w:rsidRDefault="00E57EB0" w:rsidP="00F34EF3">
            <w:r w:rsidRPr="00330ACA">
              <w:t xml:space="preserve">Schools must </w:t>
            </w:r>
            <w:r>
              <w:t xml:space="preserve">keep their ATO contact details </w:t>
            </w:r>
            <w:r w:rsidR="00FC4A7F">
              <w:t>up to date</w:t>
            </w:r>
            <w:r>
              <w:t xml:space="preserve"> (minimum of two ATO registered contacts for each school) and where possible must maintain two </w:t>
            </w:r>
            <w:r w:rsidR="00FC4A7F">
              <w:t>up to date</w:t>
            </w:r>
            <w:r>
              <w:t xml:space="preserve"> AUSkeys</w:t>
            </w:r>
            <w:r w:rsidR="00FC4A7F">
              <w:t>/myGovIDs</w:t>
            </w:r>
            <w:r>
              <w:t>.</w:t>
            </w:r>
          </w:p>
        </w:tc>
        <w:tc>
          <w:tcPr>
            <w:tcW w:w="837" w:type="dxa"/>
            <w:tcBorders>
              <w:top w:val="single" w:sz="4" w:space="0" w:color="auto"/>
              <w:left w:val="single" w:sz="4" w:space="0" w:color="auto"/>
              <w:bottom w:val="single" w:sz="4" w:space="0" w:color="auto"/>
              <w:right w:val="single" w:sz="4" w:space="0" w:color="auto"/>
            </w:tcBorders>
          </w:tcPr>
          <w:p w14:paraId="60107E73" w14:textId="77777777" w:rsidR="00E57EB0" w:rsidRPr="00330ACA" w:rsidRDefault="00E57EB0" w:rsidP="00F34EF3"/>
        </w:tc>
      </w:tr>
      <w:tr w:rsidR="00E57EB0" w:rsidRPr="00EC7D90" w14:paraId="27FC69C3" w14:textId="77777777" w:rsidTr="00E57EB0">
        <w:trPr>
          <w:trHeight w:val="567"/>
        </w:trPr>
        <w:tc>
          <w:tcPr>
            <w:tcW w:w="1256" w:type="dxa"/>
            <w:tcBorders>
              <w:top w:val="single" w:sz="4" w:space="0" w:color="auto"/>
              <w:left w:val="single" w:sz="4" w:space="0" w:color="auto"/>
              <w:bottom w:val="single" w:sz="4" w:space="0" w:color="auto"/>
              <w:right w:val="single" w:sz="4" w:space="0" w:color="auto"/>
            </w:tcBorders>
          </w:tcPr>
          <w:p w14:paraId="087F4A32" w14:textId="77777777" w:rsidR="00E57EB0" w:rsidRPr="00FE581C" w:rsidRDefault="00E57EB0" w:rsidP="0078128B">
            <w:pPr>
              <w:rPr>
                <w:rFonts w:eastAsiaTheme="minorHAnsi"/>
              </w:rPr>
            </w:pPr>
            <w:r>
              <w:rPr>
                <w:rFonts w:eastAsiaTheme="minorHAnsi"/>
              </w:rPr>
              <w:t>15.2.2.5</w:t>
            </w:r>
          </w:p>
        </w:tc>
        <w:tc>
          <w:tcPr>
            <w:tcW w:w="6904" w:type="dxa"/>
            <w:tcBorders>
              <w:top w:val="single" w:sz="4" w:space="0" w:color="auto"/>
              <w:left w:val="single" w:sz="4" w:space="0" w:color="auto"/>
              <w:bottom w:val="single" w:sz="4" w:space="0" w:color="auto"/>
              <w:right w:val="single" w:sz="4" w:space="0" w:color="auto"/>
            </w:tcBorders>
          </w:tcPr>
          <w:p w14:paraId="164E0AA7" w14:textId="77777777" w:rsidR="00E57EB0" w:rsidRPr="006D6ECF" w:rsidRDefault="00E57EB0" w:rsidP="00F34EF3">
            <w:pPr>
              <w:rPr>
                <w:b/>
              </w:rPr>
            </w:pPr>
            <w:r w:rsidRPr="006D6ECF">
              <w:t>Schools must ensure the</w:t>
            </w:r>
            <w:r>
              <w:t xml:space="preserve">ir </w:t>
            </w:r>
            <w:r w:rsidRPr="006D6ECF">
              <w:t>key staff (</w:t>
            </w:r>
            <w:r>
              <w:t>b</w:t>
            </w:r>
            <w:r w:rsidRPr="006D6ECF">
              <w:t xml:space="preserve">usiness </w:t>
            </w:r>
            <w:r>
              <w:t>m</w:t>
            </w:r>
            <w:r w:rsidRPr="006D6ECF">
              <w:t>anager</w:t>
            </w:r>
            <w:r>
              <w:t xml:space="preserve"> or alternative staff member) </w:t>
            </w:r>
            <w:r w:rsidRPr="006D6ECF">
              <w:t>are adequately trained to ensure the school complies with its tax obligations</w:t>
            </w:r>
            <w:r>
              <w:t xml:space="preserve">. </w:t>
            </w:r>
            <w:r w:rsidRPr="006D6ECF">
              <w:t xml:space="preserve">This requires that staff participate in tax training </w:t>
            </w:r>
            <w:r>
              <w:t xml:space="preserve">module (Finance Matters training programs provided by the Department) </w:t>
            </w:r>
            <w:r w:rsidRPr="006D6ECF">
              <w:t xml:space="preserve">at least every </w:t>
            </w:r>
            <w:r>
              <w:t>three</w:t>
            </w:r>
            <w:r w:rsidRPr="006D6ECF">
              <w:t xml:space="preserve"> years</w:t>
            </w:r>
            <w:r>
              <w:t>.</w:t>
            </w:r>
          </w:p>
        </w:tc>
        <w:tc>
          <w:tcPr>
            <w:tcW w:w="837" w:type="dxa"/>
            <w:tcBorders>
              <w:top w:val="single" w:sz="4" w:space="0" w:color="auto"/>
              <w:left w:val="single" w:sz="4" w:space="0" w:color="auto"/>
              <w:bottom w:val="single" w:sz="4" w:space="0" w:color="auto"/>
              <w:right w:val="single" w:sz="4" w:space="0" w:color="auto"/>
            </w:tcBorders>
          </w:tcPr>
          <w:p w14:paraId="4AFB5BC5" w14:textId="77777777" w:rsidR="00E57EB0" w:rsidRPr="006D6ECF" w:rsidRDefault="00E57EB0" w:rsidP="00F34EF3"/>
        </w:tc>
      </w:tr>
      <w:tr w:rsidR="00E57EB0" w:rsidRPr="00EC7D90" w14:paraId="1A2FC6D4" w14:textId="77777777" w:rsidTr="00E57EB0">
        <w:trPr>
          <w:trHeight w:val="567"/>
        </w:trPr>
        <w:tc>
          <w:tcPr>
            <w:tcW w:w="1256" w:type="dxa"/>
            <w:tcBorders>
              <w:top w:val="single" w:sz="4" w:space="0" w:color="auto"/>
              <w:left w:val="single" w:sz="4" w:space="0" w:color="auto"/>
              <w:bottom w:val="single" w:sz="4" w:space="0" w:color="auto"/>
              <w:right w:val="single" w:sz="4" w:space="0" w:color="auto"/>
            </w:tcBorders>
          </w:tcPr>
          <w:p w14:paraId="19722579" w14:textId="77777777" w:rsidR="00E57EB0" w:rsidRPr="00FE581C" w:rsidRDefault="00E57EB0" w:rsidP="0078128B">
            <w:pPr>
              <w:rPr>
                <w:rFonts w:eastAsiaTheme="minorHAnsi"/>
              </w:rPr>
            </w:pPr>
            <w:r>
              <w:rPr>
                <w:rFonts w:eastAsiaTheme="minorHAnsi"/>
              </w:rPr>
              <w:t>15.2.2.6</w:t>
            </w:r>
          </w:p>
        </w:tc>
        <w:tc>
          <w:tcPr>
            <w:tcW w:w="6904" w:type="dxa"/>
            <w:tcBorders>
              <w:top w:val="single" w:sz="4" w:space="0" w:color="auto"/>
              <w:left w:val="single" w:sz="4" w:space="0" w:color="auto"/>
              <w:bottom w:val="single" w:sz="4" w:space="0" w:color="auto"/>
              <w:right w:val="single" w:sz="4" w:space="0" w:color="auto"/>
            </w:tcBorders>
          </w:tcPr>
          <w:p w14:paraId="4B145F4F" w14:textId="77777777" w:rsidR="00E57EB0" w:rsidRPr="006D6ECF" w:rsidRDefault="00E57EB0" w:rsidP="00C942A0">
            <w:r w:rsidRPr="006D6ECF">
              <w:t>Schools must ensure they have adequate processes and policies in place to process the GST implications of:</w:t>
            </w:r>
          </w:p>
          <w:p w14:paraId="6799370F" w14:textId="77777777" w:rsidR="00E57EB0" w:rsidRPr="009E49AE" w:rsidRDefault="00E57EB0" w:rsidP="00A620B8">
            <w:pPr>
              <w:pStyle w:val="ListBullet"/>
              <w:rPr>
                <w:b/>
              </w:rPr>
            </w:pPr>
            <w:r w:rsidRPr="006D6ECF">
              <w:t>school payments</w:t>
            </w:r>
            <w:r>
              <w:t>, including</w:t>
            </w:r>
            <w:r w:rsidRPr="006D6ECF">
              <w:t xml:space="preserve"> </w:t>
            </w:r>
            <w:r>
              <w:t xml:space="preserve">and </w:t>
            </w:r>
            <w:r w:rsidRPr="006D6ECF">
              <w:t>ensur</w:t>
            </w:r>
            <w:r>
              <w:t>ing</w:t>
            </w:r>
            <w:r w:rsidRPr="006D6ECF">
              <w:t xml:space="preserve"> they obtain a valid tax invoice for all purchases wherever necessary; and</w:t>
            </w:r>
          </w:p>
          <w:p w14:paraId="7BE220B9" w14:textId="77777777" w:rsidR="00E57EB0" w:rsidRPr="009E49AE" w:rsidRDefault="00E57EB0" w:rsidP="00A620B8">
            <w:pPr>
              <w:pStyle w:val="ListBullet"/>
              <w:rPr>
                <w:b/>
              </w:rPr>
            </w:pPr>
            <w:r w:rsidRPr="006D6ECF">
              <w:t>school revenue, ensuring they remit GST to the ATO where necessary</w:t>
            </w:r>
            <w:r>
              <w:t>.</w:t>
            </w:r>
          </w:p>
        </w:tc>
        <w:tc>
          <w:tcPr>
            <w:tcW w:w="837" w:type="dxa"/>
            <w:tcBorders>
              <w:top w:val="single" w:sz="4" w:space="0" w:color="auto"/>
              <w:left w:val="single" w:sz="4" w:space="0" w:color="auto"/>
              <w:bottom w:val="single" w:sz="4" w:space="0" w:color="auto"/>
              <w:right w:val="single" w:sz="4" w:space="0" w:color="auto"/>
            </w:tcBorders>
          </w:tcPr>
          <w:p w14:paraId="2D0E5717" w14:textId="77777777" w:rsidR="00E57EB0" w:rsidRPr="006D6ECF" w:rsidRDefault="00E57EB0" w:rsidP="00C942A0"/>
        </w:tc>
      </w:tr>
      <w:tr w:rsidR="00E57EB0" w:rsidRPr="00EC7D90" w14:paraId="4749BD1D" w14:textId="77777777" w:rsidTr="00E57EB0">
        <w:trPr>
          <w:trHeight w:val="1335"/>
        </w:trPr>
        <w:tc>
          <w:tcPr>
            <w:tcW w:w="1256" w:type="dxa"/>
            <w:tcBorders>
              <w:top w:val="single" w:sz="4" w:space="0" w:color="auto"/>
              <w:left w:val="single" w:sz="4" w:space="0" w:color="auto"/>
              <w:bottom w:val="single" w:sz="4" w:space="0" w:color="auto"/>
              <w:right w:val="single" w:sz="4" w:space="0" w:color="auto"/>
            </w:tcBorders>
          </w:tcPr>
          <w:p w14:paraId="35EB72B5" w14:textId="77777777" w:rsidR="00E57EB0" w:rsidRDefault="00E57EB0" w:rsidP="0078128B">
            <w:pPr>
              <w:rPr>
                <w:rFonts w:eastAsiaTheme="minorHAnsi"/>
              </w:rPr>
            </w:pPr>
            <w:r>
              <w:rPr>
                <w:rFonts w:eastAsiaTheme="minorHAnsi"/>
              </w:rPr>
              <w:t>15.2.2.7</w:t>
            </w:r>
          </w:p>
        </w:tc>
        <w:tc>
          <w:tcPr>
            <w:tcW w:w="6904" w:type="dxa"/>
            <w:tcBorders>
              <w:top w:val="single" w:sz="4" w:space="0" w:color="auto"/>
              <w:left w:val="single" w:sz="4" w:space="0" w:color="auto"/>
              <w:bottom w:val="single" w:sz="4" w:space="0" w:color="auto"/>
              <w:right w:val="single" w:sz="4" w:space="0" w:color="auto"/>
            </w:tcBorders>
          </w:tcPr>
          <w:p w14:paraId="249C4C5E" w14:textId="77777777" w:rsidR="00E57EB0" w:rsidRPr="006D6ECF" w:rsidRDefault="00E57EB0" w:rsidP="001D71C8">
            <w:r>
              <w:t xml:space="preserve">Regularly check the balance of the ATO Account Details – Integrated Client Account </w:t>
            </w:r>
            <w:r w:rsidRPr="003373A6">
              <w:rPr>
                <w:bCs/>
              </w:rPr>
              <w:t xml:space="preserve">through the </w:t>
            </w:r>
            <w:hyperlink r:id="rId16" w:history="1">
              <w:r w:rsidRPr="001D71C8">
                <w:rPr>
                  <w:rStyle w:val="Hyperlink"/>
                  <w:bCs/>
                </w:rPr>
                <w:t>ATO’s Business Portal</w:t>
              </w:r>
            </w:hyperlink>
            <w:r>
              <w:t>. If the balance is not zero, take appropriate action to reconcile the balance.</w:t>
            </w:r>
          </w:p>
        </w:tc>
        <w:tc>
          <w:tcPr>
            <w:tcW w:w="837" w:type="dxa"/>
            <w:tcBorders>
              <w:top w:val="single" w:sz="4" w:space="0" w:color="auto"/>
              <w:left w:val="single" w:sz="4" w:space="0" w:color="auto"/>
              <w:bottom w:val="single" w:sz="4" w:space="0" w:color="auto"/>
              <w:right w:val="single" w:sz="4" w:space="0" w:color="auto"/>
            </w:tcBorders>
          </w:tcPr>
          <w:p w14:paraId="1B2A77FC" w14:textId="77777777" w:rsidR="00E57EB0" w:rsidRDefault="00E57EB0" w:rsidP="001D71C8"/>
        </w:tc>
      </w:tr>
    </w:tbl>
    <w:bookmarkEnd w:id="0"/>
    <w:bookmarkEnd w:id="1"/>
    <w:bookmarkEnd w:id="2"/>
    <w:p w14:paraId="72E8CEB5" w14:textId="18FDF492" w:rsidR="00D93736" w:rsidRDefault="00D93736" w:rsidP="00D93736">
      <w:pPr>
        <w:pStyle w:val="Heading3"/>
      </w:pPr>
      <w:r>
        <w:t>15.2.</w:t>
      </w:r>
      <w:r w:rsidR="009023AB">
        <w:t>3</w:t>
      </w:r>
      <w:r>
        <w:tab/>
      </w:r>
      <w:r w:rsidR="00DA510F" w:rsidRPr="0008758C">
        <w:t>Prohibited policy (</w:t>
      </w:r>
      <w:r w:rsidR="00DA510F">
        <w:t xml:space="preserve">Must </w:t>
      </w:r>
      <w:r w:rsidR="00DA510F" w:rsidRPr="0008758C">
        <w:t>not</w:t>
      </w:r>
      <w:r w:rsidR="00DA510F">
        <w:t xml:space="preserve"> do</w:t>
      </w:r>
      <w:r w:rsidR="00DA510F" w:rsidRPr="0008758C">
        <w:t>)</w:t>
      </w:r>
      <w:r w:rsidR="00DA510F">
        <w:t>:</w:t>
      </w:r>
    </w:p>
    <w:tbl>
      <w:tblPr>
        <w:tblW w:w="0" w:type="auto"/>
        <w:tblInd w:w="57" w:type="dxa"/>
        <w:tblLook w:val="04A0" w:firstRow="1" w:lastRow="0" w:firstColumn="1" w:lastColumn="0" w:noHBand="0" w:noVBand="1"/>
      </w:tblPr>
      <w:tblGrid>
        <w:gridCol w:w="1256"/>
        <w:gridCol w:w="6904"/>
        <w:gridCol w:w="837"/>
      </w:tblGrid>
      <w:tr w:rsidR="00FC4A7F" w:rsidRPr="00C509BF" w14:paraId="17DF74B6" w14:textId="77777777" w:rsidTr="00BC2962">
        <w:trPr>
          <w:trHeight w:val="683"/>
          <w:tblHeader/>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946EE" w14:textId="77777777" w:rsidR="00FC4A7F" w:rsidRPr="007673BB" w:rsidRDefault="00FC4A7F" w:rsidP="00BC2962">
            <w:pPr>
              <w:rPr>
                <w:rFonts w:eastAsiaTheme="minorHAnsi"/>
                <w:b/>
                <w:sz w:val="20"/>
                <w:szCs w:val="20"/>
              </w:rPr>
            </w:pPr>
            <w:r w:rsidRPr="007673BB">
              <w:rPr>
                <w:rFonts w:eastAsiaTheme="minorHAnsi"/>
                <w:b/>
                <w:sz w:val="20"/>
                <w:szCs w:val="20"/>
              </w:rPr>
              <w:t>Sequence Numbers</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4D72D800" w14:textId="77777777" w:rsidR="00FC4A7F" w:rsidRPr="007673BB" w:rsidRDefault="00FC4A7F" w:rsidP="00BC2962">
            <w:pPr>
              <w:rPr>
                <w:b/>
                <w:sz w:val="20"/>
                <w:szCs w:val="20"/>
              </w:rPr>
            </w:pPr>
            <w:r w:rsidRPr="007673BB">
              <w:rPr>
                <w:b/>
                <w:sz w:val="20"/>
                <w:szCs w:val="20"/>
              </w:rPr>
              <w:t>Information</w:t>
            </w:r>
          </w:p>
        </w:tc>
        <w:tc>
          <w:tcPr>
            <w:tcW w:w="837" w:type="dxa"/>
            <w:tcBorders>
              <w:left w:val="single" w:sz="4" w:space="0" w:color="auto"/>
              <w:bottom w:val="single" w:sz="4" w:space="0" w:color="auto"/>
            </w:tcBorders>
          </w:tcPr>
          <w:p w14:paraId="49D5530A" w14:textId="77777777" w:rsidR="00FC4A7F" w:rsidRPr="00C509BF" w:rsidRDefault="00FC4A7F" w:rsidP="00BC2962">
            <w:pPr>
              <w:rPr>
                <w:b/>
              </w:rPr>
            </w:pPr>
          </w:p>
        </w:tc>
      </w:tr>
      <w:tr w:rsidR="00FC4A7F" w:rsidRPr="00A620B8" w14:paraId="3E25B8DD" w14:textId="77777777" w:rsidTr="00FC4A7F">
        <w:trPr>
          <w:trHeight w:val="1045"/>
        </w:trPr>
        <w:tc>
          <w:tcPr>
            <w:tcW w:w="1256" w:type="dxa"/>
            <w:tcBorders>
              <w:top w:val="single" w:sz="4" w:space="0" w:color="auto"/>
              <w:left w:val="single" w:sz="4" w:space="0" w:color="auto"/>
              <w:bottom w:val="single" w:sz="4" w:space="0" w:color="auto"/>
              <w:right w:val="single" w:sz="4" w:space="0" w:color="auto"/>
            </w:tcBorders>
          </w:tcPr>
          <w:p w14:paraId="728D27EE" w14:textId="6AF02FDB" w:rsidR="00FC4A7F" w:rsidRPr="00104B60" w:rsidRDefault="00FC4A7F" w:rsidP="00BC2962">
            <w:pPr>
              <w:rPr>
                <w:rFonts w:eastAsiaTheme="minorHAnsi"/>
              </w:rPr>
            </w:pPr>
            <w:r w:rsidRPr="00104B60">
              <w:rPr>
                <w:rFonts w:eastAsiaTheme="minorHAnsi"/>
              </w:rPr>
              <w:t>15.2.</w:t>
            </w:r>
            <w:r>
              <w:rPr>
                <w:rFonts w:eastAsiaTheme="minorHAnsi"/>
              </w:rPr>
              <w:t>3.1</w:t>
            </w:r>
          </w:p>
        </w:tc>
        <w:tc>
          <w:tcPr>
            <w:tcW w:w="6904" w:type="dxa"/>
            <w:tcBorders>
              <w:top w:val="single" w:sz="4" w:space="0" w:color="auto"/>
              <w:left w:val="single" w:sz="4" w:space="0" w:color="auto"/>
              <w:bottom w:val="single" w:sz="4" w:space="0" w:color="auto"/>
              <w:right w:val="single" w:sz="4" w:space="0" w:color="auto"/>
            </w:tcBorders>
          </w:tcPr>
          <w:p w14:paraId="73D71620" w14:textId="53E40E87" w:rsidR="00FC4A7F" w:rsidRPr="00104B60" w:rsidRDefault="00FC4A7F" w:rsidP="00BC2962">
            <w:pPr>
              <w:rPr>
                <w:w w:val="110"/>
              </w:rPr>
            </w:pPr>
            <w:r>
              <w:rPr>
                <w:color w:val="000000" w:themeColor="text1"/>
              </w:rPr>
              <w:t>School</w:t>
            </w:r>
            <w:r w:rsidRPr="005450B2">
              <w:rPr>
                <w:color w:val="000000" w:themeColor="text1"/>
              </w:rPr>
              <w:t xml:space="preserve"> </w:t>
            </w:r>
            <w:r>
              <w:rPr>
                <w:color w:val="000000" w:themeColor="text1"/>
              </w:rPr>
              <w:t xml:space="preserve">personnel must not link their personal </w:t>
            </w:r>
            <w:r w:rsidRPr="00A67E97">
              <w:rPr>
                <w:b/>
                <w:color w:val="000000" w:themeColor="text1"/>
              </w:rPr>
              <w:t>my</w:t>
            </w:r>
            <w:r>
              <w:rPr>
                <w:b/>
                <w:color w:val="000000" w:themeColor="text1"/>
              </w:rPr>
              <w:t>G</w:t>
            </w:r>
            <w:r w:rsidRPr="00A67E97">
              <w:rPr>
                <w:b/>
                <w:color w:val="000000" w:themeColor="text1"/>
              </w:rPr>
              <w:t>ov</w:t>
            </w:r>
            <w:r>
              <w:rPr>
                <w:color w:val="000000" w:themeColor="text1"/>
              </w:rPr>
              <w:t xml:space="preserve"> account to the School’s BAS. Mygov is different to myGovID, and myGov should remain personal.</w:t>
            </w:r>
          </w:p>
        </w:tc>
        <w:tc>
          <w:tcPr>
            <w:tcW w:w="837" w:type="dxa"/>
            <w:tcBorders>
              <w:top w:val="single" w:sz="4" w:space="0" w:color="auto"/>
              <w:left w:val="single" w:sz="4" w:space="0" w:color="auto"/>
              <w:bottom w:val="single" w:sz="4" w:space="0" w:color="auto"/>
              <w:right w:val="single" w:sz="4" w:space="0" w:color="auto"/>
            </w:tcBorders>
          </w:tcPr>
          <w:p w14:paraId="1D78CB8E" w14:textId="77777777" w:rsidR="00FC4A7F" w:rsidRPr="00A620B8" w:rsidRDefault="00FC4A7F" w:rsidP="00BC2962"/>
        </w:tc>
      </w:tr>
    </w:tbl>
    <w:p w14:paraId="005588F5" w14:textId="77777777" w:rsidR="00FC4A7F" w:rsidRDefault="00FC4A7F" w:rsidP="00FC4A7F"/>
    <w:p w14:paraId="38C2C3CD" w14:textId="4AE5EB6C" w:rsidR="00CD725B" w:rsidRDefault="00CD725B" w:rsidP="00CD725B">
      <w:pPr>
        <w:pStyle w:val="Heading3"/>
      </w:pPr>
      <w:r w:rsidRPr="002A00EF">
        <w:t>15.2.</w:t>
      </w:r>
      <w:r w:rsidR="009023AB">
        <w:t>4</w:t>
      </w:r>
      <w:r>
        <w:tab/>
      </w:r>
      <w:r w:rsidR="00DA510F">
        <w:t>Tax Invoices</w:t>
      </w:r>
    </w:p>
    <w:p w14:paraId="187085F0" w14:textId="77777777" w:rsidR="00DA510F" w:rsidRPr="00746E37" w:rsidRDefault="00DA510F" w:rsidP="00DA510F">
      <w:pPr>
        <w:rPr>
          <w:rFonts w:cstheme="minorHAnsi"/>
        </w:rPr>
      </w:pPr>
      <w:r w:rsidRPr="00746E37">
        <w:rPr>
          <w:rFonts w:cstheme="minorHAnsi"/>
        </w:rPr>
        <w:t xml:space="preserve">The Department’s policy is that schools should only deal with suppliers that </w:t>
      </w:r>
      <w:r>
        <w:rPr>
          <w:rFonts w:cstheme="minorHAnsi"/>
        </w:rPr>
        <w:t xml:space="preserve">are registered with </w:t>
      </w:r>
      <w:r w:rsidRPr="00746E37">
        <w:rPr>
          <w:rFonts w:cstheme="minorHAnsi"/>
        </w:rPr>
        <w:t>an ABN.</w:t>
      </w:r>
      <w:r>
        <w:rPr>
          <w:rFonts w:cstheme="minorHAnsi"/>
        </w:rPr>
        <w:t xml:space="preserve">  Click on this link to access the tax fact sheet on </w:t>
      </w:r>
      <w:hyperlink r:id="rId17" w:history="1">
        <w:r w:rsidRPr="008E2D2F">
          <w:rPr>
            <w:rStyle w:val="Hyperlink"/>
            <w:rFonts w:cstheme="minorHAnsi"/>
          </w:rPr>
          <w:t>Tax Invoices</w:t>
        </w:r>
      </w:hyperlink>
      <w:r>
        <w:rPr>
          <w:rFonts w:cstheme="minorHAnsi"/>
        </w:rPr>
        <w:t>.</w:t>
      </w:r>
    </w:p>
    <w:p w14:paraId="3BC2F7E0" w14:textId="41AC2205" w:rsidR="00DA510F" w:rsidRDefault="00DA510F" w:rsidP="00DA510F"/>
    <w:p w14:paraId="558885B3" w14:textId="77777777" w:rsidR="00DA510F" w:rsidRDefault="00DA510F">
      <w:pPr>
        <w:spacing w:before="0" w:line="240" w:lineRule="auto"/>
        <w:rPr>
          <w:b/>
          <w:color w:val="000000" w:themeColor="text1"/>
          <w:sz w:val="24"/>
        </w:rPr>
      </w:pPr>
      <w:r>
        <w:br w:type="page"/>
      </w:r>
    </w:p>
    <w:p w14:paraId="25D3F421" w14:textId="49506C81" w:rsidR="00DA510F" w:rsidRDefault="00DA510F" w:rsidP="00DA510F">
      <w:pPr>
        <w:pStyle w:val="Heading3"/>
      </w:pPr>
      <w:r w:rsidRPr="002A00EF">
        <w:lastRenderedPageBreak/>
        <w:t>15.2.</w:t>
      </w:r>
      <w:r>
        <w:t>5</w:t>
      </w:r>
      <w:r>
        <w:tab/>
      </w:r>
      <w:r w:rsidRPr="002A00EF">
        <w:t>Mandatory policy (</w:t>
      </w:r>
      <w:r>
        <w:t>Must do</w:t>
      </w:r>
      <w:r w:rsidRPr="002A00EF">
        <w:t>)</w:t>
      </w:r>
      <w:r>
        <w:t>:</w:t>
      </w:r>
    </w:p>
    <w:tbl>
      <w:tblPr>
        <w:tblW w:w="0" w:type="auto"/>
        <w:tblInd w:w="57" w:type="dxa"/>
        <w:tblLook w:val="04A0" w:firstRow="1" w:lastRow="0" w:firstColumn="1" w:lastColumn="0" w:noHBand="0" w:noVBand="1"/>
      </w:tblPr>
      <w:tblGrid>
        <w:gridCol w:w="1256"/>
        <w:gridCol w:w="6904"/>
        <w:gridCol w:w="837"/>
      </w:tblGrid>
      <w:tr w:rsidR="00E57EB0" w:rsidRPr="0091756B" w14:paraId="559C71E3" w14:textId="77777777" w:rsidTr="00E57EB0">
        <w:trPr>
          <w:trHeight w:val="683"/>
          <w:tblHeader/>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14:paraId="22DE7215" w14:textId="77777777" w:rsidR="00E57EB0" w:rsidRPr="007673BB" w:rsidRDefault="00E57EB0" w:rsidP="0037676B">
            <w:pPr>
              <w:rPr>
                <w:rFonts w:eastAsiaTheme="minorHAnsi"/>
                <w:b/>
                <w:sz w:val="20"/>
                <w:szCs w:val="20"/>
              </w:rPr>
            </w:pPr>
            <w:r w:rsidRPr="007673BB">
              <w:rPr>
                <w:rFonts w:eastAsiaTheme="minorHAnsi"/>
                <w:b/>
                <w:sz w:val="20"/>
                <w:szCs w:val="20"/>
              </w:rPr>
              <w:t>Sequence Numbers</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4ACB449A" w14:textId="77777777" w:rsidR="00E57EB0" w:rsidRPr="007673BB" w:rsidRDefault="00E57EB0" w:rsidP="0037676B">
            <w:pPr>
              <w:rPr>
                <w:b/>
                <w:sz w:val="20"/>
                <w:szCs w:val="20"/>
              </w:rPr>
            </w:pPr>
            <w:r w:rsidRPr="007673BB">
              <w:rPr>
                <w:b/>
                <w:sz w:val="20"/>
                <w:szCs w:val="20"/>
              </w:rPr>
              <w:t>Information</w:t>
            </w:r>
          </w:p>
        </w:tc>
        <w:tc>
          <w:tcPr>
            <w:tcW w:w="837" w:type="dxa"/>
            <w:tcBorders>
              <w:left w:val="single" w:sz="4" w:space="0" w:color="auto"/>
              <w:bottom w:val="single" w:sz="4" w:space="0" w:color="auto"/>
            </w:tcBorders>
          </w:tcPr>
          <w:p w14:paraId="7313B1E4" w14:textId="77777777" w:rsidR="00E57EB0" w:rsidRPr="00C509BF" w:rsidRDefault="00E57EB0" w:rsidP="0037676B">
            <w:pPr>
              <w:rPr>
                <w:b/>
              </w:rPr>
            </w:pPr>
          </w:p>
        </w:tc>
      </w:tr>
      <w:tr w:rsidR="00E57EB0" w:rsidRPr="00EC7D90" w14:paraId="7AAF3D65" w14:textId="77777777" w:rsidTr="00E57EB0">
        <w:trPr>
          <w:trHeight w:val="1487"/>
        </w:trPr>
        <w:tc>
          <w:tcPr>
            <w:tcW w:w="1256" w:type="dxa"/>
            <w:tcBorders>
              <w:top w:val="single" w:sz="4" w:space="0" w:color="auto"/>
              <w:left w:val="single" w:sz="4" w:space="0" w:color="auto"/>
              <w:bottom w:val="single" w:sz="4" w:space="0" w:color="auto"/>
              <w:right w:val="single" w:sz="4" w:space="0" w:color="auto"/>
            </w:tcBorders>
          </w:tcPr>
          <w:p w14:paraId="6DC9E741" w14:textId="081F6F3B" w:rsidR="00E57EB0" w:rsidRPr="00104B60" w:rsidRDefault="00E57EB0" w:rsidP="009023AB">
            <w:pPr>
              <w:rPr>
                <w:rFonts w:eastAsiaTheme="minorHAnsi"/>
              </w:rPr>
            </w:pPr>
            <w:r w:rsidRPr="00104B60">
              <w:rPr>
                <w:rFonts w:eastAsiaTheme="minorHAnsi"/>
              </w:rPr>
              <w:t>15.2.</w:t>
            </w:r>
            <w:r w:rsidR="00DA510F">
              <w:rPr>
                <w:rFonts w:eastAsiaTheme="minorHAnsi"/>
              </w:rPr>
              <w:t>5</w:t>
            </w:r>
            <w:r w:rsidRPr="00104B60">
              <w:rPr>
                <w:rFonts w:eastAsiaTheme="minorHAnsi"/>
              </w:rPr>
              <w:t>.1</w:t>
            </w:r>
          </w:p>
        </w:tc>
        <w:tc>
          <w:tcPr>
            <w:tcW w:w="6904" w:type="dxa"/>
            <w:tcBorders>
              <w:top w:val="single" w:sz="4" w:space="0" w:color="auto"/>
              <w:left w:val="single" w:sz="4" w:space="0" w:color="auto"/>
              <w:bottom w:val="single" w:sz="4" w:space="0" w:color="auto"/>
              <w:right w:val="single" w:sz="4" w:space="0" w:color="auto"/>
            </w:tcBorders>
          </w:tcPr>
          <w:p w14:paraId="3F7BAFFB" w14:textId="77777777" w:rsidR="00DA510F" w:rsidRPr="00746E37" w:rsidRDefault="00DA510F" w:rsidP="00DA510F">
            <w:pPr>
              <w:rPr>
                <w:rFonts w:cstheme="minorHAnsi"/>
              </w:rPr>
            </w:pPr>
            <w:r>
              <w:rPr>
                <w:rFonts w:cstheme="minorHAnsi"/>
              </w:rPr>
              <w:t xml:space="preserve">Schools must only deal with </w:t>
            </w:r>
            <w:r w:rsidRPr="00746E37">
              <w:rPr>
                <w:rFonts w:cstheme="minorHAnsi"/>
              </w:rPr>
              <w:t xml:space="preserve">suppliers that </w:t>
            </w:r>
            <w:r>
              <w:rPr>
                <w:rFonts w:cstheme="minorHAnsi"/>
              </w:rPr>
              <w:t xml:space="preserve">are registered with </w:t>
            </w:r>
            <w:r w:rsidRPr="00746E37">
              <w:rPr>
                <w:rFonts w:cstheme="minorHAnsi"/>
              </w:rPr>
              <w:t>an ABN</w:t>
            </w:r>
            <w:r>
              <w:rPr>
                <w:rFonts w:cstheme="minorHAnsi"/>
              </w:rPr>
              <w:t>.</w:t>
            </w:r>
            <w:r w:rsidRPr="00746E37">
              <w:rPr>
                <w:rFonts w:cstheme="minorHAnsi"/>
              </w:rPr>
              <w:t xml:space="preserve"> </w:t>
            </w:r>
          </w:p>
          <w:p w14:paraId="6E6E8D05" w14:textId="071B1411" w:rsidR="00E57EB0" w:rsidRPr="00104B60" w:rsidRDefault="00DA510F" w:rsidP="00DA510F">
            <w:pPr>
              <w:rPr>
                <w:w w:val="110"/>
              </w:rPr>
            </w:pPr>
            <w:r w:rsidRPr="00746E37">
              <w:rPr>
                <w:rFonts w:cstheme="minorHAnsi"/>
              </w:rPr>
              <w:t>Creditors GST registration can be checked at</w:t>
            </w:r>
            <w:r w:rsidRPr="00746E37">
              <w:rPr>
                <w:rFonts w:cstheme="minorHAnsi"/>
                <w:w w:val="110"/>
              </w:rPr>
              <w:t xml:space="preserve"> </w:t>
            </w:r>
            <w:hyperlink r:id="rId18" w:history="1">
              <w:r w:rsidRPr="00746E37">
                <w:rPr>
                  <w:rStyle w:val="Hyperlink"/>
                  <w:rFonts w:cstheme="minorHAnsi"/>
                  <w:bCs/>
                </w:rPr>
                <w:t>ABR Business Search</w:t>
              </w:r>
            </w:hyperlink>
            <w:r w:rsidRPr="00746E37">
              <w:rPr>
                <w:rStyle w:val="Hyperlink"/>
                <w:rFonts w:cstheme="minorHAnsi"/>
                <w:bCs/>
              </w:rPr>
              <w:t>.</w:t>
            </w:r>
          </w:p>
        </w:tc>
        <w:tc>
          <w:tcPr>
            <w:tcW w:w="837" w:type="dxa"/>
            <w:tcBorders>
              <w:top w:val="single" w:sz="4" w:space="0" w:color="auto"/>
              <w:left w:val="single" w:sz="4" w:space="0" w:color="auto"/>
              <w:bottom w:val="single" w:sz="4" w:space="0" w:color="auto"/>
              <w:right w:val="single" w:sz="4" w:space="0" w:color="auto"/>
            </w:tcBorders>
          </w:tcPr>
          <w:p w14:paraId="2224D940" w14:textId="77777777" w:rsidR="00E57EB0" w:rsidRPr="00A620B8" w:rsidRDefault="00E57EB0" w:rsidP="00363920"/>
        </w:tc>
      </w:tr>
    </w:tbl>
    <w:p w14:paraId="6DBAE800" w14:textId="77777777" w:rsidR="00DA510F" w:rsidRDefault="00DA510F" w:rsidP="00A620B8"/>
    <w:p w14:paraId="3D4D1920" w14:textId="27B141D4" w:rsidR="006D6ECF" w:rsidRPr="006F7B96" w:rsidRDefault="00DA510F" w:rsidP="006F7B96">
      <w:pPr>
        <w:pStyle w:val="Heading3"/>
      </w:pPr>
      <w:r>
        <w:t>15.2.6</w:t>
      </w:r>
      <w:r>
        <w:tab/>
        <w:t>Additional resources</w:t>
      </w:r>
    </w:p>
    <w:p w14:paraId="51C9AE7A" w14:textId="14F8CA1D" w:rsidR="003373A6" w:rsidRDefault="003373A6" w:rsidP="00A620B8">
      <w:pPr>
        <w:pStyle w:val="ListBullet"/>
      </w:pPr>
      <w:r w:rsidRPr="006D6ECF">
        <w:t>In addition, schools should contact Greg Hart of the D</w:t>
      </w:r>
      <w:r>
        <w:t>epartment of Education and Training (DET)</w:t>
      </w:r>
      <w:r w:rsidR="0025449A">
        <w:t xml:space="preserve"> </w:t>
      </w:r>
      <w:r w:rsidR="00DA510F" w:rsidRPr="00DA510F">
        <w:t>Financial Accounting and Reporting unit</w:t>
      </w:r>
      <w:r w:rsidRPr="006D6ECF">
        <w:t xml:space="preserve"> for help, support and training opportunities for tax </w:t>
      </w:r>
      <w:hyperlink r:id="rId19" w:history="1">
        <w:r w:rsidRPr="00AF738E">
          <w:rPr>
            <w:rStyle w:val="Hyperlink"/>
            <w:bCs/>
          </w:rPr>
          <w:t>tax@edumail.vic.gov.au</w:t>
        </w:r>
      </w:hyperlink>
      <w:r w:rsidRPr="006D6ECF">
        <w:t>.</w:t>
      </w:r>
    </w:p>
    <w:p w14:paraId="41374D98" w14:textId="77777777" w:rsidR="006D6ECF" w:rsidRPr="00B6698A" w:rsidRDefault="006D6ECF" w:rsidP="00A620B8">
      <w:pPr>
        <w:pStyle w:val="ListBullet"/>
      </w:pPr>
      <w:r w:rsidRPr="00A620B8">
        <w:t>T</w:t>
      </w:r>
      <w:r w:rsidRPr="00B6698A">
        <w:t>here are extensive GST fact sheets, GST examples and case studies contained at the following link:</w:t>
      </w:r>
      <w:r w:rsidR="00AF738E" w:rsidRPr="00B6698A">
        <w:t xml:space="preserve"> </w:t>
      </w:r>
      <w:hyperlink r:id="rId20" w:history="1">
        <w:r w:rsidR="001D71C8">
          <w:rPr>
            <w:rStyle w:val="Hyperlink"/>
          </w:rPr>
          <w:t>Tax Pages</w:t>
        </w:r>
      </w:hyperlink>
      <w:r w:rsidR="00C942A0" w:rsidRPr="00B6698A">
        <w:t>.</w:t>
      </w:r>
    </w:p>
    <w:p w14:paraId="1C56FC65" w14:textId="77777777" w:rsidR="00DA510F" w:rsidRDefault="00DA510F">
      <w:pPr>
        <w:spacing w:before="0" w:line="240" w:lineRule="auto"/>
      </w:pPr>
    </w:p>
    <w:p w14:paraId="3D2DB77B" w14:textId="77777777" w:rsidR="006D6ECF" w:rsidRPr="006F7B96" w:rsidRDefault="006D6ECF" w:rsidP="006F7B96">
      <w:pPr>
        <w:pStyle w:val="Heading2"/>
      </w:pPr>
      <w:r w:rsidRPr="006F7B96">
        <w:t>15.3</w:t>
      </w:r>
      <w:r w:rsidR="0078128B">
        <w:tab/>
        <w:t>F</w:t>
      </w:r>
      <w:r w:rsidRPr="006F7B96">
        <w:t xml:space="preserve">ringe </w:t>
      </w:r>
      <w:r w:rsidR="0078128B">
        <w:t>B</w:t>
      </w:r>
      <w:r w:rsidRPr="006F7B96">
        <w:t xml:space="preserve">enefits </w:t>
      </w:r>
      <w:r w:rsidR="0078128B">
        <w:t>T</w:t>
      </w:r>
      <w:r w:rsidRPr="006F7B96">
        <w:t>ax (</w:t>
      </w:r>
      <w:r w:rsidR="0078128B">
        <w:t>FBT</w:t>
      </w:r>
      <w:r w:rsidRPr="006F7B96">
        <w:t xml:space="preserve">) </w:t>
      </w:r>
    </w:p>
    <w:p w14:paraId="1DE4CFD0" w14:textId="77777777" w:rsidR="006D6ECF" w:rsidRPr="006F7B96" w:rsidRDefault="006D6ECF" w:rsidP="006F7B96">
      <w:pPr>
        <w:pStyle w:val="Heading3"/>
      </w:pPr>
      <w:r w:rsidRPr="006F7B96">
        <w:t>15.3.1</w:t>
      </w:r>
      <w:r w:rsidR="0078128B">
        <w:tab/>
      </w:r>
      <w:r w:rsidRPr="006F7B96">
        <w:t>Overview</w:t>
      </w:r>
    </w:p>
    <w:p w14:paraId="6E05339B" w14:textId="77777777" w:rsidR="006D6ECF" w:rsidRPr="00DB6966" w:rsidRDefault="006D6ECF" w:rsidP="006F0593">
      <w:r w:rsidRPr="00DB6966">
        <w:t>F</w:t>
      </w:r>
      <w:r w:rsidR="00BB085A">
        <w:t xml:space="preserve">ringe Benefit Tax (FBT) </w:t>
      </w:r>
      <w:r w:rsidRPr="00DB6966">
        <w:t xml:space="preserve">is a tax on the employer, and as </w:t>
      </w:r>
      <w:r w:rsidR="006F0593" w:rsidRPr="00DB6966">
        <w:t>such,</w:t>
      </w:r>
      <w:r w:rsidRPr="00DB6966">
        <w:t xml:space="preserve"> </w:t>
      </w:r>
      <w:r w:rsidR="0004542A">
        <w:t>the Department</w:t>
      </w:r>
      <w:r w:rsidRPr="00DB6966">
        <w:t xml:space="preserve"> lodges the FBT return with the ATO, in respect of all central employees (i</w:t>
      </w:r>
      <w:r w:rsidR="00FE581C" w:rsidRPr="00DB6966">
        <w:t>.</w:t>
      </w:r>
      <w:r w:rsidRPr="00DB6966">
        <w:t>e</w:t>
      </w:r>
      <w:r w:rsidR="00FE581C" w:rsidRPr="00DB6966">
        <w:t>.</w:t>
      </w:r>
      <w:r w:rsidRPr="00DB6966">
        <w:t xml:space="preserve"> those that work in Head and regional offices, and all </w:t>
      </w:r>
      <w:r w:rsidR="00EF10BB" w:rsidRPr="00EF10BB">
        <w:t xml:space="preserve">departmental </w:t>
      </w:r>
      <w:r w:rsidRPr="00EF10BB">
        <w:t>employees in schools</w:t>
      </w:r>
      <w:r w:rsidR="00EF10BB" w:rsidRPr="00EF10BB">
        <w:t xml:space="preserve"> (not</w:t>
      </w:r>
      <w:r w:rsidR="00EF10BB">
        <w:t xml:space="preserve"> including school council employees</w:t>
      </w:r>
      <w:r w:rsidRPr="00DB6966">
        <w:t>).</w:t>
      </w:r>
    </w:p>
    <w:p w14:paraId="255B7CD6" w14:textId="77777777" w:rsidR="00F31E6C" w:rsidRPr="00126AFB" w:rsidRDefault="008C0B7B" w:rsidP="00F31E6C">
      <w:pPr>
        <w:rPr>
          <w:rFonts w:cstheme="minorHAnsi"/>
        </w:rPr>
      </w:pPr>
      <w:r w:rsidRPr="00DB6966">
        <w:t xml:space="preserve">The Department </w:t>
      </w:r>
      <w:r w:rsidR="006D6ECF" w:rsidRPr="00DB6966">
        <w:t>has its own software system called FBT Tracker to collect and report FBT information</w:t>
      </w:r>
      <w:r w:rsidR="00D75869">
        <w:t xml:space="preserve">. </w:t>
      </w:r>
      <w:r w:rsidR="006D6ECF" w:rsidRPr="00DB6966">
        <w:t>All schools have access to FBT tracker and are expected to record their FBT activities in FBT Tracker.</w:t>
      </w:r>
      <w:r w:rsidR="00DA510F">
        <w:t xml:space="preserve"> Click this link to access </w:t>
      </w:r>
      <w:hyperlink r:id="rId21" w:history="1">
        <w:r w:rsidR="00DA510F" w:rsidRPr="008E2D2F">
          <w:rPr>
            <w:rStyle w:val="Hyperlink"/>
          </w:rPr>
          <w:t>FBT Tracker</w:t>
        </w:r>
      </w:hyperlink>
      <w:r w:rsidR="00DA510F">
        <w:t xml:space="preserve">.  </w:t>
      </w:r>
      <w:r w:rsidR="00F31E6C" w:rsidRPr="00126AFB">
        <w:rPr>
          <w:rFonts w:cstheme="minorHAnsi"/>
        </w:rPr>
        <w:t xml:space="preserve">New Business Managers will need to apply for access to FBT Tracker from </w:t>
      </w:r>
      <w:hyperlink r:id="rId22" w:history="1">
        <w:r w:rsidR="00F31E6C" w:rsidRPr="00F00A37">
          <w:rPr>
            <w:rStyle w:val="Hyperlink"/>
            <w:rFonts w:cstheme="minorHAnsi"/>
          </w:rPr>
          <w:t>tax@edumail.vic.gov.au</w:t>
        </w:r>
      </w:hyperlink>
      <w:r w:rsidR="00F31E6C">
        <w:rPr>
          <w:rFonts w:cstheme="minorHAnsi"/>
        </w:rPr>
        <w:t xml:space="preserve">. </w:t>
      </w:r>
    </w:p>
    <w:p w14:paraId="18D067E5" w14:textId="6EFD3695" w:rsidR="006D6ECF" w:rsidRPr="00DB6966" w:rsidRDefault="006D6ECF" w:rsidP="006F0593">
      <w:r w:rsidRPr="00DB6966">
        <w:t xml:space="preserve">As well as the </w:t>
      </w:r>
      <w:r w:rsidR="00FE581C" w:rsidRPr="00DB6966">
        <w:t>m</w:t>
      </w:r>
      <w:r w:rsidRPr="00DB6966">
        <w:t xml:space="preserve">andatory policies below, schools should refer to the </w:t>
      </w:r>
      <w:r w:rsidR="0004542A">
        <w:t>Department</w:t>
      </w:r>
      <w:r w:rsidR="00AB218F">
        <w:t>’</w:t>
      </w:r>
      <w:r w:rsidR="0004542A">
        <w:t xml:space="preserve">s </w:t>
      </w:r>
      <w:r w:rsidR="00F31E6C">
        <w:t>e</w:t>
      </w:r>
      <w:r w:rsidRPr="00DB6966">
        <w:t>du</w:t>
      </w:r>
      <w:r w:rsidR="00F31E6C">
        <w:t>G</w:t>
      </w:r>
      <w:r w:rsidRPr="00DB6966">
        <w:t>ate Tax homepage for extensive support and assistance in complying with the school’s FBT obligations.</w:t>
      </w:r>
    </w:p>
    <w:p w14:paraId="0E2E8061" w14:textId="77777777" w:rsidR="006D6ECF" w:rsidRDefault="006D6ECF" w:rsidP="00D73C30">
      <w:pPr>
        <w:pStyle w:val="Heading3"/>
        <w:tabs>
          <w:tab w:val="left" w:pos="1134"/>
        </w:tabs>
      </w:pPr>
      <w:r>
        <w:t>15.3.2</w:t>
      </w:r>
      <w:r w:rsidRPr="00EC7D90">
        <w:t xml:space="preserve"> </w:t>
      </w:r>
      <w:r w:rsidR="0078128B">
        <w:tab/>
      </w:r>
      <w:r w:rsidRPr="00EC7D90">
        <w:t>Mandatory policy (</w:t>
      </w:r>
      <w:r w:rsidR="00826440">
        <w:t>Must do</w:t>
      </w:r>
      <w:r w:rsidRPr="00EC7D90">
        <w:t>)</w:t>
      </w:r>
      <w:r w:rsidR="0078128B">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6904"/>
        <w:gridCol w:w="837"/>
      </w:tblGrid>
      <w:tr w:rsidR="00E57EB0" w:rsidRPr="0091756B" w14:paraId="7C26E1A9" w14:textId="77777777" w:rsidTr="007673BB">
        <w:trPr>
          <w:trHeight w:hRule="exact" w:val="722"/>
          <w:tblHeader/>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FC7F4" w14:textId="77777777" w:rsidR="00E57EB0" w:rsidRPr="007673BB" w:rsidRDefault="00E57EB0" w:rsidP="00C509BF">
            <w:pPr>
              <w:spacing w:line="240" w:lineRule="atLeast"/>
              <w:rPr>
                <w:b/>
                <w:sz w:val="20"/>
                <w:szCs w:val="20"/>
              </w:rPr>
            </w:pPr>
            <w:r w:rsidRPr="007673BB">
              <w:rPr>
                <w:b/>
                <w:sz w:val="20"/>
                <w:szCs w:val="20"/>
              </w:rPr>
              <w:t>Sequence Numbers</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77A6B6C0" w14:textId="77777777" w:rsidR="00E57EB0" w:rsidRPr="007673BB" w:rsidRDefault="00E57EB0" w:rsidP="0037676B">
            <w:pPr>
              <w:rPr>
                <w:b/>
                <w:sz w:val="20"/>
                <w:szCs w:val="20"/>
              </w:rPr>
            </w:pPr>
            <w:r w:rsidRPr="007673BB">
              <w:rPr>
                <w:b/>
                <w:sz w:val="20"/>
                <w:szCs w:val="20"/>
              </w:rPr>
              <w:t>Information</w:t>
            </w:r>
          </w:p>
        </w:tc>
        <w:tc>
          <w:tcPr>
            <w:tcW w:w="837" w:type="dxa"/>
            <w:tcBorders>
              <w:top w:val="nil"/>
              <w:left w:val="single" w:sz="4" w:space="0" w:color="auto"/>
              <w:bottom w:val="single" w:sz="4" w:space="0" w:color="auto"/>
              <w:right w:val="nil"/>
            </w:tcBorders>
          </w:tcPr>
          <w:p w14:paraId="51BDDF28" w14:textId="77777777" w:rsidR="00E57EB0" w:rsidRPr="00C509BF" w:rsidRDefault="00E57EB0" w:rsidP="0037676B">
            <w:pPr>
              <w:rPr>
                <w:b/>
              </w:rPr>
            </w:pPr>
          </w:p>
        </w:tc>
      </w:tr>
      <w:tr w:rsidR="00E57EB0" w:rsidRPr="004D6B0E" w14:paraId="2B06FEE8" w14:textId="77777777" w:rsidTr="00E57EB0">
        <w:trPr>
          <w:trHeight w:hRule="exact" w:val="737"/>
        </w:trPr>
        <w:tc>
          <w:tcPr>
            <w:tcW w:w="1256" w:type="dxa"/>
          </w:tcPr>
          <w:p w14:paraId="7AAC1251" w14:textId="77777777" w:rsidR="00E57EB0" w:rsidRPr="006F7B96" w:rsidRDefault="00E57EB0" w:rsidP="00D73C30">
            <w:pPr>
              <w:spacing w:line="240" w:lineRule="atLeast"/>
            </w:pPr>
            <w:r>
              <w:t>15.3.2.1</w:t>
            </w:r>
          </w:p>
        </w:tc>
        <w:tc>
          <w:tcPr>
            <w:tcW w:w="6904" w:type="dxa"/>
          </w:tcPr>
          <w:p w14:paraId="3647AC6E" w14:textId="77777777" w:rsidR="00E57EB0" w:rsidRPr="006F7B96" w:rsidRDefault="00E57EB0" w:rsidP="00D73C30">
            <w:r>
              <w:t>C</w:t>
            </w:r>
            <w:r w:rsidRPr="006D6ECF">
              <w:t xml:space="preserve">omply with FBT requirements pursuant to the </w:t>
            </w:r>
            <w:r>
              <w:t xml:space="preserve">Commonwealth </w:t>
            </w:r>
            <w:r w:rsidRPr="006D6ECF">
              <w:t>FBT law</w:t>
            </w:r>
            <w:r>
              <w:t>.</w:t>
            </w:r>
          </w:p>
        </w:tc>
        <w:tc>
          <w:tcPr>
            <w:tcW w:w="837" w:type="dxa"/>
          </w:tcPr>
          <w:p w14:paraId="76AECD4D" w14:textId="77777777" w:rsidR="00E57EB0" w:rsidRDefault="00E57EB0" w:rsidP="00D73C30"/>
        </w:tc>
      </w:tr>
      <w:tr w:rsidR="00E57EB0" w:rsidRPr="004D6B0E" w14:paraId="543DADE2" w14:textId="77777777" w:rsidTr="00E57EB0">
        <w:trPr>
          <w:trHeight w:hRule="exact" w:val="737"/>
        </w:trPr>
        <w:tc>
          <w:tcPr>
            <w:tcW w:w="1256" w:type="dxa"/>
          </w:tcPr>
          <w:p w14:paraId="466DCE8A" w14:textId="77777777" w:rsidR="00E57EB0" w:rsidRDefault="00E57EB0" w:rsidP="00D73C30">
            <w:pPr>
              <w:spacing w:line="240" w:lineRule="atLeast"/>
            </w:pPr>
            <w:r>
              <w:t>15.3.2.2</w:t>
            </w:r>
          </w:p>
        </w:tc>
        <w:tc>
          <w:tcPr>
            <w:tcW w:w="6904" w:type="dxa"/>
          </w:tcPr>
          <w:p w14:paraId="7D99702D" w14:textId="77777777" w:rsidR="00E57EB0" w:rsidRPr="0008758C" w:rsidRDefault="00E57EB0" w:rsidP="00D73C30">
            <w:r>
              <w:t>R</w:t>
            </w:r>
            <w:r w:rsidRPr="006D6ECF">
              <w:t>ecord in FBT Tracker all activities on which FBT is payable, particularly the provision of food and drink in social situations</w:t>
            </w:r>
            <w:r>
              <w:t>.</w:t>
            </w:r>
          </w:p>
        </w:tc>
        <w:tc>
          <w:tcPr>
            <w:tcW w:w="837" w:type="dxa"/>
          </w:tcPr>
          <w:p w14:paraId="02716BB5" w14:textId="77777777" w:rsidR="00E57EB0" w:rsidRDefault="00E57EB0" w:rsidP="00D73C30"/>
        </w:tc>
      </w:tr>
      <w:tr w:rsidR="00E57EB0" w:rsidRPr="004D6B0E" w14:paraId="2E950FFC" w14:textId="77777777" w:rsidTr="00E57EB0">
        <w:trPr>
          <w:trHeight w:val="2865"/>
        </w:trPr>
        <w:tc>
          <w:tcPr>
            <w:tcW w:w="1256" w:type="dxa"/>
          </w:tcPr>
          <w:p w14:paraId="5D449A9B" w14:textId="77777777" w:rsidR="00E57EB0" w:rsidRDefault="00E57EB0" w:rsidP="00D73C30">
            <w:pPr>
              <w:spacing w:line="240" w:lineRule="atLeast"/>
            </w:pPr>
            <w:r>
              <w:lastRenderedPageBreak/>
              <w:t>15.3.2.3</w:t>
            </w:r>
          </w:p>
        </w:tc>
        <w:tc>
          <w:tcPr>
            <w:tcW w:w="6904" w:type="dxa"/>
          </w:tcPr>
          <w:p w14:paraId="34611690" w14:textId="77777777" w:rsidR="00F31E6C" w:rsidRPr="00126AFB" w:rsidRDefault="00E57EB0" w:rsidP="00F31E6C">
            <w:pPr>
              <w:rPr>
                <w:rFonts w:cstheme="minorHAnsi"/>
              </w:rPr>
            </w:pPr>
            <w:r w:rsidRPr="00044B09">
              <w:t xml:space="preserve">The Principal of each school must </w:t>
            </w:r>
            <w:r>
              <w:t xml:space="preserve">approve </w:t>
            </w:r>
            <w:r w:rsidRPr="00044B09">
              <w:t>and lodge an FBT declaration within FBT Tracker each year, at the required time</w:t>
            </w:r>
            <w:r>
              <w:t xml:space="preserve"> advised by the Department</w:t>
            </w:r>
            <w:r w:rsidRPr="00044B09">
              <w:t xml:space="preserve">. </w:t>
            </w:r>
            <w:r>
              <w:t xml:space="preserve">The business manager can be the preparer of the information in the FBT declaration within FBT Tracker. </w:t>
            </w:r>
            <w:r w:rsidR="00F31E6C" w:rsidRPr="00126AFB">
              <w:rPr>
                <w:rFonts w:cstheme="minorHAnsi"/>
              </w:rPr>
              <w:t xml:space="preserve">New Business Managers will need to apply for access to FBT Tracker from </w:t>
            </w:r>
            <w:hyperlink r:id="rId23" w:history="1">
              <w:r w:rsidR="00F31E6C" w:rsidRPr="00F00A37">
                <w:rPr>
                  <w:rStyle w:val="Hyperlink"/>
                  <w:rFonts w:cstheme="minorHAnsi"/>
                </w:rPr>
                <w:t>tax@edumail.vic.gov.au</w:t>
              </w:r>
            </w:hyperlink>
            <w:r w:rsidR="00F31E6C">
              <w:rPr>
                <w:rFonts w:cstheme="minorHAnsi"/>
              </w:rPr>
              <w:t xml:space="preserve">. </w:t>
            </w:r>
          </w:p>
          <w:p w14:paraId="1D691B4B" w14:textId="40CA9DC6" w:rsidR="00E57EB0" w:rsidRPr="00044B09" w:rsidRDefault="00E57EB0" w:rsidP="00D73C30">
            <w:r>
              <w:t>Complete FBT declaration within FBT Tracker if the schools ha</w:t>
            </w:r>
            <w:r w:rsidR="00F31E6C">
              <w:t>ve</w:t>
            </w:r>
            <w:r>
              <w:t>:</w:t>
            </w:r>
          </w:p>
          <w:p w14:paraId="6448BEE5" w14:textId="77777777" w:rsidR="00E57EB0" w:rsidRPr="004D6B0E" w:rsidRDefault="00E57EB0" w:rsidP="00D73C30">
            <w:pPr>
              <w:pStyle w:val="ListBullet"/>
            </w:pPr>
            <w:r w:rsidRPr="004D6B0E">
              <w:t>provided fringe benefits to any central payroll employee, then these details must be included in FBT tracker; or</w:t>
            </w:r>
          </w:p>
          <w:p w14:paraId="55D04F4D" w14:textId="3813925E" w:rsidR="00E57EB0" w:rsidRPr="0008758C" w:rsidRDefault="00F31E6C" w:rsidP="00D73C30">
            <w:pPr>
              <w:pStyle w:val="ListBullet"/>
              <w:ind w:left="284" w:hanging="284"/>
            </w:pPr>
            <w:r>
              <w:t xml:space="preserve"> </w:t>
            </w:r>
            <w:r w:rsidR="00E57EB0" w:rsidRPr="004D6B0E">
              <w:t>not provided any fringe benefits, then a nil return is required.</w:t>
            </w:r>
          </w:p>
        </w:tc>
        <w:tc>
          <w:tcPr>
            <w:tcW w:w="837" w:type="dxa"/>
          </w:tcPr>
          <w:p w14:paraId="337F1D55" w14:textId="77777777" w:rsidR="00E57EB0" w:rsidRPr="00044B09" w:rsidRDefault="00E57EB0" w:rsidP="00D73C30"/>
        </w:tc>
      </w:tr>
      <w:tr w:rsidR="00E57EB0" w:rsidRPr="004D6B0E" w14:paraId="4AE5906D" w14:textId="77777777" w:rsidTr="00F31E6C">
        <w:trPr>
          <w:trHeight w:hRule="exact" w:val="1675"/>
        </w:trPr>
        <w:tc>
          <w:tcPr>
            <w:tcW w:w="1256" w:type="dxa"/>
          </w:tcPr>
          <w:p w14:paraId="279302AD" w14:textId="77777777" w:rsidR="00E57EB0" w:rsidRDefault="00E57EB0" w:rsidP="00D73C30">
            <w:pPr>
              <w:spacing w:line="240" w:lineRule="atLeast"/>
            </w:pPr>
            <w:r>
              <w:t>15.3.2.4</w:t>
            </w:r>
          </w:p>
        </w:tc>
        <w:tc>
          <w:tcPr>
            <w:tcW w:w="6904" w:type="dxa"/>
          </w:tcPr>
          <w:p w14:paraId="4DDA6F4E" w14:textId="3CC6F72E" w:rsidR="00E57EB0" w:rsidRPr="0008758C" w:rsidRDefault="00F31E6C" w:rsidP="00D73C30">
            <w:r w:rsidRPr="00746E37">
              <w:rPr>
                <w:rFonts w:cstheme="minorHAnsi"/>
              </w:rPr>
              <w:t>After the FBT return is lodged, the Department will issue an invoice to those schools that caused an FBT liability, based on the information in FBT Tracker. In this invoice, the Department seeks reimbursement from the school for the FBT, which the Department has paid on the school’s behalf to the ATO.</w:t>
            </w:r>
          </w:p>
        </w:tc>
        <w:tc>
          <w:tcPr>
            <w:tcW w:w="837" w:type="dxa"/>
          </w:tcPr>
          <w:p w14:paraId="4FECCF9D" w14:textId="77777777" w:rsidR="00E57EB0" w:rsidRPr="00044B09" w:rsidRDefault="00E57EB0" w:rsidP="00D73C30"/>
        </w:tc>
      </w:tr>
      <w:tr w:rsidR="00E57EB0" w:rsidRPr="004D6B0E" w14:paraId="5F5A7599" w14:textId="77777777" w:rsidTr="00F31E6C">
        <w:trPr>
          <w:trHeight w:val="1395"/>
        </w:trPr>
        <w:tc>
          <w:tcPr>
            <w:tcW w:w="1256" w:type="dxa"/>
          </w:tcPr>
          <w:p w14:paraId="63E28FFE" w14:textId="77777777" w:rsidR="00E57EB0" w:rsidRDefault="00E57EB0" w:rsidP="00D73C30">
            <w:pPr>
              <w:spacing w:line="240" w:lineRule="atLeast"/>
            </w:pPr>
            <w:r>
              <w:t>15.3.2.5</w:t>
            </w:r>
          </w:p>
        </w:tc>
        <w:tc>
          <w:tcPr>
            <w:tcW w:w="6904" w:type="dxa"/>
          </w:tcPr>
          <w:p w14:paraId="05BB00C8" w14:textId="552BB1AA" w:rsidR="00E57EB0" w:rsidRPr="0008758C" w:rsidRDefault="00F31E6C" w:rsidP="00D73C30">
            <w:r w:rsidRPr="00746E37">
              <w:rPr>
                <w:rFonts w:cstheme="minorHAnsi"/>
              </w:rPr>
              <w:t xml:space="preserve">Schools must complete the School Hospitality Expenses Approval Form for all expenditure, which involves staff consuming food and/or drink. This form is available from: </w:t>
            </w:r>
            <w:hyperlink r:id="rId24" w:history="1">
              <w:r w:rsidRPr="00746E37">
                <w:rPr>
                  <w:rStyle w:val="Hyperlink"/>
                  <w:rFonts w:cstheme="minorHAnsi"/>
                </w:rPr>
                <w:t>School Hospitality Expense Approval Form</w:t>
              </w:r>
            </w:hyperlink>
            <w:r w:rsidRPr="00746E37">
              <w:rPr>
                <w:rStyle w:val="Hyperlink"/>
                <w:rFonts w:cstheme="minorHAnsi"/>
              </w:rPr>
              <w:t>.</w:t>
            </w:r>
          </w:p>
        </w:tc>
        <w:tc>
          <w:tcPr>
            <w:tcW w:w="837" w:type="dxa"/>
          </w:tcPr>
          <w:p w14:paraId="7219B5A5" w14:textId="77777777" w:rsidR="00E57EB0" w:rsidRPr="00044B09" w:rsidRDefault="00E57EB0" w:rsidP="00D73C30"/>
        </w:tc>
      </w:tr>
      <w:tr w:rsidR="00F31E6C" w:rsidRPr="004D6B0E" w14:paraId="68ACC9CD" w14:textId="77777777" w:rsidTr="00E57EB0">
        <w:trPr>
          <w:trHeight w:hRule="exact" w:val="1304"/>
        </w:trPr>
        <w:tc>
          <w:tcPr>
            <w:tcW w:w="1256" w:type="dxa"/>
          </w:tcPr>
          <w:p w14:paraId="2C5E55C3" w14:textId="77777777" w:rsidR="00F31E6C" w:rsidRDefault="00F31E6C" w:rsidP="00F31E6C">
            <w:pPr>
              <w:spacing w:line="240" w:lineRule="atLeast"/>
            </w:pPr>
            <w:r>
              <w:t>15.3.2.6</w:t>
            </w:r>
          </w:p>
        </w:tc>
        <w:tc>
          <w:tcPr>
            <w:tcW w:w="6904" w:type="dxa"/>
          </w:tcPr>
          <w:p w14:paraId="3A0CD1E3" w14:textId="33E8E056" w:rsidR="00F31E6C" w:rsidRPr="0008758C" w:rsidRDefault="00F31E6C" w:rsidP="00F31E6C">
            <w:r w:rsidRPr="00D73C30">
              <w:t>The form must be completed and signed off by the Principal before storing it</w:t>
            </w:r>
            <w:r>
              <w:t>. The form must be s</w:t>
            </w:r>
            <w:r w:rsidRPr="00D73C30">
              <w:t xml:space="preserve">tored with the payment voucher. The form </w:t>
            </w:r>
            <w:r>
              <w:t xml:space="preserve">must </w:t>
            </w:r>
            <w:r w:rsidRPr="00D73C30">
              <w:t>document/justify the reason why FBT has been paid or not paid.</w:t>
            </w:r>
          </w:p>
        </w:tc>
        <w:tc>
          <w:tcPr>
            <w:tcW w:w="837" w:type="dxa"/>
          </w:tcPr>
          <w:p w14:paraId="18DCC636" w14:textId="77777777" w:rsidR="00F31E6C" w:rsidRPr="00C91996" w:rsidRDefault="00F31E6C" w:rsidP="00F31E6C"/>
        </w:tc>
      </w:tr>
      <w:tr w:rsidR="00F31E6C" w:rsidRPr="004D6B0E" w14:paraId="48EBAE94" w14:textId="77777777" w:rsidTr="00E57EB0">
        <w:trPr>
          <w:trHeight w:hRule="exact" w:val="1304"/>
        </w:trPr>
        <w:tc>
          <w:tcPr>
            <w:tcW w:w="1256" w:type="dxa"/>
          </w:tcPr>
          <w:p w14:paraId="47C6A28D" w14:textId="77777777" w:rsidR="00F31E6C" w:rsidRDefault="00F31E6C" w:rsidP="00F31E6C">
            <w:pPr>
              <w:spacing w:line="240" w:lineRule="atLeast"/>
            </w:pPr>
            <w:r>
              <w:t>15.3.2.7</w:t>
            </w:r>
          </w:p>
        </w:tc>
        <w:tc>
          <w:tcPr>
            <w:tcW w:w="6904" w:type="dxa"/>
          </w:tcPr>
          <w:p w14:paraId="2A56D656" w14:textId="0CEE18A6" w:rsidR="00F31E6C" w:rsidRPr="0008758C" w:rsidRDefault="00F31E6C" w:rsidP="00F31E6C">
            <w:r w:rsidRPr="00C91996">
              <w:t>Schools must be aware of the D</w:t>
            </w:r>
            <w:r>
              <w:t xml:space="preserve">epartments </w:t>
            </w:r>
            <w:hyperlink r:id="rId25" w:history="1">
              <w:r w:rsidRPr="00A247E2">
                <w:rPr>
                  <w:rStyle w:val="Hyperlink"/>
                </w:rPr>
                <w:t>Gifts, Benefits and Hospitality policy</w:t>
              </w:r>
            </w:hyperlink>
            <w:r w:rsidRPr="00C91996">
              <w:t>, particularly when they are considering providing benefits to staff.</w:t>
            </w:r>
          </w:p>
        </w:tc>
        <w:tc>
          <w:tcPr>
            <w:tcW w:w="837" w:type="dxa"/>
          </w:tcPr>
          <w:p w14:paraId="60697649" w14:textId="77777777" w:rsidR="00F31E6C" w:rsidRPr="00D73C30" w:rsidRDefault="00F31E6C" w:rsidP="00F31E6C"/>
        </w:tc>
      </w:tr>
    </w:tbl>
    <w:p w14:paraId="55A9C542" w14:textId="77777777" w:rsidR="0008758C" w:rsidRPr="00EC7D90" w:rsidRDefault="0008758C" w:rsidP="0008758C">
      <w:pPr>
        <w:pStyle w:val="Heading3"/>
      </w:pPr>
      <w:r>
        <w:t>15.3.3</w:t>
      </w:r>
      <w:r w:rsidRPr="00EC7D90">
        <w:t xml:space="preserve"> </w:t>
      </w:r>
      <w:r>
        <w:tab/>
      </w:r>
      <w:r w:rsidRPr="0008758C">
        <w:t>Prohibited policy (</w:t>
      </w:r>
      <w:r w:rsidR="00826440">
        <w:t xml:space="preserve">Must </w:t>
      </w:r>
      <w:r w:rsidRPr="0008758C">
        <w:t>not</w:t>
      </w:r>
      <w:r w:rsidR="00A01FBF">
        <w:t xml:space="preserve"> do</w:t>
      </w:r>
      <w:r w:rsidRPr="0008758C">
        <w:t>)</w:t>
      </w:r>
      <w:r w:rsidR="00A01FBF">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6904"/>
        <w:gridCol w:w="850"/>
      </w:tblGrid>
      <w:tr w:rsidR="00E57EB0" w:rsidRPr="0091756B" w14:paraId="1B379AB3" w14:textId="77777777" w:rsidTr="007673BB">
        <w:trPr>
          <w:trHeight w:hRule="exact" w:val="640"/>
          <w:tblHeader/>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5F72" w14:textId="77777777" w:rsidR="00E57EB0" w:rsidRPr="007673BB" w:rsidRDefault="00E57EB0" w:rsidP="004A3C0C">
            <w:pPr>
              <w:spacing w:line="240" w:lineRule="atLeast"/>
              <w:rPr>
                <w:b/>
                <w:sz w:val="20"/>
                <w:szCs w:val="20"/>
              </w:rPr>
            </w:pPr>
            <w:r w:rsidRPr="007673BB">
              <w:rPr>
                <w:b/>
                <w:sz w:val="20"/>
                <w:szCs w:val="20"/>
              </w:rPr>
              <w:t>Sequence Numbers</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68B79CE3" w14:textId="77777777" w:rsidR="00E57EB0" w:rsidRPr="007673BB" w:rsidRDefault="00E57EB0" w:rsidP="004A3C0C">
            <w:pPr>
              <w:rPr>
                <w:b/>
                <w:sz w:val="20"/>
                <w:szCs w:val="20"/>
              </w:rPr>
            </w:pPr>
            <w:r w:rsidRPr="007673BB">
              <w:rPr>
                <w:b/>
                <w:sz w:val="20"/>
                <w:szCs w:val="20"/>
              </w:rPr>
              <w:t>Information</w:t>
            </w:r>
          </w:p>
        </w:tc>
        <w:tc>
          <w:tcPr>
            <w:tcW w:w="850" w:type="dxa"/>
            <w:tcBorders>
              <w:top w:val="nil"/>
              <w:left w:val="single" w:sz="4" w:space="0" w:color="auto"/>
              <w:bottom w:val="single" w:sz="4" w:space="0" w:color="auto"/>
              <w:right w:val="nil"/>
            </w:tcBorders>
          </w:tcPr>
          <w:p w14:paraId="670A8FB2" w14:textId="77777777" w:rsidR="00E57EB0" w:rsidRPr="00C509BF" w:rsidRDefault="00E57EB0" w:rsidP="004A3C0C">
            <w:pPr>
              <w:rPr>
                <w:b/>
              </w:rPr>
            </w:pPr>
          </w:p>
        </w:tc>
      </w:tr>
      <w:tr w:rsidR="00E57EB0" w:rsidRPr="005450B2" w14:paraId="2B76187B" w14:textId="77777777" w:rsidTr="00F31E6C">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1045"/>
        </w:trPr>
        <w:tc>
          <w:tcPr>
            <w:tcW w:w="1256" w:type="dxa"/>
          </w:tcPr>
          <w:p w14:paraId="3F36823E" w14:textId="77777777" w:rsidR="00E57EB0" w:rsidRPr="005450B2" w:rsidRDefault="00E57EB0" w:rsidP="0090696F">
            <w:pPr>
              <w:spacing w:line="240" w:lineRule="atLeast"/>
              <w:rPr>
                <w:color w:val="000000" w:themeColor="text1"/>
              </w:rPr>
            </w:pPr>
            <w:r w:rsidRPr="005450B2">
              <w:rPr>
                <w:color w:val="000000" w:themeColor="text1"/>
              </w:rPr>
              <w:t>15.3.3.1</w:t>
            </w:r>
          </w:p>
        </w:tc>
        <w:tc>
          <w:tcPr>
            <w:tcW w:w="6904" w:type="dxa"/>
          </w:tcPr>
          <w:p w14:paraId="292F6DB9" w14:textId="77777777" w:rsidR="00E57EB0" w:rsidRPr="005450B2" w:rsidRDefault="00E57EB0" w:rsidP="0004542A">
            <w:pPr>
              <w:jc w:val="both"/>
              <w:rPr>
                <w:color w:val="000000" w:themeColor="text1"/>
              </w:rPr>
            </w:pPr>
            <w:r w:rsidRPr="005450B2">
              <w:rPr>
                <w:color w:val="000000" w:themeColor="text1"/>
              </w:rPr>
              <w:t>Schools must not avoid FBT by not declaring any activities which would be subject to FBT (especially the provision of food and drinks in social situations).</w:t>
            </w:r>
          </w:p>
        </w:tc>
        <w:tc>
          <w:tcPr>
            <w:tcW w:w="850" w:type="dxa"/>
          </w:tcPr>
          <w:p w14:paraId="1B912CF3" w14:textId="77777777" w:rsidR="00E57EB0" w:rsidRPr="005450B2" w:rsidRDefault="00E57EB0" w:rsidP="0004542A">
            <w:pPr>
              <w:jc w:val="both"/>
              <w:rPr>
                <w:color w:val="000000" w:themeColor="text1"/>
              </w:rPr>
            </w:pPr>
          </w:p>
        </w:tc>
      </w:tr>
    </w:tbl>
    <w:p w14:paraId="3A33C93C" w14:textId="77777777" w:rsidR="00F31E6C" w:rsidRDefault="00F31E6C" w:rsidP="006F7B96">
      <w:pPr>
        <w:pStyle w:val="Heading3"/>
      </w:pPr>
    </w:p>
    <w:p w14:paraId="16149EFE" w14:textId="77777777" w:rsidR="00F31E6C" w:rsidRDefault="00F31E6C">
      <w:pPr>
        <w:spacing w:before="0" w:line="240" w:lineRule="auto"/>
        <w:rPr>
          <w:b/>
          <w:color w:val="000000" w:themeColor="text1"/>
          <w:sz w:val="24"/>
        </w:rPr>
      </w:pPr>
      <w:r>
        <w:br w:type="page"/>
      </w:r>
    </w:p>
    <w:p w14:paraId="6C95F4FB" w14:textId="6FBBE387" w:rsidR="006D6ECF" w:rsidRPr="00614BEA" w:rsidRDefault="0078128B" w:rsidP="006F7B96">
      <w:pPr>
        <w:pStyle w:val="Heading3"/>
      </w:pPr>
      <w:r>
        <w:lastRenderedPageBreak/>
        <w:t>15.3.4</w:t>
      </w:r>
      <w:r>
        <w:tab/>
      </w:r>
      <w:r w:rsidR="006D6ECF" w:rsidRPr="00614BEA">
        <w:t xml:space="preserve">Examples </w:t>
      </w:r>
      <w:r w:rsidR="00E01659">
        <w:t>of school types of fringe benefits</w:t>
      </w:r>
    </w:p>
    <w:p w14:paraId="4FE43A44" w14:textId="77777777" w:rsidR="006D6ECF" w:rsidRPr="004D6B0E" w:rsidRDefault="00E01659" w:rsidP="004D6B0E">
      <w:r>
        <w:t>These include:</w:t>
      </w:r>
    </w:p>
    <w:p w14:paraId="019C30ED" w14:textId="77777777" w:rsidR="006D6ECF" w:rsidRPr="00B6698A" w:rsidRDefault="006D6ECF" w:rsidP="00A620B8">
      <w:pPr>
        <w:pStyle w:val="ListBullet"/>
        <w:ind w:left="284"/>
      </w:pPr>
      <w:r w:rsidRPr="00B6698A">
        <w:t>Car Fringe Benefit (school car)</w:t>
      </w:r>
      <w:r w:rsidR="00EF10BB" w:rsidRPr="00B6698A">
        <w:t>;</w:t>
      </w:r>
    </w:p>
    <w:p w14:paraId="600DAEFD" w14:textId="77777777" w:rsidR="006D6ECF" w:rsidRPr="00B6698A" w:rsidRDefault="006D6ECF" w:rsidP="00A620B8">
      <w:pPr>
        <w:pStyle w:val="ListBullet"/>
        <w:ind w:left="284"/>
      </w:pPr>
      <w:r w:rsidRPr="00B6698A">
        <w:t>Expense payment (school council contributes towards gift)</w:t>
      </w:r>
      <w:r w:rsidR="00EF10BB" w:rsidRPr="00B6698A">
        <w:t>;</w:t>
      </w:r>
    </w:p>
    <w:p w14:paraId="07FF1747" w14:textId="77777777" w:rsidR="006D6ECF" w:rsidRPr="00B6698A" w:rsidRDefault="006D6ECF" w:rsidP="00A620B8">
      <w:pPr>
        <w:pStyle w:val="ListBullet"/>
        <w:ind w:left="284"/>
      </w:pPr>
      <w:r w:rsidRPr="008A3861">
        <w:t>Housing Fringe Benefit (teacher relocation etc.)</w:t>
      </w:r>
      <w:r w:rsidR="00EF10BB" w:rsidRPr="008A3861">
        <w:t>;</w:t>
      </w:r>
    </w:p>
    <w:p w14:paraId="602CA4EE" w14:textId="77777777" w:rsidR="006D6ECF" w:rsidRPr="00B6698A" w:rsidRDefault="006D6ECF" w:rsidP="00A620B8">
      <w:pPr>
        <w:pStyle w:val="ListBullet"/>
        <w:ind w:left="284"/>
      </w:pPr>
      <w:r w:rsidRPr="00B6698A">
        <w:t>Entertainment type fringe benefits including</w:t>
      </w:r>
      <w:r w:rsidR="00EF10BB" w:rsidRPr="00B6698A">
        <w:t>:</w:t>
      </w:r>
    </w:p>
    <w:p w14:paraId="2BC029C3" w14:textId="77777777" w:rsidR="006D6ECF" w:rsidRPr="002A00EF" w:rsidRDefault="006D6ECF" w:rsidP="00A620B8">
      <w:pPr>
        <w:pStyle w:val="ListBullet2"/>
      </w:pPr>
      <w:r w:rsidRPr="002A00EF">
        <w:t>School pays for staff to consume alcohol</w:t>
      </w:r>
      <w:r w:rsidR="00EF10BB">
        <w:t>;</w:t>
      </w:r>
    </w:p>
    <w:p w14:paraId="060ED584" w14:textId="77777777" w:rsidR="006D6ECF" w:rsidRPr="002A00EF" w:rsidRDefault="006D6ECF" w:rsidP="00A620B8">
      <w:pPr>
        <w:pStyle w:val="ListBullet2"/>
      </w:pPr>
      <w:r w:rsidRPr="002A00EF">
        <w:t>School pays for staff at School Council dinners (offsite, more than sustenance</w:t>
      </w:r>
      <w:r w:rsidR="00A01FBF">
        <w:t>)</w:t>
      </w:r>
      <w:r w:rsidR="00EF10BB">
        <w:t>;</w:t>
      </w:r>
    </w:p>
    <w:p w14:paraId="0221DADC" w14:textId="77777777" w:rsidR="006D6ECF" w:rsidRPr="002A00EF" w:rsidRDefault="006D6ECF" w:rsidP="00A620B8">
      <w:pPr>
        <w:pStyle w:val="ListBullet2"/>
      </w:pPr>
      <w:r w:rsidRPr="002A00EF">
        <w:t>School pays for staff at Social functions (e.g. Christmas party)</w:t>
      </w:r>
      <w:r w:rsidR="00EF10BB">
        <w:t>;</w:t>
      </w:r>
    </w:p>
    <w:p w14:paraId="67D5DC59" w14:textId="77777777" w:rsidR="006D6ECF" w:rsidRDefault="006D6ECF" w:rsidP="00A620B8">
      <w:pPr>
        <w:pStyle w:val="ListBullet"/>
        <w:ind w:left="284"/>
      </w:pPr>
      <w:r w:rsidRPr="00B6698A">
        <w:t>Minor fringe benefits (i</w:t>
      </w:r>
      <w:r w:rsidR="00E01659" w:rsidRPr="00B6698A">
        <w:t>.</w:t>
      </w:r>
      <w:r w:rsidRPr="00B6698A">
        <w:t>e</w:t>
      </w:r>
      <w:r w:rsidR="00E01659" w:rsidRPr="00B6698A">
        <w:t>.</w:t>
      </w:r>
      <w:r w:rsidRPr="00B6698A">
        <w:t xml:space="preserve"> less than $300) are exempt from FBT, but this exemption does not apply to Entertainment type fringe benefits (i</w:t>
      </w:r>
      <w:r w:rsidR="00E01659" w:rsidRPr="008A3861">
        <w:t>.</w:t>
      </w:r>
      <w:r w:rsidRPr="008A3861">
        <w:t>e</w:t>
      </w:r>
      <w:r w:rsidR="00E01659" w:rsidRPr="00B6698A">
        <w:t>.</w:t>
      </w:r>
      <w:r w:rsidRPr="00B6698A">
        <w:t xml:space="preserve"> food and drink)</w:t>
      </w:r>
      <w:r w:rsidR="004D6B0E" w:rsidRPr="00B6698A">
        <w:t>.</w:t>
      </w:r>
    </w:p>
    <w:p w14:paraId="1273258B" w14:textId="77777777" w:rsidR="00E57EB0" w:rsidRDefault="00E57EB0" w:rsidP="00E57EB0">
      <w:pPr>
        <w:pStyle w:val="ListBullet"/>
        <w:numPr>
          <w:ilvl w:val="0"/>
          <w:numId w:val="0"/>
        </w:numPr>
        <w:ind w:left="360" w:hanging="360"/>
      </w:pPr>
    </w:p>
    <w:p w14:paraId="43674E3D" w14:textId="711ADD8A" w:rsidR="00614BEA" w:rsidRPr="00E01659" w:rsidRDefault="00E01659" w:rsidP="00E01659">
      <w:pPr>
        <w:pStyle w:val="Heading3"/>
      </w:pPr>
      <w:r w:rsidRPr="00E01659">
        <w:t>15.3.5</w:t>
      </w:r>
      <w:r>
        <w:t xml:space="preserve"> </w:t>
      </w:r>
      <w:r w:rsidR="00F31E6C" w:rsidRPr="006F7B96">
        <w:t xml:space="preserve">Additional </w:t>
      </w:r>
      <w:r w:rsidR="00F31E6C">
        <w:t>r</w:t>
      </w:r>
      <w:r w:rsidR="00F31E6C" w:rsidRPr="006F7B96">
        <w:t>esources</w:t>
      </w:r>
    </w:p>
    <w:p w14:paraId="4D9D91F2" w14:textId="77777777" w:rsidR="006D6ECF" w:rsidRPr="00614BEA" w:rsidRDefault="006D6ECF" w:rsidP="008A3861">
      <w:r w:rsidRPr="00614BEA">
        <w:t xml:space="preserve">Further FBT examples and Case Studies are available </w:t>
      </w:r>
      <w:r w:rsidR="008A3861" w:rsidRPr="008A3861">
        <w:t>from</w:t>
      </w:r>
      <w:r w:rsidR="00E95E9D">
        <w:t>:</w:t>
      </w:r>
    </w:p>
    <w:p w14:paraId="30F4D2EC" w14:textId="77777777" w:rsidR="006D6ECF" w:rsidRDefault="002B051D" w:rsidP="00DE4DB9">
      <w:pPr>
        <w:pStyle w:val="ListBullet"/>
      </w:pPr>
      <w:hyperlink r:id="rId26" w:history="1">
        <w:r w:rsidR="00F26266">
          <w:rPr>
            <w:rStyle w:val="Hyperlink"/>
          </w:rPr>
          <w:t>Further FBT examples and Case Studies</w:t>
        </w:r>
      </w:hyperlink>
    </w:p>
    <w:p w14:paraId="3B4C71B0" w14:textId="77777777" w:rsidR="00614BEA" w:rsidRPr="00874D35" w:rsidRDefault="002B051D" w:rsidP="00DE4DB9">
      <w:pPr>
        <w:pStyle w:val="ListBullet"/>
      </w:pPr>
      <w:hyperlink r:id="rId27" w:history="1">
        <w:r w:rsidR="001D71C8">
          <w:rPr>
            <w:rStyle w:val="Hyperlink"/>
          </w:rPr>
          <w:t>Tax Pages</w:t>
        </w:r>
      </w:hyperlink>
    </w:p>
    <w:p w14:paraId="7EB2517D" w14:textId="77777777" w:rsidR="00614BEA" w:rsidRPr="0019536C" w:rsidRDefault="002B051D" w:rsidP="006F7B96">
      <w:pPr>
        <w:pStyle w:val="ListBullet"/>
        <w:rPr>
          <w:bCs/>
        </w:rPr>
      </w:pPr>
      <w:hyperlink r:id="rId28" w:history="1">
        <w:r w:rsidR="001D71C8">
          <w:rPr>
            <w:rStyle w:val="Hyperlink"/>
            <w:bCs/>
          </w:rPr>
          <w:t>FBT Resources</w:t>
        </w:r>
      </w:hyperlink>
    </w:p>
    <w:p w14:paraId="19ED1F79" w14:textId="77777777" w:rsidR="0019536C" w:rsidRDefault="0019536C" w:rsidP="0019536C">
      <w:pPr>
        <w:pStyle w:val="ListBullet"/>
        <w:numPr>
          <w:ilvl w:val="0"/>
          <w:numId w:val="0"/>
        </w:numPr>
        <w:rPr>
          <w:bCs/>
        </w:rPr>
      </w:pPr>
    </w:p>
    <w:p w14:paraId="2B0F4F0F" w14:textId="77777777" w:rsidR="00874D35" w:rsidRPr="006F7B96" w:rsidRDefault="00874D35" w:rsidP="008A1405">
      <w:pPr>
        <w:pStyle w:val="Heading2"/>
      </w:pPr>
      <w:r w:rsidRPr="006F7B96">
        <w:t>15.</w:t>
      </w:r>
      <w:r w:rsidR="00867E79" w:rsidRPr="006F7B96">
        <w:t>4</w:t>
      </w:r>
      <w:r w:rsidR="0078128B">
        <w:tab/>
      </w:r>
      <w:r w:rsidR="00AF4BEE">
        <w:t>Donations to schools – Deductible Gift R</w:t>
      </w:r>
      <w:r w:rsidR="00AF4BEE" w:rsidRPr="006F7B96">
        <w:t>ecipient</w:t>
      </w:r>
      <w:r w:rsidRPr="006F7B96">
        <w:t xml:space="preserve"> (</w:t>
      </w:r>
      <w:r w:rsidR="00867E79" w:rsidRPr="006F7B96">
        <w:t>DGR)</w:t>
      </w:r>
    </w:p>
    <w:p w14:paraId="0558CF24" w14:textId="77777777" w:rsidR="00874D35" w:rsidRPr="006F7B96" w:rsidRDefault="00874D35" w:rsidP="008A1405">
      <w:pPr>
        <w:pStyle w:val="Heading3"/>
      </w:pPr>
      <w:r w:rsidRPr="006F7B96">
        <w:t>15.</w:t>
      </w:r>
      <w:r w:rsidR="00EB4F5B" w:rsidRPr="006F7B96">
        <w:t>4</w:t>
      </w:r>
      <w:r w:rsidR="0078128B">
        <w:t>.1</w:t>
      </w:r>
      <w:r w:rsidR="0078128B">
        <w:tab/>
      </w:r>
      <w:r w:rsidRPr="006F7B96">
        <w:t>Overview</w:t>
      </w:r>
    </w:p>
    <w:p w14:paraId="02CA42F3" w14:textId="77777777" w:rsidR="00F31E6C" w:rsidRDefault="00DC03B9" w:rsidP="00F31E6C">
      <w:r w:rsidRPr="00EB4F5B">
        <w:t xml:space="preserve">Schools </w:t>
      </w:r>
      <w:r w:rsidR="00483776">
        <w:t>can</w:t>
      </w:r>
      <w:r w:rsidRPr="00EB4F5B">
        <w:t xml:space="preserve"> establish a School Building DGR or School Library DGR</w:t>
      </w:r>
      <w:r w:rsidR="00D75869">
        <w:t xml:space="preserve">. </w:t>
      </w:r>
      <w:r w:rsidR="00483776">
        <w:t>The Department</w:t>
      </w:r>
      <w:r w:rsidRPr="00EB4F5B">
        <w:t xml:space="preserve"> has established a formal </w:t>
      </w:r>
      <w:r w:rsidR="0004542A" w:rsidRPr="00EB4F5B">
        <w:t>process, which</w:t>
      </w:r>
      <w:r w:rsidRPr="00EB4F5B">
        <w:t xml:space="preserve"> meets all ATO requirements in order to obtain ATO DGR endorsement</w:t>
      </w:r>
      <w:r w:rsidR="00D75869">
        <w:t xml:space="preserve">. </w:t>
      </w:r>
      <w:r w:rsidRPr="00EB4F5B">
        <w:t>The process involves establishing a separate bank account for donated funds and restrictions on spending donated funds</w:t>
      </w:r>
      <w:r w:rsidR="00D75869">
        <w:t xml:space="preserve">. </w:t>
      </w:r>
      <w:r w:rsidRPr="00EB4F5B">
        <w:t xml:space="preserve">Finally, the school must complete an ATO application form, which is submitted through </w:t>
      </w:r>
      <w:r w:rsidR="0004542A">
        <w:t>the Department</w:t>
      </w:r>
      <w:r w:rsidRPr="00EB4F5B">
        <w:t>.</w:t>
      </w:r>
      <w:r w:rsidR="00F31E6C">
        <w:t xml:space="preserve"> The Departmental guidelines are available at this link </w:t>
      </w:r>
      <w:hyperlink r:id="rId29" w:history="1">
        <w:r w:rsidR="00F31E6C" w:rsidRPr="0073028C">
          <w:rPr>
            <w:rStyle w:val="Hyperlink"/>
          </w:rPr>
          <w:t>Deductible Gift Recipient Funds</w:t>
        </w:r>
      </w:hyperlink>
      <w:r w:rsidR="00F31E6C">
        <w:t>.</w:t>
      </w:r>
    </w:p>
    <w:p w14:paraId="53094CD2" w14:textId="77777777" w:rsidR="00874D35" w:rsidRPr="00DE4DB9" w:rsidRDefault="00874D35" w:rsidP="006F7B96">
      <w:pPr>
        <w:pStyle w:val="Heading3"/>
      </w:pPr>
      <w:r w:rsidRPr="00DE4DB9">
        <w:t>15.</w:t>
      </w:r>
      <w:r w:rsidR="00DB0ABC" w:rsidRPr="00DE4DB9">
        <w:t>4</w:t>
      </w:r>
      <w:r w:rsidR="0078128B">
        <w:t>.2</w:t>
      </w:r>
      <w:r w:rsidR="0078128B">
        <w:tab/>
      </w:r>
      <w:r w:rsidRPr="00DE4DB9">
        <w:t>Mandatory policy (</w:t>
      </w:r>
      <w:r w:rsidR="00826440">
        <w:t>Must do</w:t>
      </w:r>
      <w:r w:rsidRPr="00DE4DB9">
        <w:t>)</w:t>
      </w:r>
      <w:r w:rsidR="0078128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961"/>
        <w:gridCol w:w="837"/>
      </w:tblGrid>
      <w:tr w:rsidR="00E57EB0" w:rsidRPr="0091756B" w14:paraId="3701A158" w14:textId="77777777" w:rsidTr="007673BB">
        <w:trPr>
          <w:trHeight w:hRule="exact" w:val="676"/>
        </w:trPr>
        <w:tc>
          <w:tcPr>
            <w:tcW w:w="125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26D4F0C1" w14:textId="77777777" w:rsidR="00E57EB0" w:rsidRPr="007673BB" w:rsidRDefault="00E57EB0" w:rsidP="00C509BF">
            <w:pPr>
              <w:spacing w:line="240" w:lineRule="atLeast"/>
              <w:rPr>
                <w:rFonts w:eastAsiaTheme="minorHAnsi"/>
                <w:b/>
                <w:sz w:val="20"/>
                <w:szCs w:val="20"/>
              </w:rPr>
            </w:pPr>
            <w:r w:rsidRPr="007673BB">
              <w:rPr>
                <w:rFonts w:eastAsiaTheme="minorHAnsi"/>
                <w:b/>
                <w:sz w:val="20"/>
                <w:szCs w:val="20"/>
              </w:rPr>
              <w:t>Sequence Numbers</w:t>
            </w:r>
          </w:p>
        </w:tc>
        <w:tc>
          <w:tcPr>
            <w:tcW w:w="6961" w:type="dxa"/>
            <w:tcBorders>
              <w:top w:val="single" w:sz="4" w:space="0" w:color="000000"/>
              <w:left w:val="single" w:sz="4" w:space="0" w:color="auto"/>
              <w:bottom w:val="single" w:sz="4" w:space="0" w:color="000000"/>
              <w:right w:val="single" w:sz="4" w:space="0" w:color="000000"/>
            </w:tcBorders>
            <w:shd w:val="clear" w:color="auto" w:fill="auto"/>
          </w:tcPr>
          <w:p w14:paraId="5224D522" w14:textId="77777777" w:rsidR="00E57EB0" w:rsidRPr="007673BB" w:rsidRDefault="00E57EB0" w:rsidP="00C509BF">
            <w:pPr>
              <w:jc w:val="both"/>
              <w:rPr>
                <w:b/>
                <w:sz w:val="20"/>
                <w:szCs w:val="20"/>
              </w:rPr>
            </w:pPr>
            <w:r w:rsidRPr="007673BB">
              <w:rPr>
                <w:b/>
                <w:sz w:val="20"/>
                <w:szCs w:val="20"/>
              </w:rPr>
              <w:t>Information</w:t>
            </w:r>
          </w:p>
        </w:tc>
        <w:tc>
          <w:tcPr>
            <w:tcW w:w="837" w:type="dxa"/>
            <w:tcBorders>
              <w:top w:val="nil"/>
              <w:left w:val="single" w:sz="4" w:space="0" w:color="auto"/>
              <w:bottom w:val="single" w:sz="4" w:space="0" w:color="000000"/>
              <w:right w:val="nil"/>
            </w:tcBorders>
          </w:tcPr>
          <w:p w14:paraId="6A115BF4" w14:textId="77777777" w:rsidR="00E57EB0" w:rsidRPr="00C509BF" w:rsidRDefault="00E57EB0" w:rsidP="00C509BF">
            <w:pPr>
              <w:jc w:val="both"/>
              <w:rPr>
                <w:b/>
              </w:rPr>
            </w:pPr>
          </w:p>
        </w:tc>
      </w:tr>
      <w:tr w:rsidR="00E57EB0" w:rsidRPr="00EC7D90" w14:paraId="5B88896C" w14:textId="77777777" w:rsidTr="00E57EB0">
        <w:trPr>
          <w:trHeight w:hRule="exact" w:val="1021"/>
        </w:trPr>
        <w:tc>
          <w:tcPr>
            <w:tcW w:w="1256" w:type="dxa"/>
            <w:tcBorders>
              <w:right w:val="single" w:sz="4" w:space="0" w:color="auto"/>
            </w:tcBorders>
          </w:tcPr>
          <w:p w14:paraId="5497708E" w14:textId="77777777" w:rsidR="00E57EB0" w:rsidRPr="00104B60" w:rsidRDefault="00E57EB0" w:rsidP="006F7B96">
            <w:pPr>
              <w:spacing w:line="240" w:lineRule="atLeast"/>
              <w:rPr>
                <w:rFonts w:eastAsiaTheme="minorHAnsi"/>
              </w:rPr>
            </w:pPr>
            <w:r w:rsidRPr="00104B60">
              <w:rPr>
                <w:rFonts w:eastAsiaTheme="minorHAnsi"/>
              </w:rPr>
              <w:t>15.4.2.1</w:t>
            </w:r>
          </w:p>
        </w:tc>
        <w:tc>
          <w:tcPr>
            <w:tcW w:w="6961" w:type="dxa"/>
            <w:tcBorders>
              <w:left w:val="single" w:sz="4" w:space="0" w:color="auto"/>
            </w:tcBorders>
          </w:tcPr>
          <w:p w14:paraId="50C5CB48" w14:textId="77777777" w:rsidR="00E57EB0" w:rsidRPr="00104B60" w:rsidRDefault="00E57EB0" w:rsidP="00EF10BB">
            <w:pPr>
              <w:jc w:val="both"/>
            </w:pPr>
            <w:r w:rsidRPr="00104B60">
              <w:t xml:space="preserve">A school must complete an ATO application form to become a Deductible Gift Recipient (DGR), which is submitted through </w:t>
            </w:r>
            <w:r>
              <w:t>the Department</w:t>
            </w:r>
            <w:r w:rsidRPr="00104B60">
              <w:t>.</w:t>
            </w:r>
          </w:p>
        </w:tc>
        <w:tc>
          <w:tcPr>
            <w:tcW w:w="837" w:type="dxa"/>
            <w:tcBorders>
              <w:left w:val="single" w:sz="4" w:space="0" w:color="auto"/>
            </w:tcBorders>
          </w:tcPr>
          <w:p w14:paraId="4F145EE0" w14:textId="77777777" w:rsidR="00E57EB0" w:rsidRPr="00104B60" w:rsidRDefault="00E57EB0" w:rsidP="00EF10BB">
            <w:pPr>
              <w:jc w:val="both"/>
            </w:pPr>
          </w:p>
        </w:tc>
      </w:tr>
      <w:tr w:rsidR="00E57EB0" w:rsidRPr="00EC7D90" w14:paraId="78D62509" w14:textId="77777777" w:rsidTr="00E57EB0">
        <w:trPr>
          <w:trHeight w:val="1128"/>
        </w:trPr>
        <w:tc>
          <w:tcPr>
            <w:tcW w:w="1256" w:type="dxa"/>
          </w:tcPr>
          <w:p w14:paraId="200CCA1B" w14:textId="77777777" w:rsidR="00E57EB0" w:rsidRPr="00104B60" w:rsidRDefault="00E57EB0" w:rsidP="006F7B96">
            <w:pPr>
              <w:spacing w:line="240" w:lineRule="atLeast"/>
              <w:rPr>
                <w:rFonts w:eastAsiaTheme="minorHAnsi"/>
              </w:rPr>
            </w:pPr>
            <w:r w:rsidRPr="00104B60">
              <w:rPr>
                <w:rFonts w:eastAsiaTheme="minorHAnsi"/>
              </w:rPr>
              <w:lastRenderedPageBreak/>
              <w:t>15.4.2.2</w:t>
            </w:r>
          </w:p>
        </w:tc>
        <w:tc>
          <w:tcPr>
            <w:tcW w:w="6961" w:type="dxa"/>
          </w:tcPr>
          <w:p w14:paraId="25B2276E" w14:textId="77777777" w:rsidR="00E57EB0" w:rsidRPr="00104B60" w:rsidRDefault="00E57EB0" w:rsidP="0004542A">
            <w:pPr>
              <w:jc w:val="both"/>
            </w:pPr>
            <w:r w:rsidRPr="00104B60">
              <w:t xml:space="preserve">If a school operates a School Building </w:t>
            </w:r>
            <w:r w:rsidR="0035132F">
              <w:t xml:space="preserve">Fund </w:t>
            </w:r>
            <w:r w:rsidRPr="00104B60">
              <w:t xml:space="preserve">or Library </w:t>
            </w:r>
            <w:r w:rsidR="0035132F">
              <w:t>account</w:t>
            </w:r>
            <w:r w:rsidRPr="00104B60">
              <w:t xml:space="preserve">, it must meet all ATO requirements, including: </w:t>
            </w:r>
          </w:p>
          <w:p w14:paraId="3E9F7496" w14:textId="77777777" w:rsidR="00E57EB0" w:rsidRPr="00104B60" w:rsidRDefault="00E57EB0" w:rsidP="00A620B8">
            <w:pPr>
              <w:pStyle w:val="ListBullet"/>
            </w:pPr>
            <w:r w:rsidRPr="00104B60">
              <w:t>being endorsed by the ATO as a DGR;</w:t>
            </w:r>
          </w:p>
          <w:p w14:paraId="06487F3A" w14:textId="77777777" w:rsidR="00E57EB0" w:rsidRPr="00104B60" w:rsidRDefault="00E57EB0" w:rsidP="00A620B8">
            <w:pPr>
              <w:pStyle w:val="ListBullet"/>
            </w:pPr>
            <w:r w:rsidRPr="00104B60">
              <w:t>issuing tax deductible receipts to donors;</w:t>
            </w:r>
          </w:p>
          <w:p w14:paraId="26459AA8" w14:textId="77777777" w:rsidR="00E57EB0" w:rsidRPr="00104B60" w:rsidRDefault="00E57EB0" w:rsidP="00A620B8">
            <w:pPr>
              <w:pStyle w:val="ListBullet"/>
            </w:pPr>
            <w:r w:rsidRPr="00104B60">
              <w:t>maintain a separate DGR bank account, to which all donations are deposited;</w:t>
            </w:r>
          </w:p>
          <w:p w14:paraId="574AD68D" w14:textId="77777777" w:rsidR="00E57EB0" w:rsidRPr="00104B60" w:rsidRDefault="00E57EB0" w:rsidP="00A620B8">
            <w:pPr>
              <w:pStyle w:val="ListBullet"/>
            </w:pPr>
            <w:r w:rsidRPr="00104B60">
              <w:t>payments must only be made for ATO approved purposes.</w:t>
            </w:r>
          </w:p>
        </w:tc>
        <w:tc>
          <w:tcPr>
            <w:tcW w:w="837" w:type="dxa"/>
          </w:tcPr>
          <w:p w14:paraId="6D15CFEA" w14:textId="77777777" w:rsidR="00E57EB0" w:rsidRPr="00104B60" w:rsidRDefault="00E57EB0" w:rsidP="0004542A">
            <w:pPr>
              <w:jc w:val="both"/>
            </w:pPr>
          </w:p>
        </w:tc>
      </w:tr>
      <w:tr w:rsidR="00E57EB0" w:rsidRPr="00EC7D90" w14:paraId="6D9272E2" w14:textId="77777777" w:rsidTr="00E57EB0">
        <w:trPr>
          <w:trHeight w:val="1723"/>
        </w:trPr>
        <w:tc>
          <w:tcPr>
            <w:tcW w:w="1256" w:type="dxa"/>
          </w:tcPr>
          <w:p w14:paraId="4A57D32A" w14:textId="77777777" w:rsidR="00E57EB0" w:rsidRPr="00104B60" w:rsidRDefault="00E57EB0" w:rsidP="006F7B96">
            <w:pPr>
              <w:spacing w:line="240" w:lineRule="atLeast"/>
              <w:rPr>
                <w:rFonts w:eastAsiaTheme="minorHAnsi"/>
              </w:rPr>
            </w:pPr>
            <w:r w:rsidRPr="00104B60">
              <w:rPr>
                <w:rFonts w:eastAsiaTheme="minorHAnsi"/>
              </w:rPr>
              <w:t>15.4.2.3</w:t>
            </w:r>
          </w:p>
        </w:tc>
        <w:tc>
          <w:tcPr>
            <w:tcW w:w="6961" w:type="dxa"/>
          </w:tcPr>
          <w:p w14:paraId="264CC6B4" w14:textId="77777777" w:rsidR="00E57EB0" w:rsidRPr="00104B60" w:rsidRDefault="00E57EB0" w:rsidP="0004542A">
            <w:pPr>
              <w:jc w:val="both"/>
            </w:pPr>
            <w:r w:rsidRPr="00104B60">
              <w:t xml:space="preserve">Schools are only entitled to issue tax deductible receipts if they </w:t>
            </w:r>
          </w:p>
          <w:p w14:paraId="6A6FB610" w14:textId="77777777" w:rsidR="00E57EB0" w:rsidRPr="00104B60" w:rsidRDefault="00E57EB0" w:rsidP="00A620B8">
            <w:pPr>
              <w:pStyle w:val="ListBullet"/>
            </w:pPr>
            <w:r w:rsidRPr="00104B60">
              <w:t>maintain a School Building Fund endorsed by the ATO;</w:t>
            </w:r>
          </w:p>
          <w:p w14:paraId="5AA87960" w14:textId="77777777" w:rsidR="00E57EB0" w:rsidRPr="00104B60" w:rsidRDefault="00E57EB0" w:rsidP="00A620B8">
            <w:pPr>
              <w:pStyle w:val="ListBullet"/>
            </w:pPr>
            <w:r w:rsidRPr="00104B60">
              <w:t xml:space="preserve">maintain a School Library </w:t>
            </w:r>
            <w:r w:rsidR="0035132F">
              <w:t xml:space="preserve">account </w:t>
            </w:r>
            <w:r w:rsidRPr="00104B60">
              <w:t>endorsed by the ATO; or</w:t>
            </w:r>
          </w:p>
          <w:p w14:paraId="0C45317E" w14:textId="77777777" w:rsidR="00E57EB0" w:rsidRPr="00104B60" w:rsidRDefault="00E57EB0" w:rsidP="00A620B8">
            <w:pPr>
              <w:pStyle w:val="ListBullet"/>
            </w:pPr>
            <w:r w:rsidRPr="00104B60">
              <w:t>are a Government Special School endorsed by the ATO.</w:t>
            </w:r>
          </w:p>
        </w:tc>
        <w:tc>
          <w:tcPr>
            <w:tcW w:w="837" w:type="dxa"/>
          </w:tcPr>
          <w:p w14:paraId="55886B8A" w14:textId="77777777" w:rsidR="00E57EB0" w:rsidRPr="00104B60" w:rsidRDefault="00E57EB0" w:rsidP="0004542A">
            <w:pPr>
              <w:jc w:val="both"/>
            </w:pPr>
          </w:p>
        </w:tc>
      </w:tr>
      <w:tr w:rsidR="00E57EB0" w:rsidRPr="00EC7D90" w14:paraId="3C14BC8B" w14:textId="77777777" w:rsidTr="00E57EB0">
        <w:trPr>
          <w:trHeight w:hRule="exact" w:val="1021"/>
        </w:trPr>
        <w:tc>
          <w:tcPr>
            <w:tcW w:w="1256" w:type="dxa"/>
          </w:tcPr>
          <w:p w14:paraId="264E3B91" w14:textId="77777777" w:rsidR="00E57EB0" w:rsidRPr="00104B60" w:rsidRDefault="00E57EB0" w:rsidP="006F7B96">
            <w:pPr>
              <w:spacing w:line="240" w:lineRule="atLeast"/>
              <w:rPr>
                <w:rFonts w:eastAsiaTheme="minorHAnsi"/>
              </w:rPr>
            </w:pPr>
            <w:r w:rsidRPr="00104B60">
              <w:rPr>
                <w:rFonts w:eastAsiaTheme="minorHAnsi"/>
              </w:rPr>
              <w:t>15.4.2.4</w:t>
            </w:r>
          </w:p>
        </w:tc>
        <w:tc>
          <w:tcPr>
            <w:tcW w:w="6961" w:type="dxa"/>
          </w:tcPr>
          <w:p w14:paraId="22500012" w14:textId="77777777" w:rsidR="00E57EB0" w:rsidRPr="00104B60" w:rsidRDefault="00E57EB0" w:rsidP="00A01FBF">
            <w:pPr>
              <w:jc w:val="both"/>
            </w:pPr>
            <w:r w:rsidRPr="00104B60">
              <w:t>If a school does not meet one of these conditions as listed in 15.</w:t>
            </w:r>
            <w:r>
              <w:t>4</w:t>
            </w:r>
            <w:r w:rsidRPr="00104B60">
              <w:t>.2</w:t>
            </w:r>
            <w:r>
              <w:t>.2</w:t>
            </w:r>
            <w:r w:rsidRPr="00104B60">
              <w:t xml:space="preserve"> then the school cannot accept tax-deductible donations – donors to the school and will not be entitled to a tax deduction for their donation.</w:t>
            </w:r>
          </w:p>
        </w:tc>
        <w:tc>
          <w:tcPr>
            <w:tcW w:w="837" w:type="dxa"/>
          </w:tcPr>
          <w:p w14:paraId="721F7692" w14:textId="77777777" w:rsidR="00E57EB0" w:rsidRPr="00104B60" w:rsidRDefault="00E57EB0" w:rsidP="00A01FBF">
            <w:pPr>
              <w:jc w:val="both"/>
            </w:pPr>
          </w:p>
        </w:tc>
      </w:tr>
    </w:tbl>
    <w:p w14:paraId="029203EE" w14:textId="77777777" w:rsidR="00EB4F5B" w:rsidRPr="00DE4DB9" w:rsidRDefault="00EB4F5B" w:rsidP="006F7B96">
      <w:pPr>
        <w:pStyle w:val="Heading3"/>
      </w:pPr>
      <w:r w:rsidRPr="00DE4DB9">
        <w:t>15.</w:t>
      </w:r>
      <w:r w:rsidR="00DB0ABC" w:rsidRPr="00DE4DB9">
        <w:t>4</w:t>
      </w:r>
      <w:r w:rsidRPr="00DE4DB9">
        <w:t>.</w:t>
      </w:r>
      <w:r w:rsidR="0025449A" w:rsidRPr="00DE4DB9">
        <w:t>3</w:t>
      </w:r>
      <w:r w:rsidR="0078128B">
        <w:tab/>
      </w:r>
      <w:r w:rsidRPr="00DE4DB9">
        <w:t>Prohibited policy (</w:t>
      </w:r>
      <w:r w:rsidR="00826440">
        <w:t xml:space="preserve">Must </w:t>
      </w:r>
      <w:r w:rsidRPr="00DE4DB9">
        <w:t>not</w:t>
      </w:r>
      <w:r w:rsidR="00A01FBF">
        <w:t xml:space="preserve"> do</w:t>
      </w:r>
      <w:r w:rsidRPr="00DE4DB9">
        <w:t>)</w:t>
      </w:r>
      <w:r w:rsidR="0078128B">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845"/>
      </w:tblGrid>
      <w:tr w:rsidR="00E57EB0" w:rsidRPr="0091756B" w14:paraId="4ED87070" w14:textId="77777777" w:rsidTr="00E57EB0">
        <w:trPr>
          <w:trHeight w:hRule="exact" w:val="73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AD765C" w14:textId="77777777" w:rsidR="00E57EB0" w:rsidRPr="00C509BF" w:rsidRDefault="00E57EB0" w:rsidP="0037676B">
            <w:pPr>
              <w:rPr>
                <w:rFonts w:eastAsiaTheme="minorHAnsi"/>
                <w:b/>
                <w:sz w:val="20"/>
                <w:szCs w:val="20"/>
              </w:rPr>
            </w:pPr>
            <w:r w:rsidRPr="00C509BF">
              <w:rPr>
                <w:rFonts w:eastAsiaTheme="minorHAnsi"/>
                <w:b/>
                <w:sz w:val="18"/>
              </w:rPr>
              <w:t xml:space="preserve">Sequence </w:t>
            </w:r>
            <w:r w:rsidRPr="00E57EB0">
              <w:rPr>
                <w:rFonts w:eastAsiaTheme="minorHAnsi"/>
                <w:b/>
                <w:sz w:val="18"/>
              </w:rPr>
              <w:t>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A28A68" w14:textId="77777777" w:rsidR="00E57EB0" w:rsidRPr="00C509BF" w:rsidRDefault="00E57EB0" w:rsidP="00C509BF">
            <w:pPr>
              <w:jc w:val="both"/>
              <w:rPr>
                <w:b/>
                <w:sz w:val="20"/>
                <w:szCs w:val="20"/>
              </w:rPr>
            </w:pPr>
            <w:r w:rsidRPr="00C509BF">
              <w:rPr>
                <w:b/>
                <w:sz w:val="20"/>
                <w:szCs w:val="20"/>
              </w:rPr>
              <w:t>Information</w:t>
            </w:r>
          </w:p>
        </w:tc>
        <w:tc>
          <w:tcPr>
            <w:tcW w:w="845" w:type="dxa"/>
            <w:tcBorders>
              <w:top w:val="nil"/>
              <w:left w:val="single" w:sz="4" w:space="0" w:color="auto"/>
              <w:bottom w:val="single" w:sz="4" w:space="0" w:color="auto"/>
              <w:right w:val="nil"/>
            </w:tcBorders>
          </w:tcPr>
          <w:p w14:paraId="71A4803C" w14:textId="77777777" w:rsidR="00E57EB0" w:rsidRPr="00C509BF" w:rsidRDefault="00E57EB0" w:rsidP="00C509BF">
            <w:pPr>
              <w:jc w:val="both"/>
              <w:rPr>
                <w:b/>
                <w:sz w:val="20"/>
                <w:szCs w:val="20"/>
              </w:rPr>
            </w:pPr>
          </w:p>
        </w:tc>
      </w:tr>
      <w:tr w:rsidR="00E57EB0" w:rsidRPr="00EC7D90" w14:paraId="30A58751" w14:textId="77777777" w:rsidTr="00E57EB0">
        <w:trPr>
          <w:trHeight w:hRule="exact" w:val="737"/>
        </w:trPr>
        <w:tc>
          <w:tcPr>
            <w:tcW w:w="1134" w:type="dxa"/>
          </w:tcPr>
          <w:p w14:paraId="605E4F3A" w14:textId="77777777" w:rsidR="00E57EB0" w:rsidRPr="00EC7D90" w:rsidRDefault="00E57EB0" w:rsidP="0078128B">
            <w:pPr>
              <w:rPr>
                <w:rFonts w:eastAsiaTheme="minorHAnsi"/>
              </w:rPr>
            </w:pPr>
            <w:r>
              <w:rPr>
                <w:rFonts w:eastAsiaTheme="minorHAnsi"/>
              </w:rPr>
              <w:t>15.4.3.1</w:t>
            </w:r>
          </w:p>
        </w:tc>
        <w:tc>
          <w:tcPr>
            <w:tcW w:w="7088" w:type="dxa"/>
          </w:tcPr>
          <w:p w14:paraId="1D125C68" w14:textId="77777777" w:rsidR="00E57EB0" w:rsidRPr="006D6ECF" w:rsidRDefault="00E57EB0" w:rsidP="0035132F">
            <w:pPr>
              <w:jc w:val="both"/>
              <w:rPr>
                <w:rFonts w:eastAsiaTheme="minorHAnsi"/>
              </w:rPr>
            </w:pPr>
            <w:r w:rsidRPr="00EB4F5B">
              <w:t>Receive tax-deductible donations, if the School does not operate a School Building Fund, School Library or Special School</w:t>
            </w:r>
            <w:r>
              <w:t>.</w:t>
            </w:r>
          </w:p>
        </w:tc>
        <w:tc>
          <w:tcPr>
            <w:tcW w:w="845" w:type="dxa"/>
          </w:tcPr>
          <w:p w14:paraId="646FD0AE" w14:textId="77777777" w:rsidR="00E57EB0" w:rsidRPr="00EB4F5B" w:rsidRDefault="00E57EB0" w:rsidP="0004542A">
            <w:pPr>
              <w:jc w:val="both"/>
            </w:pPr>
          </w:p>
        </w:tc>
      </w:tr>
    </w:tbl>
    <w:p w14:paraId="5944FBAD" w14:textId="77777777" w:rsidR="00867E79" w:rsidRPr="006F7B96" w:rsidRDefault="0078128B" w:rsidP="008A1405">
      <w:pPr>
        <w:pStyle w:val="Heading2"/>
      </w:pPr>
      <w:r>
        <w:t>15.5</w:t>
      </w:r>
      <w:r>
        <w:tab/>
        <w:t>F</w:t>
      </w:r>
      <w:r w:rsidR="00867E79" w:rsidRPr="006F7B96">
        <w:t xml:space="preserve">uel </w:t>
      </w:r>
      <w:r>
        <w:t>Tax C</w:t>
      </w:r>
      <w:r w:rsidR="00867E79" w:rsidRPr="006F7B96">
        <w:t xml:space="preserve">redits (FTC) </w:t>
      </w:r>
    </w:p>
    <w:p w14:paraId="4678001A" w14:textId="77777777" w:rsidR="00867E79" w:rsidRPr="006F7B96" w:rsidRDefault="0078128B" w:rsidP="008A1405">
      <w:pPr>
        <w:pStyle w:val="Heading3"/>
      </w:pPr>
      <w:r>
        <w:t>15.5.1</w:t>
      </w:r>
      <w:r>
        <w:tab/>
      </w:r>
      <w:r w:rsidR="00867E79" w:rsidRPr="006F7B96">
        <w:t>Overview</w:t>
      </w:r>
    </w:p>
    <w:p w14:paraId="04A8C0A3" w14:textId="77777777" w:rsidR="00867E79" w:rsidRPr="00874D35" w:rsidRDefault="00867E79" w:rsidP="006F0593">
      <w:r w:rsidRPr="00874D35">
        <w:t>Schools are entitled to claim Fuel Tax Credits from the ATO if they use fuel for eligible purposes</w:t>
      </w:r>
      <w:r w:rsidR="00D75869">
        <w:t xml:space="preserve">. </w:t>
      </w:r>
      <w:r w:rsidRPr="00874D35">
        <w:t xml:space="preserve">Amongst other things, an eligible purpose is fuel used in </w:t>
      </w:r>
      <w:r w:rsidR="0004542A" w:rsidRPr="00874D35">
        <w:t>vehicles, which</w:t>
      </w:r>
      <w:r w:rsidRPr="00874D35">
        <w:t xml:space="preserve"> have a Gross Vehicle Mass </w:t>
      </w:r>
      <w:r w:rsidR="00D263A2">
        <w:t xml:space="preserve">(GMV) </w:t>
      </w:r>
      <w:r w:rsidRPr="00874D35">
        <w:t>of greater than 4.5 tonnes</w:t>
      </w:r>
      <w:r w:rsidR="00D75869">
        <w:t xml:space="preserve">. </w:t>
      </w:r>
      <w:r w:rsidRPr="00874D35">
        <w:t>Eligible fuel is diesel or unleaded, as well as aviation fuel and certain biodiesel blends.</w:t>
      </w:r>
    </w:p>
    <w:p w14:paraId="58F2E2DD" w14:textId="77777777" w:rsidR="00867E79" w:rsidRDefault="00867E79" w:rsidP="006F0593">
      <w:r w:rsidRPr="00874D35">
        <w:t>Generally</w:t>
      </w:r>
      <w:r w:rsidR="00D263A2">
        <w:t>,</w:t>
      </w:r>
      <w:r w:rsidRPr="00874D35">
        <w:t xml:space="preserve"> a school </w:t>
      </w:r>
      <w:r w:rsidR="0004542A" w:rsidRPr="00874D35">
        <w:t>bus, which is more than 22 seats,</w:t>
      </w:r>
      <w:r w:rsidRPr="00874D35">
        <w:t xml:space="preserve"> will have a GVM of greater than 4.5 tonnes</w:t>
      </w:r>
      <w:r w:rsidR="00D75869">
        <w:t xml:space="preserve">. </w:t>
      </w:r>
      <w:r w:rsidRPr="00874D35">
        <w:t>Note</w:t>
      </w:r>
      <w:r w:rsidR="00D75869">
        <w:t>:</w:t>
      </w:r>
      <w:r w:rsidRPr="00874D35">
        <w:t xml:space="preserve"> </w:t>
      </w:r>
      <w:r w:rsidR="0004542A" w:rsidRPr="00874D35">
        <w:t xml:space="preserve">Vic </w:t>
      </w:r>
      <w:r w:rsidR="0004542A">
        <w:t>Roa</w:t>
      </w:r>
      <w:r w:rsidR="0004542A" w:rsidRPr="00874D35">
        <w:t>ds</w:t>
      </w:r>
      <w:r w:rsidRPr="00874D35">
        <w:t xml:space="preserve"> registration details will state the GVM of the registered vehicle, so a </w:t>
      </w:r>
      <w:r w:rsidR="0004542A" w:rsidRPr="00874D35">
        <w:t>school, which is unsure if the bus is eligible,</w:t>
      </w:r>
      <w:r w:rsidRPr="00874D35">
        <w:t xml:space="preserve"> </w:t>
      </w:r>
      <w:r w:rsidR="00A01FBF">
        <w:t>must</w:t>
      </w:r>
      <w:r w:rsidRPr="00874D35">
        <w:t xml:space="preserve"> check the registration details or vehicle technical specifications.</w:t>
      </w:r>
    </w:p>
    <w:p w14:paraId="78F61438" w14:textId="77777777" w:rsidR="00867E79" w:rsidRPr="00317AB9" w:rsidRDefault="00867E79" w:rsidP="00317AB9">
      <w:pPr>
        <w:pStyle w:val="Heading3"/>
      </w:pPr>
      <w:r w:rsidRPr="00317AB9">
        <w:t>15.5.2</w:t>
      </w:r>
      <w:r w:rsidR="0078128B" w:rsidRPr="00317AB9">
        <w:tab/>
      </w:r>
      <w:r w:rsidRPr="00317AB9">
        <w:t>Mandatory policy (</w:t>
      </w:r>
      <w:r w:rsidR="00826440">
        <w:t>Must do</w:t>
      </w:r>
      <w:r w:rsidRPr="00317AB9">
        <w:t>)</w:t>
      </w:r>
      <w:r w:rsidR="0078128B"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904"/>
        <w:gridCol w:w="837"/>
      </w:tblGrid>
      <w:tr w:rsidR="00C63530" w:rsidRPr="0091756B" w14:paraId="4CA85CF0" w14:textId="77777777" w:rsidTr="00C63530">
        <w:trPr>
          <w:trHeight w:val="724"/>
        </w:trPr>
        <w:tc>
          <w:tcPr>
            <w:tcW w:w="12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2A3AE" w14:textId="77777777" w:rsidR="00C63530" w:rsidRPr="00CE75AD" w:rsidRDefault="00C63530" w:rsidP="0037676B">
            <w:pPr>
              <w:rPr>
                <w:rFonts w:eastAsiaTheme="minorHAnsi"/>
                <w:b/>
                <w:sz w:val="20"/>
                <w:szCs w:val="20"/>
              </w:rPr>
            </w:pPr>
            <w:r w:rsidRPr="00CE75AD">
              <w:rPr>
                <w:rFonts w:eastAsiaTheme="minorHAnsi"/>
                <w:b/>
                <w:sz w:val="20"/>
                <w:szCs w:val="20"/>
              </w:rPr>
              <w:t>Sequence Numbers</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14:paraId="2FFDFD17" w14:textId="77777777" w:rsidR="00C63530" w:rsidRPr="00CE75AD" w:rsidRDefault="00C63530" w:rsidP="00C509BF">
            <w:pPr>
              <w:jc w:val="both"/>
              <w:rPr>
                <w:b/>
                <w:sz w:val="20"/>
                <w:szCs w:val="20"/>
              </w:rPr>
            </w:pPr>
            <w:r w:rsidRPr="00CE75AD">
              <w:rPr>
                <w:b/>
                <w:sz w:val="20"/>
                <w:szCs w:val="20"/>
              </w:rPr>
              <w:t>Information</w:t>
            </w:r>
          </w:p>
        </w:tc>
        <w:tc>
          <w:tcPr>
            <w:tcW w:w="837" w:type="dxa"/>
            <w:tcBorders>
              <w:top w:val="nil"/>
              <w:left w:val="single" w:sz="4" w:space="0" w:color="000000"/>
              <w:bottom w:val="single" w:sz="4" w:space="0" w:color="000000"/>
              <w:right w:val="nil"/>
            </w:tcBorders>
          </w:tcPr>
          <w:p w14:paraId="3DE31BA5" w14:textId="77777777" w:rsidR="00C63530" w:rsidRPr="00C509BF" w:rsidRDefault="00C63530" w:rsidP="00C509BF">
            <w:pPr>
              <w:jc w:val="both"/>
              <w:rPr>
                <w:b/>
              </w:rPr>
            </w:pPr>
          </w:p>
        </w:tc>
      </w:tr>
      <w:tr w:rsidR="00C63530" w:rsidRPr="00D94A93" w14:paraId="2E19070D" w14:textId="77777777" w:rsidTr="00C63530">
        <w:trPr>
          <w:trHeight w:val="2566"/>
        </w:trPr>
        <w:tc>
          <w:tcPr>
            <w:tcW w:w="1256" w:type="dxa"/>
          </w:tcPr>
          <w:p w14:paraId="72022E6A" w14:textId="77777777" w:rsidR="00C63530" w:rsidRPr="00D94A93" w:rsidRDefault="00C63530" w:rsidP="0078128B">
            <w:pPr>
              <w:rPr>
                <w:rFonts w:eastAsiaTheme="minorHAnsi"/>
              </w:rPr>
            </w:pPr>
            <w:r w:rsidRPr="00D94A93">
              <w:rPr>
                <w:rFonts w:eastAsiaTheme="minorHAnsi"/>
              </w:rPr>
              <w:lastRenderedPageBreak/>
              <w:t>15.5.2.1</w:t>
            </w:r>
          </w:p>
        </w:tc>
        <w:tc>
          <w:tcPr>
            <w:tcW w:w="6904" w:type="dxa"/>
          </w:tcPr>
          <w:p w14:paraId="58BB806F" w14:textId="77777777" w:rsidR="00C63530" w:rsidRPr="00D94A93" w:rsidRDefault="00C63530" w:rsidP="0004542A">
            <w:pPr>
              <w:jc w:val="both"/>
            </w:pPr>
            <w:r w:rsidRPr="00D94A93">
              <w:t>A school will be entitled to claim Fuel Tax Credits for all fuel used on the Bus if the:</w:t>
            </w:r>
          </w:p>
          <w:p w14:paraId="2C3AF9C4" w14:textId="77777777" w:rsidR="00C63530" w:rsidRPr="00D94A93" w:rsidRDefault="00C63530" w:rsidP="00A620B8">
            <w:pPr>
              <w:pStyle w:val="ListBullet"/>
            </w:pPr>
            <w:r w:rsidRPr="00D94A93">
              <w:t>school owns/leases a bus which is greater than 4.5 tonne GVM;</w:t>
            </w:r>
          </w:p>
          <w:p w14:paraId="6D8CAD11" w14:textId="77777777" w:rsidR="00C63530" w:rsidRPr="00D94A93" w:rsidRDefault="00C63530" w:rsidP="00A620B8">
            <w:pPr>
              <w:pStyle w:val="ListBullet"/>
            </w:pPr>
            <w:r w:rsidRPr="00D94A93">
              <w:t>pays for fuel for use in an eligible vehicle (vehicle that travels on public roads that has a GVM greater than 4.5 tonnes;</w:t>
            </w:r>
          </w:p>
          <w:p w14:paraId="48D84F59" w14:textId="4B9C9776" w:rsidR="00C63530" w:rsidRPr="00D94A93" w:rsidRDefault="00C63530" w:rsidP="00A620B8">
            <w:pPr>
              <w:pStyle w:val="ListBullet"/>
            </w:pPr>
            <w:r w:rsidRPr="00D94A93">
              <w:t xml:space="preserve">pays for fuel for use in eligible machinery (mowers, tractors, </w:t>
            </w:r>
            <w:r w:rsidR="00775A8D" w:rsidRPr="00D94A93">
              <w:t>brush cutters</w:t>
            </w:r>
            <w:r w:rsidRPr="00D94A93">
              <w:t xml:space="preserve"> etc.).</w:t>
            </w:r>
          </w:p>
        </w:tc>
        <w:tc>
          <w:tcPr>
            <w:tcW w:w="837" w:type="dxa"/>
          </w:tcPr>
          <w:p w14:paraId="2D68F202" w14:textId="77777777" w:rsidR="00C63530" w:rsidRPr="00D94A93" w:rsidRDefault="00C63530" w:rsidP="0004542A">
            <w:pPr>
              <w:jc w:val="both"/>
            </w:pPr>
          </w:p>
        </w:tc>
      </w:tr>
      <w:tr w:rsidR="00C63530" w:rsidRPr="00D94A93" w14:paraId="014A5438" w14:textId="77777777" w:rsidTr="00C63530">
        <w:trPr>
          <w:trHeight w:hRule="exact" w:val="1021"/>
        </w:trPr>
        <w:tc>
          <w:tcPr>
            <w:tcW w:w="1256" w:type="dxa"/>
          </w:tcPr>
          <w:p w14:paraId="11304CC6" w14:textId="77777777" w:rsidR="00C63530" w:rsidRPr="00D94A93" w:rsidRDefault="00C63530" w:rsidP="0078128B">
            <w:pPr>
              <w:rPr>
                <w:rFonts w:eastAsiaTheme="minorHAnsi"/>
              </w:rPr>
            </w:pPr>
            <w:r w:rsidRPr="00D94A93">
              <w:rPr>
                <w:rFonts w:eastAsiaTheme="minorHAnsi"/>
              </w:rPr>
              <w:t>15.5.2.2</w:t>
            </w:r>
          </w:p>
        </w:tc>
        <w:tc>
          <w:tcPr>
            <w:tcW w:w="6904" w:type="dxa"/>
          </w:tcPr>
          <w:p w14:paraId="04FE139C" w14:textId="77777777" w:rsidR="00C63530" w:rsidRPr="00D94A93" w:rsidRDefault="00C63530" w:rsidP="0004542A">
            <w:pPr>
              <w:jc w:val="both"/>
            </w:pPr>
            <w:r w:rsidRPr="00D94A93">
              <w:t>A school wishing to claim Fuel Tax Credits need to register with the ATO. Once registered, the school can claim its FTC via the BAS. Schools registered for FTC will have a new box 7D on their BAS.</w:t>
            </w:r>
          </w:p>
        </w:tc>
        <w:tc>
          <w:tcPr>
            <w:tcW w:w="837" w:type="dxa"/>
          </w:tcPr>
          <w:p w14:paraId="22430CAF" w14:textId="77777777" w:rsidR="00C63530" w:rsidRPr="00D94A93" w:rsidRDefault="00C63530" w:rsidP="0004542A">
            <w:pPr>
              <w:jc w:val="both"/>
            </w:pPr>
          </w:p>
        </w:tc>
      </w:tr>
    </w:tbl>
    <w:p w14:paraId="1B8D9621" w14:textId="77777777" w:rsidR="00BE22B0" w:rsidRPr="00317AB9" w:rsidRDefault="00BE22B0" w:rsidP="00317AB9">
      <w:pPr>
        <w:pStyle w:val="Heading3"/>
      </w:pPr>
      <w:r w:rsidRPr="00317AB9">
        <w:t>1</w:t>
      </w:r>
      <w:r w:rsidR="00317AB9" w:rsidRPr="00317AB9">
        <w:t>5.</w:t>
      </w:r>
      <w:r w:rsidR="001F7531">
        <w:t>5</w:t>
      </w:r>
      <w:r w:rsidR="00317AB9" w:rsidRPr="00317AB9">
        <w:t>.</w:t>
      </w:r>
      <w:r w:rsidR="00317AB9">
        <w:t>3</w:t>
      </w:r>
      <w:r w:rsidR="00317AB9" w:rsidRPr="00317AB9">
        <w:tab/>
      </w:r>
      <w:r w:rsidRPr="00317AB9">
        <w:t>Prohibited policy (</w:t>
      </w:r>
      <w:r w:rsidR="00826440">
        <w:t>Must not</w:t>
      </w:r>
      <w:r w:rsidR="00A01FBF">
        <w:t xml:space="preserve"> do</w:t>
      </w:r>
      <w:r w:rsidRPr="00317AB9">
        <w:t>)</w:t>
      </w:r>
      <w:r w:rsidR="00317AB9"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26"/>
        <w:gridCol w:w="709"/>
      </w:tblGrid>
      <w:tr w:rsidR="00C63530" w:rsidRPr="0091756B" w14:paraId="535A9151" w14:textId="77777777" w:rsidTr="005B2DCC">
        <w:trPr>
          <w:trHeight w:hRule="exact" w:val="737"/>
        </w:trPr>
        <w:tc>
          <w:tcPr>
            <w:tcW w:w="1134" w:type="dxa"/>
            <w:tcBorders>
              <w:top w:val="single" w:sz="4" w:space="0" w:color="000000"/>
              <w:left w:val="single" w:sz="4" w:space="0" w:color="000000" w:themeColor="text1"/>
              <w:bottom w:val="single" w:sz="4" w:space="0" w:color="000000"/>
              <w:right w:val="single" w:sz="4" w:space="0" w:color="000000" w:themeColor="text1"/>
            </w:tcBorders>
            <w:shd w:val="clear" w:color="auto" w:fill="FFFFFF" w:themeFill="background1"/>
          </w:tcPr>
          <w:p w14:paraId="21C522CB" w14:textId="77777777" w:rsidR="00C63530" w:rsidRPr="00C509BF" w:rsidRDefault="00C63530" w:rsidP="0037676B">
            <w:pPr>
              <w:rPr>
                <w:rFonts w:eastAsiaTheme="minorHAnsi"/>
                <w:b/>
              </w:rPr>
            </w:pPr>
            <w:r w:rsidRPr="00C509BF">
              <w:rPr>
                <w:rFonts w:eastAsiaTheme="minorHAnsi"/>
                <w:b/>
                <w:sz w:val="18"/>
              </w:rPr>
              <w:t>Sequence Numbers</w:t>
            </w:r>
          </w:p>
        </w:tc>
        <w:tc>
          <w:tcPr>
            <w:tcW w:w="70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D48A92" w14:textId="77777777" w:rsidR="00C63530" w:rsidRPr="00CE75AD" w:rsidRDefault="00C63530" w:rsidP="00C509BF">
            <w:pPr>
              <w:jc w:val="both"/>
              <w:rPr>
                <w:b/>
                <w:sz w:val="20"/>
                <w:szCs w:val="20"/>
              </w:rPr>
            </w:pPr>
            <w:r w:rsidRPr="00CE75AD">
              <w:rPr>
                <w:b/>
                <w:sz w:val="20"/>
                <w:szCs w:val="20"/>
              </w:rPr>
              <w:t>Information</w:t>
            </w:r>
          </w:p>
        </w:tc>
        <w:tc>
          <w:tcPr>
            <w:tcW w:w="709" w:type="dxa"/>
            <w:tcBorders>
              <w:top w:val="nil"/>
              <w:left w:val="single" w:sz="4" w:space="0" w:color="000000" w:themeColor="text1"/>
              <w:bottom w:val="single" w:sz="4" w:space="0" w:color="000000" w:themeColor="text1"/>
              <w:right w:val="nil"/>
            </w:tcBorders>
          </w:tcPr>
          <w:p w14:paraId="4ED4C370" w14:textId="77777777" w:rsidR="00C63530" w:rsidRPr="00C509BF" w:rsidRDefault="00C63530" w:rsidP="00C509BF">
            <w:pPr>
              <w:jc w:val="both"/>
              <w:rPr>
                <w:b/>
              </w:rPr>
            </w:pPr>
          </w:p>
        </w:tc>
      </w:tr>
      <w:tr w:rsidR="00C63530" w:rsidRPr="00EC7D90" w14:paraId="2A981AAC" w14:textId="77777777" w:rsidTr="005B2DCC">
        <w:trPr>
          <w:trHeight w:hRule="exact" w:val="737"/>
        </w:trPr>
        <w:tc>
          <w:tcPr>
            <w:tcW w:w="1134" w:type="dxa"/>
            <w:tcBorders>
              <w:left w:val="single" w:sz="4" w:space="0" w:color="000000" w:themeColor="text1"/>
              <w:right w:val="single" w:sz="4" w:space="0" w:color="000000" w:themeColor="text1"/>
            </w:tcBorders>
          </w:tcPr>
          <w:p w14:paraId="5485A8B1" w14:textId="77777777" w:rsidR="00C63530" w:rsidRPr="00EC7D90" w:rsidRDefault="00C63530" w:rsidP="001F7531">
            <w:pPr>
              <w:rPr>
                <w:rFonts w:eastAsiaTheme="minorHAnsi"/>
              </w:rPr>
            </w:pPr>
            <w:r>
              <w:rPr>
                <w:rFonts w:eastAsiaTheme="minorHAnsi"/>
              </w:rPr>
              <w:t>15.5.3.1</w:t>
            </w:r>
          </w:p>
        </w:tc>
        <w:tc>
          <w:tcPr>
            <w:tcW w:w="7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56718" w14:textId="77777777" w:rsidR="00C63530" w:rsidRPr="00874D35" w:rsidRDefault="00C63530" w:rsidP="0004542A">
            <w:pPr>
              <w:jc w:val="both"/>
            </w:pPr>
            <w:r>
              <w:t>A school will not be eligible for FTC for fuel use</w:t>
            </w:r>
            <w:r w:rsidRPr="00874D35">
              <w:t>d in a light vehicle travelling on a public road (i.e. passenger cars)</w:t>
            </w:r>
            <w: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0C090" w14:textId="77777777" w:rsidR="00C63530" w:rsidRDefault="00C63530" w:rsidP="0004542A">
            <w:pPr>
              <w:jc w:val="both"/>
            </w:pPr>
          </w:p>
        </w:tc>
      </w:tr>
    </w:tbl>
    <w:p w14:paraId="28440177" w14:textId="77777777" w:rsidR="00663F60" w:rsidRDefault="00663F60" w:rsidP="00317AB9">
      <w:pPr>
        <w:pStyle w:val="Heading3"/>
      </w:pPr>
    </w:p>
    <w:p w14:paraId="53F908EC" w14:textId="77777777" w:rsidR="00867E79" w:rsidRPr="006F7B96" w:rsidRDefault="00317AB9" w:rsidP="00317AB9">
      <w:pPr>
        <w:pStyle w:val="Heading3"/>
      </w:pPr>
      <w:r>
        <w:t>15.5.</w:t>
      </w:r>
      <w:r w:rsidR="001F7531">
        <w:t>4</w:t>
      </w:r>
      <w:r w:rsidR="005450B2">
        <w:t xml:space="preserve">  </w:t>
      </w:r>
      <w:r>
        <w:t xml:space="preserve"> Additional r</w:t>
      </w:r>
      <w:r w:rsidR="00867E79" w:rsidRPr="006F7B96">
        <w:t>esources</w:t>
      </w:r>
    </w:p>
    <w:p w14:paraId="13D825A5" w14:textId="77777777" w:rsidR="00A620B8" w:rsidRDefault="002B051D" w:rsidP="00A620B8">
      <w:pPr>
        <w:rPr>
          <w:rStyle w:val="Hyperlink"/>
        </w:rPr>
      </w:pPr>
      <w:hyperlink r:id="rId30" w:history="1">
        <w:r w:rsidR="00A620B8" w:rsidRPr="001D71C8">
          <w:rPr>
            <w:rStyle w:val="Hyperlink"/>
          </w:rPr>
          <w:t>Fuel Tax Fact Sheet</w:t>
        </w:r>
      </w:hyperlink>
      <w:r w:rsidR="00A620B8">
        <w:t xml:space="preserve"> </w:t>
      </w:r>
      <w:r w:rsidR="00A620B8">
        <w:br/>
      </w:r>
    </w:p>
    <w:p w14:paraId="6628F199" w14:textId="77777777" w:rsidR="00A01FBF" w:rsidRPr="006F7B96" w:rsidRDefault="00A01FBF" w:rsidP="00A01FBF">
      <w:pPr>
        <w:pStyle w:val="Heading2"/>
      </w:pPr>
      <w:r>
        <w:t>Legislati</w:t>
      </w:r>
      <w:r w:rsidR="00841FDD">
        <w:t>ve requirements</w:t>
      </w:r>
    </w:p>
    <w:p w14:paraId="4BC95F6F" w14:textId="77777777" w:rsidR="0051778F" w:rsidRPr="006F7B96" w:rsidRDefault="0051778F" w:rsidP="00DE4DB9">
      <w:pPr>
        <w:pStyle w:val="Heading3"/>
      </w:pPr>
      <w:r w:rsidRPr="006F7B96">
        <w:t>Legislation</w:t>
      </w:r>
    </w:p>
    <w:p w14:paraId="075F11E6" w14:textId="77777777" w:rsidR="00874D35" w:rsidRPr="00874D35" w:rsidRDefault="00874D35" w:rsidP="00874D35">
      <w:pPr>
        <w:rPr>
          <w:szCs w:val="22"/>
        </w:rPr>
      </w:pPr>
      <w:r w:rsidRPr="00874D35">
        <w:rPr>
          <w:szCs w:val="22"/>
        </w:rPr>
        <w:t>The advice in this section was based on requirements outlined in the following legislation:</w:t>
      </w:r>
    </w:p>
    <w:p w14:paraId="653E5F99" w14:textId="77777777" w:rsidR="00874D35" w:rsidRPr="00874D35" w:rsidRDefault="00874D35" w:rsidP="00676CCB">
      <w:pPr>
        <w:pStyle w:val="ListBullet"/>
        <w:numPr>
          <w:ilvl w:val="0"/>
          <w:numId w:val="1"/>
        </w:numPr>
        <w:rPr>
          <w:rFonts w:cs="Arial"/>
        </w:rPr>
      </w:pPr>
      <w:r w:rsidRPr="00874D35">
        <w:rPr>
          <w:rFonts w:cs="Arial"/>
        </w:rPr>
        <w:t>A New Tax System (Goods and Services Tax) Act 1999</w:t>
      </w:r>
    </w:p>
    <w:p w14:paraId="24E64F85" w14:textId="77777777" w:rsidR="00874D35" w:rsidRPr="00874D35" w:rsidRDefault="00874D35" w:rsidP="00676CCB">
      <w:pPr>
        <w:pStyle w:val="ListBullet"/>
        <w:numPr>
          <w:ilvl w:val="0"/>
          <w:numId w:val="1"/>
        </w:numPr>
        <w:rPr>
          <w:rFonts w:cs="Arial"/>
        </w:rPr>
      </w:pPr>
      <w:r w:rsidRPr="00874D35">
        <w:rPr>
          <w:rFonts w:cs="Arial"/>
        </w:rPr>
        <w:t>A New Tax System (Australian Business Number) Act 1999</w:t>
      </w:r>
    </w:p>
    <w:p w14:paraId="32855A1D" w14:textId="77777777" w:rsidR="00874D35" w:rsidRPr="006F0593" w:rsidRDefault="00874D35" w:rsidP="00676CCB">
      <w:pPr>
        <w:pStyle w:val="ListBullet"/>
        <w:numPr>
          <w:ilvl w:val="0"/>
          <w:numId w:val="1"/>
        </w:numPr>
        <w:rPr>
          <w:rFonts w:cs="Arial"/>
          <w:i/>
        </w:rPr>
      </w:pPr>
      <w:r w:rsidRPr="006F0593">
        <w:rPr>
          <w:rFonts w:cs="Arial"/>
          <w:i/>
        </w:rPr>
        <w:t xml:space="preserve">Fringe Benefits Tax Assessment Act 1986 </w:t>
      </w:r>
    </w:p>
    <w:p w14:paraId="40DED83C" w14:textId="77777777" w:rsidR="00874D35" w:rsidRDefault="00874D35" w:rsidP="00676CCB">
      <w:pPr>
        <w:pStyle w:val="ListBullet"/>
        <w:numPr>
          <w:ilvl w:val="0"/>
          <w:numId w:val="1"/>
        </w:numPr>
        <w:rPr>
          <w:rFonts w:cs="Arial"/>
          <w:i/>
        </w:rPr>
      </w:pPr>
      <w:r w:rsidRPr="006F0593">
        <w:rPr>
          <w:rFonts w:cs="Arial"/>
          <w:i/>
        </w:rPr>
        <w:t>Fuel Tax Act 2006</w:t>
      </w:r>
    </w:p>
    <w:p w14:paraId="401A5D7F" w14:textId="516B546C" w:rsidR="00A01FBF" w:rsidRDefault="00A01FBF" w:rsidP="00A01FBF">
      <w:pPr>
        <w:pStyle w:val="ListBullet"/>
        <w:numPr>
          <w:ilvl w:val="0"/>
          <w:numId w:val="1"/>
        </w:numPr>
        <w:rPr>
          <w:rFonts w:cs="Arial"/>
          <w:i/>
        </w:rPr>
      </w:pPr>
      <w:r w:rsidRPr="006F0593">
        <w:rPr>
          <w:rFonts w:cs="Arial"/>
          <w:i/>
        </w:rPr>
        <w:t>Income Tax Assessment Act 1936</w:t>
      </w:r>
    </w:p>
    <w:p w14:paraId="1D9282D0" w14:textId="18B1154B" w:rsidR="00775A8D" w:rsidRDefault="00775A8D">
      <w:pPr>
        <w:spacing w:before="0" w:line="240" w:lineRule="auto"/>
        <w:rPr>
          <w:rFonts w:eastAsiaTheme="minorHAnsi"/>
          <w:i/>
          <w:szCs w:val="22"/>
        </w:rPr>
      </w:pPr>
      <w:r>
        <w:rPr>
          <w:i/>
        </w:rPr>
        <w:br w:type="page"/>
      </w:r>
    </w:p>
    <w:p w14:paraId="4E81B9F6" w14:textId="77777777" w:rsidR="0051778F" w:rsidRPr="006F7B96" w:rsidRDefault="0051778F" w:rsidP="00DE4DB9">
      <w:pPr>
        <w:pStyle w:val="Heading2"/>
      </w:pPr>
      <w:r w:rsidRPr="006F7B96">
        <w:lastRenderedPageBreak/>
        <w:t>D</w:t>
      </w:r>
      <w:r w:rsidR="00534DA6" w:rsidRPr="006F7B96">
        <w:t>efinitions</w:t>
      </w:r>
      <w:r w:rsidRPr="006F7B96">
        <w:t xml:space="preserve"> </w:t>
      </w:r>
    </w:p>
    <w:tbl>
      <w:tblPr>
        <w:tblW w:w="9015" w:type="dxa"/>
        <w:tblInd w:w="57" w:type="dxa"/>
        <w:tblLayout w:type="fixed"/>
        <w:tblLook w:val="04A0" w:firstRow="1" w:lastRow="0" w:firstColumn="1" w:lastColumn="0" w:noHBand="0" w:noVBand="1"/>
      </w:tblPr>
      <w:tblGrid>
        <w:gridCol w:w="1973"/>
        <w:gridCol w:w="7042"/>
      </w:tblGrid>
      <w:tr w:rsidR="00874D35" w:rsidRPr="00D75869" w14:paraId="63F58B09" w14:textId="77777777" w:rsidTr="005450B2">
        <w:tc>
          <w:tcPr>
            <w:tcW w:w="1973" w:type="dxa"/>
          </w:tcPr>
          <w:p w14:paraId="61C7F0A0" w14:textId="77777777" w:rsidR="00874D35" w:rsidRPr="00E01659" w:rsidRDefault="00874D35" w:rsidP="00D75869">
            <w:pPr>
              <w:rPr>
                <w:b/>
              </w:rPr>
            </w:pPr>
            <w:r w:rsidRPr="00E01659">
              <w:rPr>
                <w:b/>
              </w:rPr>
              <w:t>ABN</w:t>
            </w:r>
          </w:p>
        </w:tc>
        <w:tc>
          <w:tcPr>
            <w:tcW w:w="7042" w:type="dxa"/>
          </w:tcPr>
          <w:p w14:paraId="4E67174C" w14:textId="77777777" w:rsidR="00874D35" w:rsidRPr="00D75869" w:rsidRDefault="00C91397" w:rsidP="009C0A9D">
            <w:r>
              <w:t xml:space="preserve"> An Australian Business Number (ABN) is a unique 11-digit number that identifies a business to the </w:t>
            </w:r>
            <w:r w:rsidR="009C0A9D">
              <w:t>G</w:t>
            </w:r>
            <w:r>
              <w:t>overnment and community. It is used for tax and various other business purposes. A school can only obtain an ABN through Department, as the ATO requires proof of identity for schools from Department.</w:t>
            </w:r>
          </w:p>
        </w:tc>
      </w:tr>
      <w:tr w:rsidR="00874D35" w:rsidRPr="00D75869" w14:paraId="657FF98D" w14:textId="77777777" w:rsidTr="005450B2">
        <w:trPr>
          <w:trHeight w:val="609"/>
        </w:trPr>
        <w:tc>
          <w:tcPr>
            <w:tcW w:w="1973" w:type="dxa"/>
            <w:shd w:val="clear" w:color="auto" w:fill="F2F2F2" w:themeFill="background1" w:themeFillShade="F2"/>
          </w:tcPr>
          <w:p w14:paraId="5DE3BC99" w14:textId="77777777" w:rsidR="00874D35" w:rsidRPr="00E01659" w:rsidRDefault="00874D35" w:rsidP="00D75869">
            <w:pPr>
              <w:rPr>
                <w:b/>
              </w:rPr>
            </w:pPr>
            <w:r w:rsidRPr="00E01659">
              <w:rPr>
                <w:b/>
              </w:rPr>
              <w:t>ABR</w:t>
            </w:r>
          </w:p>
        </w:tc>
        <w:tc>
          <w:tcPr>
            <w:tcW w:w="7042" w:type="dxa"/>
            <w:shd w:val="clear" w:color="auto" w:fill="F2F2F2" w:themeFill="background1" w:themeFillShade="F2"/>
          </w:tcPr>
          <w:p w14:paraId="04C71BBE" w14:textId="77777777" w:rsidR="00874D35" w:rsidRPr="00D75869" w:rsidRDefault="00874D35" w:rsidP="006F0593">
            <w:r w:rsidRPr="00D75869">
              <w:t>Australian Business Register – Register of all entities and their ABN details</w:t>
            </w:r>
            <w:r w:rsidR="00D75869">
              <w:t xml:space="preserve">. </w:t>
            </w:r>
            <w:r w:rsidRPr="00D75869">
              <w:t>Used for confirming ABN details of schools’ creditors, as well as confirming DGR endorsement of schools</w:t>
            </w:r>
            <w:r w:rsidR="001F7531">
              <w:t>.</w:t>
            </w:r>
          </w:p>
        </w:tc>
      </w:tr>
      <w:tr w:rsidR="00874D35" w:rsidRPr="00D75869" w14:paraId="42E8FFE7" w14:textId="77777777" w:rsidTr="005450B2">
        <w:tc>
          <w:tcPr>
            <w:tcW w:w="1973" w:type="dxa"/>
          </w:tcPr>
          <w:p w14:paraId="79957288" w14:textId="77777777" w:rsidR="00874D35" w:rsidRPr="00E01659" w:rsidRDefault="00874D35" w:rsidP="00D75869">
            <w:pPr>
              <w:rPr>
                <w:b/>
              </w:rPr>
            </w:pPr>
            <w:r w:rsidRPr="00E01659">
              <w:rPr>
                <w:b/>
              </w:rPr>
              <w:t xml:space="preserve">ATO </w:t>
            </w:r>
          </w:p>
        </w:tc>
        <w:tc>
          <w:tcPr>
            <w:tcW w:w="7042" w:type="dxa"/>
          </w:tcPr>
          <w:p w14:paraId="7557C337" w14:textId="77777777" w:rsidR="00874D35" w:rsidRPr="00D75869" w:rsidRDefault="00874D35" w:rsidP="006F0593">
            <w:r w:rsidRPr="00D75869">
              <w:t>Australian Tax Office – Commonwealth Government entity responsible for collection and administration of the tax system</w:t>
            </w:r>
            <w:r w:rsidR="001F7531">
              <w:t>.</w:t>
            </w:r>
          </w:p>
        </w:tc>
      </w:tr>
      <w:tr w:rsidR="005450B2" w:rsidRPr="00D75869" w14:paraId="2CA1CDF9" w14:textId="77777777" w:rsidTr="005450B2">
        <w:tc>
          <w:tcPr>
            <w:tcW w:w="1973" w:type="dxa"/>
            <w:shd w:val="clear" w:color="auto" w:fill="F2F2F2" w:themeFill="background1" w:themeFillShade="F2"/>
          </w:tcPr>
          <w:p w14:paraId="7FAE228C" w14:textId="77777777" w:rsidR="005450B2" w:rsidRPr="005450B2" w:rsidRDefault="005450B2" w:rsidP="005450B2">
            <w:pPr>
              <w:rPr>
                <w:b/>
              </w:rPr>
            </w:pPr>
            <w:r w:rsidRPr="005450B2">
              <w:rPr>
                <w:b/>
              </w:rPr>
              <w:t>ATO Account Details – Integrated Client Account</w:t>
            </w:r>
          </w:p>
        </w:tc>
        <w:tc>
          <w:tcPr>
            <w:tcW w:w="7042" w:type="dxa"/>
            <w:shd w:val="clear" w:color="auto" w:fill="F2F2F2" w:themeFill="background1" w:themeFillShade="F2"/>
          </w:tcPr>
          <w:p w14:paraId="567048B3" w14:textId="77777777" w:rsidR="005450B2" w:rsidRDefault="005450B2" w:rsidP="005450B2">
            <w:r w:rsidRPr="00D1627F">
              <w:t>Online record of the school’s transactions (debits and credits) with the ATO.</w:t>
            </w:r>
          </w:p>
        </w:tc>
      </w:tr>
      <w:tr w:rsidR="00874D35" w:rsidRPr="00D75869" w14:paraId="4F310148" w14:textId="77777777" w:rsidTr="005450B2">
        <w:tc>
          <w:tcPr>
            <w:tcW w:w="1973" w:type="dxa"/>
            <w:shd w:val="clear" w:color="auto" w:fill="auto"/>
          </w:tcPr>
          <w:p w14:paraId="5667A638" w14:textId="77777777" w:rsidR="00874D35" w:rsidRPr="00E01659" w:rsidRDefault="00874D35" w:rsidP="00D75869">
            <w:pPr>
              <w:rPr>
                <w:b/>
              </w:rPr>
            </w:pPr>
            <w:r w:rsidRPr="00E01659">
              <w:rPr>
                <w:b/>
              </w:rPr>
              <w:t xml:space="preserve">AUSkey </w:t>
            </w:r>
          </w:p>
        </w:tc>
        <w:tc>
          <w:tcPr>
            <w:tcW w:w="7042" w:type="dxa"/>
            <w:shd w:val="clear" w:color="auto" w:fill="auto"/>
          </w:tcPr>
          <w:p w14:paraId="6160873C" w14:textId="328669F1" w:rsidR="00874D35" w:rsidRPr="00D75869" w:rsidRDefault="00874D35" w:rsidP="006F0593">
            <w:r w:rsidRPr="00D75869">
              <w:t>AUSkey is the ATO’s electronic commerce system and is the only way a school can lodge its BAS online via the ATOs Business Portal</w:t>
            </w:r>
            <w:r w:rsidR="00D75869">
              <w:t xml:space="preserve">. </w:t>
            </w:r>
            <w:r w:rsidRPr="00D75869">
              <w:t>An AUSkey is specific to a school ABN and to an individual and to that individual’s computer</w:t>
            </w:r>
            <w:r w:rsidR="00D75869">
              <w:t xml:space="preserve">. </w:t>
            </w:r>
            <w:r w:rsidRPr="00D75869">
              <w:t xml:space="preserve">It is recommended that a school try to maintain 2 valid, </w:t>
            </w:r>
            <w:r w:rsidR="00775A8D" w:rsidRPr="00D75869">
              <w:t>up to date</w:t>
            </w:r>
            <w:r w:rsidRPr="00D75869">
              <w:t xml:space="preserve"> AUSkeys</w:t>
            </w:r>
            <w:r w:rsidR="001F7531">
              <w:t>.</w:t>
            </w:r>
          </w:p>
        </w:tc>
      </w:tr>
      <w:tr w:rsidR="00874D35" w:rsidRPr="00D75869" w14:paraId="487623B7" w14:textId="77777777" w:rsidTr="005450B2">
        <w:tc>
          <w:tcPr>
            <w:tcW w:w="1973" w:type="dxa"/>
            <w:shd w:val="clear" w:color="auto" w:fill="F2F2F2" w:themeFill="background1" w:themeFillShade="F2"/>
          </w:tcPr>
          <w:p w14:paraId="260B03FF" w14:textId="77777777" w:rsidR="00874D35" w:rsidRPr="00E01659" w:rsidRDefault="00874D35" w:rsidP="00D75869">
            <w:pPr>
              <w:rPr>
                <w:b/>
              </w:rPr>
            </w:pPr>
            <w:r w:rsidRPr="00E01659">
              <w:rPr>
                <w:b/>
              </w:rPr>
              <w:t>BAS</w:t>
            </w:r>
          </w:p>
        </w:tc>
        <w:tc>
          <w:tcPr>
            <w:tcW w:w="7042" w:type="dxa"/>
            <w:shd w:val="clear" w:color="auto" w:fill="F2F2F2" w:themeFill="background1" w:themeFillShade="F2"/>
          </w:tcPr>
          <w:p w14:paraId="0FA50324" w14:textId="77777777" w:rsidR="00874D35" w:rsidRPr="00D75869" w:rsidRDefault="00874D35" w:rsidP="006F0593">
            <w:r w:rsidRPr="00D75869">
              <w:t xml:space="preserve">Business Activity Statement – ATO tax form </w:t>
            </w:r>
            <w:r w:rsidR="0004542A" w:rsidRPr="00D75869">
              <w:t>that</w:t>
            </w:r>
            <w:r w:rsidRPr="00D75869">
              <w:t xml:space="preserve"> must be completed monthly by all Government schools and which includes GST, FTC</w:t>
            </w:r>
            <w:r w:rsidR="00D75869">
              <w:t xml:space="preserve">. </w:t>
            </w:r>
            <w:r w:rsidRPr="00D75869">
              <w:t>Note FBT is not i</w:t>
            </w:r>
            <w:r w:rsidR="00A01FBF">
              <w:t>ncluded on the BAS for schools (</w:t>
            </w:r>
            <w:r w:rsidRPr="00D75869">
              <w:t>see FBT Tracker) and PAYG is not included on the BAS for schools</w:t>
            </w:r>
            <w:r w:rsidR="001F7531">
              <w:t>.</w:t>
            </w:r>
          </w:p>
        </w:tc>
      </w:tr>
      <w:tr w:rsidR="00874D35" w:rsidRPr="00D75869" w14:paraId="66939969" w14:textId="77777777" w:rsidTr="005450B2">
        <w:tc>
          <w:tcPr>
            <w:tcW w:w="1973" w:type="dxa"/>
            <w:shd w:val="clear" w:color="auto" w:fill="auto"/>
          </w:tcPr>
          <w:p w14:paraId="774500B0" w14:textId="77777777" w:rsidR="00874D35" w:rsidRPr="00E01659" w:rsidRDefault="00874D35" w:rsidP="00D75869">
            <w:pPr>
              <w:rPr>
                <w:b/>
              </w:rPr>
            </w:pPr>
            <w:r w:rsidRPr="00E01659">
              <w:rPr>
                <w:b/>
              </w:rPr>
              <w:t>DGR</w:t>
            </w:r>
          </w:p>
        </w:tc>
        <w:tc>
          <w:tcPr>
            <w:tcW w:w="7042" w:type="dxa"/>
            <w:shd w:val="clear" w:color="auto" w:fill="auto"/>
          </w:tcPr>
          <w:p w14:paraId="2D385EA5" w14:textId="77777777" w:rsidR="00874D35" w:rsidRPr="00D75869" w:rsidRDefault="00874D35" w:rsidP="006F0593">
            <w:r w:rsidRPr="00D75869">
              <w:t xml:space="preserve">Deductible Gift Recipient – category of entity, endorsed by the ATO, which is entitled to receive </w:t>
            </w:r>
            <w:r w:rsidR="006F0593" w:rsidRPr="00D75869">
              <w:t>tax-deductible</w:t>
            </w:r>
            <w:r w:rsidRPr="00D75869">
              <w:t xml:space="preserve"> donations</w:t>
            </w:r>
            <w:r w:rsidR="001F7531">
              <w:t>.</w:t>
            </w:r>
          </w:p>
        </w:tc>
      </w:tr>
      <w:tr w:rsidR="00874D35" w:rsidRPr="00D75869" w14:paraId="2F44C4EA" w14:textId="77777777" w:rsidTr="005450B2">
        <w:tc>
          <w:tcPr>
            <w:tcW w:w="1973" w:type="dxa"/>
            <w:shd w:val="clear" w:color="auto" w:fill="F2F2F2" w:themeFill="background1" w:themeFillShade="F2"/>
          </w:tcPr>
          <w:p w14:paraId="47713732" w14:textId="77777777" w:rsidR="00874D35" w:rsidRPr="00E01659" w:rsidRDefault="00874D35" w:rsidP="00D75869">
            <w:pPr>
              <w:rPr>
                <w:b/>
              </w:rPr>
            </w:pPr>
            <w:r w:rsidRPr="00E01659">
              <w:rPr>
                <w:b/>
              </w:rPr>
              <w:t>FBT</w:t>
            </w:r>
          </w:p>
        </w:tc>
        <w:tc>
          <w:tcPr>
            <w:tcW w:w="7042" w:type="dxa"/>
            <w:shd w:val="clear" w:color="auto" w:fill="F2F2F2" w:themeFill="background1" w:themeFillShade="F2"/>
          </w:tcPr>
          <w:p w14:paraId="5D5F6223" w14:textId="77777777" w:rsidR="00874D35" w:rsidRPr="00D75869" w:rsidRDefault="00874D35" w:rsidP="009C0A9D">
            <w:r w:rsidRPr="00D75869">
              <w:t>Fringe Benefits Tax – Tax paid on the value of fringe benefits provided to employees, in relation to their employment</w:t>
            </w:r>
            <w:r w:rsidR="00D75869">
              <w:t xml:space="preserve">. </w:t>
            </w:r>
            <w:r w:rsidRPr="00D75869">
              <w:t xml:space="preserve">Victorian </w:t>
            </w:r>
            <w:r w:rsidR="009C0A9D">
              <w:t>G</w:t>
            </w:r>
            <w:r w:rsidRPr="00D75869">
              <w:t>overnment schools must comply with the FBT requirements for any fringe befits they provide to their staff</w:t>
            </w:r>
            <w:r w:rsidR="001F7531">
              <w:t>.</w:t>
            </w:r>
          </w:p>
        </w:tc>
      </w:tr>
      <w:tr w:rsidR="00874D35" w:rsidRPr="00D75869" w14:paraId="69166A33" w14:textId="77777777" w:rsidTr="005450B2">
        <w:tc>
          <w:tcPr>
            <w:tcW w:w="1973" w:type="dxa"/>
            <w:shd w:val="clear" w:color="auto" w:fill="auto"/>
          </w:tcPr>
          <w:p w14:paraId="7C430392" w14:textId="77777777" w:rsidR="00874D35" w:rsidRPr="00E01659" w:rsidRDefault="00874D35" w:rsidP="00D75869">
            <w:pPr>
              <w:rPr>
                <w:b/>
              </w:rPr>
            </w:pPr>
            <w:r w:rsidRPr="00E01659">
              <w:rPr>
                <w:b/>
              </w:rPr>
              <w:t>FTC</w:t>
            </w:r>
          </w:p>
        </w:tc>
        <w:tc>
          <w:tcPr>
            <w:tcW w:w="7042" w:type="dxa"/>
            <w:shd w:val="clear" w:color="auto" w:fill="auto"/>
          </w:tcPr>
          <w:p w14:paraId="31ECEB94" w14:textId="77777777" w:rsidR="00874D35" w:rsidRPr="00D75869" w:rsidRDefault="00874D35" w:rsidP="009C0A9D">
            <w:r w:rsidRPr="00D75869">
              <w:t>Fuel Tax Credits – Credits or refunds of the tax paid on fuels used for eligible purposes</w:t>
            </w:r>
            <w:r w:rsidR="00D75869">
              <w:t xml:space="preserve">. </w:t>
            </w:r>
            <w:r w:rsidRPr="00D75869">
              <w:t xml:space="preserve">Victorian </w:t>
            </w:r>
            <w:r w:rsidR="009C0A9D">
              <w:t>G</w:t>
            </w:r>
            <w:r w:rsidRPr="00D75869">
              <w:t>overnment schools are entitled to claim FTCs for eligible fuel used in buses, trucks they own</w:t>
            </w:r>
            <w:r w:rsidR="001F7531">
              <w:t>.</w:t>
            </w:r>
          </w:p>
        </w:tc>
      </w:tr>
      <w:tr w:rsidR="00874D35" w:rsidRPr="00D75869" w14:paraId="57D65E5C" w14:textId="77777777" w:rsidTr="005450B2">
        <w:tc>
          <w:tcPr>
            <w:tcW w:w="1973" w:type="dxa"/>
            <w:shd w:val="clear" w:color="auto" w:fill="F2F2F2" w:themeFill="background1" w:themeFillShade="F2"/>
          </w:tcPr>
          <w:p w14:paraId="1BF513C6" w14:textId="77777777" w:rsidR="00874D35" w:rsidRPr="00E01659" w:rsidRDefault="00874D35" w:rsidP="006F0593">
            <w:pPr>
              <w:rPr>
                <w:b/>
              </w:rPr>
            </w:pPr>
            <w:r w:rsidRPr="00E01659">
              <w:rPr>
                <w:b/>
              </w:rPr>
              <w:t>GST</w:t>
            </w:r>
          </w:p>
        </w:tc>
        <w:tc>
          <w:tcPr>
            <w:tcW w:w="7042" w:type="dxa"/>
            <w:shd w:val="clear" w:color="auto" w:fill="F2F2F2" w:themeFill="background1" w:themeFillShade="F2"/>
          </w:tcPr>
          <w:p w14:paraId="24046654" w14:textId="77777777" w:rsidR="00874D35" w:rsidRPr="00D75869" w:rsidRDefault="00874D35" w:rsidP="009C0A9D">
            <w:r w:rsidRPr="00D75869">
              <w:t>Goods and Services Tax – Value added tax which taxes final consumption of all goods and services consumed within Australia</w:t>
            </w:r>
            <w:r w:rsidR="00D75869">
              <w:t xml:space="preserve">. </w:t>
            </w:r>
            <w:r w:rsidRPr="00D75869">
              <w:t xml:space="preserve">Victorian </w:t>
            </w:r>
            <w:r w:rsidR="009C0A9D">
              <w:t>G</w:t>
            </w:r>
            <w:r w:rsidRPr="00D75869">
              <w:t>overnment schools are subject to GST and must ensure that they comply with the GST law on revenue and payments</w:t>
            </w:r>
            <w:r w:rsidR="001F7531">
              <w:t>.</w:t>
            </w:r>
          </w:p>
        </w:tc>
      </w:tr>
      <w:tr w:rsidR="00874D35" w:rsidRPr="00D75869" w14:paraId="08CC04CD" w14:textId="77777777" w:rsidTr="005450B2">
        <w:tc>
          <w:tcPr>
            <w:tcW w:w="1973" w:type="dxa"/>
            <w:shd w:val="clear" w:color="auto" w:fill="auto"/>
          </w:tcPr>
          <w:p w14:paraId="55EED1F4" w14:textId="77777777" w:rsidR="00874D35" w:rsidRPr="00E01659" w:rsidRDefault="00874D35" w:rsidP="006F0593">
            <w:pPr>
              <w:rPr>
                <w:b/>
              </w:rPr>
            </w:pPr>
            <w:r w:rsidRPr="00E01659">
              <w:rPr>
                <w:b/>
              </w:rPr>
              <w:t>GVM</w:t>
            </w:r>
          </w:p>
        </w:tc>
        <w:tc>
          <w:tcPr>
            <w:tcW w:w="7042" w:type="dxa"/>
            <w:shd w:val="clear" w:color="auto" w:fill="auto"/>
          </w:tcPr>
          <w:p w14:paraId="45F95203" w14:textId="77777777" w:rsidR="00DB0ABC" w:rsidRPr="00D75869" w:rsidRDefault="00874D35" w:rsidP="006F0593">
            <w:r w:rsidRPr="00D75869">
              <w:t xml:space="preserve">Gross Vehicle Mass – School vehicles with a GVM greater than 4.5 </w:t>
            </w:r>
            <w:r w:rsidR="00E378B3" w:rsidRPr="00D75869">
              <w:t>ton</w:t>
            </w:r>
            <w:r w:rsidR="00E378B3">
              <w:t>n</w:t>
            </w:r>
            <w:r w:rsidR="00E378B3" w:rsidRPr="00D75869">
              <w:t>es</w:t>
            </w:r>
            <w:r w:rsidRPr="00D75869">
              <w:t xml:space="preserve"> are eligible for Fuel Tax Credits</w:t>
            </w:r>
            <w:r w:rsidR="00D75869">
              <w:t xml:space="preserve">. </w:t>
            </w:r>
            <w:r w:rsidRPr="00D75869">
              <w:t>The GVM is listed in the vehicle registration certificate or vehicle technical specifications</w:t>
            </w:r>
            <w:r w:rsidR="00DB0ABC" w:rsidRPr="00D75869">
              <w:t>.</w:t>
            </w:r>
          </w:p>
        </w:tc>
      </w:tr>
      <w:tr w:rsidR="00775A8D" w:rsidRPr="00D75869" w14:paraId="73F68B80" w14:textId="77777777" w:rsidTr="00775A8D">
        <w:tc>
          <w:tcPr>
            <w:tcW w:w="1973" w:type="dxa"/>
            <w:shd w:val="clear" w:color="auto" w:fill="F2F2F2" w:themeFill="background1" w:themeFillShade="F2"/>
          </w:tcPr>
          <w:p w14:paraId="0AE111D3" w14:textId="3FB80645" w:rsidR="00775A8D" w:rsidRPr="00E01659" w:rsidRDefault="00775A8D" w:rsidP="006F0593">
            <w:pPr>
              <w:rPr>
                <w:b/>
              </w:rPr>
            </w:pPr>
            <w:r>
              <w:rPr>
                <w:b/>
              </w:rPr>
              <w:t>myGovID</w:t>
            </w:r>
          </w:p>
        </w:tc>
        <w:tc>
          <w:tcPr>
            <w:tcW w:w="7042" w:type="dxa"/>
            <w:shd w:val="clear" w:color="auto" w:fill="F2F2F2" w:themeFill="background1" w:themeFillShade="F2"/>
          </w:tcPr>
          <w:p w14:paraId="77758EDC" w14:textId="3F2898AA" w:rsidR="00775A8D" w:rsidRPr="00D75869" w:rsidRDefault="00775A8D" w:rsidP="006F0593">
            <w:r>
              <w:t xml:space="preserve">MyGovID </w:t>
            </w:r>
            <w:r w:rsidRPr="00D75869">
              <w:t xml:space="preserve">is the ATO’s </w:t>
            </w:r>
            <w:r>
              <w:t xml:space="preserve">new </w:t>
            </w:r>
            <w:r w:rsidRPr="00D75869">
              <w:t xml:space="preserve">electronic commerce system and is the only way a school can lodge its BAS online via the ATOs Business </w:t>
            </w:r>
            <w:r w:rsidRPr="00D75869">
              <w:lastRenderedPageBreak/>
              <w:t>Portal</w:t>
            </w:r>
            <w:r>
              <w:t xml:space="preserve">. </w:t>
            </w:r>
            <w:r w:rsidRPr="00D75869">
              <w:t xml:space="preserve">A </w:t>
            </w:r>
            <w:r>
              <w:t>myGovID</w:t>
            </w:r>
            <w:r w:rsidRPr="00D75869">
              <w:t xml:space="preserve"> is specific to a school ABN and to an individual</w:t>
            </w:r>
            <w:r>
              <w:t xml:space="preserve">. </w:t>
            </w:r>
            <w:r w:rsidRPr="00D75869">
              <w:t xml:space="preserve">It is recommended that a school try to maintain 2 valid, up to date </w:t>
            </w:r>
            <w:r>
              <w:t>myGovIDs.</w:t>
            </w:r>
          </w:p>
        </w:tc>
      </w:tr>
    </w:tbl>
    <w:p w14:paraId="15E0D96F" w14:textId="77777777" w:rsidR="00E57EB0" w:rsidRDefault="00E57EB0" w:rsidP="0037769E"/>
    <w:p w14:paraId="6E022A33" w14:textId="77777777" w:rsidR="0051778F" w:rsidRPr="006F7B96" w:rsidRDefault="00317AB9" w:rsidP="008A1405">
      <w:pPr>
        <w:pStyle w:val="Heading2"/>
      </w:pPr>
      <w:r>
        <w:t>Additional r</w:t>
      </w:r>
      <w:r w:rsidR="0051778F" w:rsidRPr="006F7B96">
        <w:t>esources</w:t>
      </w:r>
    </w:p>
    <w:p w14:paraId="6419CD2D" w14:textId="77777777" w:rsidR="001D71C8" w:rsidRPr="001D71C8" w:rsidRDefault="002B051D" w:rsidP="001D71C8">
      <w:pPr>
        <w:pStyle w:val="NoSpacing"/>
        <w:numPr>
          <w:ilvl w:val="0"/>
          <w:numId w:val="22"/>
        </w:numPr>
        <w:spacing w:line="276" w:lineRule="auto"/>
        <w:rPr>
          <w:rFonts w:eastAsiaTheme="minorEastAsia" w:cs="Arial"/>
          <w:color w:val="0000FF"/>
          <w:w w:val="110"/>
          <w:szCs w:val="18"/>
          <w:u w:val="single"/>
        </w:rPr>
      </w:pPr>
      <w:hyperlink r:id="rId31" w:history="1">
        <w:r w:rsidR="00B90BC3" w:rsidRPr="001D71C8">
          <w:rPr>
            <w:rStyle w:val="Hyperlink"/>
            <w:rFonts w:cs="Arial"/>
            <w:w w:val="110"/>
          </w:rPr>
          <w:t>Australian Taxation Office Business Portal</w:t>
        </w:r>
      </w:hyperlink>
    </w:p>
    <w:p w14:paraId="4CE131DB" w14:textId="2A33BCBF" w:rsidR="001D71C8" w:rsidRPr="001D71C8" w:rsidRDefault="002B051D" w:rsidP="00775A8D">
      <w:pPr>
        <w:pStyle w:val="NoSpacing"/>
        <w:numPr>
          <w:ilvl w:val="0"/>
          <w:numId w:val="22"/>
        </w:numPr>
        <w:spacing w:before="120" w:line="276" w:lineRule="auto"/>
        <w:rPr>
          <w:rFonts w:eastAsiaTheme="minorEastAsia" w:cs="Arial"/>
          <w:color w:val="0000FF"/>
          <w:w w:val="110"/>
          <w:szCs w:val="18"/>
          <w:u w:val="single"/>
        </w:rPr>
      </w:pPr>
      <w:hyperlink r:id="rId32" w:history="1">
        <w:r w:rsidR="00B75CFB" w:rsidRPr="001D71C8">
          <w:rPr>
            <w:rStyle w:val="Hyperlink"/>
          </w:rPr>
          <w:t>Chart of Accounts for Victorian Government Schools</w:t>
        </w:r>
      </w:hyperlink>
      <w:r w:rsidR="00B75CFB" w:rsidRPr="001D71C8">
        <w:t xml:space="preserve"> </w:t>
      </w:r>
    </w:p>
    <w:p w14:paraId="764277B8" w14:textId="77777777" w:rsidR="00B75CFB" w:rsidRPr="001D71C8" w:rsidRDefault="002B051D" w:rsidP="001D71C8">
      <w:pPr>
        <w:numPr>
          <w:ilvl w:val="0"/>
          <w:numId w:val="22"/>
        </w:numPr>
        <w:spacing w:line="276" w:lineRule="auto"/>
        <w:rPr>
          <w:rStyle w:val="Hyperlink"/>
          <w:w w:val="110"/>
        </w:rPr>
      </w:pPr>
      <w:hyperlink r:id="rId33" w:history="1">
        <w:r w:rsidR="00B75CFB" w:rsidRPr="001D71C8">
          <w:rPr>
            <w:rStyle w:val="Hyperlink"/>
            <w:rFonts w:eastAsiaTheme="minorHAnsi" w:cstheme="minorBidi"/>
            <w:szCs w:val="22"/>
          </w:rPr>
          <w:t>School Policy and Advisory Guide</w:t>
        </w:r>
      </w:hyperlink>
      <w:r w:rsidR="00B75CFB" w:rsidRPr="001D71C8">
        <w:rPr>
          <w:rFonts w:eastAsiaTheme="minorHAnsi" w:cstheme="minorBidi"/>
          <w:szCs w:val="22"/>
        </w:rPr>
        <w:br/>
      </w:r>
    </w:p>
    <w:p w14:paraId="275D2D17" w14:textId="2D2ABA22" w:rsidR="00DC0585" w:rsidRDefault="00DC0585" w:rsidP="005F12DB">
      <w:pPr>
        <w:rPr>
          <w:szCs w:val="22"/>
        </w:rPr>
      </w:pPr>
    </w:p>
    <w:p w14:paraId="5B33835D" w14:textId="62437EE5" w:rsidR="00775A8D" w:rsidRDefault="00775A8D" w:rsidP="005F12DB">
      <w:pPr>
        <w:rPr>
          <w:szCs w:val="22"/>
        </w:rPr>
      </w:pPr>
    </w:p>
    <w:p w14:paraId="5267F78C" w14:textId="7990A653" w:rsidR="00775A8D" w:rsidRDefault="00775A8D" w:rsidP="005F12DB">
      <w:pPr>
        <w:rPr>
          <w:szCs w:val="22"/>
        </w:rPr>
      </w:pPr>
    </w:p>
    <w:p w14:paraId="3D49B0A5" w14:textId="4F0A7265" w:rsidR="00775A8D" w:rsidRDefault="00775A8D" w:rsidP="005F12DB">
      <w:pPr>
        <w:rPr>
          <w:szCs w:val="22"/>
        </w:rPr>
      </w:pPr>
    </w:p>
    <w:p w14:paraId="5ED37F55" w14:textId="72C8B645" w:rsidR="00775A8D" w:rsidRDefault="00775A8D" w:rsidP="005F12DB">
      <w:pPr>
        <w:rPr>
          <w:szCs w:val="22"/>
        </w:rPr>
      </w:pPr>
    </w:p>
    <w:p w14:paraId="19055F78" w14:textId="7E2C2F5E" w:rsidR="00775A8D" w:rsidRDefault="00775A8D" w:rsidP="005F12DB">
      <w:pPr>
        <w:rPr>
          <w:szCs w:val="22"/>
        </w:rPr>
      </w:pPr>
    </w:p>
    <w:p w14:paraId="002232DF" w14:textId="3B064318" w:rsidR="00775A8D" w:rsidRDefault="00775A8D" w:rsidP="005F12DB">
      <w:pPr>
        <w:rPr>
          <w:szCs w:val="22"/>
        </w:rPr>
      </w:pPr>
    </w:p>
    <w:p w14:paraId="7A48BE64" w14:textId="53BD0647" w:rsidR="00775A8D" w:rsidRDefault="00775A8D" w:rsidP="005F12DB">
      <w:pPr>
        <w:rPr>
          <w:szCs w:val="22"/>
        </w:rPr>
      </w:pPr>
    </w:p>
    <w:p w14:paraId="15A6A6B1" w14:textId="3555800F" w:rsidR="00775A8D" w:rsidRDefault="00775A8D" w:rsidP="005F12DB">
      <w:pPr>
        <w:rPr>
          <w:szCs w:val="22"/>
        </w:rPr>
      </w:pPr>
    </w:p>
    <w:p w14:paraId="2C1E9C49" w14:textId="2D5E7862" w:rsidR="00775A8D" w:rsidRDefault="00775A8D" w:rsidP="005F12DB">
      <w:pPr>
        <w:rPr>
          <w:szCs w:val="22"/>
        </w:rPr>
      </w:pPr>
    </w:p>
    <w:p w14:paraId="1C3D159B" w14:textId="6E729227" w:rsidR="00775A8D" w:rsidRDefault="00775A8D" w:rsidP="005F12DB">
      <w:pPr>
        <w:rPr>
          <w:szCs w:val="22"/>
        </w:rPr>
      </w:pPr>
    </w:p>
    <w:p w14:paraId="3C5DE0DF" w14:textId="7888AAD8" w:rsidR="00775A8D" w:rsidRDefault="00775A8D" w:rsidP="005F12DB">
      <w:pPr>
        <w:rPr>
          <w:szCs w:val="22"/>
        </w:rPr>
      </w:pPr>
    </w:p>
    <w:p w14:paraId="2E0F0686" w14:textId="117A0572" w:rsidR="00775A8D" w:rsidRDefault="00775A8D" w:rsidP="005F12DB">
      <w:pPr>
        <w:rPr>
          <w:szCs w:val="22"/>
        </w:rPr>
      </w:pPr>
    </w:p>
    <w:p w14:paraId="112F93D3" w14:textId="6946BBF9" w:rsidR="00775A8D" w:rsidRDefault="00775A8D" w:rsidP="005F12DB">
      <w:pPr>
        <w:rPr>
          <w:szCs w:val="22"/>
        </w:rPr>
      </w:pPr>
    </w:p>
    <w:p w14:paraId="59A633BF" w14:textId="581BFCA1" w:rsidR="00775A8D" w:rsidRDefault="00775A8D" w:rsidP="005F12DB">
      <w:pPr>
        <w:rPr>
          <w:szCs w:val="22"/>
        </w:rPr>
      </w:pPr>
    </w:p>
    <w:p w14:paraId="44B788F3" w14:textId="500DB1A9" w:rsidR="00775A8D" w:rsidRDefault="00775A8D" w:rsidP="005F12DB">
      <w:pPr>
        <w:rPr>
          <w:szCs w:val="22"/>
        </w:rPr>
      </w:pPr>
    </w:p>
    <w:p w14:paraId="38658300" w14:textId="295F7257" w:rsidR="00775A8D" w:rsidRDefault="00775A8D" w:rsidP="005F12DB">
      <w:pPr>
        <w:rPr>
          <w:szCs w:val="22"/>
        </w:rPr>
      </w:pPr>
    </w:p>
    <w:p w14:paraId="0C5DABDC" w14:textId="77777777" w:rsidR="00775A8D" w:rsidRDefault="00775A8D" w:rsidP="005F12DB">
      <w:pPr>
        <w:rPr>
          <w:szCs w:val="22"/>
        </w:rPr>
      </w:pPr>
      <w:bookmarkStart w:id="3" w:name="_GoBack"/>
      <w:bookmarkEnd w:id="3"/>
    </w:p>
    <w:p w14:paraId="3C97A4AC" w14:textId="77777777" w:rsidR="009F0AA7" w:rsidRPr="00103913" w:rsidRDefault="00A620B8" w:rsidP="009F0AA7">
      <w:pPr>
        <w:pStyle w:val="Heading2"/>
      </w:pPr>
      <w:r>
        <w:t xml:space="preserve">Version and </w:t>
      </w:r>
      <w:r w:rsidR="005450B2">
        <w:t>r</w:t>
      </w:r>
      <w:r w:rsidR="009F0AA7" w:rsidRPr="00103913">
        <w:t xml:space="preserve">evision </w:t>
      </w:r>
      <w:r w:rsidR="00DC0585">
        <w:t xml:space="preserve">control </w:t>
      </w:r>
      <w:r w:rsidR="009F0AA7" w:rsidRPr="00103913">
        <w:t>record</w:t>
      </w:r>
    </w:p>
    <w:tbl>
      <w:tblPr>
        <w:tblStyle w:val="GridTable6Colorful2"/>
        <w:tblW w:w="0" w:type="auto"/>
        <w:tblLook w:val="04A0" w:firstRow="1" w:lastRow="0" w:firstColumn="1" w:lastColumn="0" w:noHBand="0" w:noVBand="1"/>
        <w:tblDescription w:val="table containing version and revision control record"/>
      </w:tblPr>
      <w:tblGrid>
        <w:gridCol w:w="1318"/>
        <w:gridCol w:w="1133"/>
        <w:gridCol w:w="4914"/>
        <w:gridCol w:w="1689"/>
      </w:tblGrid>
      <w:tr w:rsidR="00E378B3" w:rsidRPr="00E378B3" w14:paraId="5240C7F3" w14:textId="77777777" w:rsidTr="001D7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209521BE" w14:textId="77777777" w:rsidR="00E378B3" w:rsidRPr="00E378B3" w:rsidRDefault="00E378B3" w:rsidP="00E378B3">
            <w:r w:rsidRPr="00E378B3">
              <w:t>Date</w:t>
            </w:r>
          </w:p>
        </w:tc>
        <w:tc>
          <w:tcPr>
            <w:tcW w:w="1133" w:type="dxa"/>
            <w:tcBorders>
              <w:top w:val="single" w:sz="4" w:space="0" w:color="auto"/>
              <w:bottom w:val="single" w:sz="4" w:space="0" w:color="auto"/>
            </w:tcBorders>
            <w:shd w:val="clear" w:color="auto" w:fill="F2F2F2" w:themeFill="background1" w:themeFillShade="F2"/>
          </w:tcPr>
          <w:p w14:paraId="143C45E6"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Version</w:t>
            </w:r>
          </w:p>
        </w:tc>
        <w:tc>
          <w:tcPr>
            <w:tcW w:w="4914" w:type="dxa"/>
            <w:tcBorders>
              <w:top w:val="single" w:sz="4" w:space="0" w:color="auto"/>
              <w:bottom w:val="single" w:sz="4" w:space="0" w:color="auto"/>
            </w:tcBorders>
            <w:shd w:val="clear" w:color="auto" w:fill="F2F2F2" w:themeFill="background1" w:themeFillShade="F2"/>
          </w:tcPr>
          <w:p w14:paraId="67525428"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5C7366EF"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Next Review</w:t>
            </w:r>
          </w:p>
        </w:tc>
      </w:tr>
      <w:tr w:rsidR="00E378B3" w:rsidRPr="00E378B3" w14:paraId="69ED134D" w14:textId="77777777" w:rsidTr="001D7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1A43890D" w14:textId="789A3E72" w:rsidR="00E378B3" w:rsidRPr="00E378B3" w:rsidRDefault="005A6F42" w:rsidP="00727B71">
            <w:pPr>
              <w:rPr>
                <w:b w:val="0"/>
              </w:rPr>
            </w:pPr>
            <w:r>
              <w:rPr>
                <w:b w:val="0"/>
              </w:rPr>
              <w:t>0</w:t>
            </w:r>
            <w:r w:rsidR="002D5E7B">
              <w:rPr>
                <w:b w:val="0"/>
              </w:rPr>
              <w:t>1/20</w:t>
            </w:r>
            <w:r w:rsidR="00775A8D">
              <w:rPr>
                <w:b w:val="0"/>
              </w:rPr>
              <w:t>20</w:t>
            </w:r>
          </w:p>
        </w:tc>
        <w:tc>
          <w:tcPr>
            <w:tcW w:w="1133" w:type="dxa"/>
            <w:tcBorders>
              <w:top w:val="single" w:sz="4" w:space="0" w:color="auto"/>
            </w:tcBorders>
            <w:shd w:val="clear" w:color="auto" w:fill="auto"/>
          </w:tcPr>
          <w:p w14:paraId="2BED6E0C" w14:textId="515654D4" w:rsidR="00E378B3" w:rsidRPr="00310E85" w:rsidRDefault="002D5E7B" w:rsidP="00E378B3">
            <w:pPr>
              <w:cnfStyle w:val="100000000000" w:firstRow="1" w:lastRow="0" w:firstColumn="0" w:lastColumn="0" w:oddVBand="0" w:evenVBand="0" w:oddHBand="0" w:evenHBand="0" w:firstRowFirstColumn="0" w:firstRowLastColumn="0" w:lastRowFirstColumn="0" w:lastRowLastColumn="0"/>
              <w:rPr>
                <w:b w:val="0"/>
              </w:rPr>
            </w:pPr>
            <w:r>
              <w:rPr>
                <w:b w:val="0"/>
              </w:rPr>
              <w:t>1.</w:t>
            </w:r>
            <w:r w:rsidR="00775A8D">
              <w:rPr>
                <w:b w:val="0"/>
              </w:rPr>
              <w:t>3</w:t>
            </w:r>
          </w:p>
        </w:tc>
        <w:tc>
          <w:tcPr>
            <w:tcW w:w="4914" w:type="dxa"/>
            <w:tcBorders>
              <w:top w:val="single" w:sz="4" w:space="0" w:color="auto"/>
            </w:tcBorders>
            <w:shd w:val="clear" w:color="auto" w:fill="auto"/>
          </w:tcPr>
          <w:p w14:paraId="4EA39049" w14:textId="505A9313" w:rsidR="00E378B3" w:rsidRPr="00310E85" w:rsidRDefault="00E378B3" w:rsidP="00E378B3">
            <w:pPr>
              <w:cnfStyle w:val="100000000000" w:firstRow="1" w:lastRow="0" w:firstColumn="0" w:lastColumn="0" w:oddVBand="0" w:evenVBand="0" w:oddHBand="0" w:evenHBand="0" w:firstRowFirstColumn="0" w:firstRowLastColumn="0" w:lastRowFirstColumn="0" w:lastRowLastColumn="0"/>
              <w:rPr>
                <w:b w:val="0"/>
              </w:rPr>
            </w:pPr>
            <w:r w:rsidRPr="00310E85">
              <w:rPr>
                <w:b w:val="0"/>
              </w:rPr>
              <w:t>Chief Finance Officer - Financial Services Division</w:t>
            </w:r>
          </w:p>
        </w:tc>
        <w:tc>
          <w:tcPr>
            <w:tcW w:w="1689" w:type="dxa"/>
            <w:tcBorders>
              <w:top w:val="single" w:sz="4" w:space="0" w:color="auto"/>
            </w:tcBorders>
            <w:shd w:val="clear" w:color="auto" w:fill="auto"/>
          </w:tcPr>
          <w:p w14:paraId="73E316C2" w14:textId="67661A43" w:rsidR="00E378B3" w:rsidRPr="00310E85" w:rsidRDefault="005A6F42" w:rsidP="002D5E7B">
            <w:pPr>
              <w:cnfStyle w:val="100000000000" w:firstRow="1" w:lastRow="0" w:firstColumn="0" w:lastColumn="0" w:oddVBand="0" w:evenVBand="0" w:oddHBand="0" w:evenHBand="0" w:firstRowFirstColumn="0" w:firstRowLastColumn="0" w:lastRowFirstColumn="0" w:lastRowLastColumn="0"/>
              <w:rPr>
                <w:b w:val="0"/>
              </w:rPr>
            </w:pPr>
            <w:r w:rsidRPr="00310E85">
              <w:rPr>
                <w:b w:val="0"/>
              </w:rPr>
              <w:t>0</w:t>
            </w:r>
            <w:r w:rsidR="002D5E7B">
              <w:rPr>
                <w:b w:val="0"/>
              </w:rPr>
              <w:t>1</w:t>
            </w:r>
            <w:r w:rsidRPr="00310E85">
              <w:rPr>
                <w:b w:val="0"/>
              </w:rPr>
              <w:t>/20</w:t>
            </w:r>
            <w:r w:rsidR="002D5E7B">
              <w:rPr>
                <w:b w:val="0"/>
              </w:rPr>
              <w:t>2</w:t>
            </w:r>
            <w:r w:rsidR="00775A8D">
              <w:rPr>
                <w:b w:val="0"/>
              </w:rPr>
              <w:t>1</w:t>
            </w:r>
          </w:p>
        </w:tc>
      </w:tr>
    </w:tbl>
    <w:p w14:paraId="470A5082" w14:textId="77777777" w:rsidR="0051778F" w:rsidRDefault="0051778F" w:rsidP="00E378B3"/>
    <w:sectPr w:rsidR="0051778F" w:rsidSect="00C509BF">
      <w:footerReference w:type="default" r:id="rId34"/>
      <w:pgSz w:w="11900" w:h="16840" w:code="9"/>
      <w:pgMar w:top="1560"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5532" w14:textId="77777777" w:rsidR="002B051D" w:rsidRDefault="002B051D" w:rsidP="008766A4">
      <w:r>
        <w:separator/>
      </w:r>
    </w:p>
  </w:endnote>
  <w:endnote w:type="continuationSeparator" w:id="0">
    <w:p w14:paraId="6D15119E" w14:textId="77777777" w:rsidR="002B051D" w:rsidRDefault="002B051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FE5B" w14:textId="574C5157" w:rsidR="00E95E9D" w:rsidRPr="008A1405" w:rsidRDefault="002A00EF" w:rsidP="008A1405">
    <w:pPr>
      <w:pStyle w:val="Footer"/>
    </w:pPr>
    <w:r w:rsidRPr="008A1405">
      <w:rPr>
        <w:noProof/>
        <w:lang w:eastAsia="en-AU"/>
      </w:rPr>
      <w:drawing>
        <wp:anchor distT="0" distB="0" distL="114300" distR="114300" simplePos="0" relativeHeight="251657216" behindDoc="1" locked="0" layoutInCell="1" allowOverlap="1" wp14:anchorId="335BB1C2" wp14:editId="5FBF25D5">
          <wp:simplePos x="0" y="0"/>
          <wp:positionH relativeFrom="margin">
            <wp:posOffset>-238051</wp:posOffset>
          </wp:positionH>
          <wp:positionV relativeFrom="page">
            <wp:posOffset>9867955</wp:posOffset>
          </wp:positionV>
          <wp:extent cx="6632496" cy="657225"/>
          <wp:effectExtent l="0" t="0" r="0" b="0"/>
          <wp:wrapNone/>
          <wp:docPr id="7" name="Picture 7" descr="foote containing name of document, page number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32496" cy="657225"/>
                  </a:xfrm>
                  <a:prstGeom prst="rect">
                    <a:avLst/>
                  </a:prstGeom>
                </pic:spPr>
              </pic:pic>
            </a:graphicData>
          </a:graphic>
        </wp:anchor>
      </w:drawing>
    </w:r>
    <w:r w:rsidRPr="008A1405">
      <w:t>S</w:t>
    </w:r>
    <w:r w:rsidR="00E95E9D" w:rsidRPr="008A1405">
      <w:t>ection 15</w:t>
    </w:r>
    <w:r w:rsidR="0019536C">
      <w:t>:</w:t>
    </w:r>
    <w:r w:rsidR="00E95E9D" w:rsidRPr="008A1405">
      <w:t xml:space="preserve"> Taxation | </w:t>
    </w:r>
    <w:r w:rsidR="002D5E7B">
      <w:t>January</w:t>
    </w:r>
    <w:r w:rsidR="00727B71">
      <w:t xml:space="preserve"> </w:t>
    </w:r>
    <w:r w:rsidR="002D5E7B">
      <w:t>20</w:t>
    </w:r>
    <w:r w:rsidR="00DA510F">
      <w:t>20</w:t>
    </w:r>
    <w:r w:rsidR="00E95E9D" w:rsidRPr="008A1405">
      <w:t xml:space="preserve"> </w:t>
    </w:r>
    <w:sdt>
      <w:sdtPr>
        <w:id w:val="1822625101"/>
        <w:docPartObj>
          <w:docPartGallery w:val="Page Numbers (Bottom of Page)"/>
          <w:docPartUnique/>
        </w:docPartObj>
      </w:sdtPr>
      <w:sdtEndPr/>
      <w:sdtContent>
        <w:r w:rsidR="008A1405" w:rsidRPr="008A1405">
          <w:tab/>
        </w:r>
        <w:r w:rsidR="00EE7545">
          <w:t>P</w:t>
        </w:r>
        <w:r w:rsidR="008A1405" w:rsidRPr="008A1405">
          <w:t xml:space="preserve">age </w:t>
        </w:r>
        <w:r w:rsidR="009C52AD" w:rsidRPr="008A1405">
          <w:fldChar w:fldCharType="begin"/>
        </w:r>
        <w:r w:rsidR="008A1405" w:rsidRPr="008A1405">
          <w:instrText xml:space="preserve"> PAGE   \* MERGEFORMAT </w:instrText>
        </w:r>
        <w:r w:rsidR="009C52AD" w:rsidRPr="008A1405">
          <w:fldChar w:fldCharType="separate"/>
        </w:r>
        <w:r w:rsidR="00A05E14">
          <w:rPr>
            <w:noProof/>
          </w:rPr>
          <w:t>1</w:t>
        </w:r>
        <w:r w:rsidR="009C52AD" w:rsidRPr="008A14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7C72" w14:textId="77777777" w:rsidR="002B051D" w:rsidRDefault="002B051D" w:rsidP="008766A4">
      <w:r>
        <w:separator/>
      </w:r>
    </w:p>
  </w:footnote>
  <w:footnote w:type="continuationSeparator" w:id="0">
    <w:p w14:paraId="39A0F856" w14:textId="77777777" w:rsidR="002B051D" w:rsidRDefault="002B051D"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615"/>
    <w:multiLevelType w:val="hybridMultilevel"/>
    <w:tmpl w:val="3BD8451C"/>
    <w:lvl w:ilvl="0" w:tplc="0C090017">
      <w:start w:val="1"/>
      <w:numFmt w:val="lowerLetter"/>
      <w:lvlText w:val="%1)"/>
      <w:lvlJc w:val="left"/>
      <w:pPr>
        <w:ind w:left="1080" w:hanging="360"/>
      </w:pPr>
    </w:lvl>
    <w:lvl w:ilvl="1" w:tplc="C67ADF98">
      <w:start w:val="1"/>
      <w:numFmt w:val="bullet"/>
      <w:lvlText w:val=""/>
      <w:lvlJc w:val="left"/>
      <w:pPr>
        <w:ind w:left="1800" w:hanging="360"/>
      </w:pPr>
      <w:rPr>
        <w:rFonts w:ascii="Symbol" w:hAnsi="Symbol" w:hint="default"/>
        <w:color w:val="000000" w:themeColor="text1"/>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4F4FC3"/>
    <w:multiLevelType w:val="hybridMultilevel"/>
    <w:tmpl w:val="3FD8C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BC000C"/>
    <w:multiLevelType w:val="hybridMultilevel"/>
    <w:tmpl w:val="05E2013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772E9"/>
    <w:multiLevelType w:val="hybridMultilevel"/>
    <w:tmpl w:val="69DA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861C1"/>
    <w:multiLevelType w:val="hybridMultilevel"/>
    <w:tmpl w:val="FA3E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412F6"/>
    <w:multiLevelType w:val="hybridMultilevel"/>
    <w:tmpl w:val="1840D1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D7FBD"/>
    <w:multiLevelType w:val="hybridMultilevel"/>
    <w:tmpl w:val="AEF20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C5320B"/>
    <w:multiLevelType w:val="hybridMultilevel"/>
    <w:tmpl w:val="68CCEB26"/>
    <w:lvl w:ilvl="0" w:tplc="A89A91B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8C7BFF"/>
    <w:multiLevelType w:val="hybridMultilevel"/>
    <w:tmpl w:val="C97C40A2"/>
    <w:lvl w:ilvl="0" w:tplc="0C22B04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982937"/>
    <w:multiLevelType w:val="hybridMultilevel"/>
    <w:tmpl w:val="01DCB462"/>
    <w:lvl w:ilvl="0" w:tplc="50B0C79A">
      <w:start w:val="1"/>
      <w:numFmt w:val="bullet"/>
      <w:pStyle w:val="ListBullet2"/>
      <w:lvlText w:val="o"/>
      <w:lvlJc w:val="left"/>
      <w:pPr>
        <w:ind w:left="64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3C457E4"/>
    <w:multiLevelType w:val="hybridMultilevel"/>
    <w:tmpl w:val="1480C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D36F9"/>
    <w:multiLevelType w:val="hybridMultilevel"/>
    <w:tmpl w:val="6DCC9A9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9918F4"/>
    <w:multiLevelType w:val="hybridMultilevel"/>
    <w:tmpl w:val="1946FCC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0E32C2"/>
    <w:multiLevelType w:val="hybridMultilevel"/>
    <w:tmpl w:val="CB4466C4"/>
    <w:lvl w:ilvl="0" w:tplc="FBF812EE">
      <w:start w:val="1"/>
      <w:numFmt w:val="lowerLetter"/>
      <w:lvlText w:val="%1)"/>
      <w:lvlJc w:val="left"/>
      <w:pPr>
        <w:ind w:left="1080" w:hanging="360"/>
      </w:pPr>
      <w:rPr>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4236D5C"/>
    <w:multiLevelType w:val="hybridMultilevel"/>
    <w:tmpl w:val="4F946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5E1B9E"/>
    <w:multiLevelType w:val="hybridMultilevel"/>
    <w:tmpl w:val="E9A4B860"/>
    <w:lvl w:ilvl="0" w:tplc="E09C7FF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0924A6"/>
    <w:multiLevelType w:val="hybridMultilevel"/>
    <w:tmpl w:val="DF041CB0"/>
    <w:lvl w:ilvl="0" w:tplc="7460E3AC">
      <w:start w:val="1"/>
      <w:numFmt w:val="bullet"/>
      <w:pStyle w:val="List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443085"/>
    <w:multiLevelType w:val="hybridMultilevel"/>
    <w:tmpl w:val="2AA446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63636A"/>
    <w:multiLevelType w:val="hybridMultilevel"/>
    <w:tmpl w:val="69D2F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EA004F"/>
    <w:multiLevelType w:val="hybridMultilevel"/>
    <w:tmpl w:val="867016BA"/>
    <w:lvl w:ilvl="0" w:tplc="1CE012E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9"/>
  </w:num>
  <w:num w:numId="4">
    <w:abstractNumId w:val="17"/>
  </w:num>
  <w:num w:numId="5">
    <w:abstractNumId w:val="1"/>
  </w:num>
  <w:num w:numId="6">
    <w:abstractNumId w:val="15"/>
  </w:num>
  <w:num w:numId="7">
    <w:abstractNumId w:val="14"/>
  </w:num>
  <w:num w:numId="8">
    <w:abstractNumId w:val="18"/>
  </w:num>
  <w:num w:numId="9">
    <w:abstractNumId w:val="8"/>
  </w:num>
  <w:num w:numId="10">
    <w:abstractNumId w:val="19"/>
  </w:num>
  <w:num w:numId="11">
    <w:abstractNumId w:val="13"/>
  </w:num>
  <w:num w:numId="12">
    <w:abstractNumId w:val="0"/>
  </w:num>
  <w:num w:numId="13">
    <w:abstractNumId w:val="3"/>
  </w:num>
  <w:num w:numId="14">
    <w:abstractNumId w:val="10"/>
  </w:num>
  <w:num w:numId="15">
    <w:abstractNumId w:val="5"/>
  </w:num>
  <w:num w:numId="16">
    <w:abstractNumId w:val="12"/>
  </w:num>
  <w:num w:numId="17">
    <w:abstractNumId w:val="2"/>
  </w:num>
  <w:num w:numId="18">
    <w:abstractNumId w:val="11"/>
  </w:num>
  <w:num w:numId="19">
    <w:abstractNumId w:val="6"/>
  </w:num>
  <w:num w:numId="20">
    <w:abstractNumId w:val="9"/>
  </w:num>
  <w:num w:numId="21">
    <w:abstractNumId w:val="16"/>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activeWritingStyle w:appName="MSWord" w:lang="en-US" w:vendorID="64" w:dllVersion="6" w:nlCheck="1" w:checkStyle="1"/>
  <w:activeWritingStyle w:appName="MSWord" w:lang="en-AU" w:vendorID="64" w:dllVersion="6" w:nlCheck="1"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01ED"/>
    <w:rsid w:val="00000B21"/>
    <w:rsid w:val="000347D9"/>
    <w:rsid w:val="00037855"/>
    <w:rsid w:val="00044B09"/>
    <w:rsid w:val="0004542A"/>
    <w:rsid w:val="0008758C"/>
    <w:rsid w:val="000A2D3C"/>
    <w:rsid w:val="000B668D"/>
    <w:rsid w:val="000B7C8B"/>
    <w:rsid w:val="000C0752"/>
    <w:rsid w:val="000C3B04"/>
    <w:rsid w:val="000C499D"/>
    <w:rsid w:val="000E498B"/>
    <w:rsid w:val="000F155E"/>
    <w:rsid w:val="000F4037"/>
    <w:rsid w:val="000F4C22"/>
    <w:rsid w:val="001017B1"/>
    <w:rsid w:val="00104B60"/>
    <w:rsid w:val="00127682"/>
    <w:rsid w:val="0013716D"/>
    <w:rsid w:val="00137179"/>
    <w:rsid w:val="001374A1"/>
    <w:rsid w:val="0014310A"/>
    <w:rsid w:val="00152101"/>
    <w:rsid w:val="0015415A"/>
    <w:rsid w:val="0017525D"/>
    <w:rsid w:val="00185163"/>
    <w:rsid w:val="00193A4B"/>
    <w:rsid w:val="0019536C"/>
    <w:rsid w:val="001A1558"/>
    <w:rsid w:val="001D6D9E"/>
    <w:rsid w:val="001D71C8"/>
    <w:rsid w:val="001F0C1A"/>
    <w:rsid w:val="001F375F"/>
    <w:rsid w:val="001F7531"/>
    <w:rsid w:val="00207F30"/>
    <w:rsid w:val="00216E22"/>
    <w:rsid w:val="00220C69"/>
    <w:rsid w:val="0022212D"/>
    <w:rsid w:val="00226B71"/>
    <w:rsid w:val="002431E9"/>
    <w:rsid w:val="0025449A"/>
    <w:rsid w:val="00255E0C"/>
    <w:rsid w:val="00265896"/>
    <w:rsid w:val="0027062A"/>
    <w:rsid w:val="00271F77"/>
    <w:rsid w:val="002805CC"/>
    <w:rsid w:val="002A00EF"/>
    <w:rsid w:val="002A4AB3"/>
    <w:rsid w:val="002B051D"/>
    <w:rsid w:val="002B64F5"/>
    <w:rsid w:val="002D5E7B"/>
    <w:rsid w:val="002F4E54"/>
    <w:rsid w:val="003020F0"/>
    <w:rsid w:val="00310E85"/>
    <w:rsid w:val="00317617"/>
    <w:rsid w:val="00317AB9"/>
    <w:rsid w:val="00326F48"/>
    <w:rsid w:val="00330ACA"/>
    <w:rsid w:val="00333F2D"/>
    <w:rsid w:val="003373A6"/>
    <w:rsid w:val="0033799B"/>
    <w:rsid w:val="00347714"/>
    <w:rsid w:val="0035132F"/>
    <w:rsid w:val="00352A17"/>
    <w:rsid w:val="00363920"/>
    <w:rsid w:val="00364919"/>
    <w:rsid w:val="00376EAD"/>
    <w:rsid w:val="0037769E"/>
    <w:rsid w:val="00387492"/>
    <w:rsid w:val="0039401D"/>
    <w:rsid w:val="003A46EB"/>
    <w:rsid w:val="003B01B0"/>
    <w:rsid w:val="003B13B6"/>
    <w:rsid w:val="003E29B5"/>
    <w:rsid w:val="003E57C4"/>
    <w:rsid w:val="003F3C92"/>
    <w:rsid w:val="00402F6E"/>
    <w:rsid w:val="004136D4"/>
    <w:rsid w:val="00415090"/>
    <w:rsid w:val="0042385D"/>
    <w:rsid w:val="0042387A"/>
    <w:rsid w:val="00440510"/>
    <w:rsid w:val="004615C4"/>
    <w:rsid w:val="00483776"/>
    <w:rsid w:val="004A3D72"/>
    <w:rsid w:val="004C4C47"/>
    <w:rsid w:val="004D6B0E"/>
    <w:rsid w:val="004E014D"/>
    <w:rsid w:val="004F1772"/>
    <w:rsid w:val="0051778F"/>
    <w:rsid w:val="00534DA6"/>
    <w:rsid w:val="005450B2"/>
    <w:rsid w:val="005711D2"/>
    <w:rsid w:val="0057654B"/>
    <w:rsid w:val="00581A7C"/>
    <w:rsid w:val="005832B7"/>
    <w:rsid w:val="00596923"/>
    <w:rsid w:val="005A23F9"/>
    <w:rsid w:val="005A6F42"/>
    <w:rsid w:val="005B2DCC"/>
    <w:rsid w:val="005B3B56"/>
    <w:rsid w:val="005F10A0"/>
    <w:rsid w:val="005F12DB"/>
    <w:rsid w:val="00600EB1"/>
    <w:rsid w:val="00602AFC"/>
    <w:rsid w:val="006142D2"/>
    <w:rsid w:val="00614BEA"/>
    <w:rsid w:val="00620786"/>
    <w:rsid w:val="00627D90"/>
    <w:rsid w:val="00651C93"/>
    <w:rsid w:val="00663F60"/>
    <w:rsid w:val="00666960"/>
    <w:rsid w:val="00676CCB"/>
    <w:rsid w:val="006935C9"/>
    <w:rsid w:val="00694796"/>
    <w:rsid w:val="006B332A"/>
    <w:rsid w:val="006D6ECF"/>
    <w:rsid w:val="006D7CA2"/>
    <w:rsid w:val="006E1C6D"/>
    <w:rsid w:val="006F0593"/>
    <w:rsid w:val="006F7B96"/>
    <w:rsid w:val="0071497B"/>
    <w:rsid w:val="00717226"/>
    <w:rsid w:val="007178F0"/>
    <w:rsid w:val="00727B71"/>
    <w:rsid w:val="00743B9D"/>
    <w:rsid w:val="00751081"/>
    <w:rsid w:val="007673BB"/>
    <w:rsid w:val="00775A8D"/>
    <w:rsid w:val="0078128B"/>
    <w:rsid w:val="00781C4C"/>
    <w:rsid w:val="00784798"/>
    <w:rsid w:val="00784BA8"/>
    <w:rsid w:val="007854FE"/>
    <w:rsid w:val="007C73DD"/>
    <w:rsid w:val="008018BB"/>
    <w:rsid w:val="00806024"/>
    <w:rsid w:val="00816ED5"/>
    <w:rsid w:val="008203E8"/>
    <w:rsid w:val="00826440"/>
    <w:rsid w:val="008305EB"/>
    <w:rsid w:val="00841F2A"/>
    <w:rsid w:val="00841FDD"/>
    <w:rsid w:val="00867E79"/>
    <w:rsid w:val="00873C1C"/>
    <w:rsid w:val="00874D35"/>
    <w:rsid w:val="008766A4"/>
    <w:rsid w:val="008767CC"/>
    <w:rsid w:val="00877262"/>
    <w:rsid w:val="00895870"/>
    <w:rsid w:val="008A1405"/>
    <w:rsid w:val="008A3861"/>
    <w:rsid w:val="008C0B7B"/>
    <w:rsid w:val="008C6FA8"/>
    <w:rsid w:val="008D3BDE"/>
    <w:rsid w:val="008D4462"/>
    <w:rsid w:val="008F3046"/>
    <w:rsid w:val="00900C47"/>
    <w:rsid w:val="009023AB"/>
    <w:rsid w:val="00916B90"/>
    <w:rsid w:val="00927DEE"/>
    <w:rsid w:val="00933910"/>
    <w:rsid w:val="00940785"/>
    <w:rsid w:val="00956187"/>
    <w:rsid w:val="00963BAA"/>
    <w:rsid w:val="00966666"/>
    <w:rsid w:val="00980015"/>
    <w:rsid w:val="009907B4"/>
    <w:rsid w:val="009B3631"/>
    <w:rsid w:val="009B4EE0"/>
    <w:rsid w:val="009C0A9D"/>
    <w:rsid w:val="009C52AD"/>
    <w:rsid w:val="009E4078"/>
    <w:rsid w:val="009E4835"/>
    <w:rsid w:val="009E49AE"/>
    <w:rsid w:val="009F030B"/>
    <w:rsid w:val="009F0AA7"/>
    <w:rsid w:val="009F2302"/>
    <w:rsid w:val="009F4E28"/>
    <w:rsid w:val="009F5CB4"/>
    <w:rsid w:val="00A01FBF"/>
    <w:rsid w:val="00A05E14"/>
    <w:rsid w:val="00A079B1"/>
    <w:rsid w:val="00A103BB"/>
    <w:rsid w:val="00A17562"/>
    <w:rsid w:val="00A223D8"/>
    <w:rsid w:val="00A33C93"/>
    <w:rsid w:val="00A3693C"/>
    <w:rsid w:val="00A620B8"/>
    <w:rsid w:val="00A87A9F"/>
    <w:rsid w:val="00AB218F"/>
    <w:rsid w:val="00AB49E5"/>
    <w:rsid w:val="00AD155A"/>
    <w:rsid w:val="00AE4681"/>
    <w:rsid w:val="00AF4BEE"/>
    <w:rsid w:val="00AF6B9C"/>
    <w:rsid w:val="00AF738E"/>
    <w:rsid w:val="00B17AF7"/>
    <w:rsid w:val="00B40154"/>
    <w:rsid w:val="00B47FE1"/>
    <w:rsid w:val="00B6030C"/>
    <w:rsid w:val="00B6698A"/>
    <w:rsid w:val="00B73EC2"/>
    <w:rsid w:val="00B75CFB"/>
    <w:rsid w:val="00B81EDF"/>
    <w:rsid w:val="00B850E1"/>
    <w:rsid w:val="00B90BC3"/>
    <w:rsid w:val="00BA3A95"/>
    <w:rsid w:val="00BB085A"/>
    <w:rsid w:val="00BC20EE"/>
    <w:rsid w:val="00BD307E"/>
    <w:rsid w:val="00BE22B0"/>
    <w:rsid w:val="00BE49F3"/>
    <w:rsid w:val="00C0481B"/>
    <w:rsid w:val="00C052CB"/>
    <w:rsid w:val="00C268F5"/>
    <w:rsid w:val="00C509BF"/>
    <w:rsid w:val="00C57CD8"/>
    <w:rsid w:val="00C63530"/>
    <w:rsid w:val="00C63676"/>
    <w:rsid w:val="00C65841"/>
    <w:rsid w:val="00C8231B"/>
    <w:rsid w:val="00C91397"/>
    <w:rsid w:val="00C91AC2"/>
    <w:rsid w:val="00C942A0"/>
    <w:rsid w:val="00C95672"/>
    <w:rsid w:val="00C96775"/>
    <w:rsid w:val="00C9779C"/>
    <w:rsid w:val="00CA58FF"/>
    <w:rsid w:val="00CB0337"/>
    <w:rsid w:val="00CB1AF9"/>
    <w:rsid w:val="00CC7F0A"/>
    <w:rsid w:val="00CD03B9"/>
    <w:rsid w:val="00CD725B"/>
    <w:rsid w:val="00CE74B0"/>
    <w:rsid w:val="00CE75AD"/>
    <w:rsid w:val="00D02438"/>
    <w:rsid w:val="00D049D0"/>
    <w:rsid w:val="00D128D5"/>
    <w:rsid w:val="00D263A2"/>
    <w:rsid w:val="00D31299"/>
    <w:rsid w:val="00D41CE5"/>
    <w:rsid w:val="00D73C30"/>
    <w:rsid w:val="00D75869"/>
    <w:rsid w:val="00D8417C"/>
    <w:rsid w:val="00D84C0F"/>
    <w:rsid w:val="00D93736"/>
    <w:rsid w:val="00D94A93"/>
    <w:rsid w:val="00DA510F"/>
    <w:rsid w:val="00DB0ABC"/>
    <w:rsid w:val="00DB6966"/>
    <w:rsid w:val="00DC03B9"/>
    <w:rsid w:val="00DC0585"/>
    <w:rsid w:val="00DE4DB9"/>
    <w:rsid w:val="00DF1C42"/>
    <w:rsid w:val="00E01659"/>
    <w:rsid w:val="00E05BBC"/>
    <w:rsid w:val="00E166C6"/>
    <w:rsid w:val="00E378B3"/>
    <w:rsid w:val="00E42E39"/>
    <w:rsid w:val="00E57EB0"/>
    <w:rsid w:val="00E93CCE"/>
    <w:rsid w:val="00E95E9D"/>
    <w:rsid w:val="00EA7F56"/>
    <w:rsid w:val="00EB4F5B"/>
    <w:rsid w:val="00EC4687"/>
    <w:rsid w:val="00EC4B5F"/>
    <w:rsid w:val="00EC4C52"/>
    <w:rsid w:val="00EC7AF5"/>
    <w:rsid w:val="00EC7D90"/>
    <w:rsid w:val="00EE7545"/>
    <w:rsid w:val="00EF04D3"/>
    <w:rsid w:val="00EF10BB"/>
    <w:rsid w:val="00F26266"/>
    <w:rsid w:val="00F27799"/>
    <w:rsid w:val="00F31E6C"/>
    <w:rsid w:val="00F33AE6"/>
    <w:rsid w:val="00F34EF3"/>
    <w:rsid w:val="00F36897"/>
    <w:rsid w:val="00F3741B"/>
    <w:rsid w:val="00F37E0C"/>
    <w:rsid w:val="00F4458F"/>
    <w:rsid w:val="00F52421"/>
    <w:rsid w:val="00F56517"/>
    <w:rsid w:val="00F81B03"/>
    <w:rsid w:val="00F83A5A"/>
    <w:rsid w:val="00F85A04"/>
    <w:rsid w:val="00F85A39"/>
    <w:rsid w:val="00F97B56"/>
    <w:rsid w:val="00FA6B94"/>
    <w:rsid w:val="00FB5115"/>
    <w:rsid w:val="00FC4A7F"/>
    <w:rsid w:val="00FC516B"/>
    <w:rsid w:val="00FC6788"/>
    <w:rsid w:val="00FE051E"/>
    <w:rsid w:val="00FE18AC"/>
    <w:rsid w:val="00FE581C"/>
    <w:rsid w:val="00FF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888F2"/>
  <w15:docId w15:val="{973CF411-070C-4054-AF96-B1A19AB3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8A3861"/>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78128B"/>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78128B"/>
    <w:pPr>
      <w:pBdr>
        <w:top w:val="single" w:sz="8" w:space="3" w:color="AF272F"/>
      </w:pBdr>
      <w:spacing w:before="360"/>
      <w:ind w:left="851" w:hanging="851"/>
      <w:outlineLvl w:val="1"/>
    </w:pPr>
    <w:rPr>
      <w:bCs w:val="0"/>
      <w:sz w:val="36"/>
    </w:rPr>
  </w:style>
  <w:style w:type="paragraph" w:styleId="Heading3">
    <w:name w:val="heading 3"/>
    <w:basedOn w:val="Normal"/>
    <w:next w:val="Normal"/>
    <w:link w:val="Heading3Char"/>
    <w:uiPriority w:val="9"/>
    <w:qFormat/>
    <w:locked/>
    <w:rsid w:val="00C8231B"/>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8B"/>
    <w:rPr>
      <w:rFonts w:ascii="Arial" w:eastAsiaTheme="majorEastAsia" w:hAnsi="Arial" w:cstheme="majorBidi"/>
      <w:b/>
      <w:bCs/>
      <w:color w:val="AF272F"/>
      <w:sz w:val="44"/>
      <w:szCs w:val="20"/>
    </w:rPr>
  </w:style>
  <w:style w:type="character" w:customStyle="1" w:styleId="Heading2Char">
    <w:name w:val="Heading 2 Char"/>
    <w:basedOn w:val="DefaultParagraphFont"/>
    <w:link w:val="Heading2"/>
    <w:uiPriority w:val="9"/>
    <w:rsid w:val="0078128B"/>
    <w:rPr>
      <w:rFonts w:ascii="Arial" w:eastAsiaTheme="majorEastAsia" w:hAnsi="Arial" w:cstheme="majorBidi"/>
      <w:b/>
      <w:color w:val="AF272F"/>
      <w:sz w:val="36"/>
      <w:szCs w:val="20"/>
    </w:rPr>
  </w:style>
  <w:style w:type="character" w:customStyle="1" w:styleId="Heading3Char">
    <w:name w:val="Heading 3 Char"/>
    <w:basedOn w:val="DefaultParagraphFont"/>
    <w:link w:val="Heading3"/>
    <w:uiPriority w:val="9"/>
    <w:rsid w:val="00C8231B"/>
    <w:rPr>
      <w:rFonts w:ascii="Arial" w:hAnsi="Arial" w:cs="Arial"/>
      <w:b/>
      <w:color w:val="000000" w:themeColor="text1"/>
      <w:szCs w:val="18"/>
      <w:lang w:val="en-AU"/>
    </w:rPr>
  </w:style>
  <w:style w:type="character" w:styleId="CommentReference">
    <w:name w:val="annotation reference"/>
    <w:basedOn w:val="DefaultParagraphFont"/>
    <w:uiPriority w:val="99"/>
    <w:semiHidden/>
    <w:unhideWhenUsed/>
    <w:locked/>
    <w:rsid w:val="00E95E9D"/>
    <w:rPr>
      <w:sz w:val="16"/>
      <w:szCs w:val="16"/>
    </w:rPr>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8A1405"/>
    <w:pPr>
      <w:tabs>
        <w:tab w:val="right" w:pos="6804"/>
      </w:tabs>
      <w:spacing w:before="0" w:line="240" w:lineRule="auto"/>
    </w:pPr>
    <w:rPr>
      <w:sz w:val="20"/>
    </w:rPr>
  </w:style>
  <w:style w:type="character" w:customStyle="1" w:styleId="FooterChar">
    <w:name w:val="Footer Char"/>
    <w:basedOn w:val="DefaultParagraphFont"/>
    <w:link w:val="Footer"/>
    <w:uiPriority w:val="99"/>
    <w:rsid w:val="008A1405"/>
    <w:rPr>
      <w:rFonts w:ascii="Arial" w:hAnsi="Arial" w:cs="Arial"/>
      <w:sz w:val="20"/>
      <w:szCs w:val="18"/>
    </w:rPr>
  </w:style>
  <w:style w:type="paragraph" w:styleId="CommentText">
    <w:name w:val="annotation text"/>
    <w:basedOn w:val="Normal"/>
    <w:link w:val="CommentTextChar"/>
    <w:uiPriority w:val="99"/>
    <w:semiHidden/>
    <w:unhideWhenUsed/>
    <w:locked/>
    <w:rsid w:val="00E95E9D"/>
    <w:pPr>
      <w:spacing w:line="240" w:lineRule="auto"/>
    </w:pPr>
    <w:rPr>
      <w:sz w:val="20"/>
      <w:szCs w:val="20"/>
    </w:rPr>
  </w:style>
  <w:style w:type="character" w:customStyle="1" w:styleId="CommentTextChar">
    <w:name w:val="Comment Text Char"/>
    <w:basedOn w:val="DefaultParagraphFont"/>
    <w:link w:val="CommentText"/>
    <w:uiPriority w:val="99"/>
    <w:semiHidden/>
    <w:rsid w:val="00E95E9D"/>
    <w:rPr>
      <w:rFonts w:ascii="Arial" w:hAnsi="Arial" w:cs="Arial"/>
      <w:sz w:val="20"/>
      <w:szCs w:val="20"/>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paragraph" w:styleId="Title">
    <w:name w:val="Title"/>
    <w:next w:val="Subtitle"/>
    <w:link w:val="TitleChar"/>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2A00EF"/>
    <w:pPr>
      <w:tabs>
        <w:tab w:val="right" w:pos="9072"/>
      </w:tabs>
      <w:spacing w:before="0" w:line="240" w:lineRule="auto"/>
    </w:pPr>
    <w:rPr>
      <w:sz w:val="18"/>
    </w:rPr>
  </w:style>
  <w:style w:type="character" w:customStyle="1" w:styleId="HeaderChar">
    <w:name w:val="Header Char"/>
    <w:basedOn w:val="DefaultParagraphFont"/>
    <w:link w:val="Header"/>
    <w:uiPriority w:val="99"/>
    <w:rsid w:val="002A00EF"/>
    <w:rPr>
      <w:rFonts w:ascii="Arial" w:hAnsi="Arial" w:cs="Arial"/>
      <w:sz w:val="18"/>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locked/>
    <w:rsid w:val="00E95E9D"/>
    <w:rPr>
      <w:b/>
      <w:bCs/>
    </w:rPr>
  </w:style>
  <w:style w:type="character" w:customStyle="1" w:styleId="CommentSubjectChar">
    <w:name w:val="Comment Subject Char"/>
    <w:basedOn w:val="CommentTextChar"/>
    <w:link w:val="CommentSubject"/>
    <w:uiPriority w:val="99"/>
    <w:semiHidden/>
    <w:rsid w:val="00E95E9D"/>
    <w:rPr>
      <w:rFonts w:ascii="Arial" w:hAnsi="Arial" w:cs="Arial"/>
      <w:b/>
      <w:bCs/>
      <w:sz w:val="20"/>
      <w:szCs w:val="20"/>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styleId="TOC3">
    <w:name w:val="toc 3"/>
    <w:basedOn w:val="Normal"/>
    <w:next w:val="Normal"/>
    <w:autoRedefine/>
    <w:uiPriority w:val="39"/>
    <w:semiHidden/>
    <w:locked/>
    <w:rsid w:val="00895870"/>
    <w:pPr>
      <w:ind w:left="360"/>
    </w:p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DB6966"/>
    <w:rPr>
      <w:rFonts w:ascii="Arial" w:hAnsi="Arial"/>
      <w:color w:val="0000FF"/>
      <w:sz w:val="22"/>
      <w:u w:val="single"/>
    </w:rPr>
  </w:style>
  <w:style w:type="paragraph" w:styleId="ListBullet">
    <w:name w:val="List Bullet"/>
    <w:basedOn w:val="Normal"/>
    <w:uiPriority w:val="99"/>
    <w:unhideWhenUsed/>
    <w:locked/>
    <w:rsid w:val="00B6698A"/>
    <w:pPr>
      <w:numPr>
        <w:numId w:val="2"/>
      </w:numPr>
    </w:pPr>
    <w:rPr>
      <w:rFonts w:eastAsiaTheme="minorHAnsi" w:cstheme="minorBidi"/>
      <w:szCs w:val="22"/>
    </w:rPr>
  </w:style>
  <w:style w:type="paragraph" w:styleId="ListBullet2">
    <w:name w:val="List Bullet 2"/>
    <w:basedOn w:val="Normal"/>
    <w:uiPriority w:val="99"/>
    <w:unhideWhenUsed/>
    <w:locked/>
    <w:rsid w:val="00C8231B"/>
    <w:pPr>
      <w:numPr>
        <w:numId w:val="3"/>
      </w:numPr>
      <w:spacing w:before="60"/>
    </w:pPr>
    <w:rPr>
      <w:rFonts w:eastAsiaTheme="minorHAnsi"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locked/>
    <w:rsid w:val="0051778F"/>
    <w:rPr>
      <w:color w:val="0000FF"/>
      <w:u w:val="single"/>
    </w:rPr>
  </w:style>
  <w:style w:type="paragraph" w:styleId="ListContinue">
    <w:name w:val="List Continue"/>
    <w:basedOn w:val="Normal"/>
    <w:uiPriority w:val="99"/>
    <w:unhideWhenUsed/>
    <w:locked/>
    <w:rsid w:val="00DB6966"/>
    <w:pPr>
      <w:ind w:left="284"/>
    </w:pPr>
    <w:rPr>
      <w:rFonts w:eastAsiaTheme="minorHAnsi" w:cstheme="minorBidi"/>
      <w:szCs w:val="22"/>
    </w:rPr>
  </w:style>
  <w:style w:type="paragraph" w:styleId="BodyText">
    <w:name w:val="Body Text"/>
    <w:basedOn w:val="Normal"/>
    <w:link w:val="BodyTextChar"/>
    <w:uiPriority w:val="99"/>
    <w:unhideWhenUsed/>
    <w:locked/>
    <w:rsid w:val="008A3861"/>
    <w:pPr>
      <w:pBdr>
        <w:top w:val="single" w:sz="8" w:space="1" w:color="C00000"/>
        <w:left w:val="single" w:sz="8" w:space="4" w:color="C00000"/>
        <w:bottom w:val="single" w:sz="8" w:space="1" w:color="C00000"/>
        <w:right w:val="single" w:sz="8" w:space="4" w:color="C00000"/>
      </w:pBdr>
      <w:spacing w:before="60"/>
      <w:ind w:left="567" w:right="567"/>
    </w:pPr>
    <w:rPr>
      <w:rFonts w:eastAsiaTheme="minorHAnsi" w:cstheme="minorBidi"/>
      <w:b/>
      <w:color w:val="C00000"/>
      <w:sz w:val="20"/>
      <w:szCs w:val="22"/>
    </w:rPr>
  </w:style>
  <w:style w:type="character" w:customStyle="1" w:styleId="BodyTextChar">
    <w:name w:val="Body Text Char"/>
    <w:basedOn w:val="DefaultParagraphFont"/>
    <w:link w:val="BodyText"/>
    <w:uiPriority w:val="99"/>
    <w:rsid w:val="008A3861"/>
    <w:rPr>
      <w:rFonts w:ascii="Arial" w:eastAsiaTheme="minorHAnsi" w:hAnsi="Arial"/>
      <w:b/>
      <w:color w:val="C00000"/>
      <w:sz w:val="20"/>
      <w:szCs w:val="22"/>
      <w:lang w:val="en-AU"/>
    </w:rPr>
  </w:style>
  <w:style w:type="paragraph" w:styleId="BodyText2">
    <w:name w:val="Body Text 2"/>
    <w:basedOn w:val="BodyText"/>
    <w:link w:val="BodyText2Char"/>
    <w:uiPriority w:val="99"/>
    <w:unhideWhenUsed/>
    <w:locked/>
    <w:rsid w:val="008A3861"/>
    <w:rPr>
      <w:b w:val="0"/>
    </w:rPr>
  </w:style>
  <w:style w:type="character" w:customStyle="1" w:styleId="BodyText2Char">
    <w:name w:val="Body Text 2 Char"/>
    <w:basedOn w:val="DefaultParagraphFont"/>
    <w:link w:val="BodyText2"/>
    <w:uiPriority w:val="99"/>
    <w:rsid w:val="008A3861"/>
    <w:rPr>
      <w:rFonts w:ascii="Arial" w:eastAsiaTheme="minorHAnsi" w:hAnsi="Arial"/>
      <w:color w:val="C00000"/>
      <w:sz w:val="20"/>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387492"/>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87492"/>
    <w:rPr>
      <w:rFonts w:ascii="Segoe UI" w:hAnsi="Segoe UI" w:cs="Segoe UI"/>
      <w:sz w:val="18"/>
      <w:szCs w:val="18"/>
    </w:rPr>
  </w:style>
  <w:style w:type="table" w:customStyle="1" w:styleId="TableGrid2">
    <w:name w:val="Table Grid2"/>
    <w:basedOn w:val="TableNormal"/>
    <w:next w:val="TableGrid"/>
    <w:uiPriority w:val="59"/>
    <w:rsid w:val="0062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8F5"/>
    <w:rPr>
      <w:rFonts w:ascii="Arial" w:hAnsi="Arial" w:cs="Arial"/>
      <w:sz w:val="18"/>
      <w:szCs w:val="18"/>
    </w:rPr>
  </w:style>
  <w:style w:type="character" w:customStyle="1" w:styleId="Mention1">
    <w:name w:val="Mention1"/>
    <w:basedOn w:val="DefaultParagraphFont"/>
    <w:uiPriority w:val="99"/>
    <w:semiHidden/>
    <w:unhideWhenUsed/>
    <w:rsid w:val="008A3861"/>
    <w:rPr>
      <w:color w:val="2B579A"/>
      <w:shd w:val="clear" w:color="auto" w:fill="E6E6E6"/>
    </w:rPr>
  </w:style>
  <w:style w:type="table" w:customStyle="1" w:styleId="GridTable6Colorful2">
    <w:name w:val="Grid Table 6 Colorful2"/>
    <w:basedOn w:val="TableNormal"/>
    <w:uiPriority w:val="51"/>
    <w:rsid w:val="00E378B3"/>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Data">
    <w:name w:val="TableData"/>
    <w:basedOn w:val="Normal"/>
    <w:rsid w:val="00CD725B"/>
    <w:pPr>
      <w:tabs>
        <w:tab w:val="decimal" w:pos="1008"/>
      </w:tabs>
      <w:spacing w:after="120" w:line="120" w:lineRule="atLeast"/>
      <w:ind w:left="72" w:right="72"/>
    </w:pPr>
    <w:rPr>
      <w:rFonts w:eastAsia="Times New Roman" w:cs="Times New Roman"/>
      <w:sz w:val="20"/>
      <w:szCs w:val="20"/>
    </w:rPr>
  </w:style>
  <w:style w:type="paragraph" w:customStyle="1" w:styleId="AddressPhone">
    <w:name w:val="Address/Phone"/>
    <w:basedOn w:val="Normal"/>
    <w:rsid w:val="00CD725B"/>
    <w:pPr>
      <w:spacing w:before="0" w:line="240" w:lineRule="auto"/>
      <w:ind w:left="245"/>
    </w:pPr>
    <w:rPr>
      <w:rFonts w:eastAsia="Times New Roman" w:cs="Times New Roman"/>
      <w:sz w:val="20"/>
      <w:szCs w:val="20"/>
    </w:rPr>
  </w:style>
  <w:style w:type="paragraph" w:customStyle="1" w:styleId="TableText">
    <w:name w:val="TableText"/>
    <w:basedOn w:val="TableData"/>
    <w:rsid w:val="00CD725B"/>
    <w:pPr>
      <w:tabs>
        <w:tab w:val="clear" w:pos="1008"/>
      </w:tabs>
    </w:pPr>
  </w:style>
  <w:style w:type="paragraph" w:customStyle="1" w:styleId="CompanyName">
    <w:name w:val="Company Name"/>
    <w:basedOn w:val="Normal"/>
    <w:next w:val="Slogan"/>
    <w:rsid w:val="00CD725B"/>
    <w:pPr>
      <w:spacing w:before="0" w:line="240" w:lineRule="atLeast"/>
      <w:ind w:left="245"/>
    </w:pPr>
    <w:rPr>
      <w:rFonts w:eastAsia="Times New Roman" w:cs="Times New Roman"/>
      <w:b/>
      <w:sz w:val="36"/>
      <w:szCs w:val="20"/>
    </w:rPr>
  </w:style>
  <w:style w:type="paragraph" w:customStyle="1" w:styleId="Slogan">
    <w:name w:val="Slogan"/>
    <w:basedOn w:val="AddressPhone"/>
    <w:next w:val="AddressPhone"/>
    <w:rsid w:val="00CD725B"/>
    <w:rPr>
      <w:b/>
      <w:i/>
    </w:rPr>
  </w:style>
  <w:style w:type="paragraph" w:customStyle="1" w:styleId="ColumnHead">
    <w:name w:val="ColumnHead"/>
    <w:basedOn w:val="Normal"/>
    <w:rsid w:val="00CD725B"/>
    <w:pPr>
      <w:spacing w:before="0" w:line="240" w:lineRule="auto"/>
      <w:jc w:val="center"/>
    </w:pPr>
    <w:rPr>
      <w:rFonts w:eastAsia="Times New Roman" w:cs="Times New Roman"/>
      <w:b/>
      <w:caps/>
      <w:color w:val="000000"/>
      <w:sz w:val="20"/>
      <w:szCs w:val="20"/>
    </w:rPr>
  </w:style>
  <w:style w:type="paragraph" w:customStyle="1" w:styleId="DatesNotes">
    <w:name w:val="Dates/Notes"/>
    <w:basedOn w:val="Normal"/>
    <w:rsid w:val="00CD725B"/>
    <w:pPr>
      <w:spacing w:before="0" w:line="240" w:lineRule="auto"/>
    </w:pPr>
    <w:rPr>
      <w:rFonts w:eastAsia="Times New Roman" w:cs="Times New Roman"/>
      <w:b/>
      <w:sz w:val="20"/>
      <w:szCs w:val="20"/>
    </w:rPr>
  </w:style>
  <w:style w:type="paragraph" w:customStyle="1" w:styleId="NonDecimalTableData">
    <w:name w:val="NonDecimalTableData"/>
    <w:basedOn w:val="TableData"/>
    <w:rsid w:val="00CD725B"/>
    <w:pPr>
      <w:tabs>
        <w:tab w:val="right" w:pos="1008"/>
      </w:tabs>
    </w:pPr>
  </w:style>
  <w:style w:type="paragraph" w:styleId="ListParagraph">
    <w:name w:val="List Paragraph"/>
    <w:basedOn w:val="Normal"/>
    <w:uiPriority w:val="34"/>
    <w:qFormat/>
    <w:locked/>
    <w:rsid w:val="00D73C30"/>
    <w:pPr>
      <w:ind w:left="720"/>
      <w:contextualSpacing/>
    </w:pPr>
  </w:style>
  <w:style w:type="character" w:styleId="UnresolvedMention">
    <w:name w:val="Unresolved Mention"/>
    <w:basedOn w:val="DefaultParagraphFont"/>
    <w:uiPriority w:val="99"/>
    <w:semiHidden/>
    <w:unhideWhenUsed/>
    <w:rsid w:val="00DA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69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r.business.gov.au/" TargetMode="External"/><Relationship Id="rId18" Type="http://schemas.openxmlformats.org/officeDocument/2006/relationships/hyperlink" Target="http://www.abr.business.gov.au/Index.aspx" TargetMode="External"/><Relationship Id="rId26" Type="http://schemas.openxmlformats.org/officeDocument/2006/relationships/hyperlink" Target="https://edugate.eduweb.vic.gov.au/Services/Finance/School%20FBT%20Documents/FBT%20Hospitality%20Guide%20for%20Schools.docx" TargetMode="External"/><Relationship Id="rId3" Type="http://schemas.openxmlformats.org/officeDocument/2006/relationships/customXml" Target="../customXml/item3.xml"/><Relationship Id="rId21" Type="http://schemas.openxmlformats.org/officeDocument/2006/relationships/hyperlink" Target="https://www.eduweb.vic.gov.au/fbt/"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dugate.eduweb.vic.gov.au/Services/Finance/Pages/Tax.aspx" TargetMode="External"/><Relationship Id="rId17" Type="http://schemas.openxmlformats.org/officeDocument/2006/relationships/hyperlink" Target="https://edugate.eduweb.vic.gov.au/Services/Finance/School%20GST%20Documents/Tax%20Invoices.doc" TargetMode="External"/><Relationship Id="rId25" Type="http://schemas.openxmlformats.org/officeDocument/2006/relationships/hyperlink" Target="https://www.education.vic.gov.au/school/principals/spag/governance/pages/gifts.aspx" TargetMode="External"/><Relationship Id="rId33" Type="http://schemas.openxmlformats.org/officeDocument/2006/relationships/hyperlink" Target="http://www.education.vic.gov.au/school/principals/spag/Pages/spag.aspx" TargetMode="External"/><Relationship Id="rId2" Type="http://schemas.openxmlformats.org/officeDocument/2006/relationships/customXml" Target="../customXml/item2.xml"/><Relationship Id="rId16" Type="http://schemas.openxmlformats.org/officeDocument/2006/relationships/hyperlink" Target="https://bp.ato.gov.au/" TargetMode="External"/><Relationship Id="rId20" Type="http://schemas.openxmlformats.org/officeDocument/2006/relationships/hyperlink" Target="https://edugate.eduweb.vic.gov.au/Services/Finance/Pages/Tax.aspx" TargetMode="External"/><Relationship Id="rId29" Type="http://schemas.openxmlformats.org/officeDocument/2006/relationships/hyperlink" Target="https://edugate.eduweb.vic.gov.au/Services/Finance/School%20GST%20Documents/Deductible%20Gift%20Recipient%20Fund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gate.eduweb.vic.gov.au/Services/Finance/School%20FBT%20Documents/School%20Hospitality%20Expense%20Approval%20form.docx" TargetMode="External"/><Relationship Id="rId32" Type="http://schemas.openxmlformats.org/officeDocument/2006/relationships/hyperlink" Target="https://www.education.vic.gov.au/school/teachers/management/finance/Pages/cases21.aspx" TargetMode="External"/><Relationship Id="rId5" Type="http://schemas.openxmlformats.org/officeDocument/2006/relationships/customXml" Target="../customXml/item5.xml"/><Relationship Id="rId15" Type="http://schemas.openxmlformats.org/officeDocument/2006/relationships/hyperlink" Target="https://edugate.eduweb.vic.gov.au/Services/Finance/School%20GST%20Documents/AUSkey.doc" TargetMode="External"/><Relationship Id="rId23" Type="http://schemas.openxmlformats.org/officeDocument/2006/relationships/hyperlink" Target="mailto:tax@edumail.vic.gov.au" TargetMode="External"/><Relationship Id="rId28" Type="http://schemas.openxmlformats.org/officeDocument/2006/relationships/hyperlink" Target="https://www.eduweb.vic.gov.au/fb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ax@edumail.vic.gov.au" TargetMode="External"/><Relationship Id="rId31" Type="http://schemas.openxmlformats.org/officeDocument/2006/relationships/hyperlink" Target="http://www.bp.ato.gov.au" TargetMode="External"/><Relationship Id="rId35"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bp.ato.gov.au/" TargetMode="External"/><Relationship Id="rId22" Type="http://schemas.openxmlformats.org/officeDocument/2006/relationships/hyperlink" Target="mailto:tax@edumail.vic.gov.au" TargetMode="External"/><Relationship Id="rId27" Type="http://schemas.openxmlformats.org/officeDocument/2006/relationships/hyperlink" Target="https://edugate.eduweb.vic.gov.au/Services/Finance/Pages/Tax.aspx" TargetMode="External"/><Relationship Id="rId30" Type="http://schemas.openxmlformats.org/officeDocument/2006/relationships/hyperlink" Target="https://edugate.eduweb.vic.gov.au/Services/Finance/School%20GST%20Documents/Fuel%20Tax%20Credits.docx"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500c308d-f2fb-4fe0-9990-16f1afa0b8fb"/>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431911D-72A1-4D98-810A-96766AFE8963}"/>
</file>

<file path=customXml/itemProps4.xml><?xml version="1.0" encoding="utf-8"?>
<ds:datastoreItem xmlns:ds="http://schemas.openxmlformats.org/officeDocument/2006/customXml" ds:itemID="{81156A9F-EDE9-4254-BCCB-66F6E997CC7D}">
  <ds:schemaRefs>
    <ds:schemaRef ds:uri="http://schemas.microsoft.com/sharepoint/events"/>
  </ds:schemaRefs>
</ds:datastoreItem>
</file>

<file path=customXml/itemProps5.xml><?xml version="1.0" encoding="utf-8"?>
<ds:datastoreItem xmlns:ds="http://schemas.openxmlformats.org/officeDocument/2006/customXml" ds:itemID="{7334435A-6E69-4DF9-A7CF-BEC41BCA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Stacey, Kimberley C</cp:lastModifiedBy>
  <cp:revision>4</cp:revision>
  <cp:lastPrinted>2019-02-01T01:08:00Z</cp:lastPrinted>
  <dcterms:created xsi:type="dcterms:W3CDTF">2019-08-06T01:00:00Z</dcterms:created>
  <dcterms:modified xsi:type="dcterms:W3CDTF">2020-02-14T01:15:00Z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