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DD" w:rsidRPr="00725887" w:rsidRDefault="009D3BB9" w:rsidP="006554DD">
      <w:pPr>
        <w:pStyle w:val="Heading1"/>
        <w:rPr>
          <w:rFonts w:cs="Arial"/>
          <w:b w:val="0"/>
          <w:szCs w:val="44"/>
        </w:rPr>
      </w:pPr>
      <w:bookmarkStart w:id="0" w:name="_Toc455499267"/>
      <w:bookmarkStart w:id="1" w:name="_Toc455499461"/>
      <w:bookmarkStart w:id="2" w:name="_Toc455501167"/>
      <w:bookmarkStart w:id="3" w:name="_GoBack"/>
      <w:bookmarkEnd w:id="3"/>
      <w:r w:rsidRPr="00725887">
        <w:rPr>
          <w:rFonts w:cs="Arial"/>
          <w:szCs w:val="44"/>
        </w:rPr>
        <w:t>Section 1</w:t>
      </w:r>
      <w:r w:rsidR="00967210" w:rsidRPr="00725887">
        <w:rPr>
          <w:rFonts w:cs="Arial"/>
          <w:szCs w:val="44"/>
        </w:rPr>
        <w:t>4</w:t>
      </w:r>
      <w:r w:rsidR="006554DD" w:rsidRPr="00725887">
        <w:rPr>
          <w:rFonts w:cs="Arial"/>
          <w:szCs w:val="44"/>
        </w:rPr>
        <w:t xml:space="preserve">: </w:t>
      </w:r>
      <w:r w:rsidRPr="00725887">
        <w:rPr>
          <w:rFonts w:cs="Arial"/>
          <w:szCs w:val="44"/>
        </w:rPr>
        <w:t>Liabilities Management</w:t>
      </w:r>
    </w:p>
    <w:p w:rsidR="006554DD" w:rsidRPr="009F57A3" w:rsidRDefault="009D3BB9" w:rsidP="006554DD">
      <w:pPr>
        <w:pStyle w:val="Heading2"/>
      </w:pPr>
      <w:r>
        <w:t>1</w:t>
      </w:r>
      <w:r w:rsidR="00967210">
        <w:t>4</w:t>
      </w:r>
      <w:r w:rsidR="006554DD" w:rsidRPr="009F57A3">
        <w:t>.1</w:t>
      </w:r>
      <w:r w:rsidR="00D749B5">
        <w:tab/>
      </w:r>
      <w:r w:rsidR="006554DD" w:rsidRPr="00725887">
        <w:t>Overview</w:t>
      </w:r>
    </w:p>
    <w:p w:rsidR="00C84D64" w:rsidRDefault="006D073A" w:rsidP="004A0A8D">
      <w:r>
        <w:t xml:space="preserve">Liabilities are amounts owed to lenders and suppliers. Liabilities can also include amounts received in advance for future </w:t>
      </w:r>
      <w:r w:rsidR="006A52F0">
        <w:t>costs</w:t>
      </w:r>
      <w:r>
        <w:t xml:space="preserve"> or for a future service. For schools</w:t>
      </w:r>
      <w:r w:rsidR="00CB62A0">
        <w:t>,</w:t>
      </w:r>
      <w:r>
        <w:t xml:space="preserve"> the most common liabilities are accounts payable, revenue in advance and co</w:t>
      </w:r>
      <w:r w:rsidR="00AE0261">
        <w:t>-</w:t>
      </w:r>
      <w:r>
        <w:t>operative loan</w:t>
      </w:r>
      <w:r w:rsidR="00CB62A0">
        <w:t>s</w:t>
      </w:r>
      <w:r>
        <w:t>.</w:t>
      </w:r>
    </w:p>
    <w:p w:rsidR="006554DD" w:rsidRDefault="006D073A" w:rsidP="006554DD">
      <w:pPr>
        <w:pStyle w:val="Heading2"/>
      </w:pPr>
      <w:r>
        <w:t>14</w:t>
      </w:r>
      <w:r w:rsidR="006554DD" w:rsidRPr="009F57A3">
        <w:t>.2</w:t>
      </w:r>
      <w:r w:rsidR="00D749B5">
        <w:tab/>
      </w:r>
      <w:r w:rsidR="00F86CE6">
        <w:t>Accounts Payable</w:t>
      </w:r>
    </w:p>
    <w:p w:rsidR="006D073A" w:rsidRPr="006D073A" w:rsidRDefault="003A086D" w:rsidP="00CB62A0">
      <w:r>
        <w:t>These are the amounts owed to creditors for the supply of goods and services.</w:t>
      </w:r>
    </w:p>
    <w:p w:rsidR="006554DD" w:rsidRPr="009F57A3" w:rsidRDefault="00310CD8" w:rsidP="006554DD">
      <w:pPr>
        <w:pStyle w:val="Heading3"/>
      </w:pPr>
      <w:r>
        <w:t>14</w:t>
      </w:r>
      <w:r w:rsidR="006554DD" w:rsidRPr="009F57A3">
        <w:t>.2.1</w:t>
      </w:r>
      <w:r w:rsidR="00D749B5">
        <w:tab/>
      </w:r>
      <w:r w:rsidR="006554DD" w:rsidRPr="009F57A3">
        <w:t>Mandatory policy (</w:t>
      </w:r>
      <w:r w:rsidR="006D073A">
        <w:t>Must do</w:t>
      </w:r>
      <w:r w:rsidR="006554DD" w:rsidRPr="009F57A3">
        <w:t>)</w:t>
      </w:r>
      <w:r w:rsidR="00CB3C06">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930"/>
      </w:tblGrid>
      <w:tr w:rsidR="00EB593B" w:rsidRPr="0091756B" w:rsidTr="00EB593B">
        <w:trPr>
          <w:trHeight w:val="567"/>
        </w:trPr>
        <w:tc>
          <w:tcPr>
            <w:tcW w:w="1134" w:type="dxa"/>
            <w:tcBorders>
              <w:bottom w:val="single" w:sz="4" w:space="0" w:color="auto"/>
            </w:tcBorders>
            <w:shd w:val="clear" w:color="auto" w:fill="FFFFFF" w:themeFill="background1"/>
          </w:tcPr>
          <w:p w:rsidR="00EB593B" w:rsidRPr="00DD599E" w:rsidRDefault="00EB593B" w:rsidP="00CB62A0">
            <w:pPr>
              <w:rPr>
                <w:b/>
                <w:sz w:val="18"/>
              </w:rPr>
            </w:pPr>
            <w:r>
              <w:rPr>
                <w:b/>
                <w:sz w:val="18"/>
              </w:rPr>
              <w:t>Sequence Numbers</w:t>
            </w:r>
          </w:p>
        </w:tc>
        <w:tc>
          <w:tcPr>
            <w:tcW w:w="7088" w:type="dxa"/>
            <w:tcBorders>
              <w:bottom w:val="single" w:sz="4" w:space="0" w:color="auto"/>
            </w:tcBorders>
            <w:shd w:val="clear" w:color="auto" w:fill="auto"/>
          </w:tcPr>
          <w:p w:rsidR="00EB593B" w:rsidRPr="00DD599E" w:rsidRDefault="00EB593B" w:rsidP="004A0A8D">
            <w:pPr>
              <w:rPr>
                <w:b/>
                <w:sz w:val="20"/>
                <w:szCs w:val="20"/>
              </w:rPr>
            </w:pPr>
            <w:r w:rsidRPr="00DD599E">
              <w:rPr>
                <w:b/>
                <w:sz w:val="20"/>
                <w:szCs w:val="20"/>
              </w:rPr>
              <w:t>Information</w:t>
            </w:r>
          </w:p>
        </w:tc>
        <w:tc>
          <w:tcPr>
            <w:tcW w:w="930" w:type="dxa"/>
            <w:tcBorders>
              <w:top w:val="nil"/>
              <w:bottom w:val="single" w:sz="4" w:space="0" w:color="auto"/>
              <w:right w:val="nil"/>
            </w:tcBorders>
          </w:tcPr>
          <w:p w:rsidR="00EB593B" w:rsidRPr="00DD599E" w:rsidRDefault="00EB593B" w:rsidP="004A0A8D">
            <w:pPr>
              <w:rPr>
                <w:b/>
                <w:sz w:val="20"/>
                <w:szCs w:val="20"/>
              </w:rPr>
            </w:pPr>
          </w:p>
        </w:tc>
      </w:tr>
      <w:tr w:rsidR="00EB593B" w:rsidRPr="0091756B" w:rsidTr="00EB593B">
        <w:trPr>
          <w:trHeight w:val="567"/>
        </w:trPr>
        <w:tc>
          <w:tcPr>
            <w:tcW w:w="1134" w:type="dxa"/>
            <w:tcBorders>
              <w:bottom w:val="single" w:sz="4" w:space="0" w:color="auto"/>
            </w:tcBorders>
            <w:shd w:val="clear" w:color="auto" w:fill="FFFFFF" w:themeFill="background1"/>
          </w:tcPr>
          <w:p w:rsidR="00EB593B" w:rsidRPr="0091756B" w:rsidRDefault="00EB593B" w:rsidP="00CB62A0">
            <w:r>
              <w:t>14</w:t>
            </w:r>
            <w:r w:rsidRPr="0091756B">
              <w:t>.2.1.1</w:t>
            </w:r>
          </w:p>
        </w:tc>
        <w:tc>
          <w:tcPr>
            <w:tcW w:w="7088" w:type="dxa"/>
            <w:tcBorders>
              <w:bottom w:val="single" w:sz="4" w:space="0" w:color="auto"/>
            </w:tcBorders>
            <w:shd w:val="clear" w:color="auto" w:fill="auto"/>
          </w:tcPr>
          <w:p w:rsidR="00EB593B" w:rsidRDefault="00EB593B" w:rsidP="004A0A8D">
            <w:r>
              <w:t>When entering creditor details check the validity of the ABN provided.</w:t>
            </w:r>
          </w:p>
        </w:tc>
        <w:tc>
          <w:tcPr>
            <w:tcW w:w="930" w:type="dxa"/>
            <w:tcBorders>
              <w:bottom w:val="single" w:sz="4" w:space="0" w:color="auto"/>
            </w:tcBorders>
          </w:tcPr>
          <w:p w:rsidR="00EB593B" w:rsidRDefault="00EB593B" w:rsidP="004A0A8D"/>
        </w:tc>
      </w:tr>
      <w:tr w:rsidR="00EB593B" w:rsidRPr="0091756B" w:rsidTr="00EB593B">
        <w:trPr>
          <w:trHeight w:val="1042"/>
        </w:trPr>
        <w:tc>
          <w:tcPr>
            <w:tcW w:w="1134" w:type="dxa"/>
            <w:tcBorders>
              <w:top w:val="single" w:sz="4" w:space="0" w:color="auto"/>
              <w:left w:val="single" w:sz="4" w:space="0" w:color="auto"/>
              <w:bottom w:val="single" w:sz="4" w:space="0" w:color="auto"/>
            </w:tcBorders>
            <w:shd w:val="clear" w:color="auto" w:fill="FFFFFF" w:themeFill="background1"/>
          </w:tcPr>
          <w:p w:rsidR="00EB593B" w:rsidRPr="0091756B" w:rsidRDefault="00EB593B" w:rsidP="00CB62A0">
            <w:r>
              <w:t>14</w:t>
            </w:r>
            <w:r w:rsidRPr="0091756B">
              <w:t>.2.1.2</w:t>
            </w:r>
          </w:p>
        </w:tc>
        <w:tc>
          <w:tcPr>
            <w:tcW w:w="7088" w:type="dxa"/>
            <w:tcBorders>
              <w:top w:val="single" w:sz="4" w:space="0" w:color="auto"/>
              <w:bottom w:val="single" w:sz="4" w:space="0" w:color="auto"/>
            </w:tcBorders>
            <w:shd w:val="clear" w:color="auto" w:fill="auto"/>
          </w:tcPr>
          <w:p w:rsidR="00EB593B" w:rsidRDefault="00EB593B" w:rsidP="00BE0713">
            <w:r>
              <w:t xml:space="preserve">Where a creditor does not have an ABN, select the most appropriate code to be entered into the ABN field. See </w:t>
            </w:r>
            <w:hyperlink r:id="rId11" w:history="1">
              <w:r w:rsidRPr="003C66F7">
                <w:rPr>
                  <w:rStyle w:val="Hyperlink"/>
                </w:rPr>
                <w:t xml:space="preserve">CASES21 Finance Business Process Guide Section 3 </w:t>
              </w:r>
              <w:r>
                <w:rPr>
                  <w:rStyle w:val="Hyperlink"/>
                </w:rPr>
                <w:t xml:space="preserve">- </w:t>
              </w:r>
              <w:r w:rsidRPr="003C66F7">
                <w:rPr>
                  <w:rStyle w:val="Hyperlink"/>
                </w:rPr>
                <w:t>Creditors</w:t>
              </w:r>
            </w:hyperlink>
            <w:r>
              <w:rPr>
                <w:rStyle w:val="Hyperlink"/>
              </w:rPr>
              <w:t>.</w:t>
            </w:r>
          </w:p>
        </w:tc>
        <w:tc>
          <w:tcPr>
            <w:tcW w:w="930" w:type="dxa"/>
            <w:tcBorders>
              <w:top w:val="single" w:sz="4" w:space="0" w:color="auto"/>
              <w:bottom w:val="single" w:sz="4" w:space="0" w:color="auto"/>
            </w:tcBorders>
          </w:tcPr>
          <w:p w:rsidR="00EB593B" w:rsidRDefault="00EB593B" w:rsidP="00BE0713"/>
        </w:tc>
      </w:tr>
      <w:tr w:rsidR="00EB593B" w:rsidRPr="0091756B" w:rsidTr="00EB593B">
        <w:trPr>
          <w:trHeight w:val="567"/>
        </w:trPr>
        <w:tc>
          <w:tcPr>
            <w:tcW w:w="1134" w:type="dxa"/>
            <w:tcBorders>
              <w:top w:val="single" w:sz="4" w:space="0" w:color="auto"/>
              <w:left w:val="single" w:sz="4" w:space="0" w:color="auto"/>
              <w:bottom w:val="single" w:sz="4" w:space="0" w:color="auto"/>
            </w:tcBorders>
            <w:shd w:val="clear" w:color="auto" w:fill="FFFFFF" w:themeFill="background1"/>
          </w:tcPr>
          <w:p w:rsidR="00EB593B" w:rsidRPr="0091756B" w:rsidRDefault="00EB593B" w:rsidP="00CB62A0">
            <w:r>
              <w:t>14.2.1.3</w:t>
            </w:r>
          </w:p>
        </w:tc>
        <w:tc>
          <w:tcPr>
            <w:tcW w:w="7088" w:type="dxa"/>
            <w:tcBorders>
              <w:top w:val="single" w:sz="4" w:space="0" w:color="auto"/>
              <w:bottom w:val="single" w:sz="4" w:space="0" w:color="auto"/>
            </w:tcBorders>
            <w:shd w:val="clear" w:color="auto" w:fill="auto"/>
          </w:tcPr>
          <w:p w:rsidR="00EB593B" w:rsidRDefault="00EB593B" w:rsidP="004A0A8D">
            <w:r>
              <w:t>Regularly review invoices awaiting payment and outstanding orders and take appropriate action. (For example, pay overdue invoices, cancel invalid invoices and orders).</w:t>
            </w:r>
          </w:p>
        </w:tc>
        <w:tc>
          <w:tcPr>
            <w:tcW w:w="930" w:type="dxa"/>
            <w:tcBorders>
              <w:top w:val="single" w:sz="4" w:space="0" w:color="auto"/>
              <w:bottom w:val="single" w:sz="4" w:space="0" w:color="auto"/>
            </w:tcBorders>
          </w:tcPr>
          <w:p w:rsidR="00EB593B" w:rsidRDefault="00EB593B" w:rsidP="004A0A8D"/>
        </w:tc>
      </w:tr>
      <w:tr w:rsidR="00EB593B" w:rsidRPr="0091756B" w:rsidTr="00EB593B">
        <w:trPr>
          <w:trHeight w:val="567"/>
        </w:trPr>
        <w:tc>
          <w:tcPr>
            <w:tcW w:w="1134" w:type="dxa"/>
            <w:tcBorders>
              <w:top w:val="single" w:sz="4" w:space="0" w:color="auto"/>
              <w:left w:val="single" w:sz="4" w:space="0" w:color="auto"/>
              <w:bottom w:val="single" w:sz="4" w:space="0" w:color="auto"/>
            </w:tcBorders>
            <w:shd w:val="clear" w:color="auto" w:fill="FFFFFF" w:themeFill="background1"/>
          </w:tcPr>
          <w:p w:rsidR="00EB593B" w:rsidRPr="0091756B" w:rsidRDefault="00EB593B" w:rsidP="00CB62A0">
            <w:r>
              <w:t>14.2.1.4</w:t>
            </w:r>
          </w:p>
        </w:tc>
        <w:tc>
          <w:tcPr>
            <w:tcW w:w="7088" w:type="dxa"/>
            <w:tcBorders>
              <w:top w:val="single" w:sz="4" w:space="0" w:color="auto"/>
              <w:bottom w:val="single" w:sz="4" w:space="0" w:color="auto"/>
            </w:tcBorders>
            <w:shd w:val="clear" w:color="auto" w:fill="auto"/>
          </w:tcPr>
          <w:p w:rsidR="00EB593B" w:rsidRDefault="00EB593B" w:rsidP="004A0A8D">
            <w:r>
              <w:t>Regularly review unallocated creditor items and take appropriate action. (For example, allocate payments to relevant invoices.)</w:t>
            </w:r>
          </w:p>
        </w:tc>
        <w:tc>
          <w:tcPr>
            <w:tcW w:w="930" w:type="dxa"/>
            <w:tcBorders>
              <w:top w:val="single" w:sz="4" w:space="0" w:color="auto"/>
              <w:bottom w:val="single" w:sz="4" w:space="0" w:color="auto"/>
            </w:tcBorders>
          </w:tcPr>
          <w:p w:rsidR="00EB593B" w:rsidRDefault="00EB593B" w:rsidP="004A0A8D"/>
        </w:tc>
      </w:tr>
      <w:tr w:rsidR="00EB593B" w:rsidRPr="0091756B" w:rsidTr="00EB593B">
        <w:trPr>
          <w:trHeight w:val="567"/>
        </w:trPr>
        <w:tc>
          <w:tcPr>
            <w:tcW w:w="1134" w:type="dxa"/>
            <w:tcBorders>
              <w:top w:val="single" w:sz="4" w:space="0" w:color="auto"/>
              <w:left w:val="single" w:sz="4" w:space="0" w:color="auto"/>
              <w:bottom w:val="single" w:sz="4" w:space="0" w:color="auto"/>
            </w:tcBorders>
            <w:shd w:val="clear" w:color="auto" w:fill="FFFFFF" w:themeFill="background1"/>
          </w:tcPr>
          <w:p w:rsidR="00EB593B" w:rsidRPr="0091756B" w:rsidRDefault="00EB593B" w:rsidP="00CB62A0">
            <w:r>
              <w:t>14.2.1.5</w:t>
            </w:r>
          </w:p>
        </w:tc>
        <w:tc>
          <w:tcPr>
            <w:tcW w:w="7088" w:type="dxa"/>
            <w:tcBorders>
              <w:top w:val="single" w:sz="4" w:space="0" w:color="auto"/>
              <w:bottom w:val="single" w:sz="4" w:space="0" w:color="auto"/>
            </w:tcBorders>
            <w:shd w:val="clear" w:color="auto" w:fill="auto"/>
          </w:tcPr>
          <w:p w:rsidR="00EB593B" w:rsidRDefault="00EB593B" w:rsidP="004A0A8D">
            <w:r>
              <w:t>Enter invoices on a regular basis into CASES21 in the period to which they apply.</w:t>
            </w:r>
          </w:p>
        </w:tc>
        <w:tc>
          <w:tcPr>
            <w:tcW w:w="930" w:type="dxa"/>
            <w:tcBorders>
              <w:top w:val="single" w:sz="4" w:space="0" w:color="auto"/>
              <w:bottom w:val="single" w:sz="4" w:space="0" w:color="auto"/>
            </w:tcBorders>
          </w:tcPr>
          <w:p w:rsidR="00EB593B" w:rsidRDefault="00EB593B" w:rsidP="004A0A8D"/>
        </w:tc>
      </w:tr>
      <w:tr w:rsidR="00EB593B" w:rsidRPr="0091756B" w:rsidTr="00EB593B">
        <w:trPr>
          <w:trHeight w:val="1331"/>
        </w:trPr>
        <w:tc>
          <w:tcPr>
            <w:tcW w:w="1134" w:type="dxa"/>
            <w:tcBorders>
              <w:top w:val="single" w:sz="4" w:space="0" w:color="auto"/>
              <w:left w:val="single" w:sz="4" w:space="0" w:color="auto"/>
              <w:bottom w:val="single" w:sz="4" w:space="0" w:color="auto"/>
            </w:tcBorders>
            <w:shd w:val="clear" w:color="auto" w:fill="FFFFFF" w:themeFill="background1"/>
          </w:tcPr>
          <w:p w:rsidR="00EB593B" w:rsidRPr="0091756B" w:rsidRDefault="00EB593B" w:rsidP="00CB62A0">
            <w:r>
              <w:t>14.2.1.6</w:t>
            </w:r>
          </w:p>
        </w:tc>
        <w:tc>
          <w:tcPr>
            <w:tcW w:w="7088" w:type="dxa"/>
            <w:tcBorders>
              <w:top w:val="single" w:sz="4" w:space="0" w:color="auto"/>
              <w:bottom w:val="single" w:sz="4" w:space="0" w:color="auto"/>
            </w:tcBorders>
            <w:shd w:val="clear" w:color="auto" w:fill="auto"/>
          </w:tcPr>
          <w:p w:rsidR="00EB593B" w:rsidRDefault="00EB593B" w:rsidP="00EB3B98">
            <w:r>
              <w:t xml:space="preserve">Undertake balance day adjustments for prepaid expenses where appropriate. (For example, deposit paid for next year’s camp.) Refer to </w:t>
            </w:r>
            <w:hyperlink r:id="rId12" w:history="1">
              <w:r w:rsidRPr="00E468CB">
                <w:rPr>
                  <w:rStyle w:val="Hyperlink"/>
                </w:rPr>
                <w:t>CASES21 Finance Business Process Guide Section 10 – Balance Day Adjustments.</w:t>
              </w:r>
            </w:hyperlink>
          </w:p>
        </w:tc>
        <w:tc>
          <w:tcPr>
            <w:tcW w:w="930" w:type="dxa"/>
            <w:tcBorders>
              <w:top w:val="single" w:sz="4" w:space="0" w:color="auto"/>
              <w:bottom w:val="single" w:sz="4" w:space="0" w:color="auto"/>
            </w:tcBorders>
          </w:tcPr>
          <w:p w:rsidR="00EB593B" w:rsidRDefault="00EB593B" w:rsidP="00EB3B98"/>
        </w:tc>
      </w:tr>
      <w:bookmarkEnd w:id="0"/>
      <w:bookmarkEnd w:id="1"/>
      <w:bookmarkEnd w:id="2"/>
    </w:tbl>
    <w:p w:rsidR="00CB62A0" w:rsidRDefault="00CB62A0" w:rsidP="00CB62A0"/>
    <w:p w:rsidR="003B190B" w:rsidRDefault="003B190B" w:rsidP="00CB62A0"/>
    <w:p w:rsidR="003B190B" w:rsidRDefault="003B190B" w:rsidP="00CB62A0"/>
    <w:p w:rsidR="003B190B" w:rsidRDefault="003B190B" w:rsidP="00CB62A0"/>
    <w:p w:rsidR="003B190B" w:rsidRDefault="003B190B" w:rsidP="00CB62A0"/>
    <w:p w:rsidR="003B190B" w:rsidRDefault="003B190B" w:rsidP="00CB62A0"/>
    <w:p w:rsidR="00DC6081" w:rsidRPr="00F97790" w:rsidRDefault="005F7306" w:rsidP="00F97790">
      <w:pPr>
        <w:pStyle w:val="Heading2"/>
      </w:pPr>
      <w:r>
        <w:lastRenderedPageBreak/>
        <w:t>14.3</w:t>
      </w:r>
      <w:r w:rsidR="00D749B5">
        <w:tab/>
      </w:r>
      <w:r w:rsidR="00DC6081" w:rsidRPr="00F97790">
        <w:t>Revenue in Advance</w:t>
      </w:r>
    </w:p>
    <w:p w:rsidR="00DC6081" w:rsidRPr="006D073A" w:rsidRDefault="001505CC" w:rsidP="00CB62A0">
      <w:r>
        <w:t xml:space="preserve">Amounts received in advance for future </w:t>
      </w:r>
      <w:r w:rsidR="006A52F0">
        <w:t>costs</w:t>
      </w:r>
      <w:r>
        <w:t xml:space="preserve"> or future services yet to be performed.</w:t>
      </w:r>
    </w:p>
    <w:p w:rsidR="00DC6081" w:rsidRPr="009F57A3" w:rsidRDefault="00DC6081" w:rsidP="00DC6081">
      <w:pPr>
        <w:pStyle w:val="Heading3"/>
      </w:pPr>
      <w:r>
        <w:t>14</w:t>
      </w:r>
      <w:r w:rsidR="00861B9A">
        <w:t>.3</w:t>
      </w:r>
      <w:r w:rsidRPr="009F57A3">
        <w:t>.1</w:t>
      </w:r>
      <w:r w:rsidR="00D749B5">
        <w:tab/>
      </w:r>
      <w:r w:rsidRPr="009F57A3">
        <w:t>Mandatory policy (</w:t>
      </w:r>
      <w:r>
        <w:t>Must do</w:t>
      </w:r>
      <w:r w:rsidRPr="009F57A3">
        <w:t>)</w:t>
      </w:r>
      <w:r w:rsidR="00CB3C06">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788"/>
      </w:tblGrid>
      <w:tr w:rsidR="00EB593B" w:rsidRPr="0091756B" w:rsidTr="00EB593B">
        <w:trPr>
          <w:trHeight w:val="728"/>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593B" w:rsidRPr="003B190B" w:rsidRDefault="00EB593B" w:rsidP="0037676B">
            <w:pPr>
              <w:rPr>
                <w:b/>
                <w:sz w:val="18"/>
              </w:rPr>
            </w:pPr>
            <w:r w:rsidRPr="003B190B">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B593B" w:rsidRPr="00F47EF7" w:rsidRDefault="00EB593B" w:rsidP="0037676B">
            <w:pPr>
              <w:rPr>
                <w:b/>
                <w:sz w:val="20"/>
                <w:szCs w:val="20"/>
              </w:rPr>
            </w:pPr>
            <w:r w:rsidRPr="00F47EF7">
              <w:rPr>
                <w:b/>
                <w:sz w:val="20"/>
                <w:szCs w:val="20"/>
              </w:rPr>
              <w:t>Information</w:t>
            </w:r>
          </w:p>
        </w:tc>
        <w:tc>
          <w:tcPr>
            <w:tcW w:w="788" w:type="dxa"/>
            <w:tcBorders>
              <w:top w:val="nil"/>
              <w:left w:val="single" w:sz="4" w:space="0" w:color="auto"/>
              <w:bottom w:val="single" w:sz="4" w:space="0" w:color="auto"/>
              <w:right w:val="nil"/>
            </w:tcBorders>
          </w:tcPr>
          <w:p w:rsidR="00EB593B" w:rsidRPr="003B190B" w:rsidRDefault="00EB593B" w:rsidP="0037676B">
            <w:pPr>
              <w:rPr>
                <w:b/>
              </w:rPr>
            </w:pPr>
          </w:p>
        </w:tc>
      </w:tr>
      <w:tr w:rsidR="00EB593B" w:rsidRPr="0091756B" w:rsidTr="00EB593B">
        <w:trPr>
          <w:trHeight w:val="1052"/>
        </w:trPr>
        <w:tc>
          <w:tcPr>
            <w:tcW w:w="1134" w:type="dxa"/>
            <w:tcBorders>
              <w:bottom w:val="single" w:sz="4" w:space="0" w:color="auto"/>
            </w:tcBorders>
            <w:shd w:val="clear" w:color="auto" w:fill="FFFFFF" w:themeFill="background1"/>
          </w:tcPr>
          <w:p w:rsidR="00EB593B" w:rsidRPr="0091756B" w:rsidRDefault="00EB593B" w:rsidP="00CB62A0">
            <w:r>
              <w:t>14</w:t>
            </w:r>
            <w:r w:rsidRPr="0091756B">
              <w:t>.</w:t>
            </w:r>
            <w:r>
              <w:t>3</w:t>
            </w:r>
            <w:r w:rsidRPr="0091756B">
              <w:t>.1.1</w:t>
            </w:r>
          </w:p>
        </w:tc>
        <w:tc>
          <w:tcPr>
            <w:tcW w:w="7088" w:type="dxa"/>
            <w:tcBorders>
              <w:bottom w:val="single" w:sz="4" w:space="0" w:color="auto"/>
            </w:tcBorders>
            <w:shd w:val="clear" w:color="auto" w:fill="auto"/>
          </w:tcPr>
          <w:p w:rsidR="00EB593B" w:rsidRDefault="00EB593B" w:rsidP="00AE0261">
            <w:r>
              <w:t xml:space="preserve">Undertake any balance day adjustments for revenue in advance. Refer to </w:t>
            </w:r>
            <w:hyperlink r:id="rId13" w:history="1">
              <w:r w:rsidRPr="00E468CB">
                <w:rPr>
                  <w:rStyle w:val="Hyperlink"/>
                </w:rPr>
                <w:t>CASES21 Finance Business Process Guide Section 10 – Balance Day Adjustments.</w:t>
              </w:r>
            </w:hyperlink>
          </w:p>
        </w:tc>
        <w:tc>
          <w:tcPr>
            <w:tcW w:w="788" w:type="dxa"/>
            <w:tcBorders>
              <w:bottom w:val="single" w:sz="4" w:space="0" w:color="auto"/>
            </w:tcBorders>
          </w:tcPr>
          <w:p w:rsidR="00EB593B" w:rsidRDefault="00EB593B" w:rsidP="00AE0261"/>
        </w:tc>
      </w:tr>
      <w:tr w:rsidR="00EB593B" w:rsidRPr="0091756B" w:rsidTr="00EB593B">
        <w:trPr>
          <w:trHeight w:val="557"/>
        </w:trPr>
        <w:tc>
          <w:tcPr>
            <w:tcW w:w="1134" w:type="dxa"/>
            <w:tcBorders>
              <w:top w:val="single" w:sz="4" w:space="0" w:color="auto"/>
              <w:left w:val="single" w:sz="4" w:space="0" w:color="auto"/>
              <w:bottom w:val="single" w:sz="4" w:space="0" w:color="auto"/>
            </w:tcBorders>
            <w:shd w:val="clear" w:color="auto" w:fill="FFFFFF" w:themeFill="background1"/>
          </w:tcPr>
          <w:p w:rsidR="00EB593B" w:rsidRPr="0091756B" w:rsidRDefault="00EB593B" w:rsidP="00CB62A0">
            <w:r>
              <w:t>14</w:t>
            </w:r>
            <w:r w:rsidRPr="0091756B">
              <w:t>.</w:t>
            </w:r>
            <w:r>
              <w:t>3</w:t>
            </w:r>
            <w:r w:rsidRPr="0091756B">
              <w:t>.1.2</w:t>
            </w:r>
          </w:p>
        </w:tc>
        <w:tc>
          <w:tcPr>
            <w:tcW w:w="7088" w:type="dxa"/>
            <w:tcBorders>
              <w:top w:val="single" w:sz="4" w:space="0" w:color="auto"/>
              <w:bottom w:val="single" w:sz="4" w:space="0" w:color="auto"/>
            </w:tcBorders>
            <w:shd w:val="clear" w:color="auto" w:fill="auto"/>
          </w:tcPr>
          <w:p w:rsidR="00EB593B" w:rsidRDefault="00EB593B" w:rsidP="00CB62A0">
            <w:r>
              <w:t>Regularly review the balance of revenue in advance to ensure validity and take appropriate action if required.</w:t>
            </w:r>
          </w:p>
        </w:tc>
        <w:tc>
          <w:tcPr>
            <w:tcW w:w="788" w:type="dxa"/>
            <w:tcBorders>
              <w:top w:val="single" w:sz="4" w:space="0" w:color="auto"/>
              <w:bottom w:val="single" w:sz="4" w:space="0" w:color="auto"/>
            </w:tcBorders>
          </w:tcPr>
          <w:p w:rsidR="00EB593B" w:rsidRDefault="00EB593B" w:rsidP="00CB62A0"/>
        </w:tc>
      </w:tr>
    </w:tbl>
    <w:p w:rsidR="00CB62A0" w:rsidRDefault="00CB62A0" w:rsidP="00CB62A0"/>
    <w:p w:rsidR="00DC6081" w:rsidRDefault="00DC6081" w:rsidP="00DC6081">
      <w:pPr>
        <w:pStyle w:val="Heading2"/>
      </w:pPr>
      <w:r>
        <w:t>14</w:t>
      </w:r>
      <w:r w:rsidR="00861B9A">
        <w:t>.4</w:t>
      </w:r>
      <w:r w:rsidR="00D749B5">
        <w:tab/>
      </w:r>
      <w:r>
        <w:t>Co</w:t>
      </w:r>
      <w:r w:rsidR="00404FC6">
        <w:t>-</w:t>
      </w:r>
      <w:r>
        <w:t>operative Loans</w:t>
      </w:r>
    </w:p>
    <w:p w:rsidR="00DC6081" w:rsidRPr="006D073A" w:rsidRDefault="00C63062" w:rsidP="004A0A8D">
      <w:r>
        <w:t>A school council does not have the power to engage in any form of borrowing</w:t>
      </w:r>
      <w:r w:rsidR="006A52F0">
        <w:t>. A</w:t>
      </w:r>
      <w:r>
        <w:t xml:space="preserve"> school community may choose to raise funds for </w:t>
      </w:r>
      <w:r w:rsidR="00404FC6">
        <w:t>new capital works initiatives</w:t>
      </w:r>
      <w:r>
        <w:t xml:space="preserve"> by forming a </w:t>
      </w:r>
      <w:r w:rsidR="006B1B6D">
        <w:t xml:space="preserve">school </w:t>
      </w:r>
      <w:r>
        <w:t>community co</w:t>
      </w:r>
      <w:r w:rsidR="004B59DB">
        <w:t>-</w:t>
      </w:r>
      <w:r>
        <w:t>operative and taking out a government guaranteed co</w:t>
      </w:r>
      <w:r w:rsidR="00E77FEF">
        <w:t>-</w:t>
      </w:r>
      <w:r>
        <w:t>operative loan.</w:t>
      </w:r>
    </w:p>
    <w:p w:rsidR="00DC6081" w:rsidRPr="009F57A3" w:rsidRDefault="00DC6081" w:rsidP="00DC6081">
      <w:pPr>
        <w:pStyle w:val="Heading3"/>
      </w:pPr>
      <w:r>
        <w:t>14</w:t>
      </w:r>
      <w:r w:rsidR="00861B9A">
        <w:t>.4</w:t>
      </w:r>
      <w:r w:rsidRPr="009F57A3">
        <w:t>.1</w:t>
      </w:r>
      <w:r w:rsidR="00D749B5">
        <w:tab/>
      </w:r>
      <w:r w:rsidRPr="009F57A3">
        <w:t>Mandatory policy (</w:t>
      </w:r>
      <w:r>
        <w:t>Must do</w:t>
      </w:r>
      <w:r w:rsidRPr="009F57A3">
        <w:t>)</w:t>
      </w:r>
      <w:r w:rsidR="00AE0261">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EB593B" w:rsidRPr="0091756B" w:rsidTr="00EB593B">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593B" w:rsidRPr="003B190B" w:rsidRDefault="00EB593B" w:rsidP="0037676B">
            <w:pPr>
              <w:rPr>
                <w:b/>
                <w:sz w:val="18"/>
              </w:rPr>
            </w:pPr>
            <w:r w:rsidRPr="003B190B">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B593B" w:rsidRPr="00F47EF7" w:rsidRDefault="00EB593B" w:rsidP="0037676B">
            <w:pPr>
              <w:rPr>
                <w:b/>
                <w:sz w:val="20"/>
                <w:szCs w:val="20"/>
              </w:rPr>
            </w:pPr>
            <w:r w:rsidRPr="00F47EF7">
              <w:rPr>
                <w:b/>
                <w:sz w:val="20"/>
                <w:szCs w:val="20"/>
              </w:rPr>
              <w:t>Information</w:t>
            </w:r>
          </w:p>
        </w:tc>
        <w:tc>
          <w:tcPr>
            <w:tcW w:w="930" w:type="dxa"/>
            <w:tcBorders>
              <w:top w:val="nil"/>
              <w:left w:val="single" w:sz="4" w:space="0" w:color="auto"/>
              <w:bottom w:val="single" w:sz="4" w:space="0" w:color="auto"/>
              <w:right w:val="nil"/>
            </w:tcBorders>
          </w:tcPr>
          <w:p w:rsidR="00EB593B" w:rsidRPr="003B190B" w:rsidRDefault="00EB593B" w:rsidP="0037676B">
            <w:pPr>
              <w:rPr>
                <w:b/>
              </w:rPr>
            </w:pPr>
          </w:p>
        </w:tc>
      </w:tr>
      <w:tr w:rsidR="00EB593B" w:rsidRPr="0091756B" w:rsidTr="00EB593B">
        <w:trPr>
          <w:trHeight w:val="567"/>
        </w:trPr>
        <w:tc>
          <w:tcPr>
            <w:tcW w:w="1134" w:type="dxa"/>
            <w:tcBorders>
              <w:bottom w:val="single" w:sz="4" w:space="0" w:color="auto"/>
            </w:tcBorders>
            <w:shd w:val="clear" w:color="auto" w:fill="FFFFFF" w:themeFill="background1"/>
          </w:tcPr>
          <w:p w:rsidR="00EB593B" w:rsidRPr="00020E8A" w:rsidRDefault="00EB593B" w:rsidP="00CB62A0">
            <w:r>
              <w:t>14.4.1.1</w:t>
            </w:r>
          </w:p>
        </w:tc>
        <w:tc>
          <w:tcPr>
            <w:tcW w:w="7088" w:type="dxa"/>
            <w:tcBorders>
              <w:bottom w:val="single" w:sz="4" w:space="0" w:color="auto"/>
            </w:tcBorders>
            <w:shd w:val="clear" w:color="auto" w:fill="auto"/>
          </w:tcPr>
          <w:p w:rsidR="00EB593B" w:rsidRPr="00D8496A" w:rsidRDefault="00EB593B" w:rsidP="00CB62A0">
            <w:r>
              <w:t xml:space="preserve">If a school is considering a co-operative loan arrangement, please contact </w:t>
            </w:r>
            <w:r w:rsidRPr="009A3D33">
              <w:t>Schools Financial Management Support</w:t>
            </w:r>
            <w:r>
              <w:t xml:space="preserve"> at </w:t>
            </w:r>
            <w:r w:rsidRPr="009A3D33">
              <w:t xml:space="preserve">email: </w:t>
            </w:r>
            <w:hyperlink r:id="rId14" w:history="1">
              <w:r w:rsidRPr="00AE030C">
                <w:rPr>
                  <w:rStyle w:val="Hyperlink"/>
                  <w:szCs w:val="22"/>
                </w:rPr>
                <w:t>schools.finance.support@edumail.vic.gov.au</w:t>
              </w:r>
            </w:hyperlink>
            <w:r>
              <w:t xml:space="preserve"> and enquire about an application.</w:t>
            </w:r>
          </w:p>
        </w:tc>
        <w:tc>
          <w:tcPr>
            <w:tcW w:w="930" w:type="dxa"/>
            <w:tcBorders>
              <w:bottom w:val="single" w:sz="4" w:space="0" w:color="auto"/>
            </w:tcBorders>
          </w:tcPr>
          <w:p w:rsidR="00EB593B" w:rsidRDefault="00EB593B" w:rsidP="00CB62A0"/>
        </w:tc>
      </w:tr>
      <w:tr w:rsidR="00EB593B" w:rsidRPr="0091756B" w:rsidTr="00EB593B">
        <w:trPr>
          <w:trHeight w:val="567"/>
        </w:trPr>
        <w:tc>
          <w:tcPr>
            <w:tcW w:w="1134" w:type="dxa"/>
            <w:tcBorders>
              <w:bottom w:val="single" w:sz="4" w:space="0" w:color="auto"/>
            </w:tcBorders>
            <w:shd w:val="clear" w:color="auto" w:fill="FFFFFF" w:themeFill="background1"/>
          </w:tcPr>
          <w:p w:rsidR="00EB593B" w:rsidRPr="006264FB" w:rsidRDefault="00EB593B" w:rsidP="00CB62A0">
            <w:r>
              <w:t>14.4.1.2</w:t>
            </w:r>
          </w:p>
        </w:tc>
        <w:tc>
          <w:tcPr>
            <w:tcW w:w="7088" w:type="dxa"/>
            <w:tcBorders>
              <w:bottom w:val="single" w:sz="4" w:space="0" w:color="auto"/>
            </w:tcBorders>
            <w:shd w:val="clear" w:color="auto" w:fill="auto"/>
          </w:tcPr>
          <w:p w:rsidR="00EB593B" w:rsidRPr="006264FB" w:rsidRDefault="00EB593B" w:rsidP="004A0A8D">
            <w:r>
              <w:t>In contacting School Financial Management Support, further guidelines will be provided. (A flow chart for applying for Co-operative loans is available.)</w:t>
            </w:r>
          </w:p>
        </w:tc>
        <w:tc>
          <w:tcPr>
            <w:tcW w:w="930" w:type="dxa"/>
            <w:tcBorders>
              <w:bottom w:val="single" w:sz="4" w:space="0" w:color="auto"/>
            </w:tcBorders>
          </w:tcPr>
          <w:p w:rsidR="00EB593B" w:rsidRDefault="00EB593B" w:rsidP="004A0A8D"/>
        </w:tc>
      </w:tr>
      <w:tr w:rsidR="00EB593B" w:rsidRPr="0091756B" w:rsidTr="00EB593B">
        <w:trPr>
          <w:trHeight w:val="567"/>
        </w:trPr>
        <w:tc>
          <w:tcPr>
            <w:tcW w:w="1134" w:type="dxa"/>
            <w:tcBorders>
              <w:bottom w:val="single" w:sz="4" w:space="0" w:color="auto"/>
            </w:tcBorders>
            <w:shd w:val="clear" w:color="auto" w:fill="FFFFFF" w:themeFill="background1"/>
          </w:tcPr>
          <w:p w:rsidR="00EB593B" w:rsidRPr="00020E8A" w:rsidRDefault="00EB593B" w:rsidP="00CB62A0">
            <w:r>
              <w:t>14.4.1.3</w:t>
            </w:r>
          </w:p>
        </w:tc>
        <w:tc>
          <w:tcPr>
            <w:tcW w:w="7088" w:type="dxa"/>
            <w:tcBorders>
              <w:bottom w:val="single" w:sz="4" w:space="0" w:color="auto"/>
            </w:tcBorders>
            <w:shd w:val="clear" w:color="auto" w:fill="auto"/>
          </w:tcPr>
          <w:p w:rsidR="00EB593B" w:rsidRPr="00D8496A" w:rsidRDefault="00EB593B" w:rsidP="00CB62A0">
            <w:r>
              <w:t>Co-operative loans require approval from the Department of Treasury and Finance (DTF) and applications are lodged through the Department.</w:t>
            </w:r>
          </w:p>
        </w:tc>
        <w:tc>
          <w:tcPr>
            <w:tcW w:w="930" w:type="dxa"/>
            <w:tcBorders>
              <w:bottom w:val="single" w:sz="4" w:space="0" w:color="auto"/>
            </w:tcBorders>
          </w:tcPr>
          <w:p w:rsidR="00EB593B" w:rsidRDefault="00EB593B" w:rsidP="00CB62A0"/>
        </w:tc>
      </w:tr>
      <w:tr w:rsidR="00EB593B" w:rsidRPr="0091756B" w:rsidTr="00EB593B">
        <w:trPr>
          <w:trHeight w:val="567"/>
        </w:trPr>
        <w:tc>
          <w:tcPr>
            <w:tcW w:w="1134" w:type="dxa"/>
            <w:tcBorders>
              <w:bottom w:val="single" w:sz="4" w:space="0" w:color="auto"/>
            </w:tcBorders>
            <w:shd w:val="clear" w:color="auto" w:fill="FFFFFF" w:themeFill="background1"/>
          </w:tcPr>
          <w:p w:rsidR="00EB593B" w:rsidRPr="00020E8A" w:rsidRDefault="00EB593B" w:rsidP="00CB62A0">
            <w:r>
              <w:t>14.4.1.4</w:t>
            </w:r>
          </w:p>
        </w:tc>
        <w:tc>
          <w:tcPr>
            <w:tcW w:w="7088" w:type="dxa"/>
            <w:tcBorders>
              <w:bottom w:val="single" w:sz="4" w:space="0" w:color="auto"/>
            </w:tcBorders>
            <w:shd w:val="clear" w:color="auto" w:fill="auto"/>
          </w:tcPr>
          <w:p w:rsidR="00EB593B" w:rsidRPr="00D8496A" w:rsidRDefault="00EB593B" w:rsidP="00CB62A0">
            <w:r w:rsidRPr="009C6C62">
              <w:t xml:space="preserve">A </w:t>
            </w:r>
            <w:r>
              <w:t>c</w:t>
            </w:r>
            <w:r w:rsidRPr="009C6C62">
              <w:t xml:space="preserve">o-operative loan must only </w:t>
            </w:r>
            <w:r>
              <w:t xml:space="preserve">be </w:t>
            </w:r>
            <w:r w:rsidRPr="009C6C62">
              <w:t>taken out with Treasury Corporation Victoria (TCV) for a maximum of fifteen years.</w:t>
            </w:r>
          </w:p>
        </w:tc>
        <w:tc>
          <w:tcPr>
            <w:tcW w:w="930" w:type="dxa"/>
            <w:tcBorders>
              <w:bottom w:val="single" w:sz="4" w:space="0" w:color="auto"/>
            </w:tcBorders>
          </w:tcPr>
          <w:p w:rsidR="00EB593B" w:rsidRPr="009C6C62" w:rsidRDefault="00EB593B" w:rsidP="00CB62A0"/>
        </w:tc>
      </w:tr>
      <w:tr w:rsidR="00EB593B" w:rsidRPr="0091756B" w:rsidTr="00EB593B">
        <w:trPr>
          <w:trHeight w:val="567"/>
        </w:trPr>
        <w:tc>
          <w:tcPr>
            <w:tcW w:w="1134" w:type="dxa"/>
            <w:tcBorders>
              <w:bottom w:val="single" w:sz="4" w:space="0" w:color="auto"/>
            </w:tcBorders>
            <w:shd w:val="clear" w:color="auto" w:fill="FFFFFF" w:themeFill="background1"/>
          </w:tcPr>
          <w:p w:rsidR="00EB593B" w:rsidRDefault="00EB593B" w:rsidP="00CB62A0">
            <w:r w:rsidRPr="00020E8A">
              <w:t>14.4.1.</w:t>
            </w:r>
            <w:r>
              <w:t>5</w:t>
            </w:r>
          </w:p>
        </w:tc>
        <w:tc>
          <w:tcPr>
            <w:tcW w:w="7088" w:type="dxa"/>
            <w:tcBorders>
              <w:bottom w:val="single" w:sz="4" w:space="0" w:color="auto"/>
            </w:tcBorders>
            <w:shd w:val="clear" w:color="auto" w:fill="auto"/>
          </w:tcPr>
          <w:p w:rsidR="00EB593B" w:rsidRPr="003C6FF5" w:rsidRDefault="00EB593B" w:rsidP="00CB62A0">
            <w:r w:rsidRPr="00D8496A">
              <w:t xml:space="preserve">Government school co-operatives </w:t>
            </w:r>
            <w:r>
              <w:t xml:space="preserve">are </w:t>
            </w:r>
            <w:r w:rsidRPr="00D8496A">
              <w:t>established under the co-operative as non-trading, incorporated entities with limited liability. Membership is voluntary and open to any person (parent, staff and/or supporter</w:t>
            </w:r>
            <w:r>
              <w:t>).</w:t>
            </w:r>
          </w:p>
        </w:tc>
        <w:tc>
          <w:tcPr>
            <w:tcW w:w="930" w:type="dxa"/>
            <w:tcBorders>
              <w:bottom w:val="single" w:sz="4" w:space="0" w:color="auto"/>
            </w:tcBorders>
          </w:tcPr>
          <w:p w:rsidR="00EB593B" w:rsidRPr="00D8496A" w:rsidRDefault="00EB593B" w:rsidP="00CB62A0"/>
        </w:tc>
      </w:tr>
      <w:tr w:rsidR="00EB593B" w:rsidRPr="0091756B" w:rsidTr="00EB593B">
        <w:trPr>
          <w:trHeight w:val="567"/>
        </w:trPr>
        <w:tc>
          <w:tcPr>
            <w:tcW w:w="1134" w:type="dxa"/>
            <w:tcBorders>
              <w:bottom w:val="single" w:sz="4" w:space="0" w:color="auto"/>
            </w:tcBorders>
            <w:shd w:val="clear" w:color="auto" w:fill="FFFFFF" w:themeFill="background1"/>
          </w:tcPr>
          <w:p w:rsidR="00EB593B" w:rsidRPr="00020E8A" w:rsidRDefault="00EB593B" w:rsidP="00CB62A0">
            <w:r>
              <w:t>14.4.1.6</w:t>
            </w:r>
          </w:p>
        </w:tc>
        <w:tc>
          <w:tcPr>
            <w:tcW w:w="7088" w:type="dxa"/>
            <w:tcBorders>
              <w:top w:val="single" w:sz="4" w:space="0" w:color="auto"/>
              <w:bottom w:val="single" w:sz="4" w:space="0" w:color="auto"/>
            </w:tcBorders>
            <w:shd w:val="clear" w:color="auto" w:fill="auto"/>
          </w:tcPr>
          <w:p w:rsidR="00EB593B" w:rsidRPr="003C6FF5" w:rsidRDefault="00EB593B" w:rsidP="00CB62A0">
            <w:r w:rsidRPr="00D8496A">
              <w:t xml:space="preserve">Where a school does not have sufficient funds available to construct or undertake improvements in relation to capital works, a business </w:t>
            </w:r>
            <w:r w:rsidRPr="00D8496A">
              <w:lastRenderedPageBreak/>
              <w:t>case must be prepared by the school to assess the feasibility of the loan request in consultation with the Department.</w:t>
            </w:r>
          </w:p>
        </w:tc>
        <w:tc>
          <w:tcPr>
            <w:tcW w:w="930" w:type="dxa"/>
            <w:tcBorders>
              <w:bottom w:val="single" w:sz="4" w:space="0" w:color="auto"/>
            </w:tcBorders>
          </w:tcPr>
          <w:p w:rsidR="00EB593B" w:rsidRPr="00D8496A" w:rsidRDefault="00EB593B" w:rsidP="00CB62A0"/>
        </w:tc>
      </w:tr>
      <w:tr w:rsidR="00EB593B" w:rsidRPr="0091756B" w:rsidTr="00EB593B">
        <w:trPr>
          <w:trHeight w:val="567"/>
        </w:trPr>
        <w:tc>
          <w:tcPr>
            <w:tcW w:w="1134" w:type="dxa"/>
            <w:tcBorders>
              <w:bottom w:val="single" w:sz="4" w:space="0" w:color="auto"/>
            </w:tcBorders>
            <w:shd w:val="clear" w:color="auto" w:fill="FFFFFF" w:themeFill="background1"/>
          </w:tcPr>
          <w:p w:rsidR="00EB593B" w:rsidRDefault="00EB593B" w:rsidP="00CB62A0">
            <w:r w:rsidRPr="00020E8A">
              <w:t>14.4.1.</w:t>
            </w:r>
            <w:r>
              <w:t>7</w:t>
            </w:r>
          </w:p>
        </w:tc>
        <w:tc>
          <w:tcPr>
            <w:tcW w:w="7088" w:type="dxa"/>
            <w:tcBorders>
              <w:bottom w:val="single" w:sz="4" w:space="0" w:color="auto"/>
            </w:tcBorders>
            <w:shd w:val="clear" w:color="auto" w:fill="auto"/>
          </w:tcPr>
          <w:p w:rsidR="00EB593B" w:rsidRPr="003C6FF5" w:rsidRDefault="00EB593B" w:rsidP="00CB62A0">
            <w:r w:rsidRPr="003C6FF5">
              <w:t>Co-operative loans are only considered for capital works</w:t>
            </w:r>
            <w:r>
              <w:t xml:space="preserve"> (either a new building or extension)</w:t>
            </w:r>
            <w:r w:rsidRPr="003C6FF5">
              <w:t xml:space="preserve"> that can generate future income to meet loan repayments</w:t>
            </w:r>
            <w:r>
              <w:t>.</w:t>
            </w:r>
          </w:p>
        </w:tc>
        <w:tc>
          <w:tcPr>
            <w:tcW w:w="930" w:type="dxa"/>
            <w:tcBorders>
              <w:bottom w:val="single" w:sz="4" w:space="0" w:color="auto"/>
            </w:tcBorders>
          </w:tcPr>
          <w:p w:rsidR="00EB593B" w:rsidRPr="003C6FF5" w:rsidRDefault="00EB593B" w:rsidP="00CB62A0"/>
        </w:tc>
      </w:tr>
      <w:tr w:rsidR="00EB593B" w:rsidRPr="0091756B" w:rsidTr="00EB593B">
        <w:trPr>
          <w:trHeight w:val="1394"/>
        </w:trPr>
        <w:tc>
          <w:tcPr>
            <w:tcW w:w="1134" w:type="dxa"/>
            <w:tcBorders>
              <w:bottom w:val="single" w:sz="4" w:space="0" w:color="auto"/>
            </w:tcBorders>
            <w:shd w:val="clear" w:color="auto" w:fill="FFFFFF" w:themeFill="background1"/>
          </w:tcPr>
          <w:p w:rsidR="00EB593B" w:rsidRDefault="00EB593B" w:rsidP="00CB62A0">
            <w:r>
              <w:t>14.4.1.8</w:t>
            </w:r>
          </w:p>
        </w:tc>
        <w:tc>
          <w:tcPr>
            <w:tcW w:w="7088" w:type="dxa"/>
            <w:tcBorders>
              <w:bottom w:val="single" w:sz="4" w:space="0" w:color="auto"/>
            </w:tcBorders>
            <w:shd w:val="clear" w:color="auto" w:fill="auto"/>
          </w:tcPr>
          <w:p w:rsidR="00EB593B" w:rsidRDefault="00EB593B" w:rsidP="00CB62A0">
            <w:r>
              <w:t xml:space="preserve">A school co-operative must only borrow for one purpose and obtain one loan. </w:t>
            </w:r>
          </w:p>
          <w:p w:rsidR="00EB593B" w:rsidRPr="006A52F0" w:rsidRDefault="00EB593B" w:rsidP="00CB62A0">
            <w:r w:rsidRPr="006A52F0">
              <w:t xml:space="preserve">Schools </w:t>
            </w:r>
            <w:r>
              <w:t xml:space="preserve">are required to be </w:t>
            </w:r>
            <w:r w:rsidRPr="006A52F0">
              <w:t>aware that</w:t>
            </w:r>
            <w:r>
              <w:t xml:space="preserve"> if the</w:t>
            </w:r>
            <w:r w:rsidRPr="006A52F0">
              <w:t>:</w:t>
            </w:r>
          </w:p>
          <w:p w:rsidR="00EB593B" w:rsidRPr="00977338" w:rsidRDefault="00EB593B" w:rsidP="00CB62A0">
            <w:pPr>
              <w:pStyle w:val="ListBullet"/>
            </w:pPr>
            <w:r>
              <w:t>t</w:t>
            </w:r>
            <w:r w:rsidRPr="00977338">
              <w:t xml:space="preserve">otal </w:t>
            </w:r>
            <w:r>
              <w:t>p</w:t>
            </w:r>
            <w:r w:rsidRPr="00977338">
              <w:t xml:space="preserve">roject </w:t>
            </w:r>
            <w:r>
              <w:t>c</w:t>
            </w:r>
            <w:r w:rsidRPr="00977338">
              <w:t>ost is under or equal to $200,000 the loan amount cannot be more than 70% of the total project cost</w:t>
            </w:r>
            <w:r>
              <w:t>;</w:t>
            </w:r>
          </w:p>
          <w:p w:rsidR="00EB593B" w:rsidRPr="00484387" w:rsidRDefault="00EB593B" w:rsidP="004A0A8D">
            <w:pPr>
              <w:pStyle w:val="ListBullet"/>
            </w:pPr>
            <w:proofErr w:type="gramStart"/>
            <w:r>
              <w:t>t</w:t>
            </w:r>
            <w:r w:rsidRPr="00977338">
              <w:t>otal</w:t>
            </w:r>
            <w:proofErr w:type="gramEnd"/>
            <w:r w:rsidRPr="00977338">
              <w:t xml:space="preserve"> </w:t>
            </w:r>
            <w:r>
              <w:t>p</w:t>
            </w:r>
            <w:r w:rsidRPr="00977338">
              <w:t xml:space="preserve">roject </w:t>
            </w:r>
            <w:r>
              <w:t>c</w:t>
            </w:r>
            <w:r w:rsidRPr="00977338">
              <w:t>ost is greater than $200,000</w:t>
            </w:r>
            <w:r>
              <w:t>,</w:t>
            </w:r>
            <w:r w:rsidRPr="00977338">
              <w:t xml:space="preserve"> the loan amount cannot be more than 50% of the total project cost</w:t>
            </w:r>
            <w:r>
              <w:t>.</w:t>
            </w:r>
          </w:p>
        </w:tc>
        <w:tc>
          <w:tcPr>
            <w:tcW w:w="930" w:type="dxa"/>
            <w:tcBorders>
              <w:bottom w:val="single" w:sz="4" w:space="0" w:color="auto"/>
            </w:tcBorders>
          </w:tcPr>
          <w:p w:rsidR="00EB593B" w:rsidRDefault="00EB593B" w:rsidP="00CB62A0"/>
        </w:tc>
      </w:tr>
      <w:tr w:rsidR="00EB593B" w:rsidRPr="0091756B" w:rsidTr="00EB593B">
        <w:trPr>
          <w:trHeight w:val="1550"/>
        </w:trPr>
        <w:tc>
          <w:tcPr>
            <w:tcW w:w="1134" w:type="dxa"/>
            <w:tcBorders>
              <w:bottom w:val="single" w:sz="4" w:space="0" w:color="auto"/>
            </w:tcBorders>
            <w:shd w:val="clear" w:color="auto" w:fill="FFFFFF" w:themeFill="background1"/>
          </w:tcPr>
          <w:p w:rsidR="00EB593B" w:rsidRDefault="00EB593B" w:rsidP="00CB62A0">
            <w:r>
              <w:t>14.4.1.9</w:t>
            </w:r>
          </w:p>
        </w:tc>
        <w:tc>
          <w:tcPr>
            <w:tcW w:w="7088" w:type="dxa"/>
            <w:tcBorders>
              <w:bottom w:val="single" w:sz="4" w:space="0" w:color="auto"/>
            </w:tcBorders>
            <w:shd w:val="clear" w:color="auto" w:fill="auto"/>
          </w:tcPr>
          <w:p w:rsidR="00EB593B" w:rsidRDefault="00EB593B" w:rsidP="00CB62A0">
            <w:r>
              <w:t>If successful in the application process and a loan is obtained:</w:t>
            </w:r>
          </w:p>
          <w:p w:rsidR="00EB593B" w:rsidRPr="00DA5CDE" w:rsidRDefault="00EB593B" w:rsidP="00CB62A0">
            <w:pPr>
              <w:pStyle w:val="ListBullet"/>
            </w:pPr>
            <w:r w:rsidRPr="00DA5CDE">
              <w:t>enter the loan amount as a non-current liability in CASES21</w:t>
            </w:r>
            <w:r>
              <w:t xml:space="preserve"> using the relevant Chart of Account code 40001;</w:t>
            </w:r>
          </w:p>
          <w:p w:rsidR="00EB593B" w:rsidRDefault="00EB593B" w:rsidP="00CB62A0">
            <w:pPr>
              <w:pStyle w:val="ListBullet"/>
            </w:pPr>
            <w:proofErr w:type="gramStart"/>
            <w:r w:rsidRPr="00A33CF6">
              <w:t>enter</w:t>
            </w:r>
            <w:proofErr w:type="gramEnd"/>
            <w:r w:rsidRPr="00A33CF6">
              <w:t xml:space="preserve"> the co-operative bank account associated with the loan</w:t>
            </w:r>
            <w:r>
              <w:t>.</w:t>
            </w:r>
          </w:p>
        </w:tc>
        <w:tc>
          <w:tcPr>
            <w:tcW w:w="930" w:type="dxa"/>
            <w:tcBorders>
              <w:bottom w:val="single" w:sz="4" w:space="0" w:color="auto"/>
            </w:tcBorders>
          </w:tcPr>
          <w:p w:rsidR="00EB593B" w:rsidRDefault="00EB593B" w:rsidP="00CB62A0"/>
        </w:tc>
      </w:tr>
      <w:tr w:rsidR="00EB593B" w:rsidRPr="0091756B" w:rsidTr="00EB593B">
        <w:trPr>
          <w:trHeight w:val="567"/>
        </w:trPr>
        <w:tc>
          <w:tcPr>
            <w:tcW w:w="1134" w:type="dxa"/>
            <w:tcBorders>
              <w:bottom w:val="single" w:sz="4" w:space="0" w:color="auto"/>
            </w:tcBorders>
            <w:shd w:val="clear" w:color="auto" w:fill="FFFFFF" w:themeFill="background1"/>
          </w:tcPr>
          <w:p w:rsidR="00EB593B" w:rsidRDefault="00EB593B" w:rsidP="00CB62A0">
            <w:r>
              <w:t>14.4.1.10</w:t>
            </w:r>
          </w:p>
        </w:tc>
        <w:tc>
          <w:tcPr>
            <w:tcW w:w="7088" w:type="dxa"/>
            <w:tcBorders>
              <w:bottom w:val="single" w:sz="4" w:space="0" w:color="auto"/>
            </w:tcBorders>
            <w:shd w:val="clear" w:color="auto" w:fill="auto"/>
          </w:tcPr>
          <w:p w:rsidR="00EB593B" w:rsidRDefault="00EB593B" w:rsidP="00AE0261">
            <w:r>
              <w:t>Ensure that loan repayments are recorded in CASES21.The interest component is to be entered into CASES21 using the Chart of Account code 86805 and the principal component is to be entered into CASES21 using the Chart of Account code 40001.</w:t>
            </w:r>
          </w:p>
        </w:tc>
        <w:tc>
          <w:tcPr>
            <w:tcW w:w="930" w:type="dxa"/>
            <w:tcBorders>
              <w:bottom w:val="single" w:sz="4" w:space="0" w:color="auto"/>
            </w:tcBorders>
          </w:tcPr>
          <w:p w:rsidR="00EB593B" w:rsidRDefault="00EB593B" w:rsidP="00AE0261"/>
        </w:tc>
      </w:tr>
      <w:tr w:rsidR="00EB593B" w:rsidRPr="0091756B" w:rsidTr="00EB593B">
        <w:trPr>
          <w:trHeight w:val="1044"/>
        </w:trPr>
        <w:tc>
          <w:tcPr>
            <w:tcW w:w="1134" w:type="dxa"/>
            <w:tcBorders>
              <w:bottom w:val="single" w:sz="4" w:space="0" w:color="auto"/>
            </w:tcBorders>
            <w:shd w:val="clear" w:color="auto" w:fill="FFFFFF" w:themeFill="background1"/>
          </w:tcPr>
          <w:p w:rsidR="00EB593B" w:rsidRDefault="00EB593B" w:rsidP="00CB62A0">
            <w:r>
              <w:t>14.4.1.11</w:t>
            </w:r>
          </w:p>
        </w:tc>
        <w:tc>
          <w:tcPr>
            <w:tcW w:w="7088" w:type="dxa"/>
            <w:tcBorders>
              <w:bottom w:val="single" w:sz="4" w:space="0" w:color="auto"/>
            </w:tcBorders>
            <w:shd w:val="clear" w:color="auto" w:fill="auto"/>
          </w:tcPr>
          <w:p w:rsidR="00EB593B" w:rsidRDefault="00EB593B" w:rsidP="00AE0261">
            <w:r>
              <w:t>Schools must perform regular checks to ensure that the balance of the co-operative loan in Chart of Account code 40001 reconciles with the outstanding loan balance as per the loan statement.</w:t>
            </w:r>
          </w:p>
        </w:tc>
        <w:tc>
          <w:tcPr>
            <w:tcW w:w="930" w:type="dxa"/>
            <w:tcBorders>
              <w:bottom w:val="single" w:sz="4" w:space="0" w:color="auto"/>
            </w:tcBorders>
          </w:tcPr>
          <w:p w:rsidR="00EB593B" w:rsidRDefault="00EB593B" w:rsidP="00AE0261"/>
        </w:tc>
      </w:tr>
      <w:tr w:rsidR="00EB593B" w:rsidRPr="0091756B" w:rsidTr="00EB593B">
        <w:trPr>
          <w:trHeight w:val="567"/>
        </w:trPr>
        <w:tc>
          <w:tcPr>
            <w:tcW w:w="1134" w:type="dxa"/>
            <w:tcBorders>
              <w:top w:val="single" w:sz="4" w:space="0" w:color="auto"/>
              <w:left w:val="single" w:sz="4" w:space="0" w:color="auto"/>
              <w:bottom w:val="single" w:sz="4" w:space="0" w:color="auto"/>
            </w:tcBorders>
            <w:shd w:val="clear" w:color="auto" w:fill="FFFFFF" w:themeFill="background1"/>
          </w:tcPr>
          <w:p w:rsidR="00EB593B" w:rsidRDefault="00EB593B" w:rsidP="00CB62A0">
            <w:pPr>
              <w:rPr>
                <w:b/>
                <w:bCs/>
                <w:color w:val="5A5A59"/>
              </w:rPr>
            </w:pPr>
            <w:r>
              <w:t>14.4.1.12</w:t>
            </w:r>
          </w:p>
        </w:tc>
        <w:tc>
          <w:tcPr>
            <w:tcW w:w="7088" w:type="dxa"/>
            <w:tcBorders>
              <w:top w:val="single" w:sz="4" w:space="0" w:color="auto"/>
              <w:bottom w:val="single" w:sz="4" w:space="0" w:color="auto"/>
            </w:tcBorders>
            <w:shd w:val="clear" w:color="auto" w:fill="auto"/>
          </w:tcPr>
          <w:p w:rsidR="00EB593B" w:rsidRDefault="00EB593B" w:rsidP="00CB62A0">
            <w:pPr>
              <w:rPr>
                <w:b/>
                <w:bCs/>
                <w:color w:val="5A5A59"/>
              </w:rPr>
            </w:pPr>
            <w:r>
              <w:t>Ensure compliance with the co-operative reporting requirements of Consumer Affairs Victoria.</w:t>
            </w:r>
          </w:p>
        </w:tc>
        <w:tc>
          <w:tcPr>
            <w:tcW w:w="930" w:type="dxa"/>
            <w:tcBorders>
              <w:top w:val="single" w:sz="4" w:space="0" w:color="auto"/>
              <w:bottom w:val="single" w:sz="4" w:space="0" w:color="auto"/>
            </w:tcBorders>
          </w:tcPr>
          <w:p w:rsidR="00EB593B" w:rsidRDefault="00EB593B" w:rsidP="00CB62A0"/>
        </w:tc>
      </w:tr>
    </w:tbl>
    <w:p w:rsidR="002A6241" w:rsidRPr="009F57A3" w:rsidRDefault="002A6241" w:rsidP="002A6241">
      <w:pPr>
        <w:pStyle w:val="Heading3"/>
      </w:pPr>
      <w:r>
        <w:t>14.4</w:t>
      </w:r>
      <w:r w:rsidR="00497E52">
        <w:t>.2</w:t>
      </w:r>
      <w:r w:rsidR="00D749B5">
        <w:tab/>
      </w:r>
      <w:r>
        <w:t>Prohibited</w:t>
      </w:r>
      <w:r w:rsidRPr="009F57A3">
        <w:t xml:space="preserve"> policy (</w:t>
      </w:r>
      <w:r>
        <w:t>Must not</w:t>
      </w:r>
      <w:r w:rsidR="00CB3C06">
        <w:t xml:space="preserve"> do</w:t>
      </w:r>
      <w:r w:rsidRPr="009F57A3">
        <w:t>)</w:t>
      </w:r>
      <w:r w:rsidR="00CB3C06">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EB593B" w:rsidRPr="0091756B" w:rsidTr="00EB593B">
        <w:trPr>
          <w:trHeight w:val="735"/>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593B" w:rsidRPr="003B190B" w:rsidRDefault="00EB593B" w:rsidP="0037676B">
            <w:pPr>
              <w:rPr>
                <w:b/>
                <w:sz w:val="18"/>
              </w:rPr>
            </w:pPr>
            <w:r w:rsidRPr="003B190B">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B593B" w:rsidRPr="00F47EF7" w:rsidRDefault="00EB593B" w:rsidP="0037676B">
            <w:pPr>
              <w:rPr>
                <w:b/>
                <w:sz w:val="20"/>
                <w:szCs w:val="20"/>
              </w:rPr>
            </w:pPr>
            <w:r w:rsidRPr="00F47EF7">
              <w:rPr>
                <w:b/>
                <w:sz w:val="20"/>
                <w:szCs w:val="20"/>
              </w:rPr>
              <w:t>Information</w:t>
            </w:r>
          </w:p>
        </w:tc>
        <w:tc>
          <w:tcPr>
            <w:tcW w:w="930" w:type="dxa"/>
            <w:tcBorders>
              <w:top w:val="nil"/>
              <w:left w:val="single" w:sz="4" w:space="0" w:color="auto"/>
              <w:bottom w:val="single" w:sz="4" w:space="0" w:color="auto"/>
              <w:right w:val="nil"/>
            </w:tcBorders>
          </w:tcPr>
          <w:p w:rsidR="00EB593B" w:rsidRPr="003B190B" w:rsidRDefault="00EB593B" w:rsidP="0037676B">
            <w:pPr>
              <w:rPr>
                <w:b/>
              </w:rPr>
            </w:pPr>
          </w:p>
        </w:tc>
      </w:tr>
      <w:tr w:rsidR="00EB593B" w:rsidRPr="0091756B" w:rsidTr="00EB593B">
        <w:trPr>
          <w:trHeight w:val="735"/>
        </w:trPr>
        <w:tc>
          <w:tcPr>
            <w:tcW w:w="1134" w:type="dxa"/>
            <w:tcBorders>
              <w:bottom w:val="single" w:sz="4" w:space="0" w:color="auto"/>
            </w:tcBorders>
            <w:shd w:val="clear" w:color="auto" w:fill="FFFFFF" w:themeFill="background1"/>
          </w:tcPr>
          <w:p w:rsidR="00EB593B" w:rsidRDefault="00EB593B" w:rsidP="00CB62A0">
            <w:r>
              <w:t>14.4.2.1</w:t>
            </w:r>
          </w:p>
        </w:tc>
        <w:tc>
          <w:tcPr>
            <w:tcW w:w="7088" w:type="dxa"/>
            <w:tcBorders>
              <w:bottom w:val="single" w:sz="4" w:space="0" w:color="auto"/>
            </w:tcBorders>
            <w:shd w:val="clear" w:color="auto" w:fill="auto"/>
          </w:tcPr>
          <w:p w:rsidR="00EB593B" w:rsidRPr="003C6FF5" w:rsidRDefault="00EB593B" w:rsidP="00CB62A0">
            <w:r w:rsidRPr="003C6FF5">
              <w:t>A school cannot enter into a loan agreement with third party organisations i.e. bank and</w:t>
            </w:r>
            <w:r>
              <w:t>/or</w:t>
            </w:r>
            <w:r w:rsidRPr="003C6FF5">
              <w:t xml:space="preserve"> financial institution</w:t>
            </w:r>
            <w:r>
              <w:t>.</w:t>
            </w:r>
          </w:p>
        </w:tc>
        <w:tc>
          <w:tcPr>
            <w:tcW w:w="930" w:type="dxa"/>
            <w:tcBorders>
              <w:bottom w:val="single" w:sz="4" w:space="0" w:color="auto"/>
            </w:tcBorders>
          </w:tcPr>
          <w:p w:rsidR="00EB593B" w:rsidRPr="003C6FF5" w:rsidRDefault="00EB593B" w:rsidP="00CB62A0"/>
        </w:tc>
      </w:tr>
    </w:tbl>
    <w:p w:rsidR="003B190B" w:rsidRDefault="003B190B" w:rsidP="00497E52">
      <w:pPr>
        <w:pStyle w:val="Heading3"/>
      </w:pPr>
    </w:p>
    <w:p w:rsidR="003B190B" w:rsidRDefault="003B190B" w:rsidP="00497E52">
      <w:pPr>
        <w:pStyle w:val="Heading3"/>
      </w:pPr>
    </w:p>
    <w:p w:rsidR="003B190B" w:rsidRDefault="003B190B" w:rsidP="00497E52">
      <w:pPr>
        <w:pStyle w:val="Heading3"/>
      </w:pPr>
    </w:p>
    <w:p w:rsidR="003B190B" w:rsidRDefault="003B190B" w:rsidP="00497E52">
      <w:pPr>
        <w:pStyle w:val="Heading3"/>
      </w:pPr>
    </w:p>
    <w:p w:rsidR="00497E52" w:rsidRPr="009F57A3" w:rsidRDefault="00497E52" w:rsidP="00497E52">
      <w:pPr>
        <w:pStyle w:val="Heading3"/>
      </w:pPr>
      <w:r>
        <w:lastRenderedPageBreak/>
        <w:t>14.4</w:t>
      </w:r>
      <w:r w:rsidRPr="009F57A3">
        <w:t>.</w:t>
      </w:r>
      <w:r>
        <w:t>3</w:t>
      </w:r>
      <w:r w:rsidR="00D749B5">
        <w:tab/>
      </w:r>
      <w:r>
        <w:t>Year-end requirements (30 June)</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788"/>
      </w:tblGrid>
      <w:tr w:rsidR="00EB593B" w:rsidRPr="0091756B" w:rsidTr="00EB593B">
        <w:trPr>
          <w:trHeight w:val="777"/>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593B" w:rsidRPr="003B190B" w:rsidRDefault="00EB593B" w:rsidP="0037676B">
            <w:pPr>
              <w:rPr>
                <w:b/>
                <w:sz w:val="18"/>
              </w:rPr>
            </w:pPr>
            <w:r w:rsidRPr="003B190B">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B593B" w:rsidRPr="003B190B" w:rsidRDefault="00EB593B" w:rsidP="0037676B">
            <w:pPr>
              <w:rPr>
                <w:b/>
              </w:rPr>
            </w:pPr>
            <w:r w:rsidRPr="003B190B">
              <w:rPr>
                <w:b/>
              </w:rPr>
              <w:t>Information</w:t>
            </w:r>
          </w:p>
        </w:tc>
        <w:tc>
          <w:tcPr>
            <w:tcW w:w="788" w:type="dxa"/>
            <w:tcBorders>
              <w:top w:val="nil"/>
              <w:left w:val="single" w:sz="4" w:space="0" w:color="auto"/>
              <w:bottom w:val="single" w:sz="4" w:space="0" w:color="auto"/>
              <w:right w:val="nil"/>
            </w:tcBorders>
          </w:tcPr>
          <w:p w:rsidR="00EB593B" w:rsidRPr="003B190B" w:rsidRDefault="00EB593B" w:rsidP="0037676B">
            <w:pPr>
              <w:rPr>
                <w:b/>
              </w:rPr>
            </w:pPr>
          </w:p>
        </w:tc>
      </w:tr>
      <w:tr w:rsidR="00EB593B" w:rsidRPr="0091756B" w:rsidTr="00EB593B">
        <w:trPr>
          <w:trHeight w:val="3163"/>
        </w:trPr>
        <w:tc>
          <w:tcPr>
            <w:tcW w:w="1134" w:type="dxa"/>
            <w:tcBorders>
              <w:bottom w:val="single" w:sz="4" w:space="0" w:color="auto"/>
            </w:tcBorders>
            <w:shd w:val="clear" w:color="auto" w:fill="FFFFFF" w:themeFill="background1"/>
          </w:tcPr>
          <w:p w:rsidR="00EB593B" w:rsidRDefault="00EB593B" w:rsidP="00CB62A0">
            <w:r w:rsidRPr="00020E8A">
              <w:t>14.4.</w:t>
            </w:r>
            <w:r>
              <w:t>3</w:t>
            </w:r>
            <w:r w:rsidRPr="00020E8A">
              <w:t>.1</w:t>
            </w:r>
          </w:p>
        </w:tc>
        <w:tc>
          <w:tcPr>
            <w:tcW w:w="7088" w:type="dxa"/>
            <w:tcBorders>
              <w:bottom w:val="single" w:sz="4" w:space="0" w:color="auto"/>
            </w:tcBorders>
            <w:shd w:val="clear" w:color="auto" w:fill="auto"/>
          </w:tcPr>
          <w:p w:rsidR="00EB593B" w:rsidRPr="00497E52" w:rsidRDefault="00EB593B" w:rsidP="00CB62A0">
            <w:r w:rsidRPr="00497E52">
              <w:t>The</w:t>
            </w:r>
            <w:r>
              <w:t xml:space="preserve"> following information </w:t>
            </w:r>
            <w:r w:rsidRPr="00497E52">
              <w:t>must be made available upon request by the Department for end of financial year (30 June)</w:t>
            </w:r>
            <w:r>
              <w:t xml:space="preserve"> requirements for co-operative loans entered into by a school:</w:t>
            </w:r>
          </w:p>
          <w:p w:rsidR="00EB593B" w:rsidRDefault="00EB593B" w:rsidP="003C6FF5">
            <w:pPr>
              <w:pStyle w:val="ListBullet"/>
              <w:numPr>
                <w:ilvl w:val="0"/>
                <w:numId w:val="29"/>
              </w:numPr>
              <w:jc w:val="both"/>
              <w:rPr>
                <w:b/>
                <w:bCs/>
                <w:color w:val="5A5A59"/>
              </w:rPr>
            </w:pPr>
            <w:r>
              <w:t>initial co-operative loan agreement held with Treasury Corporation Victoria;</w:t>
            </w:r>
          </w:p>
          <w:p w:rsidR="00EB593B" w:rsidRDefault="00EB593B" w:rsidP="003C6FF5">
            <w:pPr>
              <w:pStyle w:val="ListBullet"/>
              <w:numPr>
                <w:ilvl w:val="0"/>
                <w:numId w:val="29"/>
              </w:numPr>
              <w:jc w:val="both"/>
              <w:rPr>
                <w:b/>
                <w:bCs/>
                <w:color w:val="5A5A59"/>
              </w:rPr>
            </w:pPr>
            <w:r>
              <w:t>loan bank statement stating the balance that is still outstanding at the 30 June;</w:t>
            </w:r>
          </w:p>
          <w:p w:rsidR="00EB593B" w:rsidRDefault="00EB593B" w:rsidP="003C6FF5">
            <w:pPr>
              <w:pStyle w:val="ListBullet"/>
              <w:numPr>
                <w:ilvl w:val="0"/>
                <w:numId w:val="29"/>
              </w:numPr>
              <w:jc w:val="both"/>
              <w:rPr>
                <w:b/>
                <w:bCs/>
                <w:color w:val="5A5A59"/>
              </w:rPr>
            </w:pPr>
            <w:proofErr w:type="gramStart"/>
            <w:r>
              <w:t>confirmation</w:t>
            </w:r>
            <w:proofErr w:type="gramEnd"/>
            <w:r>
              <w:t xml:space="preserve"> of the balance held in CASES21 in chart of account code 40001 – Co-operative loan.</w:t>
            </w:r>
          </w:p>
        </w:tc>
        <w:tc>
          <w:tcPr>
            <w:tcW w:w="788" w:type="dxa"/>
            <w:tcBorders>
              <w:bottom w:val="single" w:sz="4" w:space="0" w:color="auto"/>
            </w:tcBorders>
          </w:tcPr>
          <w:p w:rsidR="00EB593B" w:rsidRPr="00497E52" w:rsidRDefault="00EB593B" w:rsidP="00CB62A0"/>
        </w:tc>
      </w:tr>
    </w:tbl>
    <w:p w:rsidR="00325B1C" w:rsidRDefault="00325B1C" w:rsidP="00325B1C"/>
    <w:p w:rsidR="0051778F" w:rsidRPr="00AD3210" w:rsidRDefault="0051778F" w:rsidP="003D4CFE">
      <w:pPr>
        <w:pStyle w:val="Heading2"/>
      </w:pPr>
      <w:r w:rsidRPr="00AD3210">
        <w:t>Legislative</w:t>
      </w:r>
      <w:r w:rsidR="003D4CFE">
        <w:t xml:space="preserve"> </w:t>
      </w:r>
      <w:r w:rsidRPr="00AD3210">
        <w:t>requirements</w:t>
      </w:r>
    </w:p>
    <w:p w:rsidR="0051778F" w:rsidRPr="00AD3210" w:rsidRDefault="0051778F" w:rsidP="003D4CFE">
      <w:pPr>
        <w:pStyle w:val="Heading3"/>
      </w:pPr>
      <w:r w:rsidRPr="00AD3210">
        <w:t>Legislation</w:t>
      </w:r>
    </w:p>
    <w:p w:rsidR="0051778F" w:rsidRDefault="0051778F" w:rsidP="00CB62A0">
      <w:r w:rsidRPr="00AD3210">
        <w:t>The</w:t>
      </w:r>
      <w:r w:rsidR="003D4CFE">
        <w:t xml:space="preserve"> </w:t>
      </w:r>
      <w:r w:rsidRPr="00AD3210">
        <w:t>advice</w:t>
      </w:r>
      <w:r w:rsidR="003D4CFE">
        <w:t xml:space="preserve"> </w:t>
      </w:r>
      <w:r w:rsidRPr="00AD3210">
        <w:t>in</w:t>
      </w:r>
      <w:r w:rsidR="003D4CFE">
        <w:t xml:space="preserve"> </w:t>
      </w:r>
      <w:r w:rsidRPr="00AD3210">
        <w:t>this</w:t>
      </w:r>
      <w:r w:rsidR="003D4CFE">
        <w:t xml:space="preserve"> </w:t>
      </w:r>
      <w:r w:rsidRPr="00AD3210">
        <w:t>section</w:t>
      </w:r>
      <w:r w:rsidR="003D4CFE">
        <w:t xml:space="preserve"> </w:t>
      </w:r>
      <w:r w:rsidRPr="00AD3210">
        <w:t>was</w:t>
      </w:r>
      <w:r w:rsidR="003D4CFE">
        <w:t xml:space="preserve"> </w:t>
      </w:r>
      <w:r w:rsidRPr="00AD3210">
        <w:t>based</w:t>
      </w:r>
      <w:r w:rsidR="003D4CFE">
        <w:t xml:space="preserve"> </w:t>
      </w:r>
      <w:r w:rsidRPr="00AD3210">
        <w:t>on</w:t>
      </w:r>
      <w:r w:rsidR="003D4CFE">
        <w:t xml:space="preserve"> </w:t>
      </w:r>
      <w:r w:rsidRPr="00AD3210">
        <w:t>requirements</w:t>
      </w:r>
      <w:r w:rsidR="003D4CFE">
        <w:t xml:space="preserve"> </w:t>
      </w:r>
      <w:r w:rsidRPr="00AD3210">
        <w:t>outlined</w:t>
      </w:r>
      <w:r w:rsidR="003D4CFE">
        <w:t xml:space="preserve"> </w:t>
      </w:r>
      <w:r w:rsidRPr="00AD3210">
        <w:t>in</w:t>
      </w:r>
      <w:r w:rsidR="003D4CFE">
        <w:t xml:space="preserve"> </w:t>
      </w:r>
      <w:r w:rsidRPr="00AD3210">
        <w:t>the</w:t>
      </w:r>
      <w:r w:rsidR="003D4CFE">
        <w:t xml:space="preserve"> </w:t>
      </w:r>
      <w:r w:rsidRPr="00AD3210">
        <w:t>following</w:t>
      </w:r>
      <w:r w:rsidR="003D4CFE">
        <w:t xml:space="preserve"> </w:t>
      </w:r>
      <w:r w:rsidRPr="00AD3210">
        <w:t>legislation:</w:t>
      </w:r>
    </w:p>
    <w:p w:rsidR="00AE0261" w:rsidRDefault="00AE0261" w:rsidP="00AE0261">
      <w:pPr>
        <w:pStyle w:val="ListBullet"/>
        <w:numPr>
          <w:ilvl w:val="0"/>
          <w:numId w:val="30"/>
        </w:numPr>
        <w:ind w:left="284" w:hanging="284"/>
      </w:pPr>
      <w:r>
        <w:t>Australian Accounting Standards AASB 7 Financial instruments and AASB 123 Borrowings.</w:t>
      </w:r>
    </w:p>
    <w:p w:rsidR="00D05AAB" w:rsidRPr="003C6FF5" w:rsidRDefault="0051778F" w:rsidP="003C6FF5">
      <w:pPr>
        <w:pStyle w:val="ListBullet"/>
        <w:numPr>
          <w:ilvl w:val="0"/>
          <w:numId w:val="30"/>
        </w:numPr>
        <w:ind w:left="284" w:hanging="284"/>
      </w:pPr>
      <w:r w:rsidRPr="00BE0713">
        <w:rPr>
          <w:i/>
        </w:rPr>
        <w:t>Education</w:t>
      </w:r>
      <w:r w:rsidR="003D4CFE" w:rsidRPr="00BE0713">
        <w:rPr>
          <w:i/>
        </w:rPr>
        <w:t xml:space="preserve"> </w:t>
      </w:r>
      <w:r w:rsidRPr="00BE0713">
        <w:rPr>
          <w:i/>
        </w:rPr>
        <w:t>and</w:t>
      </w:r>
      <w:r w:rsidR="003D4CFE" w:rsidRPr="00BE0713">
        <w:rPr>
          <w:i/>
        </w:rPr>
        <w:t xml:space="preserve"> </w:t>
      </w:r>
      <w:r w:rsidRPr="00BE0713">
        <w:rPr>
          <w:i/>
        </w:rPr>
        <w:t>Training</w:t>
      </w:r>
      <w:r w:rsidR="003D4CFE" w:rsidRPr="00BE0713">
        <w:rPr>
          <w:i/>
        </w:rPr>
        <w:t xml:space="preserve"> </w:t>
      </w:r>
      <w:r w:rsidRPr="00BE0713">
        <w:rPr>
          <w:i/>
        </w:rPr>
        <w:t>Reform</w:t>
      </w:r>
      <w:r w:rsidR="003D4CFE" w:rsidRPr="00BE0713">
        <w:rPr>
          <w:i/>
        </w:rPr>
        <w:t xml:space="preserve"> </w:t>
      </w:r>
      <w:r w:rsidRPr="00BE0713">
        <w:rPr>
          <w:i/>
        </w:rPr>
        <w:t>Act</w:t>
      </w:r>
      <w:r w:rsidR="003D4CFE" w:rsidRPr="00BE0713">
        <w:rPr>
          <w:i/>
        </w:rPr>
        <w:t xml:space="preserve"> </w:t>
      </w:r>
      <w:r w:rsidRPr="00BE0713">
        <w:rPr>
          <w:i/>
        </w:rPr>
        <w:t>2006</w:t>
      </w:r>
      <w:r w:rsidR="003D4CFE" w:rsidRPr="003C6FF5">
        <w:t xml:space="preserve"> </w:t>
      </w:r>
      <w:r w:rsidRPr="003C6FF5">
        <w:t>–</w:t>
      </w:r>
      <w:r w:rsidR="003D4CFE" w:rsidRPr="003C6FF5">
        <w:t xml:space="preserve"> </w:t>
      </w:r>
      <w:r w:rsidR="00CE1579" w:rsidRPr="003C6FF5">
        <w:t>Part</w:t>
      </w:r>
      <w:r w:rsidR="003D4CFE" w:rsidRPr="003C6FF5">
        <w:t xml:space="preserve"> </w:t>
      </w:r>
      <w:r w:rsidR="00CE1579" w:rsidRPr="003C6FF5">
        <w:t>2.3</w:t>
      </w:r>
      <w:r w:rsidR="003D4CFE" w:rsidRPr="003C6FF5">
        <w:t xml:space="preserve"> </w:t>
      </w:r>
      <w:r w:rsidR="00CE1579" w:rsidRPr="003C6FF5">
        <w:t>–</w:t>
      </w:r>
      <w:r w:rsidR="003D4CFE" w:rsidRPr="003C6FF5">
        <w:t xml:space="preserve"> </w:t>
      </w:r>
      <w:r w:rsidR="00CE1579" w:rsidRPr="003C6FF5">
        <w:t>Government</w:t>
      </w:r>
      <w:r w:rsidR="003D4CFE" w:rsidRPr="003C6FF5">
        <w:t xml:space="preserve"> </w:t>
      </w:r>
      <w:r w:rsidR="00CE1579" w:rsidRPr="003C6FF5">
        <w:t>School</w:t>
      </w:r>
      <w:r w:rsidR="003D4CFE" w:rsidRPr="003C6FF5">
        <w:t xml:space="preserve"> </w:t>
      </w:r>
      <w:r w:rsidR="00CE1579" w:rsidRPr="003C6FF5">
        <w:t>Councils</w:t>
      </w:r>
      <w:r w:rsidR="00325B1C">
        <w:t>.</w:t>
      </w:r>
      <w:r w:rsidR="003D4CFE" w:rsidRPr="003C6FF5">
        <w:t xml:space="preserve"> </w:t>
      </w:r>
    </w:p>
    <w:p w:rsidR="00C47A4E" w:rsidRPr="0008210B" w:rsidRDefault="00C47A4E" w:rsidP="00C47A4E">
      <w:pPr>
        <w:pStyle w:val="ListBullet"/>
        <w:numPr>
          <w:ilvl w:val="0"/>
          <w:numId w:val="30"/>
        </w:numPr>
        <w:ind w:left="284" w:hanging="284"/>
      </w:pPr>
      <w:r w:rsidRPr="00F1501C">
        <w:rPr>
          <w:i/>
        </w:rPr>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p>
    <w:p w:rsidR="00A7050E" w:rsidRPr="003C6FF5" w:rsidRDefault="00A7050E" w:rsidP="003C6FF5">
      <w:pPr>
        <w:pStyle w:val="ListBullet"/>
        <w:numPr>
          <w:ilvl w:val="0"/>
          <w:numId w:val="30"/>
        </w:numPr>
        <w:ind w:left="284" w:hanging="284"/>
      </w:pPr>
      <w:r>
        <w:rPr>
          <w:i/>
        </w:rPr>
        <w:t>Financial Management Act 1994</w:t>
      </w:r>
      <w:r w:rsidRPr="00A7050E">
        <w:t>.</w:t>
      </w:r>
    </w:p>
    <w:p w:rsidR="00D05AAB" w:rsidRDefault="0051778F" w:rsidP="003C6FF5">
      <w:pPr>
        <w:pStyle w:val="ListBullet"/>
        <w:numPr>
          <w:ilvl w:val="0"/>
          <w:numId w:val="30"/>
        </w:numPr>
        <w:ind w:left="284" w:hanging="284"/>
      </w:pPr>
      <w:r w:rsidRPr="00AD3210">
        <w:t>Standing</w:t>
      </w:r>
      <w:r w:rsidR="003D4CFE">
        <w:t xml:space="preserve"> </w:t>
      </w:r>
      <w:r w:rsidRPr="00AD3210">
        <w:t>Directions</w:t>
      </w:r>
      <w:r w:rsidR="003D4CFE">
        <w:t xml:space="preserve"> </w:t>
      </w:r>
      <w:r w:rsidRPr="00AD3210">
        <w:t>of</w:t>
      </w:r>
      <w:r w:rsidR="003D4CFE">
        <w:t xml:space="preserve"> </w:t>
      </w:r>
      <w:r w:rsidRPr="00AD3210">
        <w:t>the</w:t>
      </w:r>
      <w:r w:rsidR="003D4CFE">
        <w:t xml:space="preserve"> </w:t>
      </w:r>
      <w:r w:rsidRPr="00AD3210">
        <w:t>Minister</w:t>
      </w:r>
      <w:r w:rsidR="003D4CFE">
        <w:t xml:space="preserve"> </w:t>
      </w:r>
      <w:r w:rsidRPr="00AD3210">
        <w:t>of</w:t>
      </w:r>
      <w:r w:rsidR="003D4CFE">
        <w:t xml:space="preserve"> </w:t>
      </w:r>
      <w:r w:rsidRPr="00AD3210">
        <w:t>Finance</w:t>
      </w:r>
      <w:r w:rsidR="003D4CFE">
        <w:t xml:space="preserve"> </w:t>
      </w:r>
      <w:r w:rsidRPr="00AD3210">
        <w:t>201</w:t>
      </w:r>
      <w:r w:rsidR="008758C5">
        <w:t>8</w:t>
      </w:r>
      <w:r w:rsidR="00AE0261">
        <w:t xml:space="preserve"> under the </w:t>
      </w:r>
      <w:r w:rsidR="00AE0261" w:rsidRPr="00AE0261">
        <w:rPr>
          <w:i/>
        </w:rPr>
        <w:t>Financial Management Act 1994</w:t>
      </w:r>
      <w:r w:rsidR="003D4CFE" w:rsidRPr="00AE0261">
        <w:rPr>
          <w:i/>
        </w:rPr>
        <w:t xml:space="preserve"> </w:t>
      </w:r>
      <w:r w:rsidR="00096CA9" w:rsidRPr="00AD3210">
        <w:t>–</w:t>
      </w:r>
      <w:r w:rsidR="003D4CFE">
        <w:t xml:space="preserve"> </w:t>
      </w:r>
      <w:r w:rsidR="00096CA9" w:rsidRPr="00AD3210">
        <w:t>Section</w:t>
      </w:r>
      <w:r w:rsidR="003D4CFE">
        <w:t xml:space="preserve"> </w:t>
      </w:r>
      <w:r w:rsidR="00163508">
        <w:t>3.3 Financial Authorisations; 3.4 Internal Control Systems</w:t>
      </w:r>
      <w:r w:rsidR="00CB3C06">
        <w:t xml:space="preserve"> and </w:t>
      </w:r>
      <w:r w:rsidR="00163508">
        <w:t>3.7 Managing Risk</w:t>
      </w:r>
      <w:r w:rsidR="00325B1C">
        <w:t>.</w:t>
      </w:r>
    </w:p>
    <w:p w:rsidR="00AE0261" w:rsidRDefault="00AE0261" w:rsidP="00AE0261">
      <w:pPr>
        <w:pStyle w:val="ListBullet"/>
        <w:numPr>
          <w:ilvl w:val="0"/>
          <w:numId w:val="0"/>
        </w:numPr>
      </w:pPr>
    </w:p>
    <w:p w:rsidR="0051778F" w:rsidRPr="00AD3210" w:rsidRDefault="0051778F" w:rsidP="003D4CFE">
      <w:pPr>
        <w:pStyle w:val="Heading2"/>
      </w:pPr>
      <w:r w:rsidRPr="00AD3210">
        <w:t>Definitions</w:t>
      </w:r>
      <w:r w:rsidR="003D4CFE">
        <w:t xml:space="preserve"> </w:t>
      </w:r>
    </w:p>
    <w:tbl>
      <w:tblPr>
        <w:tblW w:w="0" w:type="auto"/>
        <w:tblInd w:w="57" w:type="dxa"/>
        <w:tblLook w:val="04A0" w:firstRow="1" w:lastRow="0" w:firstColumn="1" w:lastColumn="0" w:noHBand="0" w:noVBand="1"/>
      </w:tblPr>
      <w:tblGrid>
        <w:gridCol w:w="1979"/>
        <w:gridCol w:w="7028"/>
      </w:tblGrid>
      <w:tr w:rsidR="0051778F" w:rsidRPr="003D4CFE" w:rsidTr="00BE0713">
        <w:trPr>
          <w:trHeight w:val="996"/>
        </w:trPr>
        <w:tc>
          <w:tcPr>
            <w:tcW w:w="1979" w:type="dxa"/>
          </w:tcPr>
          <w:p w:rsidR="0051778F" w:rsidRPr="005A2A30" w:rsidRDefault="0015593F" w:rsidP="00CB62A0">
            <w:pPr>
              <w:rPr>
                <w:b/>
              </w:rPr>
            </w:pPr>
            <w:r w:rsidRPr="005A2A30">
              <w:rPr>
                <w:b/>
              </w:rPr>
              <w:t>ABN</w:t>
            </w:r>
          </w:p>
        </w:tc>
        <w:tc>
          <w:tcPr>
            <w:tcW w:w="7028" w:type="dxa"/>
          </w:tcPr>
          <w:p w:rsidR="00D05AAB" w:rsidRDefault="0002428A" w:rsidP="00CB62A0">
            <w:pPr>
              <w:rPr>
                <w:b/>
                <w:bCs/>
                <w:color w:val="5A5A59"/>
              </w:rPr>
            </w:pPr>
            <w:r>
              <w:t xml:space="preserve">An Australian Business Number (ABN) is a unique </w:t>
            </w:r>
            <w:r w:rsidR="004B59DB">
              <w:t>11-digit</w:t>
            </w:r>
            <w:r>
              <w:t xml:space="preserve"> number that identifies a business to the government and community. It is used for tax and various other business purposes.</w:t>
            </w:r>
            <w:r w:rsidR="00D12DAB">
              <w:t xml:space="preserve"> A school can only obtain an ABN through </w:t>
            </w:r>
            <w:r w:rsidR="00CB3C06">
              <w:t xml:space="preserve">the </w:t>
            </w:r>
            <w:r w:rsidR="00D12DAB">
              <w:t xml:space="preserve">Department, as the ATO requires proof of identity for schools from </w:t>
            </w:r>
            <w:r w:rsidR="00CB3C06">
              <w:t xml:space="preserve">the </w:t>
            </w:r>
            <w:r w:rsidR="00D12DAB">
              <w:t>Department.</w:t>
            </w:r>
          </w:p>
        </w:tc>
      </w:tr>
      <w:tr w:rsidR="0051778F" w:rsidRPr="003D4CFE" w:rsidTr="00A501CA">
        <w:trPr>
          <w:trHeight w:val="1322"/>
        </w:trPr>
        <w:tc>
          <w:tcPr>
            <w:tcW w:w="1979" w:type="dxa"/>
            <w:shd w:val="clear" w:color="auto" w:fill="F2F2F2" w:themeFill="background1" w:themeFillShade="F2"/>
          </w:tcPr>
          <w:p w:rsidR="0051778F" w:rsidRPr="005A2A30" w:rsidRDefault="00134D5F" w:rsidP="00CB62A0">
            <w:pPr>
              <w:rPr>
                <w:b/>
              </w:rPr>
            </w:pPr>
            <w:r w:rsidRPr="005A2A30">
              <w:rPr>
                <w:b/>
              </w:rPr>
              <w:t xml:space="preserve">Accounts Payable </w:t>
            </w:r>
          </w:p>
        </w:tc>
        <w:tc>
          <w:tcPr>
            <w:tcW w:w="7028" w:type="dxa"/>
            <w:shd w:val="clear" w:color="auto" w:fill="F2F2F2" w:themeFill="background1" w:themeFillShade="F2"/>
          </w:tcPr>
          <w:p w:rsidR="00D05AAB" w:rsidRDefault="00134D5F" w:rsidP="00A7050E">
            <w:r w:rsidRPr="00134D5F">
              <w:t xml:space="preserve">Accounts payable is money owed to suppliers and is shown as a liability on the balance sheet. </w:t>
            </w:r>
            <w:r w:rsidR="00325B1C">
              <w:t>These are</w:t>
            </w:r>
            <w:r w:rsidRPr="00134D5F">
              <w:t xml:space="preserve"> recorded in the Account Payable sub-ledger of CASES21 </w:t>
            </w:r>
            <w:r w:rsidR="00C9230A">
              <w:t>a</w:t>
            </w:r>
            <w:r w:rsidRPr="00134D5F">
              <w:t xml:space="preserve">t the time an invoice is </w:t>
            </w:r>
            <w:r w:rsidR="00325B1C">
              <w:t>produced</w:t>
            </w:r>
            <w:r w:rsidR="00325B1C" w:rsidRPr="00134D5F">
              <w:t xml:space="preserve"> </w:t>
            </w:r>
            <w:r w:rsidRPr="00134D5F">
              <w:t>for payment.</w:t>
            </w:r>
            <w:r w:rsidR="00C445C5">
              <w:t xml:space="preserve"> (CASES21 </w:t>
            </w:r>
            <w:r w:rsidR="00C9230A">
              <w:t>C</w:t>
            </w:r>
            <w:r w:rsidR="00C445C5">
              <w:t xml:space="preserve">hart of </w:t>
            </w:r>
            <w:r w:rsidR="00A7050E">
              <w:t>A</w:t>
            </w:r>
            <w:r w:rsidR="00C445C5">
              <w:t>ccount code 37000)</w:t>
            </w:r>
          </w:p>
        </w:tc>
      </w:tr>
      <w:tr w:rsidR="0051778F" w:rsidRPr="003D4CFE" w:rsidTr="00BE0713">
        <w:trPr>
          <w:trHeight w:val="1354"/>
        </w:trPr>
        <w:tc>
          <w:tcPr>
            <w:tcW w:w="1979" w:type="dxa"/>
            <w:shd w:val="clear" w:color="auto" w:fill="FFFFFF" w:themeFill="background1"/>
          </w:tcPr>
          <w:p w:rsidR="0051778F" w:rsidRPr="005A2A30" w:rsidRDefault="00FD7308" w:rsidP="00CB62A0">
            <w:pPr>
              <w:rPr>
                <w:b/>
              </w:rPr>
            </w:pPr>
            <w:r w:rsidRPr="005A2A30">
              <w:rPr>
                <w:b/>
              </w:rPr>
              <w:lastRenderedPageBreak/>
              <w:t>CASES21</w:t>
            </w:r>
          </w:p>
        </w:tc>
        <w:tc>
          <w:tcPr>
            <w:tcW w:w="7028" w:type="dxa"/>
            <w:shd w:val="clear" w:color="auto" w:fill="FFFFFF" w:themeFill="background1"/>
          </w:tcPr>
          <w:p w:rsidR="00D05AAB" w:rsidRDefault="00F70CB4" w:rsidP="00AE0261">
            <w:r w:rsidRPr="003D4CFE">
              <w:t>CASES21</w:t>
            </w:r>
            <w:r w:rsidR="003D4CFE" w:rsidRPr="003D4CFE">
              <w:t xml:space="preserve"> </w:t>
            </w:r>
            <w:r w:rsidRPr="003D4CFE">
              <w:t>(Computerised</w:t>
            </w:r>
            <w:r w:rsidR="003D4CFE" w:rsidRPr="003D4CFE">
              <w:t xml:space="preserve"> </w:t>
            </w:r>
            <w:r w:rsidRPr="003D4CFE">
              <w:t>Administrative</w:t>
            </w:r>
            <w:r w:rsidR="003D4CFE" w:rsidRPr="003D4CFE">
              <w:t xml:space="preserve"> </w:t>
            </w:r>
            <w:r w:rsidRPr="003D4CFE">
              <w:t>System</w:t>
            </w:r>
            <w:r w:rsidR="003D4CFE" w:rsidRPr="003D4CFE">
              <w:t xml:space="preserve"> </w:t>
            </w:r>
            <w:r w:rsidRPr="003D4CFE">
              <w:t>Environment</w:t>
            </w:r>
            <w:r w:rsidR="003D4CFE" w:rsidRPr="003D4CFE">
              <w:t xml:space="preserve"> </w:t>
            </w:r>
            <w:r w:rsidRPr="003D4CFE">
              <w:t>in</w:t>
            </w:r>
            <w:r w:rsidR="003D4CFE" w:rsidRPr="003D4CFE">
              <w:t xml:space="preserve"> </w:t>
            </w:r>
            <w:r w:rsidRPr="003D4CFE">
              <w:t>Schools)</w:t>
            </w:r>
            <w:r w:rsidR="003D4CFE" w:rsidRPr="003D4CFE">
              <w:t xml:space="preserve"> </w:t>
            </w:r>
            <w:r w:rsidRPr="003D4CFE">
              <w:t>is</w:t>
            </w:r>
            <w:r w:rsidR="003D4CFE" w:rsidRPr="003D4CFE">
              <w:t xml:space="preserve"> </w:t>
            </w:r>
            <w:r w:rsidRPr="003D4CFE">
              <w:t>the</w:t>
            </w:r>
            <w:r w:rsidR="003D4CFE" w:rsidRPr="003D4CFE">
              <w:t xml:space="preserve"> </w:t>
            </w:r>
            <w:r w:rsidR="00C81B63">
              <w:t xml:space="preserve">software </w:t>
            </w:r>
            <w:r w:rsidRPr="003D4CFE">
              <w:t>package</w:t>
            </w:r>
            <w:r w:rsidR="003D4CFE" w:rsidRPr="003D4CFE">
              <w:t xml:space="preserve"> </w:t>
            </w:r>
            <w:r w:rsidRPr="003D4CFE">
              <w:t>provided</w:t>
            </w:r>
            <w:r w:rsidR="003D4CFE" w:rsidRPr="003D4CFE">
              <w:t xml:space="preserve"> </w:t>
            </w:r>
            <w:r w:rsidRPr="003D4CFE">
              <w:t>to</w:t>
            </w:r>
            <w:r w:rsidR="003D4CFE" w:rsidRPr="003D4CFE">
              <w:t xml:space="preserve"> </w:t>
            </w:r>
            <w:r w:rsidRPr="003D4CFE">
              <w:t>Victorian</w:t>
            </w:r>
            <w:r w:rsidR="003D4CFE" w:rsidRPr="003D4CFE">
              <w:t xml:space="preserve"> </w:t>
            </w:r>
            <w:r w:rsidR="00AE0261">
              <w:t>G</w:t>
            </w:r>
            <w:r w:rsidRPr="003D4CFE">
              <w:t>overnment</w:t>
            </w:r>
            <w:r w:rsidR="003D4CFE" w:rsidRPr="003D4CFE">
              <w:t xml:space="preserve"> </w:t>
            </w:r>
            <w:r w:rsidRPr="003D4CFE">
              <w:t>schools</w:t>
            </w:r>
            <w:r w:rsidR="003D4CFE" w:rsidRPr="003D4CFE">
              <w:t xml:space="preserve"> </w:t>
            </w:r>
            <w:r w:rsidRPr="003D4CFE">
              <w:t>to</w:t>
            </w:r>
            <w:r w:rsidR="003D4CFE" w:rsidRPr="003D4CFE">
              <w:t xml:space="preserve"> </w:t>
            </w:r>
            <w:r w:rsidRPr="003D4CFE">
              <w:t>support</w:t>
            </w:r>
            <w:r w:rsidR="003D4CFE" w:rsidRPr="003D4CFE">
              <w:t xml:space="preserve"> </w:t>
            </w:r>
            <w:r w:rsidRPr="003D4CFE">
              <w:t>school</w:t>
            </w:r>
            <w:r w:rsidR="003D4CFE" w:rsidRPr="003D4CFE">
              <w:t xml:space="preserve"> </w:t>
            </w:r>
            <w:r w:rsidRPr="003D4CFE">
              <w:t>administration,</w:t>
            </w:r>
            <w:r w:rsidR="003D4CFE" w:rsidRPr="003D4CFE">
              <w:t xml:space="preserve"> </w:t>
            </w:r>
            <w:r w:rsidRPr="003D4CFE">
              <w:t>finance</w:t>
            </w:r>
            <w:r w:rsidR="003D4CFE" w:rsidRPr="003D4CFE">
              <w:t xml:space="preserve"> </w:t>
            </w:r>
            <w:r w:rsidRPr="003D4CFE">
              <w:t>and</w:t>
            </w:r>
            <w:r w:rsidR="003D4CFE" w:rsidRPr="003D4CFE">
              <w:t xml:space="preserve"> </w:t>
            </w:r>
            <w:r w:rsidRPr="003D4CFE">
              <w:t>central</w:t>
            </w:r>
            <w:r w:rsidR="003D4CFE" w:rsidRPr="003D4CFE">
              <w:t xml:space="preserve"> </w:t>
            </w:r>
            <w:r w:rsidRPr="003D4CFE">
              <w:t>reporting</w:t>
            </w:r>
            <w:r w:rsidR="0003247C" w:rsidRPr="003D4CFE">
              <w:t>.</w:t>
            </w:r>
          </w:p>
        </w:tc>
      </w:tr>
      <w:tr w:rsidR="00845475" w:rsidRPr="003D4CFE" w:rsidTr="00A501CA">
        <w:trPr>
          <w:trHeight w:val="1006"/>
        </w:trPr>
        <w:tc>
          <w:tcPr>
            <w:tcW w:w="1979" w:type="dxa"/>
            <w:shd w:val="clear" w:color="auto" w:fill="F2F2F2" w:themeFill="background1" w:themeFillShade="F2"/>
          </w:tcPr>
          <w:p w:rsidR="00845475" w:rsidRPr="005A2A30" w:rsidRDefault="00845475" w:rsidP="00CB62A0">
            <w:pPr>
              <w:rPr>
                <w:b/>
              </w:rPr>
            </w:pPr>
            <w:r w:rsidRPr="005A2A30">
              <w:rPr>
                <w:b/>
              </w:rPr>
              <w:t xml:space="preserve">Co-operative bank account </w:t>
            </w:r>
          </w:p>
        </w:tc>
        <w:tc>
          <w:tcPr>
            <w:tcW w:w="7028" w:type="dxa"/>
            <w:shd w:val="clear" w:color="auto" w:fill="F2F2F2" w:themeFill="background1" w:themeFillShade="F2"/>
          </w:tcPr>
          <w:p w:rsidR="00D05AAB" w:rsidRDefault="00845475" w:rsidP="00AE0261">
            <w:pPr>
              <w:rPr>
                <w:b/>
                <w:bCs/>
                <w:color w:val="5A5A59"/>
              </w:rPr>
            </w:pPr>
            <w:r w:rsidRPr="00845475">
              <w:t>Account used to administer loans raised through a co</w:t>
            </w:r>
            <w:r w:rsidR="003C2EDB">
              <w:t>-</w:t>
            </w:r>
            <w:r w:rsidRPr="00845475">
              <w:t>operative society for a school infrastructure project</w:t>
            </w:r>
            <w:r w:rsidR="003C2EDB">
              <w:t>.</w:t>
            </w:r>
            <w:r w:rsidR="00C445C5">
              <w:t xml:space="preserve"> (CASES21 </w:t>
            </w:r>
            <w:r w:rsidR="00C9230A">
              <w:t>C</w:t>
            </w:r>
            <w:r w:rsidR="00C445C5">
              <w:t xml:space="preserve">hart of </w:t>
            </w:r>
            <w:r w:rsidR="00AE0261">
              <w:t>A</w:t>
            </w:r>
            <w:r w:rsidR="00C445C5">
              <w:t>ccount code 10005)</w:t>
            </w:r>
          </w:p>
        </w:tc>
      </w:tr>
      <w:tr w:rsidR="00845475" w:rsidRPr="003D4CFE" w:rsidTr="00BE0713">
        <w:trPr>
          <w:trHeight w:val="1048"/>
        </w:trPr>
        <w:tc>
          <w:tcPr>
            <w:tcW w:w="1979" w:type="dxa"/>
            <w:shd w:val="clear" w:color="auto" w:fill="FFFFFF" w:themeFill="background1"/>
          </w:tcPr>
          <w:p w:rsidR="00845475" w:rsidRPr="005A2A30" w:rsidRDefault="00845475" w:rsidP="00CB62A0">
            <w:pPr>
              <w:rPr>
                <w:b/>
              </w:rPr>
            </w:pPr>
            <w:r w:rsidRPr="005A2A30">
              <w:rPr>
                <w:b/>
              </w:rPr>
              <w:t xml:space="preserve">Co-operative loan account </w:t>
            </w:r>
          </w:p>
        </w:tc>
        <w:tc>
          <w:tcPr>
            <w:tcW w:w="7028" w:type="dxa"/>
            <w:shd w:val="clear" w:color="auto" w:fill="FFFFFF" w:themeFill="background1"/>
          </w:tcPr>
          <w:p w:rsidR="00D05AAB" w:rsidRDefault="00845475" w:rsidP="00AE0261">
            <w:pPr>
              <w:rPr>
                <w:b/>
                <w:bCs/>
                <w:color w:val="5A5A59"/>
              </w:rPr>
            </w:pPr>
            <w:r w:rsidRPr="00845475">
              <w:t xml:space="preserve">Loans raised through a </w:t>
            </w:r>
            <w:r w:rsidR="004B59DB">
              <w:t>c</w:t>
            </w:r>
            <w:r w:rsidRPr="00845475">
              <w:t>o</w:t>
            </w:r>
            <w:r w:rsidR="003C2EDB">
              <w:t>-</w:t>
            </w:r>
            <w:r w:rsidRPr="00845475">
              <w:t>operative Society for school projects</w:t>
            </w:r>
            <w:r w:rsidR="003C2EDB">
              <w:t xml:space="preserve">. The monthly payment of principal is processed against the CASES21 </w:t>
            </w:r>
            <w:r w:rsidR="00AE0261">
              <w:t>C</w:t>
            </w:r>
            <w:r w:rsidR="003C2EDB">
              <w:t xml:space="preserve">hart of </w:t>
            </w:r>
            <w:r w:rsidR="00AE0261">
              <w:t>A</w:t>
            </w:r>
            <w:r w:rsidR="003C2EDB">
              <w:t>ccounts code 40001.</w:t>
            </w:r>
          </w:p>
        </w:tc>
      </w:tr>
      <w:tr w:rsidR="00845475" w:rsidRPr="003D4CFE" w:rsidTr="00A501CA">
        <w:trPr>
          <w:trHeight w:val="1360"/>
        </w:trPr>
        <w:tc>
          <w:tcPr>
            <w:tcW w:w="1979" w:type="dxa"/>
            <w:shd w:val="clear" w:color="auto" w:fill="F2F2F2" w:themeFill="background1" w:themeFillShade="F2"/>
          </w:tcPr>
          <w:p w:rsidR="00845475" w:rsidRPr="005A2A30" w:rsidRDefault="00845475" w:rsidP="00CB62A0">
            <w:pPr>
              <w:rPr>
                <w:b/>
              </w:rPr>
            </w:pPr>
            <w:r w:rsidRPr="005A2A30">
              <w:rPr>
                <w:b/>
              </w:rPr>
              <w:t>Revenue received in advance</w:t>
            </w:r>
          </w:p>
        </w:tc>
        <w:tc>
          <w:tcPr>
            <w:tcW w:w="7028" w:type="dxa"/>
            <w:shd w:val="clear" w:color="auto" w:fill="F2F2F2" w:themeFill="background1" w:themeFillShade="F2"/>
          </w:tcPr>
          <w:p w:rsidR="00D05AAB" w:rsidRDefault="00845475" w:rsidP="00CB62A0">
            <w:r w:rsidRPr="00845475">
              <w:t>Funds received prior to the period they relate</w:t>
            </w:r>
            <w:r>
              <w:t xml:space="preserve"> too. </w:t>
            </w:r>
            <w:r w:rsidRPr="00845475">
              <w:t xml:space="preserve">The </w:t>
            </w:r>
            <w:r>
              <w:t xml:space="preserve">revenue </w:t>
            </w:r>
            <w:r w:rsidRPr="00845475">
              <w:t>belongs to a future accounting period (generally the next one)</w:t>
            </w:r>
            <w:r w:rsidR="004B59DB" w:rsidRPr="00845475">
              <w:t>;</w:t>
            </w:r>
            <w:r w:rsidRPr="00845475">
              <w:t xml:space="preserve"> however, the payment </w:t>
            </w:r>
            <w:r w:rsidR="00AA3B38">
              <w:t xml:space="preserve">of revenue </w:t>
            </w:r>
            <w:r w:rsidRPr="00845475">
              <w:t>is received in the current accounting period.</w:t>
            </w:r>
          </w:p>
        </w:tc>
      </w:tr>
      <w:tr w:rsidR="0051778F" w:rsidRPr="003D4CFE" w:rsidTr="00C9230A">
        <w:tc>
          <w:tcPr>
            <w:tcW w:w="1979" w:type="dxa"/>
            <w:shd w:val="clear" w:color="auto" w:fill="FFFFFF" w:themeFill="background1"/>
          </w:tcPr>
          <w:p w:rsidR="0051778F" w:rsidRPr="005A2A30" w:rsidRDefault="0015593F" w:rsidP="00CB62A0">
            <w:pPr>
              <w:rPr>
                <w:b/>
              </w:rPr>
            </w:pPr>
            <w:r w:rsidRPr="005A2A30">
              <w:rPr>
                <w:b/>
              </w:rPr>
              <w:t>School Community Co</w:t>
            </w:r>
            <w:r w:rsidR="000347CB">
              <w:rPr>
                <w:b/>
              </w:rPr>
              <w:t>-</w:t>
            </w:r>
            <w:r w:rsidRPr="005A2A30">
              <w:rPr>
                <w:b/>
              </w:rPr>
              <w:t>operative</w:t>
            </w:r>
          </w:p>
        </w:tc>
        <w:tc>
          <w:tcPr>
            <w:tcW w:w="7028" w:type="dxa"/>
            <w:shd w:val="clear" w:color="auto" w:fill="FFFFFF" w:themeFill="background1"/>
          </w:tcPr>
          <w:p w:rsidR="00D05AAB" w:rsidRDefault="0015593F" w:rsidP="00CB62A0">
            <w:pPr>
              <w:rPr>
                <w:b/>
                <w:bCs/>
                <w:color w:val="5A5A59"/>
              </w:rPr>
            </w:pPr>
            <w:r>
              <w:t>A democratic organisation set up by a school community to promote and access funding for a particular purpose relating to a school. Usually a building project such as the construction of a multipurpose facility.</w:t>
            </w:r>
          </w:p>
        </w:tc>
      </w:tr>
      <w:tr w:rsidR="00C9230A" w:rsidRPr="003D4CFE" w:rsidTr="00A501CA">
        <w:tc>
          <w:tcPr>
            <w:tcW w:w="1979" w:type="dxa"/>
            <w:shd w:val="clear" w:color="auto" w:fill="F2F2F2" w:themeFill="background1" w:themeFillShade="F2"/>
          </w:tcPr>
          <w:p w:rsidR="00C9230A" w:rsidRPr="005A2A30" w:rsidRDefault="00C9230A" w:rsidP="00CB62A0">
            <w:pPr>
              <w:rPr>
                <w:b/>
              </w:rPr>
            </w:pPr>
            <w:r w:rsidRPr="005A2A30">
              <w:rPr>
                <w:b/>
              </w:rPr>
              <w:t>Unallocated creditor items</w:t>
            </w:r>
          </w:p>
        </w:tc>
        <w:tc>
          <w:tcPr>
            <w:tcW w:w="7028" w:type="dxa"/>
            <w:shd w:val="clear" w:color="auto" w:fill="F2F2F2" w:themeFill="background1" w:themeFillShade="F2"/>
          </w:tcPr>
          <w:p w:rsidR="00C9230A" w:rsidRDefault="00C9230A" w:rsidP="00CB62A0">
            <w:r w:rsidRPr="008D5894">
              <w:t>Creditor payments and credit notes that have not been allocated to an invoice.</w:t>
            </w:r>
          </w:p>
        </w:tc>
      </w:tr>
    </w:tbl>
    <w:p w:rsidR="0091756B" w:rsidRDefault="0091756B" w:rsidP="00CB62A0"/>
    <w:p w:rsidR="0051778F" w:rsidRDefault="0051778F" w:rsidP="0091756B">
      <w:pPr>
        <w:pStyle w:val="Heading2"/>
      </w:pPr>
      <w:r w:rsidRPr="00AD3210">
        <w:t>Additional</w:t>
      </w:r>
      <w:r w:rsidR="003D4CFE">
        <w:t xml:space="preserve"> </w:t>
      </w:r>
      <w:r w:rsidR="00267015">
        <w:t>r</w:t>
      </w:r>
      <w:r w:rsidRPr="00AD3210">
        <w:t>esources</w:t>
      </w:r>
    </w:p>
    <w:p w:rsidR="00A501CA" w:rsidRPr="00E06FD2" w:rsidRDefault="00A82EA9" w:rsidP="00A501CA">
      <w:pPr>
        <w:pStyle w:val="ListBullet"/>
        <w:numPr>
          <w:ilvl w:val="0"/>
          <w:numId w:val="35"/>
        </w:numPr>
        <w:rPr>
          <w:rFonts w:cs="Arial"/>
          <w:w w:val="110"/>
        </w:rPr>
      </w:pPr>
      <w:hyperlink r:id="rId15" w:history="1">
        <w:r w:rsidR="00A501CA" w:rsidRPr="00E06FD2">
          <w:rPr>
            <w:rFonts w:eastAsiaTheme="minorEastAsia" w:cs="Arial"/>
            <w:color w:val="0000FF"/>
            <w:szCs w:val="18"/>
            <w:u w:val="single"/>
          </w:rPr>
          <w:t>CASES21 Finance Business Process Guide</w:t>
        </w:r>
      </w:hyperlink>
    </w:p>
    <w:p w:rsidR="00A501CA" w:rsidRPr="004B0954" w:rsidRDefault="00A82EA9" w:rsidP="00A501CA">
      <w:pPr>
        <w:pStyle w:val="ListBullet"/>
        <w:numPr>
          <w:ilvl w:val="0"/>
          <w:numId w:val="35"/>
        </w:numPr>
        <w:rPr>
          <w:rStyle w:val="Hyperlink"/>
        </w:rPr>
      </w:pPr>
      <w:hyperlink r:id="rId16" w:history="1">
        <w:r w:rsidR="00A501CA" w:rsidRPr="00F62692">
          <w:rPr>
            <w:rStyle w:val="Hyperlink"/>
          </w:rPr>
          <w:t>Chart of Accounts for Victorian Government Schools</w:t>
        </w:r>
      </w:hyperlink>
      <w:r w:rsidR="00A501CA" w:rsidRPr="004B0954">
        <w:t xml:space="preserve"> </w:t>
      </w:r>
    </w:p>
    <w:p w:rsidR="00F62692" w:rsidRDefault="00A82EA9" w:rsidP="00A501CA">
      <w:pPr>
        <w:pStyle w:val="ListBullet"/>
        <w:numPr>
          <w:ilvl w:val="0"/>
          <w:numId w:val="35"/>
        </w:numPr>
      </w:pPr>
      <w:hyperlink r:id="rId17" w:history="1">
        <w:r w:rsidR="00A501CA" w:rsidRPr="00F62692">
          <w:rPr>
            <w:rStyle w:val="Hyperlink"/>
          </w:rPr>
          <w:t>Consumer Affairs Victoria</w:t>
        </w:r>
      </w:hyperlink>
    </w:p>
    <w:p w:rsidR="00F62692" w:rsidRDefault="00A82EA9" w:rsidP="003B667C">
      <w:pPr>
        <w:pStyle w:val="ListBullet"/>
        <w:numPr>
          <w:ilvl w:val="0"/>
          <w:numId w:val="35"/>
        </w:numPr>
      </w:pPr>
      <w:hyperlink r:id="rId18" w:history="1">
        <w:r w:rsidR="00A501CA" w:rsidRPr="00F62692">
          <w:rPr>
            <w:rStyle w:val="Hyperlink"/>
          </w:rPr>
          <w:t>Internal Controls for Victorian Government Schools</w:t>
        </w:r>
      </w:hyperlink>
    </w:p>
    <w:p w:rsidR="00F62692" w:rsidRDefault="00A82EA9" w:rsidP="003B667C">
      <w:pPr>
        <w:pStyle w:val="ListBullet"/>
        <w:numPr>
          <w:ilvl w:val="0"/>
          <w:numId w:val="35"/>
        </w:numPr>
      </w:pPr>
      <w:hyperlink r:id="rId19" w:history="1">
        <w:r w:rsidR="00A501CA" w:rsidRPr="00F62692">
          <w:rPr>
            <w:rStyle w:val="Hyperlink"/>
          </w:rPr>
          <w:t>Management of School Trading Operations Guidelines</w:t>
        </w:r>
      </w:hyperlink>
    </w:p>
    <w:p w:rsidR="00A501CA" w:rsidRPr="004B0954" w:rsidRDefault="00A82EA9" w:rsidP="00A501CA">
      <w:pPr>
        <w:pStyle w:val="ListBullet"/>
        <w:numPr>
          <w:ilvl w:val="0"/>
          <w:numId w:val="35"/>
        </w:numPr>
      </w:pPr>
      <w:hyperlink r:id="rId20" w:history="1">
        <w:r w:rsidR="00A501CA" w:rsidRPr="00F62692">
          <w:rPr>
            <w:rStyle w:val="Hyperlink"/>
          </w:rPr>
          <w:t>School Policy and Advisory Guide</w:t>
        </w:r>
      </w:hyperlink>
    </w:p>
    <w:p w:rsidR="00A501CA" w:rsidRDefault="00A501CA" w:rsidP="00A501CA">
      <w:pPr>
        <w:pStyle w:val="ListBullet"/>
        <w:numPr>
          <w:ilvl w:val="0"/>
          <w:numId w:val="0"/>
        </w:numPr>
        <w:ind w:left="284" w:hanging="284"/>
      </w:pPr>
    </w:p>
    <w:p w:rsidR="00B44818" w:rsidRPr="00B44818" w:rsidRDefault="003B190B" w:rsidP="00B44818">
      <w:pPr>
        <w:pStyle w:val="Heading2"/>
      </w:pPr>
      <w:r>
        <w:t>V</w:t>
      </w:r>
      <w:r w:rsidR="00A501CA">
        <w:t xml:space="preserve">ersion and </w:t>
      </w:r>
      <w:r w:rsidR="00267015">
        <w:t>r</w:t>
      </w:r>
      <w:r w:rsidR="00B44818" w:rsidRPr="00B44818">
        <w:t xml:space="preserve">evision </w:t>
      </w:r>
      <w:r w:rsidR="00A501CA">
        <w:t>control record</w:t>
      </w:r>
    </w:p>
    <w:tbl>
      <w:tblPr>
        <w:tblStyle w:val="GridTable6Colorful1"/>
        <w:tblW w:w="0" w:type="auto"/>
        <w:tblLook w:val="04A0" w:firstRow="1" w:lastRow="0" w:firstColumn="1" w:lastColumn="0" w:noHBand="0" w:noVBand="1"/>
        <w:tblDescription w:val="table contains version and revision control records"/>
      </w:tblPr>
      <w:tblGrid>
        <w:gridCol w:w="1318"/>
        <w:gridCol w:w="1133"/>
        <w:gridCol w:w="4914"/>
        <w:gridCol w:w="1689"/>
      </w:tblGrid>
      <w:tr w:rsidR="0051778F" w:rsidRPr="00AD3210" w:rsidTr="007E5F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bottom w:val="single" w:sz="4" w:space="0" w:color="auto"/>
            </w:tcBorders>
            <w:shd w:val="clear" w:color="auto" w:fill="F2F2F2" w:themeFill="background1" w:themeFillShade="F2"/>
          </w:tcPr>
          <w:p w:rsidR="0051778F" w:rsidRPr="00725887" w:rsidRDefault="0051778F" w:rsidP="00CB62A0">
            <w:pPr>
              <w:rPr>
                <w:color w:val="auto"/>
              </w:rPr>
            </w:pPr>
            <w:r w:rsidRPr="00725887">
              <w:rPr>
                <w:color w:val="auto"/>
              </w:rPr>
              <w:t>Date</w:t>
            </w:r>
          </w:p>
        </w:tc>
        <w:tc>
          <w:tcPr>
            <w:tcW w:w="1133" w:type="dxa"/>
            <w:tcBorders>
              <w:bottom w:val="single" w:sz="4" w:space="0" w:color="auto"/>
            </w:tcBorders>
            <w:shd w:val="clear" w:color="auto" w:fill="F2F2F2" w:themeFill="background1" w:themeFillShade="F2"/>
          </w:tcPr>
          <w:p w:rsidR="0051778F" w:rsidRPr="00725887" w:rsidRDefault="0051778F" w:rsidP="00CB62A0">
            <w:pPr>
              <w:cnfStyle w:val="100000000000" w:firstRow="1" w:lastRow="0" w:firstColumn="0" w:lastColumn="0" w:oddVBand="0" w:evenVBand="0" w:oddHBand="0" w:evenHBand="0" w:firstRowFirstColumn="0" w:firstRowLastColumn="0" w:lastRowFirstColumn="0" w:lastRowLastColumn="0"/>
              <w:rPr>
                <w:color w:val="auto"/>
              </w:rPr>
            </w:pPr>
            <w:r w:rsidRPr="00725887">
              <w:rPr>
                <w:color w:val="auto"/>
              </w:rPr>
              <w:t>Version</w:t>
            </w:r>
          </w:p>
        </w:tc>
        <w:tc>
          <w:tcPr>
            <w:tcW w:w="4914" w:type="dxa"/>
            <w:tcBorders>
              <w:bottom w:val="single" w:sz="4" w:space="0" w:color="auto"/>
            </w:tcBorders>
            <w:shd w:val="clear" w:color="auto" w:fill="F2F2F2" w:themeFill="background1" w:themeFillShade="F2"/>
          </w:tcPr>
          <w:p w:rsidR="0051778F" w:rsidRPr="00725887" w:rsidRDefault="0051778F" w:rsidP="00CB62A0">
            <w:pPr>
              <w:cnfStyle w:val="100000000000" w:firstRow="1" w:lastRow="0" w:firstColumn="0" w:lastColumn="0" w:oddVBand="0" w:evenVBand="0" w:oddHBand="0" w:evenHBand="0" w:firstRowFirstColumn="0" w:firstRowLastColumn="0" w:lastRowFirstColumn="0" w:lastRowLastColumn="0"/>
              <w:rPr>
                <w:color w:val="auto"/>
              </w:rPr>
            </w:pPr>
            <w:r w:rsidRPr="00725887">
              <w:rPr>
                <w:color w:val="auto"/>
              </w:rPr>
              <w:t>Approver</w:t>
            </w:r>
          </w:p>
        </w:tc>
        <w:tc>
          <w:tcPr>
            <w:tcW w:w="1689" w:type="dxa"/>
            <w:tcBorders>
              <w:bottom w:val="single" w:sz="4" w:space="0" w:color="auto"/>
            </w:tcBorders>
            <w:shd w:val="clear" w:color="auto" w:fill="F2F2F2" w:themeFill="background1" w:themeFillShade="F2"/>
          </w:tcPr>
          <w:p w:rsidR="0051778F" w:rsidRPr="00725887" w:rsidRDefault="0051778F" w:rsidP="00CB62A0">
            <w:pPr>
              <w:cnfStyle w:val="100000000000" w:firstRow="1" w:lastRow="0" w:firstColumn="0" w:lastColumn="0" w:oddVBand="0" w:evenVBand="0" w:oddHBand="0" w:evenHBand="0" w:firstRowFirstColumn="0" w:firstRowLastColumn="0" w:lastRowFirstColumn="0" w:lastRowLastColumn="0"/>
              <w:rPr>
                <w:color w:val="auto"/>
              </w:rPr>
            </w:pPr>
            <w:r w:rsidRPr="00725887">
              <w:rPr>
                <w:color w:val="auto"/>
              </w:rPr>
              <w:t>Next</w:t>
            </w:r>
            <w:r w:rsidR="003D4CFE" w:rsidRPr="00725887">
              <w:rPr>
                <w:color w:val="auto"/>
              </w:rPr>
              <w:t xml:space="preserve"> </w:t>
            </w:r>
            <w:r w:rsidRPr="00725887">
              <w:rPr>
                <w:color w:val="auto"/>
              </w:rPr>
              <w:t>Review</w:t>
            </w:r>
          </w:p>
        </w:tc>
      </w:tr>
      <w:tr w:rsidR="0051778F" w:rsidRPr="00AD3210" w:rsidTr="004B0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FFFFFF" w:themeFill="background1"/>
          </w:tcPr>
          <w:p w:rsidR="006B5AAD" w:rsidRPr="005A2A30" w:rsidRDefault="0025533B" w:rsidP="00CB62A0">
            <w:pPr>
              <w:rPr>
                <w:b w:val="0"/>
              </w:rPr>
            </w:pPr>
            <w:r>
              <w:rPr>
                <w:b w:val="0"/>
              </w:rPr>
              <w:t>0</w:t>
            </w:r>
            <w:r w:rsidR="00473A9E">
              <w:rPr>
                <w:b w:val="0"/>
              </w:rPr>
              <w:t>1/2019</w:t>
            </w:r>
          </w:p>
        </w:tc>
        <w:tc>
          <w:tcPr>
            <w:tcW w:w="1133" w:type="dxa"/>
            <w:tcBorders>
              <w:top w:val="single" w:sz="4" w:space="0" w:color="auto"/>
            </w:tcBorders>
            <w:shd w:val="clear" w:color="auto" w:fill="FFFFFF" w:themeFill="background1"/>
          </w:tcPr>
          <w:p w:rsidR="0051778F" w:rsidRPr="007E182C" w:rsidRDefault="0025533B" w:rsidP="00473A9E">
            <w:pPr>
              <w:cnfStyle w:val="000000100000" w:firstRow="0" w:lastRow="0" w:firstColumn="0" w:lastColumn="0" w:oddVBand="0" w:evenVBand="0" w:oddHBand="1" w:evenHBand="0" w:firstRowFirstColumn="0" w:firstRowLastColumn="0" w:lastRowFirstColumn="0" w:lastRowLastColumn="0"/>
            </w:pPr>
            <w:r>
              <w:t>1.</w:t>
            </w:r>
            <w:r w:rsidR="00473A9E">
              <w:t>2</w:t>
            </w:r>
          </w:p>
        </w:tc>
        <w:tc>
          <w:tcPr>
            <w:tcW w:w="4914" w:type="dxa"/>
            <w:tcBorders>
              <w:top w:val="single" w:sz="4" w:space="0" w:color="auto"/>
            </w:tcBorders>
            <w:shd w:val="clear" w:color="auto" w:fill="FFFFFF" w:themeFill="background1"/>
          </w:tcPr>
          <w:p w:rsidR="0051778F" w:rsidRPr="00AD3210" w:rsidRDefault="006849D1" w:rsidP="00CB62A0">
            <w:pPr>
              <w:cnfStyle w:val="000000100000" w:firstRow="0" w:lastRow="0" w:firstColumn="0" w:lastColumn="0" w:oddVBand="0" w:evenVBand="0" w:oddHBand="1" w:evenHBand="0" w:firstRowFirstColumn="0" w:firstRowLastColumn="0" w:lastRowFirstColumn="0" w:lastRowLastColumn="0"/>
            </w:pPr>
            <w:r w:rsidRPr="00AD3210">
              <w:t>Chief</w:t>
            </w:r>
            <w:r>
              <w:t xml:space="preserve"> </w:t>
            </w:r>
            <w:r w:rsidRPr="00AD3210">
              <w:t>Finance</w:t>
            </w:r>
            <w:r>
              <w:t xml:space="preserve"> </w:t>
            </w:r>
            <w:r w:rsidRPr="00AD3210">
              <w:t>Officer</w:t>
            </w:r>
            <w:r>
              <w:t xml:space="preserve"> </w:t>
            </w:r>
            <w:r w:rsidRPr="00AD3210">
              <w:t>-</w:t>
            </w:r>
            <w:r>
              <w:t xml:space="preserve">  </w:t>
            </w:r>
            <w:r w:rsidRPr="00AD3210">
              <w:t>Financial</w:t>
            </w:r>
            <w:r>
              <w:t xml:space="preserve"> </w:t>
            </w:r>
            <w:r w:rsidRPr="00AD3210">
              <w:t>Services</w:t>
            </w:r>
            <w:r>
              <w:t xml:space="preserve"> </w:t>
            </w:r>
            <w:r w:rsidRPr="00AD3210">
              <w:t>Division</w:t>
            </w:r>
          </w:p>
        </w:tc>
        <w:tc>
          <w:tcPr>
            <w:tcW w:w="1689" w:type="dxa"/>
            <w:tcBorders>
              <w:top w:val="single" w:sz="4" w:space="0" w:color="auto"/>
            </w:tcBorders>
            <w:shd w:val="clear" w:color="auto" w:fill="FFFFFF" w:themeFill="background1"/>
          </w:tcPr>
          <w:p w:rsidR="0051778F" w:rsidRPr="00AD3210" w:rsidRDefault="006849D1" w:rsidP="00473A9E">
            <w:pPr>
              <w:cnfStyle w:val="000000100000" w:firstRow="0" w:lastRow="0" w:firstColumn="0" w:lastColumn="0" w:oddVBand="0" w:evenVBand="0" w:oddHBand="1" w:evenHBand="0" w:firstRowFirstColumn="0" w:firstRowLastColumn="0" w:lastRowFirstColumn="0" w:lastRowLastColumn="0"/>
            </w:pPr>
            <w:r>
              <w:t>0</w:t>
            </w:r>
            <w:r w:rsidR="00473A9E">
              <w:t>1</w:t>
            </w:r>
            <w:r w:rsidR="008545C6">
              <w:t>/</w:t>
            </w:r>
            <w:r>
              <w:t>20</w:t>
            </w:r>
            <w:r w:rsidR="00473A9E">
              <w:t>20</w:t>
            </w:r>
          </w:p>
        </w:tc>
      </w:tr>
    </w:tbl>
    <w:p w:rsidR="0051778F" w:rsidRPr="00AD3210" w:rsidRDefault="0051778F" w:rsidP="00CB62A0"/>
    <w:sectPr w:rsidR="0051778F" w:rsidRPr="00AD3210" w:rsidSect="003B190B">
      <w:footerReference w:type="default" r:id="rId21"/>
      <w:pgSz w:w="11900" w:h="16840" w:code="9"/>
      <w:pgMar w:top="1418"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2C" w:rsidRDefault="0001632C" w:rsidP="008766A4">
      <w:r>
        <w:separator/>
      </w:r>
    </w:p>
  </w:endnote>
  <w:endnote w:type="continuationSeparator" w:id="0">
    <w:p w:rsidR="0001632C" w:rsidRDefault="0001632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FE" w:rsidRPr="003E29B5" w:rsidRDefault="003D4CFE" w:rsidP="00714E93">
    <w:pPr>
      <w:pStyle w:val="Footer"/>
    </w:pPr>
    <w:r w:rsidRPr="00006534">
      <w:rPr>
        <w:noProof/>
        <w:lang w:eastAsia="en-AU"/>
      </w:rPr>
      <w:drawing>
        <wp:anchor distT="0" distB="0" distL="114300" distR="114300" simplePos="0" relativeHeight="251658240" behindDoc="1" locked="0" layoutInCell="1" allowOverlap="1">
          <wp:simplePos x="0" y="0"/>
          <wp:positionH relativeFrom="page">
            <wp:posOffset>762000</wp:posOffset>
          </wp:positionH>
          <wp:positionV relativeFrom="page">
            <wp:posOffset>9728200</wp:posOffset>
          </wp:positionV>
          <wp:extent cx="6627959" cy="721995"/>
          <wp:effectExtent l="0" t="0" r="1905" b="1905"/>
          <wp:wrapNone/>
          <wp:docPr id="5" name="Picture 5" descr="footer containing document name, date, page number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27959" cy="721995"/>
                  </a:xfrm>
                  <a:prstGeom prst="rect">
                    <a:avLst/>
                  </a:prstGeom>
                </pic:spPr>
              </pic:pic>
            </a:graphicData>
          </a:graphic>
        </wp:anchor>
      </w:drawing>
    </w:r>
    <w:r w:rsidR="00D1697F" w:rsidRPr="00D1697F">
      <w:t xml:space="preserve"> </w:t>
    </w:r>
    <w:r w:rsidR="00D1697F" w:rsidRPr="008A1405">
      <w:t>Section 1</w:t>
    </w:r>
    <w:r w:rsidR="00D1697F">
      <w:t>4</w:t>
    </w:r>
    <w:r w:rsidR="00AE0261">
      <w:t>:</w:t>
    </w:r>
    <w:r w:rsidR="00D1697F" w:rsidRPr="008A1405">
      <w:t xml:space="preserve"> </w:t>
    </w:r>
    <w:r w:rsidR="00D1697F">
      <w:t>Liabilities Management</w:t>
    </w:r>
    <w:r w:rsidR="00C81B63">
      <w:t xml:space="preserve"> </w:t>
    </w:r>
    <w:r w:rsidR="00D1697F" w:rsidRPr="008A1405">
      <w:t xml:space="preserve">| </w:t>
    </w:r>
    <w:r w:rsidR="00473A9E">
      <w:t>January</w:t>
    </w:r>
    <w:r w:rsidR="008545C6">
      <w:t xml:space="preserve"> </w:t>
    </w:r>
    <w:r w:rsidR="00473A9E">
      <w:t>2019</w:t>
    </w:r>
    <w:r>
      <w:rPr>
        <w:noProof/>
      </w:rPr>
      <w:tab/>
    </w:r>
    <w:sdt>
      <w:sdtPr>
        <w:rPr>
          <w:rFonts w:eastAsia="Arial" w:cs="Times New Roman"/>
        </w:rPr>
        <w:id w:val="208384299"/>
        <w:docPartObj>
          <w:docPartGallery w:val="Page Numbers (Bottom of Page)"/>
          <w:docPartUnique/>
        </w:docPartObj>
      </w:sdtPr>
      <w:sdtEndPr>
        <w:rPr>
          <w:noProof/>
        </w:rPr>
      </w:sdtEndPr>
      <w:sdtContent>
        <w:r>
          <w:rPr>
            <w:rFonts w:eastAsia="Arial" w:cs="Times New Roman"/>
          </w:rPr>
          <w:t xml:space="preserve">Page </w:t>
        </w:r>
        <w:r w:rsidR="005D551A" w:rsidRPr="00006534">
          <w:rPr>
            <w:rFonts w:eastAsia="Arial" w:cs="Times New Roman"/>
          </w:rPr>
          <w:fldChar w:fldCharType="begin"/>
        </w:r>
        <w:r w:rsidRPr="00006534">
          <w:rPr>
            <w:rFonts w:eastAsia="Arial" w:cs="Times New Roman"/>
          </w:rPr>
          <w:instrText xml:space="preserve"> TITLE  \* MERGEFORMAT </w:instrText>
        </w:r>
        <w:r w:rsidR="005D551A" w:rsidRPr="00006534">
          <w:rPr>
            <w:rFonts w:eastAsia="Arial" w:cs="Times New Roman"/>
          </w:rPr>
          <w:fldChar w:fldCharType="end"/>
        </w:r>
        <w:r w:rsidR="005D551A" w:rsidRPr="007B2B29">
          <w:rPr>
            <w:rFonts w:eastAsia="Arial" w:cs="Times New Roman"/>
          </w:rPr>
          <w:fldChar w:fldCharType="begin"/>
        </w:r>
        <w:r w:rsidRPr="007B2B29">
          <w:rPr>
            <w:rFonts w:eastAsia="Arial" w:cs="Times New Roman"/>
          </w:rPr>
          <w:instrText xml:space="preserve"> PAGE   \* MERGEFORMAT </w:instrText>
        </w:r>
        <w:r w:rsidR="005D551A" w:rsidRPr="007B2B29">
          <w:rPr>
            <w:rFonts w:eastAsia="Arial" w:cs="Times New Roman"/>
          </w:rPr>
          <w:fldChar w:fldCharType="separate"/>
        </w:r>
        <w:r w:rsidR="00A82EA9">
          <w:rPr>
            <w:rFonts w:eastAsia="Arial" w:cs="Times New Roman"/>
            <w:noProof/>
          </w:rPr>
          <w:t>5</w:t>
        </w:r>
        <w:r w:rsidR="005D551A" w:rsidRPr="007B2B29">
          <w:rPr>
            <w:rFonts w:eastAsia="Arial"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2C" w:rsidRDefault="0001632C" w:rsidP="008766A4">
      <w:r>
        <w:separator/>
      </w:r>
    </w:p>
  </w:footnote>
  <w:footnote w:type="continuationSeparator" w:id="0">
    <w:p w:rsidR="0001632C" w:rsidRDefault="0001632C"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5"/>
      <w:lvlText w:val=""/>
      <w:lvlJc w:val="left"/>
      <w:pPr>
        <w:ind w:left="-600" w:hanging="360"/>
      </w:pPr>
      <w:rPr>
        <w:rFonts w:ascii="Symbol" w:hAnsi="Symbol" w:hint="default"/>
        <w:color w:val="AF272F"/>
      </w:rPr>
    </w:lvl>
    <w:lvl w:ilvl="1">
      <w:start w:val="1"/>
      <w:numFmt w:val="bullet"/>
      <w:lvlText w:val=""/>
      <w:lvlJc w:val="left"/>
      <w:pPr>
        <w:tabs>
          <w:tab w:val="num" w:pos="-240"/>
        </w:tabs>
        <w:ind w:left="120" w:hanging="360"/>
      </w:pPr>
      <w:rPr>
        <w:rFonts w:ascii="Symbol" w:hAnsi="Symbol" w:hint="default"/>
      </w:rPr>
    </w:lvl>
    <w:lvl w:ilvl="2">
      <w:start w:val="1"/>
      <w:numFmt w:val="bullet"/>
      <w:pStyle w:val="NoteLevel7"/>
      <w:lvlText w:val="o"/>
      <w:lvlJc w:val="left"/>
      <w:pPr>
        <w:tabs>
          <w:tab w:val="num" w:pos="480"/>
        </w:tabs>
        <w:ind w:left="840" w:hanging="360"/>
      </w:pPr>
      <w:rPr>
        <w:rFonts w:ascii="Courier New" w:hAnsi="Courier New" w:cs="Courier New" w:hint="default"/>
      </w:rPr>
    </w:lvl>
    <w:lvl w:ilvl="3">
      <w:start w:val="1"/>
      <w:numFmt w:val="bullet"/>
      <w:pStyle w:val="NoteLevel8"/>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9"/>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B7403B"/>
    <w:multiLevelType w:val="hybridMultilevel"/>
    <w:tmpl w:val="D4FA041C"/>
    <w:lvl w:ilvl="0" w:tplc="2A38F8FA">
      <w:start w:val="1"/>
      <w:numFmt w:val="bullet"/>
      <w:pStyle w:val="List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EB78D0"/>
    <w:multiLevelType w:val="hybridMultilevel"/>
    <w:tmpl w:val="C2886DC8"/>
    <w:lvl w:ilvl="0" w:tplc="D0F02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C71F9C"/>
    <w:multiLevelType w:val="hybridMultilevel"/>
    <w:tmpl w:val="DB782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FD0A36"/>
    <w:multiLevelType w:val="hybridMultilevel"/>
    <w:tmpl w:val="BEA2E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51F7F18"/>
    <w:multiLevelType w:val="hybridMultilevel"/>
    <w:tmpl w:val="D5968BA8"/>
    <w:lvl w:ilvl="0" w:tplc="146838A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8026FF"/>
    <w:multiLevelType w:val="hybridMultilevel"/>
    <w:tmpl w:val="5EA2C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0266D0"/>
    <w:multiLevelType w:val="hybridMultilevel"/>
    <w:tmpl w:val="0F8E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C5320B"/>
    <w:multiLevelType w:val="hybridMultilevel"/>
    <w:tmpl w:val="68CCEB26"/>
    <w:lvl w:ilvl="0" w:tplc="A89A91B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4E2F49"/>
    <w:multiLevelType w:val="hybridMultilevel"/>
    <w:tmpl w:val="9610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5C1796"/>
    <w:multiLevelType w:val="hybridMultilevel"/>
    <w:tmpl w:val="1D5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441635"/>
    <w:multiLevelType w:val="hybridMultilevel"/>
    <w:tmpl w:val="2EA4A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EB24B0"/>
    <w:multiLevelType w:val="hybridMultilevel"/>
    <w:tmpl w:val="64743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2D749D"/>
    <w:multiLevelType w:val="hybridMultilevel"/>
    <w:tmpl w:val="ED64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64236D5C"/>
    <w:multiLevelType w:val="hybridMultilevel"/>
    <w:tmpl w:val="4F94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B1721"/>
    <w:multiLevelType w:val="hybridMultilevel"/>
    <w:tmpl w:val="F7CAA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5E1B9E"/>
    <w:multiLevelType w:val="hybridMultilevel"/>
    <w:tmpl w:val="E9A4B860"/>
    <w:lvl w:ilvl="0" w:tplc="E09C7FF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4301"/>
    <w:multiLevelType w:val="hybridMultilevel"/>
    <w:tmpl w:val="6006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38"/>
  </w:num>
  <w:num w:numId="14">
    <w:abstractNumId w:val="31"/>
  </w:num>
  <w:num w:numId="15">
    <w:abstractNumId w:val="36"/>
  </w:num>
  <w:num w:numId="16">
    <w:abstractNumId w:val="20"/>
  </w:num>
  <w:num w:numId="17">
    <w:abstractNumId w:val="22"/>
  </w:num>
  <w:num w:numId="18">
    <w:abstractNumId w:val="23"/>
  </w:num>
  <w:num w:numId="19">
    <w:abstractNumId w:val="37"/>
  </w:num>
  <w:num w:numId="20">
    <w:abstractNumId w:val="18"/>
  </w:num>
  <w:num w:numId="21">
    <w:abstractNumId w:val="17"/>
  </w:num>
  <w:num w:numId="22">
    <w:abstractNumId w:val="21"/>
  </w:num>
  <w:num w:numId="23">
    <w:abstractNumId w:val="27"/>
  </w:num>
  <w:num w:numId="24">
    <w:abstractNumId w:val="26"/>
  </w:num>
  <w:num w:numId="25">
    <w:abstractNumId w:val="30"/>
  </w:num>
  <w:num w:numId="26">
    <w:abstractNumId w:val="35"/>
  </w:num>
  <w:num w:numId="27">
    <w:abstractNumId w:val="13"/>
  </w:num>
  <w:num w:numId="28">
    <w:abstractNumId w:val="13"/>
  </w:num>
  <w:num w:numId="29">
    <w:abstractNumId w:val="16"/>
  </w:num>
  <w:num w:numId="30">
    <w:abstractNumId w:val="24"/>
  </w:num>
  <w:num w:numId="31">
    <w:abstractNumId w:val="34"/>
  </w:num>
  <w:num w:numId="32">
    <w:abstractNumId w:val="32"/>
  </w:num>
  <w:num w:numId="33">
    <w:abstractNumId w:val="15"/>
  </w:num>
  <w:num w:numId="34">
    <w:abstractNumId w:val="33"/>
  </w:num>
  <w:num w:numId="35">
    <w:abstractNumId w:val="25"/>
  </w:num>
  <w:num w:numId="36">
    <w:abstractNumId w:val="19"/>
  </w:num>
  <w:num w:numId="37">
    <w:abstractNumId w:val="28"/>
  </w:num>
  <w:num w:numId="38">
    <w:abstractNumId w:val="12"/>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SortMethod w:val="0000"/>
  <w:defaultTabStop w:val="567"/>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8D4"/>
    <w:rsid w:val="00013DC9"/>
    <w:rsid w:val="0001632C"/>
    <w:rsid w:val="0002428A"/>
    <w:rsid w:val="0003247C"/>
    <w:rsid w:val="000347CB"/>
    <w:rsid w:val="00035071"/>
    <w:rsid w:val="000677F4"/>
    <w:rsid w:val="000678C6"/>
    <w:rsid w:val="00070C1E"/>
    <w:rsid w:val="000852D5"/>
    <w:rsid w:val="00096CA9"/>
    <w:rsid w:val="000A1C9A"/>
    <w:rsid w:val="000B0506"/>
    <w:rsid w:val="000B2BA2"/>
    <w:rsid w:val="000B457A"/>
    <w:rsid w:val="000B6F69"/>
    <w:rsid w:val="000C01B4"/>
    <w:rsid w:val="000C499D"/>
    <w:rsid w:val="000C5885"/>
    <w:rsid w:val="000C68BB"/>
    <w:rsid w:val="000E4ACB"/>
    <w:rsid w:val="000F155E"/>
    <w:rsid w:val="000F47AB"/>
    <w:rsid w:val="000F4C22"/>
    <w:rsid w:val="00104432"/>
    <w:rsid w:val="00114F00"/>
    <w:rsid w:val="00124DC1"/>
    <w:rsid w:val="00127682"/>
    <w:rsid w:val="00127AE3"/>
    <w:rsid w:val="00130301"/>
    <w:rsid w:val="00134D5F"/>
    <w:rsid w:val="0013684E"/>
    <w:rsid w:val="0013716D"/>
    <w:rsid w:val="00137D64"/>
    <w:rsid w:val="0014310A"/>
    <w:rsid w:val="00150507"/>
    <w:rsid w:val="001505CC"/>
    <w:rsid w:val="001534D7"/>
    <w:rsid w:val="0015593F"/>
    <w:rsid w:val="001574A3"/>
    <w:rsid w:val="00163508"/>
    <w:rsid w:val="00167A28"/>
    <w:rsid w:val="00170377"/>
    <w:rsid w:val="00172545"/>
    <w:rsid w:val="00187894"/>
    <w:rsid w:val="00193A4B"/>
    <w:rsid w:val="001A232B"/>
    <w:rsid w:val="001A6947"/>
    <w:rsid w:val="001C5C38"/>
    <w:rsid w:val="001E0734"/>
    <w:rsid w:val="001E51DE"/>
    <w:rsid w:val="001E53D9"/>
    <w:rsid w:val="001F4170"/>
    <w:rsid w:val="001F639F"/>
    <w:rsid w:val="00200A98"/>
    <w:rsid w:val="0022212D"/>
    <w:rsid w:val="00226B71"/>
    <w:rsid w:val="00230EF6"/>
    <w:rsid w:val="00231D0D"/>
    <w:rsid w:val="00232805"/>
    <w:rsid w:val="00234998"/>
    <w:rsid w:val="00242DA6"/>
    <w:rsid w:val="002525C5"/>
    <w:rsid w:val="002534C3"/>
    <w:rsid w:val="0025533B"/>
    <w:rsid w:val="00255E0C"/>
    <w:rsid w:val="00261E81"/>
    <w:rsid w:val="002639E9"/>
    <w:rsid w:val="00267015"/>
    <w:rsid w:val="00271AB6"/>
    <w:rsid w:val="00271F77"/>
    <w:rsid w:val="00276537"/>
    <w:rsid w:val="002839CA"/>
    <w:rsid w:val="002A494D"/>
    <w:rsid w:val="002A6241"/>
    <w:rsid w:val="002A7E28"/>
    <w:rsid w:val="002B2D6F"/>
    <w:rsid w:val="002B37D8"/>
    <w:rsid w:val="002D0187"/>
    <w:rsid w:val="002F304C"/>
    <w:rsid w:val="002F4E54"/>
    <w:rsid w:val="00302F78"/>
    <w:rsid w:val="00304007"/>
    <w:rsid w:val="00310B04"/>
    <w:rsid w:val="00310CD8"/>
    <w:rsid w:val="00313358"/>
    <w:rsid w:val="00320E5E"/>
    <w:rsid w:val="003244F6"/>
    <w:rsid w:val="00325B1C"/>
    <w:rsid w:val="00326F48"/>
    <w:rsid w:val="0033168D"/>
    <w:rsid w:val="00347714"/>
    <w:rsid w:val="003514AD"/>
    <w:rsid w:val="00365685"/>
    <w:rsid w:val="00366BF2"/>
    <w:rsid w:val="00392F0C"/>
    <w:rsid w:val="003A086D"/>
    <w:rsid w:val="003A4545"/>
    <w:rsid w:val="003B01B0"/>
    <w:rsid w:val="003B190B"/>
    <w:rsid w:val="003B3594"/>
    <w:rsid w:val="003B43EC"/>
    <w:rsid w:val="003C2EDB"/>
    <w:rsid w:val="003C66F7"/>
    <w:rsid w:val="003C6FF5"/>
    <w:rsid w:val="003C7FD3"/>
    <w:rsid w:val="003D4CFE"/>
    <w:rsid w:val="003D646A"/>
    <w:rsid w:val="003E29B5"/>
    <w:rsid w:val="003E51EB"/>
    <w:rsid w:val="003E7FAC"/>
    <w:rsid w:val="003F2B9C"/>
    <w:rsid w:val="003F3C92"/>
    <w:rsid w:val="003F5E75"/>
    <w:rsid w:val="00404FC6"/>
    <w:rsid w:val="00415F74"/>
    <w:rsid w:val="004177BE"/>
    <w:rsid w:val="0042385D"/>
    <w:rsid w:val="00432E34"/>
    <w:rsid w:val="00434E35"/>
    <w:rsid w:val="00443FF4"/>
    <w:rsid w:val="0044492D"/>
    <w:rsid w:val="004615C4"/>
    <w:rsid w:val="00473098"/>
    <w:rsid w:val="00473A9E"/>
    <w:rsid w:val="004801D1"/>
    <w:rsid w:val="004809DE"/>
    <w:rsid w:val="0048402B"/>
    <w:rsid w:val="00484387"/>
    <w:rsid w:val="00487B55"/>
    <w:rsid w:val="00494BC1"/>
    <w:rsid w:val="00494EB8"/>
    <w:rsid w:val="00497E52"/>
    <w:rsid w:val="004A0A8D"/>
    <w:rsid w:val="004B0954"/>
    <w:rsid w:val="004B24FF"/>
    <w:rsid w:val="004B59DB"/>
    <w:rsid w:val="004C66DF"/>
    <w:rsid w:val="004D6461"/>
    <w:rsid w:val="004E5943"/>
    <w:rsid w:val="004E6702"/>
    <w:rsid w:val="004E6EF8"/>
    <w:rsid w:val="004F4178"/>
    <w:rsid w:val="0051778F"/>
    <w:rsid w:val="00520E55"/>
    <w:rsid w:val="005241EA"/>
    <w:rsid w:val="00542675"/>
    <w:rsid w:val="00544F79"/>
    <w:rsid w:val="00553170"/>
    <w:rsid w:val="00562AB6"/>
    <w:rsid w:val="005711D2"/>
    <w:rsid w:val="0057654B"/>
    <w:rsid w:val="005832B7"/>
    <w:rsid w:val="0058443C"/>
    <w:rsid w:val="00596923"/>
    <w:rsid w:val="005A0C09"/>
    <w:rsid w:val="005A1BE0"/>
    <w:rsid w:val="005A23F9"/>
    <w:rsid w:val="005A2A30"/>
    <w:rsid w:val="005B3B56"/>
    <w:rsid w:val="005C7EE8"/>
    <w:rsid w:val="005D1E06"/>
    <w:rsid w:val="005D551A"/>
    <w:rsid w:val="005F1BFC"/>
    <w:rsid w:val="005F7306"/>
    <w:rsid w:val="00600EB1"/>
    <w:rsid w:val="0061125D"/>
    <w:rsid w:val="00612BE8"/>
    <w:rsid w:val="006143AF"/>
    <w:rsid w:val="00623F69"/>
    <w:rsid w:val="00651C93"/>
    <w:rsid w:val="00653709"/>
    <w:rsid w:val="006554DD"/>
    <w:rsid w:val="006724C4"/>
    <w:rsid w:val="00673D34"/>
    <w:rsid w:val="00675880"/>
    <w:rsid w:val="00675AB7"/>
    <w:rsid w:val="006849D1"/>
    <w:rsid w:val="00685FEC"/>
    <w:rsid w:val="006935C9"/>
    <w:rsid w:val="00694524"/>
    <w:rsid w:val="00694796"/>
    <w:rsid w:val="006A4F51"/>
    <w:rsid w:val="006A52F0"/>
    <w:rsid w:val="006A7D59"/>
    <w:rsid w:val="006B1B6D"/>
    <w:rsid w:val="006B5AAD"/>
    <w:rsid w:val="006B7939"/>
    <w:rsid w:val="006D073A"/>
    <w:rsid w:val="006D7338"/>
    <w:rsid w:val="006E2451"/>
    <w:rsid w:val="00711670"/>
    <w:rsid w:val="0071225A"/>
    <w:rsid w:val="00714E93"/>
    <w:rsid w:val="007178F0"/>
    <w:rsid w:val="00721469"/>
    <w:rsid w:val="00722DD0"/>
    <w:rsid w:val="0072403C"/>
    <w:rsid w:val="00725687"/>
    <w:rsid w:val="00725887"/>
    <w:rsid w:val="00727502"/>
    <w:rsid w:val="007276C8"/>
    <w:rsid w:val="0073072D"/>
    <w:rsid w:val="0073776F"/>
    <w:rsid w:val="00751081"/>
    <w:rsid w:val="00760289"/>
    <w:rsid w:val="007640BE"/>
    <w:rsid w:val="007715EF"/>
    <w:rsid w:val="00784798"/>
    <w:rsid w:val="0078561B"/>
    <w:rsid w:val="007A62A6"/>
    <w:rsid w:val="007B5330"/>
    <w:rsid w:val="007C31E1"/>
    <w:rsid w:val="007E182C"/>
    <w:rsid w:val="007E2162"/>
    <w:rsid w:val="007E5F6D"/>
    <w:rsid w:val="007F4A35"/>
    <w:rsid w:val="008058BE"/>
    <w:rsid w:val="00816ED5"/>
    <w:rsid w:val="00831BB4"/>
    <w:rsid w:val="00841F2A"/>
    <w:rsid w:val="00845475"/>
    <w:rsid w:val="008545C6"/>
    <w:rsid w:val="00861B9A"/>
    <w:rsid w:val="00865F83"/>
    <w:rsid w:val="0087073E"/>
    <w:rsid w:val="00871EC0"/>
    <w:rsid w:val="00875670"/>
    <w:rsid w:val="008758C5"/>
    <w:rsid w:val="008766A4"/>
    <w:rsid w:val="00877262"/>
    <w:rsid w:val="00887E2D"/>
    <w:rsid w:val="008919D9"/>
    <w:rsid w:val="0089208E"/>
    <w:rsid w:val="00895870"/>
    <w:rsid w:val="00896FF2"/>
    <w:rsid w:val="008A240B"/>
    <w:rsid w:val="008A5234"/>
    <w:rsid w:val="008B7A74"/>
    <w:rsid w:val="008C0B02"/>
    <w:rsid w:val="008C6FA8"/>
    <w:rsid w:val="008D2D16"/>
    <w:rsid w:val="008D3BDE"/>
    <w:rsid w:val="008E0CBD"/>
    <w:rsid w:val="008F185F"/>
    <w:rsid w:val="008F3046"/>
    <w:rsid w:val="009030AA"/>
    <w:rsid w:val="0091756B"/>
    <w:rsid w:val="00917F2A"/>
    <w:rsid w:val="009269FD"/>
    <w:rsid w:val="009279EA"/>
    <w:rsid w:val="00927DEE"/>
    <w:rsid w:val="009337DA"/>
    <w:rsid w:val="00933910"/>
    <w:rsid w:val="009478ED"/>
    <w:rsid w:val="009652F7"/>
    <w:rsid w:val="00967210"/>
    <w:rsid w:val="00967755"/>
    <w:rsid w:val="009731D8"/>
    <w:rsid w:val="0097421F"/>
    <w:rsid w:val="00977338"/>
    <w:rsid w:val="00980015"/>
    <w:rsid w:val="00986149"/>
    <w:rsid w:val="009A25B7"/>
    <w:rsid w:val="009A3D33"/>
    <w:rsid w:val="009A58A8"/>
    <w:rsid w:val="009C6C62"/>
    <w:rsid w:val="009D3BB9"/>
    <w:rsid w:val="009E4078"/>
    <w:rsid w:val="009E6367"/>
    <w:rsid w:val="009F2302"/>
    <w:rsid w:val="00A04E5A"/>
    <w:rsid w:val="00A140E9"/>
    <w:rsid w:val="00A24325"/>
    <w:rsid w:val="00A33C93"/>
    <w:rsid w:val="00A33CF6"/>
    <w:rsid w:val="00A35727"/>
    <w:rsid w:val="00A501CA"/>
    <w:rsid w:val="00A61289"/>
    <w:rsid w:val="00A62D1A"/>
    <w:rsid w:val="00A7050E"/>
    <w:rsid w:val="00A74400"/>
    <w:rsid w:val="00A82EA9"/>
    <w:rsid w:val="00A8302C"/>
    <w:rsid w:val="00A94E33"/>
    <w:rsid w:val="00AA3B38"/>
    <w:rsid w:val="00AD3210"/>
    <w:rsid w:val="00AD4561"/>
    <w:rsid w:val="00AE0261"/>
    <w:rsid w:val="00AE44A6"/>
    <w:rsid w:val="00B134F9"/>
    <w:rsid w:val="00B17AF7"/>
    <w:rsid w:val="00B230DB"/>
    <w:rsid w:val="00B239F0"/>
    <w:rsid w:val="00B40154"/>
    <w:rsid w:val="00B44818"/>
    <w:rsid w:val="00B5537C"/>
    <w:rsid w:val="00B578B2"/>
    <w:rsid w:val="00BB0C3B"/>
    <w:rsid w:val="00BB5F6F"/>
    <w:rsid w:val="00BC3DEC"/>
    <w:rsid w:val="00BD463C"/>
    <w:rsid w:val="00BE0713"/>
    <w:rsid w:val="00C052CB"/>
    <w:rsid w:val="00C1688C"/>
    <w:rsid w:val="00C412C9"/>
    <w:rsid w:val="00C445C5"/>
    <w:rsid w:val="00C47A4E"/>
    <w:rsid w:val="00C63062"/>
    <w:rsid w:val="00C75380"/>
    <w:rsid w:val="00C81B63"/>
    <w:rsid w:val="00C84D64"/>
    <w:rsid w:val="00C87FF8"/>
    <w:rsid w:val="00C91AC2"/>
    <w:rsid w:val="00C9230A"/>
    <w:rsid w:val="00C96775"/>
    <w:rsid w:val="00CA7DD8"/>
    <w:rsid w:val="00CB3C06"/>
    <w:rsid w:val="00CB62A0"/>
    <w:rsid w:val="00CC7F0A"/>
    <w:rsid w:val="00CD44D5"/>
    <w:rsid w:val="00CE1579"/>
    <w:rsid w:val="00CE6B2B"/>
    <w:rsid w:val="00CF24C0"/>
    <w:rsid w:val="00D049D0"/>
    <w:rsid w:val="00D05AAB"/>
    <w:rsid w:val="00D12DAB"/>
    <w:rsid w:val="00D1697F"/>
    <w:rsid w:val="00D21876"/>
    <w:rsid w:val="00D26CF0"/>
    <w:rsid w:val="00D31299"/>
    <w:rsid w:val="00D749B5"/>
    <w:rsid w:val="00D8496A"/>
    <w:rsid w:val="00D84C0F"/>
    <w:rsid w:val="00DA020D"/>
    <w:rsid w:val="00DA5CDE"/>
    <w:rsid w:val="00DB7AE5"/>
    <w:rsid w:val="00DC2EAF"/>
    <w:rsid w:val="00DC426F"/>
    <w:rsid w:val="00DC6081"/>
    <w:rsid w:val="00DD599E"/>
    <w:rsid w:val="00DD7D45"/>
    <w:rsid w:val="00DE0F00"/>
    <w:rsid w:val="00DE643D"/>
    <w:rsid w:val="00DF1C42"/>
    <w:rsid w:val="00E10BBE"/>
    <w:rsid w:val="00E42E39"/>
    <w:rsid w:val="00E468CB"/>
    <w:rsid w:val="00E51E4A"/>
    <w:rsid w:val="00E756D0"/>
    <w:rsid w:val="00E77FEF"/>
    <w:rsid w:val="00E81209"/>
    <w:rsid w:val="00E8640E"/>
    <w:rsid w:val="00E97212"/>
    <w:rsid w:val="00EB3B98"/>
    <w:rsid w:val="00EB593B"/>
    <w:rsid w:val="00EB6BC7"/>
    <w:rsid w:val="00EC718D"/>
    <w:rsid w:val="00EF04D3"/>
    <w:rsid w:val="00EF1BC2"/>
    <w:rsid w:val="00EF2E55"/>
    <w:rsid w:val="00F16129"/>
    <w:rsid w:val="00F27799"/>
    <w:rsid w:val="00F36897"/>
    <w:rsid w:val="00F37E0C"/>
    <w:rsid w:val="00F47EF7"/>
    <w:rsid w:val="00F512FA"/>
    <w:rsid w:val="00F534C5"/>
    <w:rsid w:val="00F546B5"/>
    <w:rsid w:val="00F62692"/>
    <w:rsid w:val="00F676E6"/>
    <w:rsid w:val="00F70CB4"/>
    <w:rsid w:val="00F7204D"/>
    <w:rsid w:val="00F84D08"/>
    <w:rsid w:val="00F85A04"/>
    <w:rsid w:val="00F85A39"/>
    <w:rsid w:val="00F86CE6"/>
    <w:rsid w:val="00F8707A"/>
    <w:rsid w:val="00F91A79"/>
    <w:rsid w:val="00F97790"/>
    <w:rsid w:val="00F97B56"/>
    <w:rsid w:val="00FA6B94"/>
    <w:rsid w:val="00FB1204"/>
    <w:rsid w:val="00FB5C2D"/>
    <w:rsid w:val="00FD1001"/>
    <w:rsid w:val="00FD7308"/>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3CBA43DC-1C23-40D7-B5F1-A940A4D3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D4CFE"/>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3D4CFE"/>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2D0187"/>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8058BE"/>
    <w:pPr>
      <w:tabs>
        <w:tab w:val="left" w:pos="851"/>
      </w:tabs>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FE"/>
    <w:rPr>
      <w:rFonts w:ascii="Arial" w:eastAsiaTheme="majorEastAsia" w:hAnsi="Arial" w:cstheme="majorBidi"/>
      <w:b/>
      <w:bCs/>
      <w:color w:val="AF272F"/>
      <w:sz w:val="44"/>
      <w:szCs w:val="20"/>
      <w:lang w:val="en-AU"/>
    </w:rPr>
  </w:style>
  <w:style w:type="character" w:customStyle="1" w:styleId="Heading2Char">
    <w:name w:val="Heading 2 Char"/>
    <w:basedOn w:val="DefaultParagraphFont"/>
    <w:link w:val="Heading2"/>
    <w:uiPriority w:val="9"/>
    <w:rsid w:val="002D0187"/>
    <w:rPr>
      <w:rFonts w:ascii="Arial" w:eastAsiaTheme="majorEastAsia" w:hAnsi="Arial" w:cstheme="majorBidi"/>
      <w:b/>
      <w:color w:val="AF272F"/>
      <w:sz w:val="36"/>
      <w:szCs w:val="20"/>
      <w:lang w:val="en-AU"/>
    </w:rPr>
  </w:style>
  <w:style w:type="character" w:customStyle="1" w:styleId="Heading3Char">
    <w:name w:val="Heading 3 Char"/>
    <w:basedOn w:val="DefaultParagraphFont"/>
    <w:link w:val="Heading3"/>
    <w:uiPriority w:val="9"/>
    <w:rsid w:val="008058BE"/>
    <w:rPr>
      <w:rFonts w:ascii="Arial" w:hAnsi="Arial" w:cs="Arial"/>
      <w:b/>
      <w:color w:val="000000" w:themeColor="text1"/>
      <w:szCs w:val="18"/>
      <w:lang w:val="en-AU"/>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C81B63"/>
    <w:pPr>
      <w:tabs>
        <w:tab w:val="right" w:pos="7371"/>
      </w:tabs>
      <w:spacing w:before="0" w:line="240" w:lineRule="auto"/>
    </w:pPr>
    <w:rPr>
      <w:sz w:val="20"/>
    </w:rPr>
  </w:style>
  <w:style w:type="character" w:customStyle="1" w:styleId="FooterChar">
    <w:name w:val="Footer Char"/>
    <w:basedOn w:val="DefaultParagraphFont"/>
    <w:link w:val="Footer"/>
    <w:uiPriority w:val="99"/>
    <w:rsid w:val="00C81B63"/>
    <w:rPr>
      <w:rFonts w:ascii="Arial" w:hAnsi="Arial" w:cs="Arial"/>
      <w:sz w:val="20"/>
      <w:szCs w:val="18"/>
      <w:lang w:val="en-AU"/>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qFormat/>
    <w:locked/>
    <w:rsid w:val="00326F48"/>
    <w:rPr>
      <w:i/>
      <w:iCs/>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14E93"/>
    <w:pPr>
      <w:spacing w:before="0" w:line="240" w:lineRule="auto"/>
    </w:pPr>
    <w:rPr>
      <w:sz w:val="20"/>
    </w:rPr>
  </w:style>
  <w:style w:type="character" w:customStyle="1" w:styleId="HeaderChar">
    <w:name w:val="Header Char"/>
    <w:basedOn w:val="DefaultParagraphFont"/>
    <w:link w:val="Header"/>
    <w:uiPriority w:val="99"/>
    <w:rsid w:val="00714E93"/>
    <w:rPr>
      <w:rFonts w:ascii="Arial" w:hAnsi="Arial" w:cs="Arial"/>
      <w:sz w:val="20"/>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FootnoteText">
    <w:name w:val="footnote text"/>
    <w:basedOn w:val="Normal"/>
    <w:link w:val="FootnoteTextChar"/>
    <w:uiPriority w:val="99"/>
    <w:semiHidden/>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semiHidden/>
    <w:rsid w:val="00AD3210"/>
    <w:rPr>
      <w:rFonts w:ascii="Arial" w:hAnsi="Arial" w:cs="Arial"/>
      <w:sz w:val="11"/>
      <w:szCs w:val="11"/>
    </w:rPr>
  </w:style>
  <w:style w:type="paragraph" w:customStyle="1" w:styleId="NoteLevel1">
    <w:name w:val="Note Level 1"/>
    <w:basedOn w:val="Normal"/>
    <w:uiPriority w:val="99"/>
    <w:semiHidden/>
    <w:locked/>
    <w:rsid w:val="00895870"/>
    <w:pPr>
      <w:keepNext/>
      <w:ind w:left="284" w:hanging="360"/>
      <w:contextualSpacing/>
      <w:outlineLvl w:val="0"/>
    </w:pPr>
  </w:style>
  <w:style w:type="paragraph" w:customStyle="1" w:styleId="NoteLevel2">
    <w:name w:val="Note Level 2"/>
    <w:basedOn w:val="Normal"/>
    <w:uiPriority w:val="99"/>
    <w:semiHidden/>
    <w:locked/>
    <w:rsid w:val="00D84C0F"/>
    <w:pPr>
      <w:keepNext/>
      <w:tabs>
        <w:tab w:val="num" w:pos="-240"/>
      </w:tabs>
      <w:ind w:left="120" w:firstLine="164"/>
      <w:contextualSpacing/>
      <w:outlineLvl w:val="1"/>
    </w:pPr>
  </w:style>
  <w:style w:type="paragraph" w:customStyle="1" w:styleId="NoteLevel3">
    <w:name w:val="Note Level 3"/>
    <w:basedOn w:val="Normal"/>
    <w:uiPriority w:val="99"/>
    <w:semiHidden/>
    <w:locked/>
    <w:rsid w:val="00D84C0F"/>
    <w:pPr>
      <w:keepNext/>
      <w:tabs>
        <w:tab w:val="num" w:pos="480"/>
      </w:tabs>
      <w:ind w:left="840" w:firstLine="164"/>
      <w:contextualSpacing/>
      <w:outlineLvl w:val="2"/>
    </w:pPr>
  </w:style>
  <w:style w:type="paragraph" w:customStyle="1" w:styleId="NoteLevel4">
    <w:name w:val="Note Level 4"/>
    <w:basedOn w:val="Normal"/>
    <w:uiPriority w:val="99"/>
    <w:semiHidden/>
    <w:locked/>
    <w:rsid w:val="00D84C0F"/>
    <w:pPr>
      <w:keepNext/>
      <w:tabs>
        <w:tab w:val="num" w:pos="1200"/>
      </w:tabs>
      <w:ind w:left="1560" w:firstLine="164"/>
      <w:contextualSpacing/>
      <w:outlineLvl w:val="3"/>
    </w:pPr>
  </w:style>
  <w:style w:type="paragraph" w:customStyle="1" w:styleId="NoteLevel5">
    <w:name w:val="Note Level 5"/>
    <w:basedOn w:val="Normal"/>
    <w:uiPriority w:val="99"/>
    <w:semiHidden/>
    <w:locked/>
    <w:rsid w:val="00D84C0F"/>
    <w:pPr>
      <w:keepNext/>
      <w:numPr>
        <w:ilvl w:val="4"/>
        <w:numId w:val="11"/>
      </w:numPr>
      <w:ind w:left="1985" w:firstLine="164"/>
      <w:contextualSpacing/>
      <w:outlineLvl w:val="4"/>
    </w:pPr>
  </w:style>
  <w:style w:type="paragraph" w:customStyle="1" w:styleId="NoteLevel6">
    <w:name w:val="Note Level 6"/>
    <w:basedOn w:val="Normal"/>
    <w:uiPriority w:val="99"/>
    <w:semiHidden/>
    <w:locked/>
    <w:rsid w:val="00D84C0F"/>
    <w:pPr>
      <w:keepNext/>
      <w:tabs>
        <w:tab w:val="num" w:pos="2640"/>
      </w:tabs>
      <w:ind w:left="3000" w:firstLine="164"/>
      <w:contextualSpacing/>
      <w:outlineLvl w:val="5"/>
    </w:pPr>
  </w:style>
  <w:style w:type="paragraph" w:customStyle="1" w:styleId="NoteLevel7">
    <w:name w:val="Note Level 7"/>
    <w:basedOn w:val="NoteLevel5"/>
    <w:uiPriority w:val="99"/>
    <w:semiHidden/>
    <w:locked/>
    <w:rsid w:val="00D84C0F"/>
    <w:pPr>
      <w:ind w:left="3402" w:firstLine="0"/>
    </w:pPr>
  </w:style>
  <w:style w:type="paragraph" w:customStyle="1" w:styleId="NoteLevel8">
    <w:name w:val="Note Level 8"/>
    <w:basedOn w:val="Normal"/>
    <w:uiPriority w:val="99"/>
    <w:semiHidden/>
    <w:locked/>
    <w:rsid w:val="00D84C0F"/>
    <w:pPr>
      <w:keepNext/>
      <w:numPr>
        <w:ilvl w:val="7"/>
        <w:numId w:val="11"/>
      </w:numPr>
      <w:contextualSpacing/>
      <w:outlineLvl w:val="7"/>
    </w:pPr>
  </w:style>
  <w:style w:type="character" w:styleId="FootnoteReference">
    <w:name w:val="footnote reference"/>
    <w:basedOn w:val="DefaultParagraphFont"/>
    <w:uiPriority w:val="99"/>
    <w:semiHidden/>
    <w:locked/>
    <w:rsid w:val="00271F77"/>
    <w:rPr>
      <w:color w:val="AF272F"/>
      <w:sz w:val="13"/>
      <w:szCs w:val="13"/>
      <w:vertAlign w:val="superscript"/>
    </w:rPr>
  </w:style>
  <w:style w:type="paragraph" w:customStyle="1" w:styleId="NoteLevel9">
    <w:name w:val="Note Level 9"/>
    <w:basedOn w:val="Normal"/>
    <w:uiPriority w:val="99"/>
    <w:semiHidden/>
    <w:locked/>
    <w:rsid w:val="00D84C0F"/>
    <w:pPr>
      <w:keepNext/>
      <w:numPr>
        <w:ilvl w:val="8"/>
        <w:numId w:val="11"/>
      </w:numPr>
      <w:contextualSpacing/>
      <w:outlineLvl w:val="8"/>
    </w:pPr>
  </w:style>
  <w:style w:type="paragraph" w:styleId="TOC3">
    <w:name w:val="toc 3"/>
    <w:basedOn w:val="Normal"/>
    <w:next w:val="Normal"/>
    <w:autoRedefine/>
    <w:uiPriority w:val="39"/>
    <w:semiHidden/>
    <w:locked/>
    <w:rsid w:val="00895870"/>
    <w:pPr>
      <w:ind w:left="360"/>
    </w:pPr>
  </w:style>
  <w:style w:type="paragraph" w:styleId="TOC1">
    <w:name w:val="toc 1"/>
    <w:basedOn w:val="Normal"/>
    <w:next w:val="Normal"/>
    <w:autoRedefine/>
    <w:uiPriority w:val="39"/>
    <w:semiHidden/>
    <w:locked/>
    <w:rsid w:val="00895870"/>
    <w:pPr>
      <w:tabs>
        <w:tab w:val="right" w:leader="dot" w:pos="9346"/>
      </w:tabs>
      <w:spacing w:after="100"/>
    </w:pPr>
    <w:rPr>
      <w:b/>
      <w:color w:val="AF272F"/>
    </w:r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927DEE"/>
    <w:rPr>
      <w:color w:val="0000FF"/>
      <w:u w:val="single"/>
    </w:rPr>
  </w:style>
  <w:style w:type="paragraph" w:styleId="ListBullet">
    <w:name w:val="List Bullet"/>
    <w:basedOn w:val="Normal"/>
    <w:uiPriority w:val="99"/>
    <w:locked/>
    <w:rsid w:val="00CB62A0"/>
    <w:pPr>
      <w:numPr>
        <w:numId w:val="38"/>
      </w:numPr>
      <w:ind w:left="284" w:hanging="284"/>
    </w:pPr>
    <w:rPr>
      <w:rFonts w:eastAsiaTheme="minorHAnsi" w:cstheme="minorBidi"/>
      <w:szCs w:val="22"/>
    </w:rPr>
  </w:style>
  <w:style w:type="paragraph" w:styleId="ListBullet2">
    <w:name w:val="List Bullet 2"/>
    <w:basedOn w:val="Normal"/>
    <w:uiPriority w:val="99"/>
    <w:locked/>
    <w:rsid w:val="00927DEE"/>
    <w:pPr>
      <w:spacing w:before="60"/>
      <w:ind w:left="568" w:hanging="284"/>
    </w:pPr>
    <w:rPr>
      <w:rFonts w:ascii="Candara" w:eastAsiaTheme="minorHAnsi" w:hAnsi="Candara"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semiHidden/>
    <w:locked/>
    <w:rsid w:val="0051778F"/>
    <w:rPr>
      <w:color w:val="0000FF"/>
      <w:u w:val="single"/>
    </w:r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rPr>
  </w:style>
  <w:style w:type="paragraph" w:styleId="BodyText">
    <w:name w:val="Body Text"/>
    <w:basedOn w:val="Normal"/>
    <w:link w:val="BodyText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b/>
      <w:color w:val="F79646" w:themeColor="accent6"/>
      <w:sz w:val="24"/>
      <w:szCs w:val="22"/>
    </w:rPr>
  </w:style>
  <w:style w:type="character" w:customStyle="1" w:styleId="BodyTextChar">
    <w:name w:val="Body Text Char"/>
    <w:basedOn w:val="DefaultParagraphFont"/>
    <w:link w:val="BodyText"/>
    <w:uiPriority w:val="99"/>
    <w:rsid w:val="0051778F"/>
    <w:rPr>
      <w:rFonts w:ascii="Candara" w:eastAsiaTheme="minorHAnsi" w:hAnsi="Candara"/>
      <w:b/>
      <w:color w:val="F79646" w:themeColor="accent6"/>
      <w:szCs w:val="22"/>
      <w:lang w:val="en-AU"/>
    </w:rPr>
  </w:style>
  <w:style w:type="paragraph" w:styleId="BodyText2">
    <w:name w:val="Body Text 2"/>
    <w:basedOn w:val="Normal"/>
    <w:link w:val="BodyText2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szCs w:val="22"/>
    </w:rPr>
  </w:style>
  <w:style w:type="character" w:customStyle="1" w:styleId="BodyText2Char">
    <w:name w:val="Body Text 2 Char"/>
    <w:basedOn w:val="DefaultParagraphFont"/>
    <w:link w:val="BodyText2"/>
    <w:uiPriority w:val="99"/>
    <w:rsid w:val="0051778F"/>
    <w:rPr>
      <w:rFonts w:ascii="Candara" w:eastAsiaTheme="minorHAnsi" w:hAnsi="Candara"/>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character" w:customStyle="1" w:styleId="Mention1">
    <w:name w:val="Mention1"/>
    <w:basedOn w:val="DefaultParagraphFont"/>
    <w:uiPriority w:val="99"/>
    <w:semiHidden/>
    <w:unhideWhenUsed/>
    <w:rsid w:val="0091756B"/>
    <w:rPr>
      <w:color w:val="2B579A"/>
      <w:shd w:val="clear" w:color="auto" w:fill="E6E6E6"/>
    </w:rPr>
  </w:style>
  <w:style w:type="paragraph" w:styleId="Revision">
    <w:name w:val="Revision"/>
    <w:hidden/>
    <w:uiPriority w:val="99"/>
    <w:semiHidden/>
    <w:rsid w:val="008E0CBD"/>
    <w:rPr>
      <w:rFonts w:ascii="Arial" w:hAnsi="Arial" w:cs="Arial"/>
      <w:sz w:val="22"/>
      <w:szCs w:val="18"/>
      <w:lang w:val="en-AU"/>
    </w:rPr>
  </w:style>
  <w:style w:type="paragraph" w:styleId="ListParagraph">
    <w:name w:val="List Paragraph"/>
    <w:aliases w:val="List Paragraph1,List Paragraph11"/>
    <w:basedOn w:val="Normal"/>
    <w:uiPriority w:val="34"/>
    <w:qFormat/>
    <w:locked/>
    <w:rsid w:val="007E182C"/>
    <w:pPr>
      <w:ind w:left="720"/>
      <w:contextualSpacing/>
    </w:pPr>
    <w:rPr>
      <w:lang w:val="en-US"/>
    </w:rPr>
  </w:style>
  <w:style w:type="character" w:styleId="CommentReference">
    <w:name w:val="annotation reference"/>
    <w:basedOn w:val="DefaultParagraphFont"/>
    <w:uiPriority w:val="99"/>
    <w:semiHidden/>
    <w:unhideWhenUsed/>
    <w:locked/>
    <w:rsid w:val="00CB62A0"/>
    <w:rPr>
      <w:sz w:val="16"/>
      <w:szCs w:val="16"/>
    </w:rPr>
  </w:style>
  <w:style w:type="paragraph" w:styleId="CommentText">
    <w:name w:val="annotation text"/>
    <w:basedOn w:val="Normal"/>
    <w:link w:val="CommentTextChar"/>
    <w:uiPriority w:val="99"/>
    <w:semiHidden/>
    <w:unhideWhenUsed/>
    <w:locked/>
    <w:rsid w:val="00CB62A0"/>
    <w:pPr>
      <w:spacing w:line="240" w:lineRule="auto"/>
    </w:pPr>
    <w:rPr>
      <w:sz w:val="20"/>
      <w:szCs w:val="20"/>
    </w:rPr>
  </w:style>
  <w:style w:type="character" w:customStyle="1" w:styleId="CommentTextChar">
    <w:name w:val="Comment Text Char"/>
    <w:basedOn w:val="DefaultParagraphFont"/>
    <w:link w:val="CommentText"/>
    <w:uiPriority w:val="99"/>
    <w:semiHidden/>
    <w:rsid w:val="00CB62A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locked/>
    <w:rsid w:val="00CB62A0"/>
    <w:rPr>
      <w:b/>
      <w:bCs/>
    </w:rPr>
  </w:style>
  <w:style w:type="character" w:customStyle="1" w:styleId="CommentSubjectChar">
    <w:name w:val="Comment Subject Char"/>
    <w:basedOn w:val="CommentTextChar"/>
    <w:link w:val="CommentSubject"/>
    <w:uiPriority w:val="99"/>
    <w:semiHidden/>
    <w:rsid w:val="00CB62A0"/>
    <w:rPr>
      <w:rFonts w:ascii="Arial"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97">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1">
          <w:marLeft w:val="0"/>
          <w:marRight w:val="0"/>
          <w:marTop w:val="0"/>
          <w:marBottom w:val="0"/>
          <w:divBdr>
            <w:top w:val="none" w:sz="0" w:space="0" w:color="auto"/>
            <w:left w:val="none" w:sz="0" w:space="0" w:color="auto"/>
            <w:bottom w:val="none" w:sz="0" w:space="0" w:color="auto"/>
            <w:right w:val="none" w:sz="0" w:space="0" w:color="auto"/>
          </w:divBdr>
          <w:divsChild>
            <w:div w:id="1404137642">
              <w:marLeft w:val="0"/>
              <w:marRight w:val="0"/>
              <w:marTop w:val="0"/>
              <w:marBottom w:val="0"/>
              <w:divBdr>
                <w:top w:val="none" w:sz="0" w:space="0" w:color="auto"/>
                <w:left w:val="none" w:sz="0" w:space="0" w:color="auto"/>
                <w:bottom w:val="none" w:sz="0" w:space="0" w:color="auto"/>
                <w:right w:val="none" w:sz="0" w:space="0" w:color="auto"/>
              </w:divBdr>
              <w:divsChild>
                <w:div w:id="557671680">
                  <w:marLeft w:val="0"/>
                  <w:marRight w:val="0"/>
                  <w:marTop w:val="0"/>
                  <w:marBottom w:val="0"/>
                  <w:divBdr>
                    <w:top w:val="none" w:sz="0" w:space="0" w:color="auto"/>
                    <w:left w:val="none" w:sz="0" w:space="0" w:color="auto"/>
                    <w:bottom w:val="none" w:sz="0" w:space="0" w:color="auto"/>
                    <w:right w:val="none" w:sz="0" w:space="0" w:color="auto"/>
                  </w:divBdr>
                  <w:divsChild>
                    <w:div w:id="1135827441">
                      <w:marLeft w:val="0"/>
                      <w:marRight w:val="0"/>
                      <w:marTop w:val="0"/>
                      <w:marBottom w:val="0"/>
                      <w:divBdr>
                        <w:top w:val="none" w:sz="0" w:space="0" w:color="auto"/>
                        <w:left w:val="none" w:sz="0" w:space="0" w:color="auto"/>
                        <w:bottom w:val="none" w:sz="0" w:space="0" w:color="auto"/>
                        <w:right w:val="none" w:sz="0" w:space="0" w:color="auto"/>
                      </w:divBdr>
                      <w:divsChild>
                        <w:div w:id="2045863027">
                          <w:marLeft w:val="0"/>
                          <w:marRight w:val="0"/>
                          <w:marTop w:val="0"/>
                          <w:marBottom w:val="0"/>
                          <w:divBdr>
                            <w:top w:val="none" w:sz="0" w:space="0" w:color="auto"/>
                            <w:left w:val="none" w:sz="0" w:space="0" w:color="auto"/>
                            <w:bottom w:val="none" w:sz="0" w:space="0" w:color="auto"/>
                            <w:right w:val="none" w:sz="0" w:space="0" w:color="auto"/>
                          </w:divBdr>
                          <w:divsChild>
                            <w:div w:id="1721241791">
                              <w:marLeft w:val="0"/>
                              <w:marRight w:val="0"/>
                              <w:marTop w:val="0"/>
                              <w:marBottom w:val="0"/>
                              <w:divBdr>
                                <w:top w:val="none" w:sz="0" w:space="0" w:color="auto"/>
                                <w:left w:val="none" w:sz="0" w:space="0" w:color="auto"/>
                                <w:bottom w:val="none" w:sz="0" w:space="0" w:color="auto"/>
                                <w:right w:val="none" w:sz="0" w:space="0" w:color="auto"/>
                              </w:divBdr>
                              <w:divsChild>
                                <w:div w:id="362246848">
                                  <w:marLeft w:val="0"/>
                                  <w:marRight w:val="0"/>
                                  <w:marTop w:val="0"/>
                                  <w:marBottom w:val="0"/>
                                  <w:divBdr>
                                    <w:top w:val="none" w:sz="0" w:space="0" w:color="auto"/>
                                    <w:left w:val="none" w:sz="0" w:space="0" w:color="auto"/>
                                    <w:bottom w:val="none" w:sz="0" w:space="0" w:color="auto"/>
                                    <w:right w:val="none" w:sz="0" w:space="0" w:color="auto"/>
                                  </w:divBdr>
                                  <w:divsChild>
                                    <w:div w:id="740522974">
                                      <w:marLeft w:val="0"/>
                                      <w:marRight w:val="0"/>
                                      <w:marTop w:val="0"/>
                                      <w:marBottom w:val="0"/>
                                      <w:divBdr>
                                        <w:top w:val="none" w:sz="0" w:space="0" w:color="auto"/>
                                        <w:left w:val="none" w:sz="0" w:space="0" w:color="auto"/>
                                        <w:bottom w:val="none" w:sz="0" w:space="0" w:color="auto"/>
                                        <w:right w:val="none" w:sz="0" w:space="0" w:color="auto"/>
                                      </w:divBdr>
                                      <w:divsChild>
                                        <w:div w:id="2115131065">
                                          <w:marLeft w:val="0"/>
                                          <w:marRight w:val="0"/>
                                          <w:marTop w:val="0"/>
                                          <w:marBottom w:val="0"/>
                                          <w:divBdr>
                                            <w:top w:val="none" w:sz="0" w:space="0" w:color="auto"/>
                                            <w:left w:val="none" w:sz="0" w:space="0" w:color="auto"/>
                                            <w:bottom w:val="none" w:sz="0" w:space="0" w:color="auto"/>
                                            <w:right w:val="none" w:sz="0" w:space="0" w:color="auto"/>
                                          </w:divBdr>
                                          <w:divsChild>
                                            <w:div w:id="545678713">
                                              <w:marLeft w:val="0"/>
                                              <w:marRight w:val="0"/>
                                              <w:marTop w:val="0"/>
                                              <w:marBottom w:val="0"/>
                                              <w:divBdr>
                                                <w:top w:val="none" w:sz="0" w:space="0" w:color="auto"/>
                                                <w:left w:val="none" w:sz="0" w:space="0" w:color="auto"/>
                                                <w:bottom w:val="none" w:sz="0" w:space="0" w:color="auto"/>
                                                <w:right w:val="none" w:sz="0" w:space="0" w:color="auto"/>
                                              </w:divBdr>
                                              <w:divsChild>
                                                <w:div w:id="1556162597">
                                                  <w:marLeft w:val="0"/>
                                                  <w:marRight w:val="0"/>
                                                  <w:marTop w:val="0"/>
                                                  <w:marBottom w:val="0"/>
                                                  <w:divBdr>
                                                    <w:top w:val="none" w:sz="0" w:space="0" w:color="auto"/>
                                                    <w:left w:val="none" w:sz="0" w:space="0" w:color="auto"/>
                                                    <w:bottom w:val="none" w:sz="0" w:space="0" w:color="auto"/>
                                                    <w:right w:val="none" w:sz="0" w:space="0" w:color="auto"/>
                                                  </w:divBdr>
                                                  <w:divsChild>
                                                    <w:div w:id="1743025670">
                                                      <w:marLeft w:val="0"/>
                                                      <w:marRight w:val="0"/>
                                                      <w:marTop w:val="300"/>
                                                      <w:marBottom w:val="0"/>
                                                      <w:divBdr>
                                                        <w:top w:val="none" w:sz="0" w:space="0" w:color="auto"/>
                                                        <w:left w:val="none" w:sz="0" w:space="0" w:color="auto"/>
                                                        <w:bottom w:val="none" w:sz="0" w:space="0" w:color="auto"/>
                                                        <w:right w:val="none" w:sz="0" w:space="0" w:color="auto"/>
                                                      </w:divBdr>
                                                      <w:divsChild>
                                                        <w:div w:id="106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78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18" Type="http://schemas.openxmlformats.org/officeDocument/2006/relationships/hyperlink" Target="https://www.education.vic.gov.au/Documents/school/teachers/management/&#8226;%09http:/www.education.vic.gov.au/school/teachers/management/finance/Pages/guideline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17" Type="http://schemas.openxmlformats.org/officeDocument/2006/relationships/hyperlink" Target="https://www.education.vic.gov.au/Documents/school/teachers/management/&#8226;%09https:/www.consumer.vic.gov.au/businesses/registered-businesses/co-operatives" TargetMode="External"/><Relationship Id="rId2" Type="http://schemas.openxmlformats.org/officeDocument/2006/relationships/customXml" Target="../customXml/item2.xml"/><Relationship Id="rId16" Type="http://schemas.openxmlformats.org/officeDocument/2006/relationships/hyperlink" Target="http://www.education.vic.gov.au/school/teachers/management/finance/Pages/cases21.aspx%23link58" TargetMode="External"/><Relationship Id="rId20" Type="http://schemas.openxmlformats.org/officeDocument/2006/relationships/hyperlink" Target="http://www.education.vic.gov.au/school/principals/spag/Pages/spa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5" Type="http://schemas.openxmlformats.org/officeDocument/2006/relationships/numbering" Target="numbering.xml"/><Relationship Id="rId15"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vic.gov.au/Documents/school/teachers/management/&#8226;%09http:/www.education.vic.gov.au/school/teachers/management/finance/Pages/guidelin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finance.support@edumail.vic.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B62E0-6284-4FD0-83D2-770BC580B6A3}"/>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57FB21-390B-4F57-93F6-53FCF560D34B}"/>
</file>

<file path=docProps/app.xml><?xml version="1.0" encoding="utf-8"?>
<Properties xmlns="http://schemas.openxmlformats.org/officeDocument/2006/extended-properties" xmlns:vt="http://schemas.openxmlformats.org/officeDocument/2006/docPropsVTypes">
  <Template>Normal</Template>
  <TotalTime>5</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Sutherland, Lisa J</cp:lastModifiedBy>
  <cp:revision>4</cp:revision>
  <cp:lastPrinted>2019-02-01T01:05:00Z</cp:lastPrinted>
  <dcterms:created xsi:type="dcterms:W3CDTF">2019-01-25T05:44:00Z</dcterms:created>
  <dcterms:modified xsi:type="dcterms:W3CDTF">2019-02-01T01:07:00Z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