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02371" w14:textId="77777777" w:rsidR="006554DD" w:rsidRPr="00867F89" w:rsidRDefault="00C84D64" w:rsidP="006554DD">
      <w:pPr>
        <w:pStyle w:val="Heading1"/>
        <w:rPr>
          <w:rFonts w:cs="Arial"/>
          <w:b w:val="0"/>
          <w:szCs w:val="44"/>
        </w:rPr>
      </w:pPr>
      <w:bookmarkStart w:id="0" w:name="_Toc455499267"/>
      <w:bookmarkStart w:id="1" w:name="_Toc455499461"/>
      <w:bookmarkStart w:id="2" w:name="_Toc455501167"/>
      <w:r w:rsidRPr="00867F89">
        <w:rPr>
          <w:rFonts w:cs="Arial"/>
          <w:szCs w:val="44"/>
        </w:rPr>
        <w:t>Section 12</w:t>
      </w:r>
      <w:r w:rsidR="006554DD" w:rsidRPr="00867F89">
        <w:rPr>
          <w:rFonts w:cs="Arial"/>
          <w:szCs w:val="44"/>
        </w:rPr>
        <w:t xml:space="preserve">: </w:t>
      </w:r>
      <w:r w:rsidRPr="00867F89">
        <w:rPr>
          <w:rFonts w:cs="Arial"/>
          <w:szCs w:val="44"/>
        </w:rPr>
        <w:t>Trading Operations</w:t>
      </w:r>
    </w:p>
    <w:p w14:paraId="53FC5208" w14:textId="77777777" w:rsidR="006554DD" w:rsidRPr="009F57A3" w:rsidRDefault="00C84D64" w:rsidP="006554DD">
      <w:pPr>
        <w:pStyle w:val="Heading2"/>
      </w:pPr>
      <w:r>
        <w:t>12</w:t>
      </w:r>
      <w:r w:rsidR="006554DD" w:rsidRPr="009F57A3">
        <w:t>.1</w:t>
      </w:r>
      <w:r w:rsidR="003E1164">
        <w:tab/>
      </w:r>
      <w:r w:rsidR="006554DD" w:rsidRPr="006554DD">
        <w:t>Overview</w:t>
      </w:r>
    </w:p>
    <w:p w14:paraId="11E3EEA7" w14:textId="77777777" w:rsidR="00C84D64" w:rsidRDefault="00C84D64" w:rsidP="00867F89">
      <w:r>
        <w:t xml:space="preserve">A school may engage in various trading operations as a service to the school community and/or to supplement school funding. The more common types of trading operations include canteen, out of school </w:t>
      </w:r>
      <w:r w:rsidR="00FD3526">
        <w:t>hours</w:t>
      </w:r>
      <w:r w:rsidR="000A3D6A">
        <w:t>’</w:t>
      </w:r>
      <w:r>
        <w:t xml:space="preserve"> care, kindergartens, </w:t>
      </w:r>
      <w:proofErr w:type="gramStart"/>
      <w:r>
        <w:t>unifor</w:t>
      </w:r>
      <w:bookmarkStart w:id="3" w:name="_GoBack"/>
      <w:bookmarkEnd w:id="3"/>
      <w:r>
        <w:t>m</w:t>
      </w:r>
      <w:proofErr w:type="gramEnd"/>
      <w:r>
        <w:t xml:space="preserve"> and book sales.</w:t>
      </w:r>
    </w:p>
    <w:p w14:paraId="704725CD" w14:textId="77777777" w:rsidR="00140D58" w:rsidRPr="003A4545" w:rsidRDefault="00140D58" w:rsidP="00867F89"/>
    <w:p w14:paraId="74821EF5" w14:textId="77777777" w:rsidR="006554DD" w:rsidRPr="009F57A3" w:rsidRDefault="00C84D64" w:rsidP="006554DD">
      <w:pPr>
        <w:pStyle w:val="Heading2"/>
      </w:pPr>
      <w:r>
        <w:t>12</w:t>
      </w:r>
      <w:r w:rsidR="006554DD" w:rsidRPr="009F57A3">
        <w:t>.2</w:t>
      </w:r>
      <w:r w:rsidR="003E1164">
        <w:tab/>
      </w:r>
      <w:r w:rsidR="00ED22E8">
        <w:t xml:space="preserve">Trading </w:t>
      </w:r>
      <w:r w:rsidR="00ED22E8" w:rsidRPr="00867F89">
        <w:t>Operations</w:t>
      </w:r>
    </w:p>
    <w:p w14:paraId="3EEA9603" w14:textId="77777777" w:rsidR="006554DD" w:rsidRPr="009F57A3" w:rsidRDefault="00210EEE" w:rsidP="006554DD">
      <w:pPr>
        <w:pStyle w:val="Heading3"/>
      </w:pPr>
      <w:r>
        <w:t>12</w:t>
      </w:r>
      <w:r w:rsidR="006554DD" w:rsidRPr="009F57A3">
        <w:t>.2.1</w:t>
      </w:r>
      <w:r w:rsidR="003E1164">
        <w:tab/>
      </w:r>
      <w:r w:rsidR="006554DD" w:rsidRPr="009F57A3">
        <w:t>Mandatory policy (</w:t>
      </w:r>
      <w:r w:rsidR="0077479C">
        <w:t>Must do</w:t>
      </w:r>
      <w:r w:rsidR="006554DD" w:rsidRPr="009F57A3">
        <w:t>)</w:t>
      </w:r>
      <w:r w:rsidR="0077479C">
        <w:t>:</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788"/>
      </w:tblGrid>
      <w:tr w:rsidR="00ED132E" w:rsidRPr="0091756B" w14:paraId="7E27E2E9" w14:textId="5CCB09EC" w:rsidTr="00ED132E">
        <w:trPr>
          <w:trHeight w:val="593"/>
          <w:tblHeader/>
        </w:trPr>
        <w:tc>
          <w:tcPr>
            <w:tcW w:w="1134" w:type="dxa"/>
            <w:tcBorders>
              <w:bottom w:val="single" w:sz="4" w:space="0" w:color="auto"/>
            </w:tcBorders>
            <w:shd w:val="clear" w:color="auto" w:fill="FFFFFF" w:themeFill="background1"/>
          </w:tcPr>
          <w:p w14:paraId="3DD44A61" w14:textId="46039C0F" w:rsidR="00ED132E" w:rsidRPr="00625741" w:rsidRDefault="00ED132E" w:rsidP="00CD44D5">
            <w:pPr>
              <w:rPr>
                <w:b/>
                <w:sz w:val="20"/>
                <w:szCs w:val="20"/>
              </w:rPr>
            </w:pPr>
            <w:r w:rsidRPr="0079019F">
              <w:rPr>
                <w:b/>
                <w:sz w:val="18"/>
              </w:rPr>
              <w:t>Sequence Number</w:t>
            </w:r>
          </w:p>
        </w:tc>
        <w:tc>
          <w:tcPr>
            <w:tcW w:w="7088" w:type="dxa"/>
            <w:tcBorders>
              <w:bottom w:val="single" w:sz="4" w:space="0" w:color="auto"/>
            </w:tcBorders>
            <w:shd w:val="clear" w:color="auto" w:fill="auto"/>
          </w:tcPr>
          <w:p w14:paraId="143631F9" w14:textId="088570F7" w:rsidR="00ED132E" w:rsidRPr="00F936A5" w:rsidRDefault="00ED132E" w:rsidP="0088314A">
            <w:pPr>
              <w:rPr>
                <w:b/>
                <w:sz w:val="20"/>
                <w:szCs w:val="20"/>
              </w:rPr>
            </w:pPr>
            <w:r w:rsidRPr="00F936A5">
              <w:rPr>
                <w:b/>
                <w:sz w:val="20"/>
                <w:szCs w:val="20"/>
              </w:rPr>
              <w:t>Information</w:t>
            </w:r>
          </w:p>
        </w:tc>
        <w:tc>
          <w:tcPr>
            <w:tcW w:w="788" w:type="dxa"/>
            <w:tcBorders>
              <w:top w:val="nil"/>
              <w:bottom w:val="single" w:sz="4" w:space="0" w:color="auto"/>
              <w:right w:val="nil"/>
            </w:tcBorders>
          </w:tcPr>
          <w:p w14:paraId="74488052" w14:textId="77777777" w:rsidR="00ED132E" w:rsidRPr="00625741" w:rsidRDefault="00ED132E" w:rsidP="0088314A">
            <w:pPr>
              <w:rPr>
                <w:b/>
              </w:rPr>
            </w:pPr>
          </w:p>
        </w:tc>
      </w:tr>
      <w:tr w:rsidR="00ED132E" w:rsidRPr="0091756B" w14:paraId="233A86D3" w14:textId="1C6FB59D" w:rsidTr="00ED132E">
        <w:trPr>
          <w:trHeight w:val="872"/>
        </w:trPr>
        <w:tc>
          <w:tcPr>
            <w:tcW w:w="1134" w:type="dxa"/>
            <w:tcBorders>
              <w:bottom w:val="single" w:sz="4" w:space="0" w:color="auto"/>
            </w:tcBorders>
            <w:shd w:val="clear" w:color="auto" w:fill="FFFFFF" w:themeFill="background1"/>
          </w:tcPr>
          <w:p w14:paraId="4889D86A" w14:textId="77777777" w:rsidR="00ED132E" w:rsidRPr="0091756B" w:rsidRDefault="00ED132E" w:rsidP="00CD44D5">
            <w:r>
              <w:t>12</w:t>
            </w:r>
            <w:r w:rsidRPr="0091756B">
              <w:t>.2.1.1</w:t>
            </w:r>
          </w:p>
        </w:tc>
        <w:tc>
          <w:tcPr>
            <w:tcW w:w="7088" w:type="dxa"/>
            <w:tcBorders>
              <w:bottom w:val="single" w:sz="4" w:space="0" w:color="auto"/>
            </w:tcBorders>
            <w:shd w:val="clear" w:color="auto" w:fill="auto"/>
          </w:tcPr>
          <w:p w14:paraId="6B4046DA" w14:textId="77777777" w:rsidR="00ED132E" w:rsidRPr="0091756B" w:rsidRDefault="00ED132E" w:rsidP="0088314A">
            <w:r>
              <w:t>School councils must approve all school trading operations and all approvals must be recorded in the school council minutes.</w:t>
            </w:r>
          </w:p>
        </w:tc>
        <w:tc>
          <w:tcPr>
            <w:tcW w:w="788" w:type="dxa"/>
            <w:tcBorders>
              <w:top w:val="single" w:sz="4" w:space="0" w:color="auto"/>
              <w:bottom w:val="single" w:sz="4" w:space="0" w:color="auto"/>
            </w:tcBorders>
          </w:tcPr>
          <w:p w14:paraId="04970A33" w14:textId="77777777" w:rsidR="00ED132E" w:rsidRDefault="00ED132E" w:rsidP="0088314A"/>
        </w:tc>
      </w:tr>
      <w:tr w:rsidR="00ED132E" w:rsidRPr="0091756B" w14:paraId="3583B275" w14:textId="316F08EA" w:rsidTr="00ED132E">
        <w:trPr>
          <w:trHeight w:val="1271"/>
        </w:trPr>
        <w:tc>
          <w:tcPr>
            <w:tcW w:w="1134" w:type="dxa"/>
            <w:tcBorders>
              <w:bottom w:val="single" w:sz="4" w:space="0" w:color="auto"/>
            </w:tcBorders>
            <w:shd w:val="clear" w:color="auto" w:fill="FFFFFF" w:themeFill="background1"/>
          </w:tcPr>
          <w:p w14:paraId="17530B4C" w14:textId="77777777" w:rsidR="00ED132E" w:rsidRDefault="00ED132E" w:rsidP="00CD44D5">
            <w:r>
              <w:t>12.2.1.2</w:t>
            </w:r>
          </w:p>
        </w:tc>
        <w:tc>
          <w:tcPr>
            <w:tcW w:w="7088" w:type="dxa"/>
            <w:tcBorders>
              <w:bottom w:val="single" w:sz="4" w:space="0" w:color="auto"/>
            </w:tcBorders>
            <w:shd w:val="clear" w:color="auto" w:fill="auto"/>
          </w:tcPr>
          <w:p w14:paraId="67E51063" w14:textId="77777777" w:rsidR="00ED132E" w:rsidRDefault="00ED132E" w:rsidP="0088314A">
            <w:r>
              <w:t xml:space="preserve">If a trading operation is to be outsourced (e.g. out of school hours’ care and canteen licence), the school council must </w:t>
            </w:r>
            <w:r w:rsidRPr="00867F89">
              <w:t xml:space="preserve">contact </w:t>
            </w:r>
            <w:hyperlink r:id="rId11" w:history="1">
              <w:r w:rsidRPr="00867F89">
                <w:rPr>
                  <w:rStyle w:val="Hyperlink"/>
                </w:rPr>
                <w:t>Legal Services Division</w:t>
              </w:r>
            </w:hyperlink>
            <w:r w:rsidRPr="00867F89">
              <w:t xml:space="preserve"> to determine the most appropriate outsourcing</w:t>
            </w:r>
            <w:r>
              <w:t xml:space="preserve"> agreement.</w:t>
            </w:r>
          </w:p>
        </w:tc>
        <w:tc>
          <w:tcPr>
            <w:tcW w:w="788" w:type="dxa"/>
            <w:tcBorders>
              <w:bottom w:val="single" w:sz="4" w:space="0" w:color="auto"/>
            </w:tcBorders>
          </w:tcPr>
          <w:p w14:paraId="0BB5D04E" w14:textId="77777777" w:rsidR="00ED132E" w:rsidRDefault="00ED132E" w:rsidP="0088314A"/>
        </w:tc>
      </w:tr>
      <w:tr w:rsidR="00ED132E" w:rsidRPr="0091756B" w14:paraId="6A6904A7" w14:textId="5904E4E6" w:rsidTr="00ED132E">
        <w:trPr>
          <w:trHeight w:val="567"/>
        </w:trPr>
        <w:tc>
          <w:tcPr>
            <w:tcW w:w="1134" w:type="dxa"/>
            <w:tcBorders>
              <w:top w:val="single" w:sz="4" w:space="0" w:color="auto"/>
              <w:left w:val="single" w:sz="4" w:space="0" w:color="auto"/>
              <w:bottom w:val="single" w:sz="4" w:space="0" w:color="auto"/>
            </w:tcBorders>
            <w:shd w:val="clear" w:color="auto" w:fill="FFFFFF" w:themeFill="background1"/>
          </w:tcPr>
          <w:p w14:paraId="18620A9F" w14:textId="77777777" w:rsidR="00ED132E" w:rsidRPr="0091756B" w:rsidRDefault="00ED132E" w:rsidP="00CD44D5">
            <w:r>
              <w:t>12</w:t>
            </w:r>
            <w:r w:rsidRPr="0091756B">
              <w:t>.2.1.</w:t>
            </w:r>
            <w:r>
              <w:t>3</w:t>
            </w:r>
          </w:p>
        </w:tc>
        <w:tc>
          <w:tcPr>
            <w:tcW w:w="7088" w:type="dxa"/>
            <w:tcBorders>
              <w:top w:val="single" w:sz="4" w:space="0" w:color="auto"/>
              <w:bottom w:val="single" w:sz="4" w:space="0" w:color="auto"/>
            </w:tcBorders>
            <w:shd w:val="clear" w:color="auto" w:fill="auto"/>
          </w:tcPr>
          <w:p w14:paraId="043E409E" w14:textId="77777777" w:rsidR="00ED132E" w:rsidRPr="0091756B" w:rsidRDefault="00ED132E" w:rsidP="0088314A">
            <w:r>
              <w:t>School council must nominate and minute annually the taxation treatment for each trading operation. The taxation treatment (taxable or input taxed) applies to all transactions for that trading activity, revenue, expenditure and asset acquisition.</w:t>
            </w:r>
          </w:p>
        </w:tc>
        <w:tc>
          <w:tcPr>
            <w:tcW w:w="788" w:type="dxa"/>
            <w:tcBorders>
              <w:top w:val="single" w:sz="4" w:space="0" w:color="auto"/>
              <w:bottom w:val="single" w:sz="4" w:space="0" w:color="auto"/>
            </w:tcBorders>
          </w:tcPr>
          <w:p w14:paraId="2BCE3DF9" w14:textId="77777777" w:rsidR="00ED132E" w:rsidRDefault="00ED132E" w:rsidP="0088314A"/>
        </w:tc>
      </w:tr>
      <w:tr w:rsidR="00ED132E" w:rsidRPr="0091756B" w14:paraId="2161CF65" w14:textId="222C3AF2" w:rsidTr="00ED132E">
        <w:trPr>
          <w:trHeight w:val="567"/>
        </w:trPr>
        <w:tc>
          <w:tcPr>
            <w:tcW w:w="1134" w:type="dxa"/>
            <w:tcBorders>
              <w:top w:val="single" w:sz="4" w:space="0" w:color="auto"/>
              <w:left w:val="single" w:sz="4" w:space="0" w:color="auto"/>
              <w:bottom w:val="single" w:sz="4" w:space="0" w:color="auto"/>
            </w:tcBorders>
            <w:shd w:val="clear" w:color="auto" w:fill="FFFFFF" w:themeFill="background1"/>
          </w:tcPr>
          <w:p w14:paraId="59E4710E" w14:textId="77777777" w:rsidR="00ED132E" w:rsidRDefault="00ED132E" w:rsidP="00CD44D5">
            <w:r>
              <w:t>12.2.1.4</w:t>
            </w:r>
          </w:p>
        </w:tc>
        <w:tc>
          <w:tcPr>
            <w:tcW w:w="7088" w:type="dxa"/>
            <w:tcBorders>
              <w:top w:val="single" w:sz="4" w:space="0" w:color="auto"/>
              <w:bottom w:val="single" w:sz="4" w:space="0" w:color="auto"/>
            </w:tcBorders>
            <w:shd w:val="clear" w:color="auto" w:fill="auto"/>
          </w:tcPr>
          <w:p w14:paraId="2BD1FFA0" w14:textId="77777777" w:rsidR="00ED132E" w:rsidRDefault="00ED132E" w:rsidP="0088314A">
            <w:pPr>
              <w:rPr>
                <w:bCs/>
              </w:rPr>
            </w:pPr>
            <w:r w:rsidRPr="000A3D6A">
              <w:rPr>
                <w:bCs/>
              </w:rPr>
              <w:t>The school council or the finance committee must review the viability of trading operations on a regular basis.</w:t>
            </w:r>
          </w:p>
        </w:tc>
        <w:tc>
          <w:tcPr>
            <w:tcW w:w="788" w:type="dxa"/>
            <w:tcBorders>
              <w:top w:val="single" w:sz="4" w:space="0" w:color="auto"/>
              <w:bottom w:val="single" w:sz="4" w:space="0" w:color="auto"/>
            </w:tcBorders>
          </w:tcPr>
          <w:p w14:paraId="15DE2651" w14:textId="77777777" w:rsidR="00ED132E" w:rsidRPr="000A3D6A" w:rsidRDefault="00ED132E" w:rsidP="0088314A">
            <w:pPr>
              <w:rPr>
                <w:bCs/>
              </w:rPr>
            </w:pPr>
          </w:p>
        </w:tc>
      </w:tr>
      <w:tr w:rsidR="00ED132E" w:rsidRPr="0091756B" w14:paraId="791395EB" w14:textId="0670A116" w:rsidTr="00ED132E">
        <w:trPr>
          <w:trHeight w:val="567"/>
        </w:trPr>
        <w:tc>
          <w:tcPr>
            <w:tcW w:w="1134" w:type="dxa"/>
            <w:tcBorders>
              <w:top w:val="single" w:sz="4" w:space="0" w:color="auto"/>
              <w:left w:val="single" w:sz="4" w:space="0" w:color="auto"/>
              <w:bottom w:val="single" w:sz="4" w:space="0" w:color="auto"/>
            </w:tcBorders>
            <w:shd w:val="clear" w:color="auto" w:fill="FFFFFF" w:themeFill="background1"/>
          </w:tcPr>
          <w:p w14:paraId="405E226B" w14:textId="77777777" w:rsidR="00ED132E" w:rsidRPr="0091756B" w:rsidRDefault="00ED132E" w:rsidP="0027184D">
            <w:r>
              <w:t>12</w:t>
            </w:r>
            <w:r w:rsidRPr="0091756B">
              <w:t>.2.1.</w:t>
            </w:r>
            <w:r>
              <w:t>5</w:t>
            </w:r>
          </w:p>
        </w:tc>
        <w:tc>
          <w:tcPr>
            <w:tcW w:w="7088" w:type="dxa"/>
            <w:tcBorders>
              <w:top w:val="single" w:sz="4" w:space="0" w:color="auto"/>
              <w:bottom w:val="single" w:sz="4" w:space="0" w:color="auto"/>
            </w:tcBorders>
            <w:shd w:val="clear" w:color="auto" w:fill="auto"/>
          </w:tcPr>
          <w:p w14:paraId="765B3CB5" w14:textId="77777777" w:rsidR="00ED132E" w:rsidRPr="0091756B" w:rsidRDefault="00ED132E" w:rsidP="0088314A">
            <w:r>
              <w:rPr>
                <w:bCs/>
              </w:rPr>
              <w:t>A decision to subsidise a loss-making operation must be recorded in school council minutes.</w:t>
            </w:r>
          </w:p>
        </w:tc>
        <w:tc>
          <w:tcPr>
            <w:tcW w:w="788" w:type="dxa"/>
            <w:tcBorders>
              <w:top w:val="single" w:sz="4" w:space="0" w:color="auto"/>
              <w:bottom w:val="single" w:sz="4" w:space="0" w:color="auto"/>
            </w:tcBorders>
          </w:tcPr>
          <w:p w14:paraId="29E06A30" w14:textId="77777777" w:rsidR="00ED132E" w:rsidRDefault="00ED132E" w:rsidP="0088314A">
            <w:pPr>
              <w:rPr>
                <w:bCs/>
              </w:rPr>
            </w:pPr>
          </w:p>
        </w:tc>
      </w:tr>
      <w:tr w:rsidR="00ED132E" w:rsidRPr="0091756B" w14:paraId="586F3868" w14:textId="215678D3" w:rsidTr="00ED132E">
        <w:trPr>
          <w:trHeight w:val="1039"/>
        </w:trPr>
        <w:tc>
          <w:tcPr>
            <w:tcW w:w="1134" w:type="dxa"/>
            <w:tcBorders>
              <w:top w:val="single" w:sz="4" w:space="0" w:color="auto"/>
              <w:left w:val="single" w:sz="4" w:space="0" w:color="auto"/>
              <w:bottom w:val="single" w:sz="4" w:space="0" w:color="auto"/>
            </w:tcBorders>
            <w:shd w:val="clear" w:color="auto" w:fill="FFFFFF" w:themeFill="background1"/>
          </w:tcPr>
          <w:p w14:paraId="7F6B5AE5" w14:textId="77777777" w:rsidR="00ED132E" w:rsidRPr="0091756B" w:rsidRDefault="00ED132E" w:rsidP="0027184D">
            <w:r>
              <w:t>12</w:t>
            </w:r>
            <w:r w:rsidRPr="0091756B">
              <w:t>.2.1.</w:t>
            </w:r>
            <w:r>
              <w:t>6</w:t>
            </w:r>
          </w:p>
        </w:tc>
        <w:tc>
          <w:tcPr>
            <w:tcW w:w="7088" w:type="dxa"/>
            <w:tcBorders>
              <w:top w:val="single" w:sz="4" w:space="0" w:color="auto"/>
              <w:bottom w:val="single" w:sz="4" w:space="0" w:color="auto"/>
            </w:tcBorders>
            <w:shd w:val="clear" w:color="auto" w:fill="auto"/>
          </w:tcPr>
          <w:p w14:paraId="548AED37" w14:textId="77777777" w:rsidR="00ED132E" w:rsidRPr="0091756B" w:rsidRDefault="00ED132E" w:rsidP="0088314A">
            <w:r>
              <w:rPr>
                <w:bCs/>
              </w:rPr>
              <w:t>For each trading operation, an annual budget (both revenue and expenditure) must be prepared, presented and approved by either the school council or the finance committee.</w:t>
            </w:r>
          </w:p>
        </w:tc>
        <w:tc>
          <w:tcPr>
            <w:tcW w:w="788" w:type="dxa"/>
            <w:tcBorders>
              <w:top w:val="single" w:sz="4" w:space="0" w:color="auto"/>
              <w:bottom w:val="single" w:sz="4" w:space="0" w:color="auto"/>
            </w:tcBorders>
          </w:tcPr>
          <w:p w14:paraId="0D65F1C6" w14:textId="77777777" w:rsidR="00ED132E" w:rsidRDefault="00ED132E" w:rsidP="0088314A">
            <w:pPr>
              <w:rPr>
                <w:bCs/>
              </w:rPr>
            </w:pPr>
          </w:p>
        </w:tc>
      </w:tr>
      <w:tr w:rsidR="00ED132E" w:rsidRPr="0091756B" w14:paraId="1EA222B4" w14:textId="1AF8F879" w:rsidTr="00ED132E">
        <w:trPr>
          <w:trHeight w:val="1273"/>
        </w:trPr>
        <w:tc>
          <w:tcPr>
            <w:tcW w:w="1134" w:type="dxa"/>
            <w:tcBorders>
              <w:top w:val="single" w:sz="4" w:space="0" w:color="auto"/>
              <w:bottom w:val="single" w:sz="4" w:space="0" w:color="auto"/>
            </w:tcBorders>
            <w:shd w:val="clear" w:color="auto" w:fill="FFFFFF" w:themeFill="background1"/>
          </w:tcPr>
          <w:p w14:paraId="3DD3E298" w14:textId="77777777" w:rsidR="00ED132E" w:rsidRPr="0091756B" w:rsidRDefault="00ED132E" w:rsidP="0027184D">
            <w:r>
              <w:t>12</w:t>
            </w:r>
            <w:r w:rsidRPr="0091756B">
              <w:t>.2.1.</w:t>
            </w:r>
            <w:r>
              <w:t>7</w:t>
            </w:r>
          </w:p>
        </w:tc>
        <w:tc>
          <w:tcPr>
            <w:tcW w:w="7088" w:type="dxa"/>
            <w:tcBorders>
              <w:top w:val="single" w:sz="4" w:space="0" w:color="auto"/>
              <w:bottom w:val="single" w:sz="4" w:space="0" w:color="auto"/>
            </w:tcBorders>
            <w:shd w:val="clear" w:color="auto" w:fill="auto"/>
          </w:tcPr>
          <w:p w14:paraId="04A8C1E1" w14:textId="77777777" w:rsidR="00ED132E" w:rsidRPr="0091756B" w:rsidRDefault="00ED132E" w:rsidP="0088314A">
            <w:r>
              <w:rPr>
                <w:bCs/>
              </w:rPr>
              <w:t>For each trading activity, budgets must be monitored and reviewed regularly by the school council or finance committee. Variances identified must be investigated and reported with corrective action taken if required.</w:t>
            </w:r>
          </w:p>
        </w:tc>
        <w:tc>
          <w:tcPr>
            <w:tcW w:w="788" w:type="dxa"/>
            <w:tcBorders>
              <w:top w:val="single" w:sz="4" w:space="0" w:color="auto"/>
              <w:bottom w:val="single" w:sz="4" w:space="0" w:color="auto"/>
            </w:tcBorders>
          </w:tcPr>
          <w:p w14:paraId="5C60EEA1" w14:textId="77777777" w:rsidR="00ED132E" w:rsidRDefault="00ED132E" w:rsidP="0088314A">
            <w:pPr>
              <w:rPr>
                <w:bCs/>
              </w:rPr>
            </w:pPr>
          </w:p>
        </w:tc>
      </w:tr>
      <w:tr w:rsidR="00ED132E" w:rsidRPr="0091756B" w14:paraId="1B74CAD8" w14:textId="0DAF8AEE" w:rsidTr="00ED132E">
        <w:trPr>
          <w:trHeight w:val="1018"/>
        </w:trPr>
        <w:tc>
          <w:tcPr>
            <w:tcW w:w="1134" w:type="dxa"/>
            <w:tcBorders>
              <w:top w:val="single" w:sz="4" w:space="0" w:color="auto"/>
              <w:bottom w:val="single" w:sz="4" w:space="0" w:color="auto"/>
            </w:tcBorders>
            <w:shd w:val="clear" w:color="auto" w:fill="FFFFFF" w:themeFill="background1"/>
          </w:tcPr>
          <w:p w14:paraId="4D1A1D58" w14:textId="77777777" w:rsidR="00ED132E" w:rsidRPr="0091756B" w:rsidRDefault="00ED132E" w:rsidP="0027184D">
            <w:r>
              <w:t>12.2.1.8</w:t>
            </w:r>
          </w:p>
        </w:tc>
        <w:tc>
          <w:tcPr>
            <w:tcW w:w="7088" w:type="dxa"/>
            <w:tcBorders>
              <w:top w:val="single" w:sz="4" w:space="0" w:color="auto"/>
              <w:bottom w:val="single" w:sz="4" w:space="0" w:color="auto"/>
            </w:tcBorders>
            <w:shd w:val="clear" w:color="auto" w:fill="auto"/>
          </w:tcPr>
          <w:p w14:paraId="7DE49D85" w14:textId="77777777" w:rsidR="00ED132E" w:rsidRDefault="00ED132E" w:rsidP="0088314A">
            <w:pPr>
              <w:rPr>
                <w:bCs/>
              </w:rPr>
            </w:pPr>
            <w:r>
              <w:t>For each trading activity, a profit and loss statement must be prepared and presented to school council or finance committee at least annually.</w:t>
            </w:r>
          </w:p>
        </w:tc>
        <w:tc>
          <w:tcPr>
            <w:tcW w:w="788" w:type="dxa"/>
            <w:tcBorders>
              <w:top w:val="single" w:sz="4" w:space="0" w:color="auto"/>
              <w:bottom w:val="single" w:sz="4" w:space="0" w:color="auto"/>
            </w:tcBorders>
          </w:tcPr>
          <w:p w14:paraId="22718A47" w14:textId="77777777" w:rsidR="00ED132E" w:rsidRDefault="00ED132E" w:rsidP="0088314A"/>
        </w:tc>
      </w:tr>
      <w:tr w:rsidR="00ED132E" w:rsidRPr="0091756B" w14:paraId="2F30BBEB" w14:textId="78D29A02" w:rsidTr="00ED132E">
        <w:trPr>
          <w:trHeight w:val="567"/>
        </w:trPr>
        <w:tc>
          <w:tcPr>
            <w:tcW w:w="1134" w:type="dxa"/>
            <w:tcBorders>
              <w:top w:val="single" w:sz="4" w:space="0" w:color="auto"/>
              <w:bottom w:val="single" w:sz="4" w:space="0" w:color="auto"/>
            </w:tcBorders>
            <w:shd w:val="clear" w:color="auto" w:fill="FFFFFF" w:themeFill="background1"/>
          </w:tcPr>
          <w:p w14:paraId="6A967E82" w14:textId="77777777" w:rsidR="00ED132E" w:rsidRPr="0091756B" w:rsidRDefault="00ED132E" w:rsidP="00CD44D5">
            <w:r>
              <w:lastRenderedPageBreak/>
              <w:t>12.2.1.9</w:t>
            </w:r>
          </w:p>
        </w:tc>
        <w:tc>
          <w:tcPr>
            <w:tcW w:w="7088" w:type="dxa"/>
            <w:tcBorders>
              <w:top w:val="single" w:sz="4" w:space="0" w:color="auto"/>
              <w:bottom w:val="single" w:sz="4" w:space="0" w:color="auto"/>
            </w:tcBorders>
            <w:shd w:val="clear" w:color="auto" w:fill="auto"/>
          </w:tcPr>
          <w:p w14:paraId="2A802A5A" w14:textId="77777777" w:rsidR="00ED132E" w:rsidRDefault="00ED132E" w:rsidP="00140D58">
            <w:r>
              <w:t>Cash handling requirements as outlined in this manual are complied with (Refer to section 10 Receivables Management and Cash Handling).</w:t>
            </w:r>
          </w:p>
        </w:tc>
        <w:tc>
          <w:tcPr>
            <w:tcW w:w="788" w:type="dxa"/>
            <w:tcBorders>
              <w:top w:val="single" w:sz="4" w:space="0" w:color="auto"/>
              <w:bottom w:val="single" w:sz="4" w:space="0" w:color="auto"/>
            </w:tcBorders>
          </w:tcPr>
          <w:p w14:paraId="426B4539" w14:textId="77777777" w:rsidR="00ED132E" w:rsidRDefault="00ED132E" w:rsidP="00140D58"/>
        </w:tc>
      </w:tr>
      <w:tr w:rsidR="00ED132E" w:rsidRPr="0091756B" w14:paraId="3ECD2526" w14:textId="284B7759" w:rsidTr="00ED132E">
        <w:trPr>
          <w:trHeight w:val="567"/>
        </w:trPr>
        <w:tc>
          <w:tcPr>
            <w:tcW w:w="1134" w:type="dxa"/>
            <w:tcBorders>
              <w:top w:val="single" w:sz="4" w:space="0" w:color="auto"/>
              <w:bottom w:val="single" w:sz="4" w:space="0" w:color="auto"/>
            </w:tcBorders>
            <w:shd w:val="clear" w:color="auto" w:fill="FFFFFF" w:themeFill="background1"/>
          </w:tcPr>
          <w:p w14:paraId="7BA5F44B" w14:textId="77777777" w:rsidR="00ED132E" w:rsidRDefault="00ED132E" w:rsidP="00CD44D5">
            <w:r>
              <w:t>12.2.1.10</w:t>
            </w:r>
          </w:p>
        </w:tc>
        <w:tc>
          <w:tcPr>
            <w:tcW w:w="7088" w:type="dxa"/>
            <w:tcBorders>
              <w:top w:val="single" w:sz="4" w:space="0" w:color="auto"/>
              <w:bottom w:val="single" w:sz="4" w:space="0" w:color="auto"/>
            </w:tcBorders>
            <w:shd w:val="clear" w:color="auto" w:fill="auto"/>
          </w:tcPr>
          <w:p w14:paraId="2899DDDB" w14:textId="77777777" w:rsidR="00ED132E" w:rsidRDefault="00ED132E" w:rsidP="0088314A">
            <w:r>
              <w:t>Schools operating a cash float within a trading operation must adopt the following procedures:</w:t>
            </w:r>
          </w:p>
          <w:p w14:paraId="31E0D0BC" w14:textId="77777777" w:rsidR="00ED132E" w:rsidRPr="0087581F" w:rsidRDefault="00ED132E" w:rsidP="00A81C7A">
            <w:pPr>
              <w:pStyle w:val="ListBullet"/>
              <w:rPr>
                <w:lang w:val="en-US"/>
              </w:rPr>
            </w:pPr>
            <w:r w:rsidRPr="0087581F">
              <w:rPr>
                <w:lang w:val="en-US"/>
              </w:rPr>
              <w:t xml:space="preserve">The amount of the float must be determined by the school council and </w:t>
            </w:r>
            <w:r>
              <w:rPr>
                <w:lang w:val="en-US"/>
              </w:rPr>
              <w:t xml:space="preserve">must </w:t>
            </w:r>
            <w:r w:rsidRPr="0087581F">
              <w:rPr>
                <w:lang w:val="en-US"/>
              </w:rPr>
              <w:t xml:space="preserve">be adequate in terms of the size of </w:t>
            </w:r>
            <w:r>
              <w:rPr>
                <w:lang w:val="en-US"/>
              </w:rPr>
              <w:t>the trading operation;</w:t>
            </w:r>
          </w:p>
          <w:p w14:paraId="18B47C4A" w14:textId="77777777" w:rsidR="00ED132E" w:rsidRPr="0087581F" w:rsidRDefault="00ED132E" w:rsidP="00A81C7A">
            <w:pPr>
              <w:pStyle w:val="ListBullet"/>
              <w:rPr>
                <w:lang w:val="en-US"/>
              </w:rPr>
            </w:pPr>
            <w:r w:rsidRPr="0087581F">
              <w:rPr>
                <w:lang w:val="en-US"/>
              </w:rPr>
              <w:t>The amount of the float must remain constant from day-to-day</w:t>
            </w:r>
            <w:r>
              <w:rPr>
                <w:lang w:val="en-US"/>
              </w:rPr>
              <w:t>;</w:t>
            </w:r>
          </w:p>
          <w:p w14:paraId="5F10DB01" w14:textId="77777777" w:rsidR="00ED132E" w:rsidRPr="0087581F" w:rsidRDefault="00ED132E" w:rsidP="00A81C7A">
            <w:pPr>
              <w:pStyle w:val="ListBullet"/>
              <w:rPr>
                <w:lang w:val="en-US"/>
              </w:rPr>
            </w:pPr>
            <w:r w:rsidRPr="0087581F">
              <w:rPr>
                <w:lang w:val="en-US"/>
              </w:rPr>
              <w:t xml:space="preserve">The float must be </w:t>
            </w:r>
            <w:r>
              <w:rPr>
                <w:lang w:val="en-US"/>
              </w:rPr>
              <w:t>locked</w:t>
            </w:r>
            <w:r w:rsidRPr="0087581F">
              <w:rPr>
                <w:lang w:val="en-US"/>
              </w:rPr>
              <w:t xml:space="preserve"> overnight and during weekends</w:t>
            </w:r>
            <w:r>
              <w:rPr>
                <w:lang w:val="en-US"/>
              </w:rPr>
              <w:t>;</w:t>
            </w:r>
          </w:p>
          <w:p w14:paraId="24AE9114" w14:textId="77777777" w:rsidR="00ED132E" w:rsidRPr="0087581F" w:rsidRDefault="00ED132E" w:rsidP="00A81C7A">
            <w:pPr>
              <w:pStyle w:val="ListBullet"/>
              <w:rPr>
                <w:lang w:val="en-US"/>
              </w:rPr>
            </w:pPr>
            <w:r w:rsidRPr="0087581F">
              <w:rPr>
                <w:lang w:val="en-US"/>
              </w:rPr>
              <w:t xml:space="preserve">The float </w:t>
            </w:r>
            <w:r>
              <w:rPr>
                <w:lang w:val="en-US"/>
              </w:rPr>
              <w:t xml:space="preserve">balance must </w:t>
            </w:r>
            <w:r w:rsidRPr="0087581F">
              <w:rPr>
                <w:lang w:val="en-US"/>
              </w:rPr>
              <w:t>always be clearly recorded on the schedule of daily takings</w:t>
            </w:r>
            <w:r>
              <w:rPr>
                <w:lang w:val="en-US"/>
              </w:rPr>
              <w:t>.</w:t>
            </w:r>
          </w:p>
          <w:p w14:paraId="58006C54" w14:textId="77777777" w:rsidR="00ED132E" w:rsidRPr="0087581F" w:rsidRDefault="00ED132E" w:rsidP="0088314A">
            <w:r w:rsidRPr="0087581F">
              <w:t xml:space="preserve">At the end of the day’s trading, all collections, including the cash change float, are </w:t>
            </w:r>
            <w:r>
              <w:t xml:space="preserve">where practicable </w:t>
            </w:r>
            <w:r w:rsidRPr="0087581F">
              <w:t>to be counted by two people</w:t>
            </w:r>
            <w:r>
              <w:t>.</w:t>
            </w:r>
            <w:r w:rsidRPr="0087581F">
              <w:t xml:space="preserve"> The set change float for the following day is then to be extracted and the remaining cash on hand is to be processed as follows:</w:t>
            </w:r>
          </w:p>
          <w:p w14:paraId="2348B7F8" w14:textId="77777777" w:rsidR="00ED132E" w:rsidRPr="0087581F" w:rsidRDefault="00ED132E" w:rsidP="00A81C7A">
            <w:pPr>
              <w:pStyle w:val="ListBullet"/>
              <w:rPr>
                <w:lang w:val="en-US"/>
              </w:rPr>
            </w:pPr>
            <w:r w:rsidRPr="0087581F">
              <w:rPr>
                <w:lang w:val="en-US"/>
              </w:rPr>
              <w:t xml:space="preserve">The amount </w:t>
            </w:r>
            <w:r>
              <w:rPr>
                <w:lang w:val="en-US"/>
              </w:rPr>
              <w:t xml:space="preserve">must </w:t>
            </w:r>
            <w:r w:rsidRPr="0087581F">
              <w:rPr>
                <w:lang w:val="en-US"/>
              </w:rPr>
              <w:t xml:space="preserve">be entered in a daily sales book or register, which is to be maintained to record collections, and </w:t>
            </w:r>
            <w:r>
              <w:rPr>
                <w:lang w:val="en-US"/>
              </w:rPr>
              <w:t xml:space="preserve">must </w:t>
            </w:r>
            <w:r w:rsidRPr="0087581F">
              <w:rPr>
                <w:lang w:val="en-US"/>
              </w:rPr>
              <w:t>be signed by two people</w:t>
            </w:r>
            <w:r>
              <w:rPr>
                <w:lang w:val="en-US"/>
              </w:rPr>
              <w:t xml:space="preserve"> where possible;</w:t>
            </w:r>
          </w:p>
          <w:p w14:paraId="37C67CB0" w14:textId="77777777" w:rsidR="00ED132E" w:rsidRPr="0087581F" w:rsidRDefault="00ED132E" w:rsidP="00A81C7A">
            <w:pPr>
              <w:pStyle w:val="ListBullet"/>
              <w:rPr>
                <w:lang w:val="en-US"/>
              </w:rPr>
            </w:pPr>
            <w:r w:rsidRPr="0087581F">
              <w:rPr>
                <w:lang w:val="en-US"/>
              </w:rPr>
              <w:t xml:space="preserve">The amount </w:t>
            </w:r>
            <w:r>
              <w:rPr>
                <w:lang w:val="en-US"/>
              </w:rPr>
              <w:t xml:space="preserve">must </w:t>
            </w:r>
            <w:r w:rsidRPr="0087581F">
              <w:rPr>
                <w:lang w:val="en-US"/>
              </w:rPr>
              <w:t>be recorded on the bank deposit slip</w:t>
            </w:r>
            <w:r>
              <w:rPr>
                <w:lang w:val="en-US"/>
              </w:rPr>
              <w:t>;</w:t>
            </w:r>
          </w:p>
          <w:p w14:paraId="54AA2C60" w14:textId="77777777" w:rsidR="00ED132E" w:rsidRPr="0087581F" w:rsidRDefault="00ED132E" w:rsidP="00A81C7A">
            <w:pPr>
              <w:pStyle w:val="ListBullet"/>
              <w:rPr>
                <w:lang w:val="en-US"/>
              </w:rPr>
            </w:pPr>
            <w:r w:rsidRPr="0087581F">
              <w:rPr>
                <w:lang w:val="en-US"/>
              </w:rPr>
              <w:t xml:space="preserve">The bank deposit slip and collections </w:t>
            </w:r>
            <w:r>
              <w:rPr>
                <w:lang w:val="en-US"/>
              </w:rPr>
              <w:t xml:space="preserve">must </w:t>
            </w:r>
            <w:r w:rsidRPr="0087581F">
              <w:rPr>
                <w:lang w:val="en-US"/>
              </w:rPr>
              <w:t>be forwarded to the administration office for banking</w:t>
            </w:r>
            <w:r>
              <w:rPr>
                <w:lang w:val="en-US"/>
              </w:rPr>
              <w:t xml:space="preserve"> by close of the school day;</w:t>
            </w:r>
          </w:p>
          <w:p w14:paraId="1F7540CF" w14:textId="77777777" w:rsidR="00ED132E" w:rsidRPr="0087581F" w:rsidRDefault="00ED132E" w:rsidP="00A81C7A">
            <w:pPr>
              <w:pStyle w:val="ListBullet"/>
              <w:rPr>
                <w:lang w:val="en-US"/>
              </w:rPr>
            </w:pPr>
            <w:r w:rsidRPr="0087581F">
              <w:rPr>
                <w:lang w:val="en-US"/>
              </w:rPr>
              <w:t xml:space="preserve">The business manager </w:t>
            </w:r>
            <w:r>
              <w:rPr>
                <w:lang w:val="en-US"/>
              </w:rPr>
              <w:t xml:space="preserve">must </w:t>
            </w:r>
            <w:r w:rsidRPr="0087581F">
              <w:rPr>
                <w:lang w:val="en-US"/>
              </w:rPr>
              <w:t>issue a receipt for the collections and the original is to be affixed to the back of the daily sales book</w:t>
            </w:r>
            <w:r>
              <w:rPr>
                <w:lang w:val="en-US"/>
              </w:rPr>
              <w:t>;</w:t>
            </w:r>
          </w:p>
          <w:p w14:paraId="7044082F" w14:textId="77777777" w:rsidR="00ED132E" w:rsidRDefault="00ED132E" w:rsidP="00A81C7A">
            <w:pPr>
              <w:pStyle w:val="ListBullet"/>
            </w:pPr>
            <w:r w:rsidRPr="0087581F">
              <w:rPr>
                <w:lang w:val="en-US"/>
              </w:rPr>
              <w:t xml:space="preserve">The amount collected </w:t>
            </w:r>
            <w:r>
              <w:rPr>
                <w:lang w:val="en-US"/>
              </w:rPr>
              <w:t xml:space="preserve">must </w:t>
            </w:r>
            <w:r w:rsidRPr="0087581F">
              <w:rPr>
                <w:lang w:val="en-US"/>
              </w:rPr>
              <w:t>be banked, and entered on CASES21.</w:t>
            </w:r>
          </w:p>
        </w:tc>
        <w:tc>
          <w:tcPr>
            <w:tcW w:w="788" w:type="dxa"/>
            <w:tcBorders>
              <w:top w:val="single" w:sz="4" w:space="0" w:color="auto"/>
              <w:bottom w:val="single" w:sz="4" w:space="0" w:color="auto"/>
            </w:tcBorders>
          </w:tcPr>
          <w:p w14:paraId="722E4A6D" w14:textId="77777777" w:rsidR="00ED132E" w:rsidRDefault="00ED132E" w:rsidP="0088314A"/>
        </w:tc>
      </w:tr>
      <w:tr w:rsidR="00ED132E" w:rsidRPr="0091756B" w14:paraId="7A1868AE" w14:textId="74EA212B" w:rsidTr="00ED132E">
        <w:trPr>
          <w:trHeight w:val="567"/>
        </w:trPr>
        <w:tc>
          <w:tcPr>
            <w:tcW w:w="1134" w:type="dxa"/>
            <w:tcBorders>
              <w:top w:val="single" w:sz="4" w:space="0" w:color="auto"/>
              <w:bottom w:val="single" w:sz="4" w:space="0" w:color="auto"/>
            </w:tcBorders>
            <w:shd w:val="clear" w:color="auto" w:fill="FFFFFF" w:themeFill="background1"/>
          </w:tcPr>
          <w:p w14:paraId="5F16F8E5" w14:textId="77777777" w:rsidR="00ED132E" w:rsidRDefault="00ED132E" w:rsidP="00CD44D5">
            <w:r>
              <w:t>12.2.1.11</w:t>
            </w:r>
          </w:p>
        </w:tc>
        <w:tc>
          <w:tcPr>
            <w:tcW w:w="7088" w:type="dxa"/>
            <w:tcBorders>
              <w:top w:val="single" w:sz="4" w:space="0" w:color="auto"/>
              <w:bottom w:val="single" w:sz="4" w:space="0" w:color="auto"/>
            </w:tcBorders>
            <w:shd w:val="clear" w:color="auto" w:fill="auto"/>
          </w:tcPr>
          <w:p w14:paraId="0F575E15" w14:textId="77777777" w:rsidR="00ED132E" w:rsidRDefault="00ED132E" w:rsidP="0088314A">
            <w:r w:rsidRPr="00945A58">
              <w:t xml:space="preserve">All </w:t>
            </w:r>
            <w:r>
              <w:t>cash,</w:t>
            </w:r>
            <w:r w:rsidRPr="00945A58">
              <w:t xml:space="preserve"> cheques, </w:t>
            </w:r>
            <w:r>
              <w:t>etc.</w:t>
            </w:r>
            <w:r w:rsidRPr="00945A58">
              <w:t xml:space="preserve"> </w:t>
            </w:r>
            <w:r>
              <w:t>must</w:t>
            </w:r>
            <w:r w:rsidRPr="00945A58">
              <w:t xml:space="preserve"> be </w:t>
            </w:r>
            <w:r>
              <w:t>banked</w:t>
            </w:r>
            <w:r w:rsidRPr="00945A58">
              <w:t xml:space="preserve"> </w:t>
            </w:r>
            <w:r>
              <w:t>intact</w:t>
            </w:r>
            <w:r w:rsidRPr="00945A58">
              <w:t xml:space="preserve"> </w:t>
            </w:r>
            <w:r>
              <w:t>and</w:t>
            </w:r>
            <w:r w:rsidRPr="00945A58">
              <w:t xml:space="preserve"> </w:t>
            </w:r>
            <w:r>
              <w:t>whe</w:t>
            </w:r>
            <w:r w:rsidRPr="00945A58">
              <w:t>r</w:t>
            </w:r>
            <w:r>
              <w:t>e</w:t>
            </w:r>
            <w:r w:rsidRPr="00945A58">
              <w:t xml:space="preserve"> possible, </w:t>
            </w:r>
            <w:r>
              <w:t>banking</w:t>
            </w:r>
            <w:r w:rsidRPr="00945A58">
              <w:t xml:space="preserve"> </w:t>
            </w:r>
            <w:r>
              <w:t>carried</w:t>
            </w:r>
            <w:r w:rsidRPr="00945A58">
              <w:t xml:space="preserve"> </w:t>
            </w:r>
            <w:r>
              <w:t>out</w:t>
            </w:r>
            <w:r w:rsidRPr="00945A58">
              <w:t xml:space="preserve"> daily </w:t>
            </w:r>
            <w:r>
              <w:t>to</w:t>
            </w:r>
            <w:r w:rsidRPr="00945A58">
              <w:t xml:space="preserve"> avoid </w:t>
            </w:r>
            <w:r>
              <w:t>having</w:t>
            </w:r>
            <w:r w:rsidRPr="00945A58">
              <w:t xml:space="preserve"> </w:t>
            </w:r>
            <w:r>
              <w:t>money</w:t>
            </w:r>
            <w:r w:rsidRPr="00945A58">
              <w:t xml:space="preserve"> </w:t>
            </w:r>
            <w:r>
              <w:t>on</w:t>
            </w:r>
            <w:r w:rsidRPr="00945A58">
              <w:t xml:space="preserve"> </w:t>
            </w:r>
            <w:r>
              <w:t>the</w:t>
            </w:r>
            <w:r w:rsidRPr="00945A58">
              <w:t xml:space="preserve"> </w:t>
            </w:r>
            <w:r>
              <w:t>school</w:t>
            </w:r>
            <w:r w:rsidRPr="00945A58">
              <w:t xml:space="preserve"> </w:t>
            </w:r>
            <w:r>
              <w:t>p</w:t>
            </w:r>
            <w:r w:rsidRPr="00945A58">
              <w:t>r</w:t>
            </w:r>
            <w:r>
              <w:t xml:space="preserve">emises </w:t>
            </w:r>
            <w:r w:rsidRPr="00945A58">
              <w:t>overnight</w:t>
            </w:r>
            <w:r>
              <w:t>.</w:t>
            </w:r>
          </w:p>
        </w:tc>
        <w:tc>
          <w:tcPr>
            <w:tcW w:w="788" w:type="dxa"/>
            <w:tcBorders>
              <w:top w:val="single" w:sz="4" w:space="0" w:color="auto"/>
              <w:bottom w:val="single" w:sz="4" w:space="0" w:color="auto"/>
            </w:tcBorders>
          </w:tcPr>
          <w:p w14:paraId="55076C46" w14:textId="77777777" w:rsidR="00ED132E" w:rsidRPr="00945A58" w:rsidRDefault="00ED132E" w:rsidP="0088314A"/>
        </w:tc>
      </w:tr>
      <w:tr w:rsidR="00ED132E" w:rsidRPr="0091756B" w14:paraId="438075AD" w14:textId="18D1AACD" w:rsidTr="00ED132E">
        <w:trPr>
          <w:trHeight w:val="1098"/>
        </w:trPr>
        <w:tc>
          <w:tcPr>
            <w:tcW w:w="1134" w:type="dxa"/>
            <w:tcBorders>
              <w:top w:val="single" w:sz="4" w:space="0" w:color="auto"/>
              <w:bottom w:val="single" w:sz="4" w:space="0" w:color="auto"/>
            </w:tcBorders>
            <w:shd w:val="clear" w:color="auto" w:fill="FFFFFF" w:themeFill="background1"/>
          </w:tcPr>
          <w:p w14:paraId="1574E3F5" w14:textId="77777777" w:rsidR="00ED132E" w:rsidRDefault="00ED132E" w:rsidP="00CD44D5">
            <w:r>
              <w:t>12.2.1.12</w:t>
            </w:r>
          </w:p>
        </w:tc>
        <w:tc>
          <w:tcPr>
            <w:tcW w:w="7088" w:type="dxa"/>
            <w:tcBorders>
              <w:top w:val="single" w:sz="4" w:space="0" w:color="auto"/>
              <w:bottom w:val="single" w:sz="4" w:space="0" w:color="auto"/>
            </w:tcBorders>
            <w:shd w:val="clear" w:color="auto" w:fill="auto"/>
          </w:tcPr>
          <w:p w14:paraId="4059F483" w14:textId="77777777" w:rsidR="00ED132E" w:rsidRPr="00945A58" w:rsidRDefault="00ED132E" w:rsidP="00140D58">
            <w:r w:rsidRPr="00945A58">
              <w:t xml:space="preserve">Money kept </w:t>
            </w:r>
            <w:r>
              <w:t>on</w:t>
            </w:r>
            <w:r w:rsidRPr="00945A58">
              <w:t xml:space="preserve"> </w:t>
            </w:r>
            <w:r>
              <w:t>the</w:t>
            </w:r>
            <w:r w:rsidRPr="00945A58">
              <w:t xml:space="preserve"> </w:t>
            </w:r>
            <w:r>
              <w:t>p</w:t>
            </w:r>
            <w:r w:rsidRPr="00945A58">
              <w:t>r</w:t>
            </w:r>
            <w:r>
              <w:t>emises</w:t>
            </w:r>
            <w:r w:rsidRPr="00945A58">
              <w:t xml:space="preserve"> overnight must </w:t>
            </w:r>
            <w:r>
              <w:t>be</w:t>
            </w:r>
            <w:r w:rsidRPr="00945A58">
              <w:t xml:space="preserve"> locked </w:t>
            </w:r>
            <w:r>
              <w:t>in</w:t>
            </w:r>
            <w:r w:rsidRPr="00945A58">
              <w:t xml:space="preserve"> </w:t>
            </w:r>
            <w:r>
              <w:t>a</w:t>
            </w:r>
            <w:r w:rsidRPr="00945A58">
              <w:t xml:space="preserve"> </w:t>
            </w:r>
            <w:r>
              <w:t>secu</w:t>
            </w:r>
            <w:r w:rsidRPr="00945A58">
              <w:t>r</w:t>
            </w:r>
            <w:r>
              <w:t>e</w:t>
            </w:r>
            <w:r w:rsidRPr="00945A58">
              <w:t xml:space="preserve"> l</w:t>
            </w:r>
            <w:r>
              <w:t>ocation</w:t>
            </w:r>
            <w:r w:rsidRPr="00945A58">
              <w:t xml:space="preserve"> </w:t>
            </w:r>
            <w:r>
              <w:t>and</w:t>
            </w:r>
            <w:r w:rsidRPr="00945A58">
              <w:t xml:space="preserve"> </w:t>
            </w:r>
            <w:r>
              <w:t>checked</w:t>
            </w:r>
            <w:r w:rsidRPr="00945A58">
              <w:t xml:space="preserve"> regularly </w:t>
            </w:r>
            <w:r>
              <w:t xml:space="preserve">by </w:t>
            </w:r>
            <w:r w:rsidRPr="00945A58">
              <w:t xml:space="preserve">more than </w:t>
            </w:r>
            <w:r>
              <w:t>one</w:t>
            </w:r>
            <w:r w:rsidRPr="00945A58">
              <w:t xml:space="preserve"> </w:t>
            </w:r>
            <w:r>
              <w:t>person (where practical).</w:t>
            </w:r>
          </w:p>
        </w:tc>
        <w:tc>
          <w:tcPr>
            <w:tcW w:w="788" w:type="dxa"/>
            <w:tcBorders>
              <w:top w:val="single" w:sz="4" w:space="0" w:color="auto"/>
              <w:bottom w:val="single" w:sz="4" w:space="0" w:color="auto"/>
            </w:tcBorders>
          </w:tcPr>
          <w:p w14:paraId="3E922721" w14:textId="77777777" w:rsidR="00ED132E" w:rsidRPr="00945A58" w:rsidRDefault="00ED132E" w:rsidP="00140D58"/>
        </w:tc>
      </w:tr>
      <w:tr w:rsidR="00ED132E" w:rsidRPr="0091756B" w14:paraId="434BA47D" w14:textId="07F400B9" w:rsidTr="00ED132E">
        <w:trPr>
          <w:trHeight w:val="567"/>
        </w:trPr>
        <w:tc>
          <w:tcPr>
            <w:tcW w:w="1134" w:type="dxa"/>
            <w:tcBorders>
              <w:top w:val="single" w:sz="4" w:space="0" w:color="auto"/>
              <w:bottom w:val="single" w:sz="4" w:space="0" w:color="auto"/>
            </w:tcBorders>
            <w:shd w:val="clear" w:color="auto" w:fill="FFFFFF" w:themeFill="background1"/>
          </w:tcPr>
          <w:p w14:paraId="322F4E82" w14:textId="77777777" w:rsidR="00ED132E" w:rsidRPr="0091756B" w:rsidRDefault="00ED132E" w:rsidP="00CD44D5">
            <w:r>
              <w:t>12.2.1.13</w:t>
            </w:r>
          </w:p>
        </w:tc>
        <w:tc>
          <w:tcPr>
            <w:tcW w:w="7088" w:type="dxa"/>
            <w:tcBorders>
              <w:top w:val="single" w:sz="4" w:space="0" w:color="auto"/>
              <w:bottom w:val="single" w:sz="4" w:space="0" w:color="auto"/>
            </w:tcBorders>
            <w:shd w:val="clear" w:color="auto" w:fill="auto"/>
          </w:tcPr>
          <w:p w14:paraId="5BE390D7" w14:textId="77777777" w:rsidR="00ED132E" w:rsidRDefault="00ED132E" w:rsidP="0088314A">
            <w:r w:rsidRPr="0087581F">
              <w:t>Routinely review and reconcile receivable and billing adjustments (credit notes) for trading operations that run subsidiary systems.</w:t>
            </w:r>
          </w:p>
        </w:tc>
        <w:tc>
          <w:tcPr>
            <w:tcW w:w="788" w:type="dxa"/>
            <w:tcBorders>
              <w:top w:val="single" w:sz="4" w:space="0" w:color="auto"/>
              <w:bottom w:val="single" w:sz="4" w:space="0" w:color="auto"/>
            </w:tcBorders>
          </w:tcPr>
          <w:p w14:paraId="36CC639E" w14:textId="77777777" w:rsidR="00ED132E" w:rsidRPr="0087581F" w:rsidRDefault="00ED132E" w:rsidP="0088314A"/>
        </w:tc>
      </w:tr>
      <w:tr w:rsidR="00ED132E" w:rsidRPr="0091756B" w14:paraId="4582D6D9" w14:textId="5A1676E5" w:rsidTr="00ED132E">
        <w:trPr>
          <w:trHeight w:val="567"/>
        </w:trPr>
        <w:tc>
          <w:tcPr>
            <w:tcW w:w="1134" w:type="dxa"/>
            <w:tcBorders>
              <w:top w:val="single" w:sz="4" w:space="0" w:color="auto"/>
              <w:bottom w:val="single" w:sz="4" w:space="0" w:color="auto"/>
            </w:tcBorders>
            <w:shd w:val="clear" w:color="auto" w:fill="FFFFFF" w:themeFill="background1"/>
          </w:tcPr>
          <w:p w14:paraId="47F233F7" w14:textId="77777777" w:rsidR="00ED132E" w:rsidRPr="0091756B" w:rsidRDefault="00ED132E" w:rsidP="00CD44D5">
            <w:r>
              <w:t>12.2.1.14</w:t>
            </w:r>
          </w:p>
        </w:tc>
        <w:tc>
          <w:tcPr>
            <w:tcW w:w="7088" w:type="dxa"/>
            <w:tcBorders>
              <w:top w:val="single" w:sz="4" w:space="0" w:color="auto"/>
              <w:bottom w:val="single" w:sz="4" w:space="0" w:color="auto"/>
            </w:tcBorders>
            <w:shd w:val="clear" w:color="auto" w:fill="auto"/>
          </w:tcPr>
          <w:p w14:paraId="31C05B6E" w14:textId="77777777" w:rsidR="00ED132E" w:rsidRDefault="00ED132E" w:rsidP="0088314A">
            <w:r>
              <w:t>Total of receipts issued must be reconciled with total monies collected.</w:t>
            </w:r>
          </w:p>
        </w:tc>
        <w:tc>
          <w:tcPr>
            <w:tcW w:w="788" w:type="dxa"/>
            <w:tcBorders>
              <w:top w:val="single" w:sz="4" w:space="0" w:color="auto"/>
              <w:bottom w:val="single" w:sz="4" w:space="0" w:color="auto"/>
            </w:tcBorders>
          </w:tcPr>
          <w:p w14:paraId="2ADC0882" w14:textId="77777777" w:rsidR="00ED132E" w:rsidRDefault="00ED132E" w:rsidP="0088314A"/>
        </w:tc>
      </w:tr>
      <w:tr w:rsidR="00ED132E" w:rsidRPr="0091756B" w14:paraId="4949E7A9" w14:textId="563F2A7B" w:rsidTr="00ED132E">
        <w:trPr>
          <w:trHeight w:val="846"/>
        </w:trPr>
        <w:tc>
          <w:tcPr>
            <w:tcW w:w="1134" w:type="dxa"/>
            <w:tcBorders>
              <w:top w:val="single" w:sz="4" w:space="0" w:color="auto"/>
              <w:bottom w:val="single" w:sz="4" w:space="0" w:color="auto"/>
            </w:tcBorders>
            <w:shd w:val="clear" w:color="auto" w:fill="FFFFFF" w:themeFill="background1"/>
          </w:tcPr>
          <w:p w14:paraId="477909B7" w14:textId="77777777" w:rsidR="00ED132E" w:rsidRPr="0091756B" w:rsidRDefault="00ED132E" w:rsidP="00CD44D5">
            <w:r>
              <w:t>12.2.1.15</w:t>
            </w:r>
          </w:p>
        </w:tc>
        <w:tc>
          <w:tcPr>
            <w:tcW w:w="7088" w:type="dxa"/>
            <w:tcBorders>
              <w:top w:val="single" w:sz="4" w:space="0" w:color="auto"/>
              <w:bottom w:val="single" w:sz="4" w:space="0" w:color="auto"/>
            </w:tcBorders>
            <w:shd w:val="clear" w:color="auto" w:fill="auto"/>
          </w:tcPr>
          <w:p w14:paraId="097684E1" w14:textId="77777777" w:rsidR="00ED132E" w:rsidRDefault="00ED132E" w:rsidP="0088314A">
            <w:r w:rsidRPr="00E46FA5">
              <w:t xml:space="preserve">Money collected away from the school office </w:t>
            </w:r>
            <w:r>
              <w:t>must b</w:t>
            </w:r>
            <w:r w:rsidRPr="00E46FA5">
              <w:t>e counted by two people (where possible) and a control receipt issued</w:t>
            </w:r>
            <w:r>
              <w:t>.</w:t>
            </w:r>
          </w:p>
        </w:tc>
        <w:tc>
          <w:tcPr>
            <w:tcW w:w="788" w:type="dxa"/>
            <w:tcBorders>
              <w:top w:val="single" w:sz="4" w:space="0" w:color="auto"/>
              <w:bottom w:val="single" w:sz="4" w:space="0" w:color="auto"/>
            </w:tcBorders>
          </w:tcPr>
          <w:p w14:paraId="504DA6EB" w14:textId="77777777" w:rsidR="00ED132E" w:rsidRPr="00E46FA5" w:rsidRDefault="00ED132E" w:rsidP="0088314A"/>
        </w:tc>
      </w:tr>
      <w:tr w:rsidR="00ED132E" w:rsidRPr="0091756B" w14:paraId="4A3AB5F8" w14:textId="4E097756" w:rsidTr="00ED132E">
        <w:trPr>
          <w:trHeight w:val="567"/>
        </w:trPr>
        <w:tc>
          <w:tcPr>
            <w:tcW w:w="1134" w:type="dxa"/>
            <w:tcBorders>
              <w:top w:val="single" w:sz="4" w:space="0" w:color="auto"/>
              <w:bottom w:val="single" w:sz="4" w:space="0" w:color="auto"/>
            </w:tcBorders>
            <w:shd w:val="clear" w:color="auto" w:fill="FFFFFF" w:themeFill="background1"/>
          </w:tcPr>
          <w:p w14:paraId="334912C4" w14:textId="77777777" w:rsidR="00ED132E" w:rsidRPr="0091756B" w:rsidRDefault="00ED132E" w:rsidP="00B05F5B">
            <w:r>
              <w:lastRenderedPageBreak/>
              <w:t>12.2.1.16</w:t>
            </w:r>
          </w:p>
        </w:tc>
        <w:tc>
          <w:tcPr>
            <w:tcW w:w="7088" w:type="dxa"/>
            <w:tcBorders>
              <w:top w:val="single" w:sz="4" w:space="0" w:color="auto"/>
              <w:bottom w:val="single" w:sz="4" w:space="0" w:color="auto"/>
            </w:tcBorders>
            <w:shd w:val="clear" w:color="auto" w:fill="auto"/>
          </w:tcPr>
          <w:p w14:paraId="1561B0EA" w14:textId="77777777" w:rsidR="00ED132E" w:rsidRPr="00E46FA5" w:rsidRDefault="00ED132E" w:rsidP="0088314A">
            <w:r>
              <w:t>The collectability of trading operations receivables must be monitored regularly and appropriate action taken.</w:t>
            </w:r>
          </w:p>
        </w:tc>
        <w:tc>
          <w:tcPr>
            <w:tcW w:w="788" w:type="dxa"/>
            <w:tcBorders>
              <w:top w:val="single" w:sz="4" w:space="0" w:color="auto"/>
              <w:bottom w:val="single" w:sz="4" w:space="0" w:color="auto"/>
            </w:tcBorders>
          </w:tcPr>
          <w:p w14:paraId="5C3402A5" w14:textId="77777777" w:rsidR="00ED132E" w:rsidRDefault="00ED132E" w:rsidP="0088314A"/>
        </w:tc>
      </w:tr>
      <w:tr w:rsidR="00ED132E" w:rsidRPr="0091756B" w14:paraId="6FF15EF0" w14:textId="52565D11" w:rsidTr="00ED132E">
        <w:trPr>
          <w:trHeight w:val="567"/>
        </w:trPr>
        <w:tc>
          <w:tcPr>
            <w:tcW w:w="1134" w:type="dxa"/>
            <w:tcBorders>
              <w:top w:val="single" w:sz="4" w:space="0" w:color="auto"/>
              <w:bottom w:val="single" w:sz="4" w:space="0" w:color="auto"/>
            </w:tcBorders>
            <w:shd w:val="clear" w:color="auto" w:fill="FFFFFF" w:themeFill="background1"/>
          </w:tcPr>
          <w:p w14:paraId="4963D1BF" w14:textId="77777777" w:rsidR="00ED132E" w:rsidRPr="0091756B" w:rsidRDefault="00ED132E" w:rsidP="00CD44D5">
            <w:r>
              <w:t>12.2.1.17</w:t>
            </w:r>
          </w:p>
        </w:tc>
        <w:tc>
          <w:tcPr>
            <w:tcW w:w="7088" w:type="dxa"/>
            <w:tcBorders>
              <w:top w:val="single" w:sz="4" w:space="0" w:color="auto"/>
              <w:bottom w:val="single" w:sz="4" w:space="0" w:color="auto"/>
            </w:tcBorders>
            <w:shd w:val="clear" w:color="auto" w:fill="auto"/>
          </w:tcPr>
          <w:p w14:paraId="15726062" w14:textId="77777777" w:rsidR="00ED132E" w:rsidRDefault="00ED132E" w:rsidP="0088314A">
            <w:r>
              <w:t>Attendance lists must be regularly reconciled with takings where appropriate.</w:t>
            </w:r>
          </w:p>
        </w:tc>
        <w:tc>
          <w:tcPr>
            <w:tcW w:w="788" w:type="dxa"/>
            <w:tcBorders>
              <w:top w:val="single" w:sz="4" w:space="0" w:color="auto"/>
              <w:bottom w:val="single" w:sz="4" w:space="0" w:color="auto"/>
            </w:tcBorders>
          </w:tcPr>
          <w:p w14:paraId="563D28F2" w14:textId="77777777" w:rsidR="00ED132E" w:rsidRDefault="00ED132E" w:rsidP="0088314A"/>
        </w:tc>
      </w:tr>
      <w:tr w:rsidR="00ED132E" w:rsidRPr="0091756B" w14:paraId="676A6BCB" w14:textId="0358A89B" w:rsidTr="00ED132E">
        <w:trPr>
          <w:trHeight w:val="1979"/>
        </w:trPr>
        <w:tc>
          <w:tcPr>
            <w:tcW w:w="1134" w:type="dxa"/>
            <w:tcBorders>
              <w:top w:val="single" w:sz="4" w:space="0" w:color="auto"/>
              <w:bottom w:val="single" w:sz="4" w:space="0" w:color="auto"/>
            </w:tcBorders>
            <w:shd w:val="clear" w:color="auto" w:fill="FFFFFF" w:themeFill="background1"/>
          </w:tcPr>
          <w:p w14:paraId="19D41AEB" w14:textId="77777777" w:rsidR="00ED132E" w:rsidRPr="0091756B" w:rsidRDefault="00ED132E" w:rsidP="003D646A">
            <w:r>
              <w:t>12.2.1.18</w:t>
            </w:r>
          </w:p>
        </w:tc>
        <w:tc>
          <w:tcPr>
            <w:tcW w:w="7088" w:type="dxa"/>
            <w:tcBorders>
              <w:top w:val="single" w:sz="4" w:space="0" w:color="auto"/>
              <w:bottom w:val="single" w:sz="4" w:space="0" w:color="auto"/>
            </w:tcBorders>
            <w:shd w:val="clear" w:color="auto" w:fill="auto"/>
          </w:tcPr>
          <w:p w14:paraId="79197B6A" w14:textId="77777777" w:rsidR="00ED132E" w:rsidRDefault="00ED132E" w:rsidP="0088314A">
            <w:r>
              <w:t xml:space="preserve">All adjustments to receivables (i.e. families or sundry debtors) must be approved by the school council prior to any adjustments being made in CASES21. </w:t>
            </w:r>
            <w:r w:rsidRPr="00D6078F">
              <w:t>Adjustment could include the write off</w:t>
            </w:r>
            <w:r>
              <w:t xml:space="preserve">-of </w:t>
            </w:r>
            <w:r w:rsidRPr="00D6078F">
              <w:t xml:space="preserve">invoices where the collectability is not going to occur. For example, an invoice processed for an excursion and the student is no longer attending. This invoice entered into CASES21 </w:t>
            </w:r>
            <w:r>
              <w:t xml:space="preserve">must </w:t>
            </w:r>
            <w:r w:rsidRPr="00D6078F">
              <w:t>be reversed</w:t>
            </w:r>
            <w:r>
              <w:t>.</w:t>
            </w:r>
          </w:p>
        </w:tc>
        <w:tc>
          <w:tcPr>
            <w:tcW w:w="788" w:type="dxa"/>
            <w:tcBorders>
              <w:top w:val="single" w:sz="4" w:space="0" w:color="auto"/>
              <w:bottom w:val="single" w:sz="4" w:space="0" w:color="auto"/>
            </w:tcBorders>
          </w:tcPr>
          <w:p w14:paraId="7B48E9DE" w14:textId="77777777" w:rsidR="00ED132E" w:rsidRDefault="00ED132E" w:rsidP="0088314A"/>
        </w:tc>
      </w:tr>
      <w:tr w:rsidR="00ED132E" w:rsidRPr="0091756B" w14:paraId="79D13723" w14:textId="3740E641" w:rsidTr="00ED132E">
        <w:trPr>
          <w:trHeight w:val="567"/>
        </w:trPr>
        <w:tc>
          <w:tcPr>
            <w:tcW w:w="1134" w:type="dxa"/>
            <w:tcBorders>
              <w:top w:val="single" w:sz="4" w:space="0" w:color="auto"/>
              <w:bottom w:val="single" w:sz="4" w:space="0" w:color="auto"/>
            </w:tcBorders>
            <w:shd w:val="clear" w:color="auto" w:fill="FFFFFF" w:themeFill="background1"/>
          </w:tcPr>
          <w:p w14:paraId="78B6264E" w14:textId="77777777" w:rsidR="00ED132E" w:rsidRPr="0091756B" w:rsidRDefault="00ED132E" w:rsidP="0087581F">
            <w:r>
              <w:t>12.2.1.19</w:t>
            </w:r>
          </w:p>
        </w:tc>
        <w:tc>
          <w:tcPr>
            <w:tcW w:w="7088" w:type="dxa"/>
            <w:tcBorders>
              <w:top w:val="single" w:sz="4" w:space="0" w:color="auto"/>
              <w:bottom w:val="single" w:sz="4" w:space="0" w:color="auto"/>
            </w:tcBorders>
            <w:shd w:val="clear" w:color="auto" w:fill="auto"/>
          </w:tcPr>
          <w:p w14:paraId="7EE87D30" w14:textId="77777777" w:rsidR="00ED132E" w:rsidRDefault="00ED132E" w:rsidP="00867F89">
            <w:r>
              <w:t>Schools must comply with expenditure management requirements as outlined in this manual (Refer to section 11 Expenditure management).</w:t>
            </w:r>
          </w:p>
        </w:tc>
        <w:tc>
          <w:tcPr>
            <w:tcW w:w="788" w:type="dxa"/>
            <w:tcBorders>
              <w:top w:val="single" w:sz="4" w:space="0" w:color="auto"/>
              <w:bottom w:val="single" w:sz="4" w:space="0" w:color="auto"/>
            </w:tcBorders>
          </w:tcPr>
          <w:p w14:paraId="4FCE2826" w14:textId="77777777" w:rsidR="00ED132E" w:rsidRDefault="00ED132E" w:rsidP="00867F89"/>
        </w:tc>
      </w:tr>
      <w:tr w:rsidR="00ED132E" w:rsidRPr="0091756B" w14:paraId="549B1B37" w14:textId="32E72028" w:rsidTr="00ED132E">
        <w:trPr>
          <w:trHeight w:val="717"/>
        </w:trPr>
        <w:tc>
          <w:tcPr>
            <w:tcW w:w="1134" w:type="dxa"/>
            <w:tcBorders>
              <w:top w:val="single" w:sz="4" w:space="0" w:color="auto"/>
              <w:bottom w:val="single" w:sz="4" w:space="0" w:color="auto"/>
            </w:tcBorders>
            <w:shd w:val="clear" w:color="auto" w:fill="FFFFFF" w:themeFill="background1"/>
          </w:tcPr>
          <w:p w14:paraId="6A3D2A68" w14:textId="77777777" w:rsidR="00ED132E" w:rsidRPr="0091756B" w:rsidRDefault="00ED132E" w:rsidP="0087581F">
            <w:r>
              <w:t>12.2.1.20</w:t>
            </w:r>
          </w:p>
        </w:tc>
        <w:tc>
          <w:tcPr>
            <w:tcW w:w="7088" w:type="dxa"/>
            <w:tcBorders>
              <w:top w:val="single" w:sz="4" w:space="0" w:color="auto"/>
              <w:bottom w:val="single" w:sz="4" w:space="0" w:color="auto"/>
            </w:tcBorders>
            <w:shd w:val="clear" w:color="auto" w:fill="auto"/>
          </w:tcPr>
          <w:p w14:paraId="4790B8D0" w14:textId="77777777" w:rsidR="00ED132E" w:rsidRDefault="00ED132E" w:rsidP="00053C0D">
            <w:r>
              <w:rPr>
                <w:color w:val="000000" w:themeColor="text1"/>
              </w:rPr>
              <w:t xml:space="preserve">Schools must comply with the </w:t>
            </w:r>
            <w:hyperlink r:id="rId12" w:anchor="/app/content/2089/support_and_service_(schools)%252Fprocurement,_funding_and_travel%252Fprocurement%252Fprocurement_procedure" w:history="1">
              <w:r>
                <w:rPr>
                  <w:rStyle w:val="Hyperlink"/>
                </w:rPr>
                <w:t>Procurement Policy for Victorian Government Schools</w:t>
              </w:r>
            </w:hyperlink>
            <w:r w:rsidRPr="00290092">
              <w:rPr>
                <w:color w:val="000000" w:themeColor="text1"/>
              </w:rPr>
              <w:t>.</w:t>
            </w:r>
          </w:p>
        </w:tc>
        <w:tc>
          <w:tcPr>
            <w:tcW w:w="788" w:type="dxa"/>
            <w:tcBorders>
              <w:top w:val="single" w:sz="4" w:space="0" w:color="auto"/>
              <w:bottom w:val="single" w:sz="4" w:space="0" w:color="auto"/>
            </w:tcBorders>
          </w:tcPr>
          <w:p w14:paraId="67C97D04" w14:textId="77777777" w:rsidR="00ED132E" w:rsidRDefault="00ED132E" w:rsidP="00053C0D">
            <w:pPr>
              <w:rPr>
                <w:color w:val="000000" w:themeColor="text1"/>
              </w:rPr>
            </w:pPr>
          </w:p>
        </w:tc>
      </w:tr>
      <w:tr w:rsidR="00ED132E" w:rsidRPr="0091756B" w14:paraId="5CA89F99" w14:textId="37CDDE2B" w:rsidTr="00ED132E">
        <w:trPr>
          <w:trHeight w:val="567"/>
        </w:trPr>
        <w:tc>
          <w:tcPr>
            <w:tcW w:w="1134" w:type="dxa"/>
            <w:tcBorders>
              <w:top w:val="single" w:sz="4" w:space="0" w:color="auto"/>
              <w:bottom w:val="single" w:sz="4" w:space="0" w:color="auto"/>
            </w:tcBorders>
            <w:shd w:val="clear" w:color="auto" w:fill="FFFFFF" w:themeFill="background1"/>
          </w:tcPr>
          <w:p w14:paraId="5D6FFF2B" w14:textId="77777777" w:rsidR="00ED132E" w:rsidRPr="0091756B" w:rsidRDefault="00ED132E" w:rsidP="0087581F">
            <w:r>
              <w:t>12.2.1.21</w:t>
            </w:r>
          </w:p>
        </w:tc>
        <w:tc>
          <w:tcPr>
            <w:tcW w:w="7088" w:type="dxa"/>
            <w:tcBorders>
              <w:top w:val="single" w:sz="4" w:space="0" w:color="auto"/>
              <w:bottom w:val="single" w:sz="4" w:space="0" w:color="auto"/>
            </w:tcBorders>
            <w:shd w:val="clear" w:color="auto" w:fill="auto"/>
          </w:tcPr>
          <w:p w14:paraId="2C9D0DEE" w14:textId="77777777" w:rsidR="00ED132E" w:rsidRDefault="00ED132E" w:rsidP="0088314A">
            <w:r>
              <w:t xml:space="preserve">Schools </w:t>
            </w:r>
            <w:r w:rsidRPr="00053C0D">
              <w:t xml:space="preserve">must engage with </w:t>
            </w:r>
            <w:hyperlink r:id="rId13" w:history="1">
              <w:r w:rsidRPr="00053C0D">
                <w:rPr>
                  <w:rStyle w:val="Hyperlink"/>
                </w:rPr>
                <w:t>Legal Services Division</w:t>
              </w:r>
            </w:hyperlink>
            <w:r>
              <w:t xml:space="preserve"> with regards any contracts, licences or agreements.</w:t>
            </w:r>
          </w:p>
        </w:tc>
        <w:tc>
          <w:tcPr>
            <w:tcW w:w="788" w:type="dxa"/>
            <w:tcBorders>
              <w:top w:val="single" w:sz="4" w:space="0" w:color="auto"/>
              <w:bottom w:val="single" w:sz="4" w:space="0" w:color="auto"/>
            </w:tcBorders>
          </w:tcPr>
          <w:p w14:paraId="6FD0D7AF" w14:textId="77777777" w:rsidR="00ED132E" w:rsidRDefault="00ED132E" w:rsidP="0088314A"/>
        </w:tc>
      </w:tr>
      <w:tr w:rsidR="00ED132E" w:rsidRPr="0091756B" w14:paraId="623F72A4" w14:textId="39EF3A07" w:rsidTr="00ED132E">
        <w:trPr>
          <w:trHeight w:val="567"/>
        </w:trPr>
        <w:tc>
          <w:tcPr>
            <w:tcW w:w="1134" w:type="dxa"/>
            <w:tcBorders>
              <w:top w:val="single" w:sz="4" w:space="0" w:color="auto"/>
              <w:bottom w:val="single" w:sz="4" w:space="0" w:color="auto"/>
            </w:tcBorders>
            <w:shd w:val="clear" w:color="auto" w:fill="FFFFFF" w:themeFill="background1"/>
          </w:tcPr>
          <w:p w14:paraId="4BFFA911" w14:textId="77777777" w:rsidR="00ED132E" w:rsidRPr="0091756B" w:rsidRDefault="00ED132E" w:rsidP="0087581F">
            <w:r>
              <w:t>12.2.1.22</w:t>
            </w:r>
          </w:p>
        </w:tc>
        <w:tc>
          <w:tcPr>
            <w:tcW w:w="7088" w:type="dxa"/>
            <w:tcBorders>
              <w:top w:val="single" w:sz="4" w:space="0" w:color="auto"/>
              <w:bottom w:val="single" w:sz="4" w:space="0" w:color="auto"/>
            </w:tcBorders>
            <w:shd w:val="clear" w:color="auto" w:fill="auto"/>
          </w:tcPr>
          <w:p w14:paraId="2A05CE03" w14:textId="77777777" w:rsidR="00ED132E" w:rsidRDefault="00ED132E" w:rsidP="0088314A">
            <w:r>
              <w:t>To comprehensively depict the financial position of a trading operation schools must, where practical and possible, apportion other expenditure such as utilities, telephone and cleaning costs to the trading operation.</w:t>
            </w:r>
          </w:p>
        </w:tc>
        <w:tc>
          <w:tcPr>
            <w:tcW w:w="788" w:type="dxa"/>
            <w:tcBorders>
              <w:top w:val="single" w:sz="4" w:space="0" w:color="auto"/>
              <w:bottom w:val="single" w:sz="4" w:space="0" w:color="auto"/>
            </w:tcBorders>
          </w:tcPr>
          <w:p w14:paraId="2991F649" w14:textId="77777777" w:rsidR="00ED132E" w:rsidRDefault="00ED132E" w:rsidP="0088314A"/>
        </w:tc>
      </w:tr>
      <w:tr w:rsidR="00ED132E" w:rsidRPr="0091756B" w14:paraId="5FA921D0" w14:textId="5FA21CE5" w:rsidTr="00ED132E">
        <w:trPr>
          <w:trHeight w:val="567"/>
        </w:trPr>
        <w:tc>
          <w:tcPr>
            <w:tcW w:w="1134" w:type="dxa"/>
            <w:tcBorders>
              <w:top w:val="single" w:sz="4" w:space="0" w:color="auto"/>
              <w:bottom w:val="single" w:sz="4" w:space="0" w:color="auto"/>
            </w:tcBorders>
            <w:shd w:val="clear" w:color="auto" w:fill="FFFFFF" w:themeFill="background1"/>
          </w:tcPr>
          <w:p w14:paraId="371DDACA" w14:textId="77777777" w:rsidR="00ED132E" w:rsidRPr="0091756B" w:rsidRDefault="00ED132E" w:rsidP="0087581F">
            <w:r>
              <w:t>12.2.1.23</w:t>
            </w:r>
          </w:p>
        </w:tc>
        <w:tc>
          <w:tcPr>
            <w:tcW w:w="7088" w:type="dxa"/>
            <w:tcBorders>
              <w:top w:val="single" w:sz="4" w:space="0" w:color="auto"/>
              <w:bottom w:val="single" w:sz="4" w:space="0" w:color="auto"/>
            </w:tcBorders>
            <w:shd w:val="clear" w:color="auto" w:fill="auto"/>
          </w:tcPr>
          <w:p w14:paraId="0F5F4FBA" w14:textId="77777777" w:rsidR="00ED132E" w:rsidRDefault="00ED132E" w:rsidP="0088314A">
            <w:r>
              <w:t>Schools must comply with the requirements of school local payroll for employees as outlined in section 11.9 of Expenditure Management.</w:t>
            </w:r>
          </w:p>
        </w:tc>
        <w:tc>
          <w:tcPr>
            <w:tcW w:w="788" w:type="dxa"/>
            <w:tcBorders>
              <w:top w:val="single" w:sz="4" w:space="0" w:color="auto"/>
              <w:bottom w:val="single" w:sz="4" w:space="0" w:color="auto"/>
            </w:tcBorders>
          </w:tcPr>
          <w:p w14:paraId="693B56E1" w14:textId="77777777" w:rsidR="00ED132E" w:rsidRDefault="00ED132E" w:rsidP="0088314A"/>
        </w:tc>
      </w:tr>
    </w:tbl>
    <w:bookmarkEnd w:id="0"/>
    <w:bookmarkEnd w:id="1"/>
    <w:bookmarkEnd w:id="2"/>
    <w:p w14:paraId="768315A8" w14:textId="77777777" w:rsidR="003A4545" w:rsidRPr="00AD3210" w:rsidRDefault="003A4545" w:rsidP="003D4CFE">
      <w:pPr>
        <w:pStyle w:val="Heading3"/>
      </w:pPr>
      <w:r w:rsidRPr="00AD3210">
        <w:t>1</w:t>
      </w:r>
      <w:r w:rsidR="0077479C">
        <w:t>2</w:t>
      </w:r>
      <w:r w:rsidRPr="00AD3210">
        <w:t>.</w:t>
      </w:r>
      <w:r w:rsidR="00F02A3F">
        <w:t>2.2</w:t>
      </w:r>
      <w:r w:rsidR="003E1164">
        <w:tab/>
      </w:r>
      <w:r w:rsidRPr="00AD3210">
        <w:t>Prohibited</w:t>
      </w:r>
      <w:r w:rsidR="003D4CFE">
        <w:t xml:space="preserve"> </w:t>
      </w:r>
      <w:r w:rsidRPr="00AD3210">
        <w:t>policy</w:t>
      </w:r>
      <w:r w:rsidR="003D4CFE">
        <w:t xml:space="preserve"> </w:t>
      </w:r>
      <w:r w:rsidRPr="00AD3210">
        <w:t>(</w:t>
      </w:r>
      <w:r w:rsidR="00DC5A1A">
        <w:t>Must</w:t>
      </w:r>
      <w:r w:rsidR="003D4CFE">
        <w:t xml:space="preserve"> </w:t>
      </w:r>
      <w:r w:rsidRPr="00AD3210">
        <w:t>not</w:t>
      </w:r>
      <w:r w:rsidR="0077479C">
        <w:t xml:space="preserve"> do</w:t>
      </w:r>
      <w:r w:rsidRPr="00AD3210">
        <w:t>)</w:t>
      </w:r>
      <w:r w:rsidR="002D0187">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containing sequence numbers and policy information"/>
      </w:tblPr>
      <w:tblGrid>
        <w:gridCol w:w="1100"/>
        <w:gridCol w:w="7202"/>
        <w:gridCol w:w="695"/>
      </w:tblGrid>
      <w:tr w:rsidR="00ED132E" w:rsidRPr="00121F36" w14:paraId="6BBE2E1C" w14:textId="75CFA384" w:rsidTr="00ED132E">
        <w:trPr>
          <w:trHeight w:val="567"/>
          <w:tblHeader/>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77BF71A" w14:textId="7AD54577" w:rsidR="00ED132E" w:rsidRPr="00121F36" w:rsidRDefault="00ED132E" w:rsidP="00AF4293">
            <w:pPr>
              <w:rPr>
                <w:b/>
              </w:rPr>
            </w:pPr>
            <w:r w:rsidRPr="0079019F">
              <w:rPr>
                <w:b/>
                <w:sz w:val="18"/>
              </w:rPr>
              <w:t>Sequence Number</w:t>
            </w:r>
          </w:p>
        </w:tc>
        <w:tc>
          <w:tcPr>
            <w:tcW w:w="7202" w:type="dxa"/>
            <w:tcBorders>
              <w:top w:val="single" w:sz="4" w:space="0" w:color="auto"/>
              <w:left w:val="single" w:sz="4" w:space="0" w:color="auto"/>
              <w:bottom w:val="single" w:sz="4" w:space="0" w:color="auto"/>
              <w:right w:val="single" w:sz="4" w:space="0" w:color="auto"/>
            </w:tcBorders>
            <w:shd w:val="clear" w:color="auto" w:fill="auto"/>
          </w:tcPr>
          <w:p w14:paraId="49C37DCE" w14:textId="77777777" w:rsidR="00ED132E" w:rsidRPr="00F936A5" w:rsidRDefault="00ED132E" w:rsidP="00121F36">
            <w:pPr>
              <w:jc w:val="both"/>
              <w:rPr>
                <w:b/>
                <w:sz w:val="20"/>
                <w:szCs w:val="20"/>
              </w:rPr>
            </w:pPr>
            <w:r w:rsidRPr="00F936A5">
              <w:rPr>
                <w:b/>
                <w:sz w:val="20"/>
                <w:szCs w:val="20"/>
              </w:rPr>
              <w:t>Information</w:t>
            </w:r>
          </w:p>
        </w:tc>
        <w:tc>
          <w:tcPr>
            <w:tcW w:w="695" w:type="dxa"/>
            <w:tcBorders>
              <w:top w:val="nil"/>
              <w:left w:val="single" w:sz="4" w:space="0" w:color="auto"/>
              <w:bottom w:val="single" w:sz="4" w:space="0" w:color="auto"/>
              <w:right w:val="nil"/>
            </w:tcBorders>
          </w:tcPr>
          <w:p w14:paraId="39C10586" w14:textId="77777777" w:rsidR="00ED132E" w:rsidRPr="00121F36" w:rsidRDefault="00ED132E" w:rsidP="00121F36">
            <w:pPr>
              <w:jc w:val="both"/>
              <w:rPr>
                <w:b/>
              </w:rPr>
            </w:pPr>
          </w:p>
        </w:tc>
      </w:tr>
      <w:tr w:rsidR="00ED132E" w:rsidRPr="0091756B" w14:paraId="555F5582" w14:textId="3CFDC836" w:rsidTr="00ED132E">
        <w:trPr>
          <w:trHeight w:val="567"/>
        </w:trPr>
        <w:tc>
          <w:tcPr>
            <w:tcW w:w="1100" w:type="dxa"/>
            <w:shd w:val="clear" w:color="auto" w:fill="auto"/>
          </w:tcPr>
          <w:p w14:paraId="1DE2B9DB" w14:textId="77777777" w:rsidR="00ED132E" w:rsidRPr="0091756B" w:rsidRDefault="00ED132E" w:rsidP="00F02A3F">
            <w:r w:rsidRPr="0091756B">
              <w:t>1</w:t>
            </w:r>
            <w:r>
              <w:t>2.2.2.1</w:t>
            </w:r>
          </w:p>
        </w:tc>
        <w:tc>
          <w:tcPr>
            <w:tcW w:w="7202" w:type="dxa"/>
            <w:shd w:val="clear" w:color="auto" w:fill="auto"/>
          </w:tcPr>
          <w:p w14:paraId="1E00C8B9" w14:textId="77777777" w:rsidR="00ED132E" w:rsidRPr="0091756B" w:rsidRDefault="00ED132E" w:rsidP="0027184D">
            <w:pPr>
              <w:jc w:val="both"/>
            </w:pPr>
            <w:r>
              <w:t xml:space="preserve">Schools must not pay expenses directly from cash takings. </w:t>
            </w:r>
          </w:p>
        </w:tc>
        <w:tc>
          <w:tcPr>
            <w:tcW w:w="695" w:type="dxa"/>
          </w:tcPr>
          <w:p w14:paraId="6EF693FC" w14:textId="77777777" w:rsidR="00ED132E" w:rsidRDefault="00ED132E" w:rsidP="0027184D">
            <w:pPr>
              <w:jc w:val="both"/>
            </w:pPr>
          </w:p>
        </w:tc>
      </w:tr>
    </w:tbl>
    <w:p w14:paraId="45604D85" w14:textId="77777777" w:rsidR="00053C0D" w:rsidRPr="00AD3210" w:rsidRDefault="00053C0D" w:rsidP="00053C0D">
      <w:pPr>
        <w:pStyle w:val="ListBullet"/>
        <w:numPr>
          <w:ilvl w:val="0"/>
          <w:numId w:val="0"/>
        </w:numPr>
        <w:ind w:left="360"/>
      </w:pPr>
    </w:p>
    <w:p w14:paraId="1A8AB35F" w14:textId="77777777" w:rsidR="0051778F" w:rsidRPr="00AD3210" w:rsidRDefault="0051778F" w:rsidP="003D4CFE">
      <w:pPr>
        <w:pStyle w:val="Heading2"/>
      </w:pPr>
      <w:r w:rsidRPr="00AD3210">
        <w:t>Legislative</w:t>
      </w:r>
      <w:r w:rsidR="003D4CFE">
        <w:t xml:space="preserve"> </w:t>
      </w:r>
      <w:r w:rsidRPr="00AD3210">
        <w:t>requirements</w:t>
      </w:r>
    </w:p>
    <w:p w14:paraId="561004FF" w14:textId="77777777" w:rsidR="0051778F" w:rsidRPr="00AD3210" w:rsidRDefault="0051778F" w:rsidP="003D4CFE">
      <w:pPr>
        <w:pStyle w:val="Heading3"/>
      </w:pPr>
      <w:r w:rsidRPr="00AD3210">
        <w:t>Legislation</w:t>
      </w:r>
    </w:p>
    <w:p w14:paraId="3F9CA166" w14:textId="77777777" w:rsidR="0051778F" w:rsidRDefault="0051778F" w:rsidP="00AD3210">
      <w:r w:rsidRPr="00AD3210">
        <w:t>The</w:t>
      </w:r>
      <w:r w:rsidR="003D4CFE">
        <w:t xml:space="preserve"> </w:t>
      </w:r>
      <w:r w:rsidRPr="00AD3210">
        <w:t>advice</w:t>
      </w:r>
      <w:r w:rsidR="003D4CFE">
        <w:t xml:space="preserve"> </w:t>
      </w:r>
      <w:r w:rsidRPr="00AD3210">
        <w:t>in</w:t>
      </w:r>
      <w:r w:rsidR="003D4CFE">
        <w:t xml:space="preserve"> </w:t>
      </w:r>
      <w:r w:rsidRPr="00AD3210">
        <w:t>this</w:t>
      </w:r>
      <w:r w:rsidR="003D4CFE">
        <w:t xml:space="preserve"> </w:t>
      </w:r>
      <w:r w:rsidRPr="00AD3210">
        <w:t>section</w:t>
      </w:r>
      <w:r w:rsidR="003D4CFE">
        <w:t xml:space="preserve"> </w:t>
      </w:r>
      <w:r w:rsidRPr="00AD3210">
        <w:t>was</w:t>
      </w:r>
      <w:r w:rsidR="003D4CFE">
        <w:t xml:space="preserve"> </w:t>
      </w:r>
      <w:r w:rsidRPr="00AD3210">
        <w:t>based</w:t>
      </w:r>
      <w:r w:rsidR="003D4CFE">
        <w:t xml:space="preserve"> </w:t>
      </w:r>
      <w:r w:rsidRPr="00AD3210">
        <w:t>on</w:t>
      </w:r>
      <w:r w:rsidR="003D4CFE">
        <w:t xml:space="preserve"> </w:t>
      </w:r>
      <w:r w:rsidRPr="00AD3210">
        <w:t>requirements</w:t>
      </w:r>
      <w:r w:rsidR="003D4CFE">
        <w:t xml:space="preserve"> </w:t>
      </w:r>
      <w:r w:rsidRPr="00AD3210">
        <w:t>outlined</w:t>
      </w:r>
      <w:r w:rsidR="003D4CFE">
        <w:t xml:space="preserve"> </w:t>
      </w:r>
      <w:r w:rsidRPr="00AD3210">
        <w:t>in</w:t>
      </w:r>
      <w:r w:rsidR="003D4CFE">
        <w:t xml:space="preserve"> </w:t>
      </w:r>
      <w:r w:rsidRPr="00AD3210">
        <w:t>the</w:t>
      </w:r>
      <w:r w:rsidR="003D4CFE">
        <w:t xml:space="preserve"> </w:t>
      </w:r>
      <w:r w:rsidRPr="00AD3210">
        <w:t>following</w:t>
      </w:r>
      <w:r w:rsidR="003D4CFE">
        <w:t xml:space="preserve"> </w:t>
      </w:r>
      <w:r w:rsidRPr="00AD3210">
        <w:t>legislation:</w:t>
      </w:r>
    </w:p>
    <w:p w14:paraId="76E89C12" w14:textId="77777777" w:rsidR="0077479C" w:rsidRPr="00AD3210" w:rsidRDefault="0077479C" w:rsidP="0077479C">
      <w:pPr>
        <w:pStyle w:val="ListBullet"/>
      </w:pPr>
      <w:r>
        <w:t>Constituting School Council Order.</w:t>
      </w:r>
    </w:p>
    <w:p w14:paraId="54B84C75" w14:textId="77777777" w:rsidR="0051778F" w:rsidRPr="00AD3210" w:rsidRDefault="0051778F" w:rsidP="003D4CFE">
      <w:pPr>
        <w:pStyle w:val="ListBullet"/>
      </w:pPr>
      <w:r w:rsidRPr="00053C0D">
        <w:rPr>
          <w:i/>
        </w:rPr>
        <w:t>Education</w:t>
      </w:r>
      <w:r w:rsidR="003D4CFE" w:rsidRPr="00053C0D">
        <w:rPr>
          <w:i/>
        </w:rPr>
        <w:t xml:space="preserve"> </w:t>
      </w:r>
      <w:r w:rsidRPr="00053C0D">
        <w:rPr>
          <w:i/>
        </w:rPr>
        <w:t>and</w:t>
      </w:r>
      <w:r w:rsidR="003D4CFE" w:rsidRPr="00053C0D">
        <w:rPr>
          <w:i/>
        </w:rPr>
        <w:t xml:space="preserve"> </w:t>
      </w:r>
      <w:r w:rsidRPr="00053C0D">
        <w:rPr>
          <w:i/>
        </w:rPr>
        <w:t>Training</w:t>
      </w:r>
      <w:r w:rsidR="003D4CFE" w:rsidRPr="00053C0D">
        <w:rPr>
          <w:i/>
        </w:rPr>
        <w:t xml:space="preserve"> </w:t>
      </w:r>
      <w:r w:rsidRPr="00053C0D">
        <w:rPr>
          <w:i/>
        </w:rPr>
        <w:t>Reform</w:t>
      </w:r>
      <w:r w:rsidR="003D4CFE" w:rsidRPr="00053C0D">
        <w:rPr>
          <w:i/>
        </w:rPr>
        <w:t xml:space="preserve"> </w:t>
      </w:r>
      <w:r w:rsidRPr="00053C0D">
        <w:rPr>
          <w:i/>
        </w:rPr>
        <w:t>Act</w:t>
      </w:r>
      <w:r w:rsidR="003D4CFE" w:rsidRPr="00053C0D">
        <w:rPr>
          <w:i/>
        </w:rPr>
        <w:t xml:space="preserve"> </w:t>
      </w:r>
      <w:r w:rsidRPr="00053C0D">
        <w:rPr>
          <w:i/>
        </w:rPr>
        <w:t>2006</w:t>
      </w:r>
      <w:r w:rsidR="003D4CFE">
        <w:t xml:space="preserve"> </w:t>
      </w:r>
      <w:r w:rsidRPr="00AD3210">
        <w:t>–</w:t>
      </w:r>
      <w:r w:rsidR="003D4CFE">
        <w:t xml:space="preserve"> </w:t>
      </w:r>
      <w:r w:rsidR="00CE1579" w:rsidRPr="00AD3210">
        <w:t>Part</w:t>
      </w:r>
      <w:r w:rsidR="003D4CFE">
        <w:t xml:space="preserve"> </w:t>
      </w:r>
      <w:r w:rsidR="00CE1579" w:rsidRPr="00AD3210">
        <w:t>2.3</w:t>
      </w:r>
      <w:r w:rsidR="003D4CFE">
        <w:t xml:space="preserve"> </w:t>
      </w:r>
      <w:r w:rsidR="00CE1579" w:rsidRPr="00AD3210">
        <w:t>–</w:t>
      </w:r>
      <w:r w:rsidR="003D4CFE">
        <w:t xml:space="preserve"> </w:t>
      </w:r>
      <w:r w:rsidR="00CE1579" w:rsidRPr="00AD3210">
        <w:t>Government</w:t>
      </w:r>
      <w:r w:rsidR="003D4CFE">
        <w:t xml:space="preserve"> </w:t>
      </w:r>
      <w:r w:rsidR="00CE1579" w:rsidRPr="00AD3210">
        <w:t>School</w:t>
      </w:r>
      <w:r w:rsidR="003D4CFE">
        <w:t xml:space="preserve"> </w:t>
      </w:r>
      <w:r w:rsidR="00CE1579" w:rsidRPr="00AD3210">
        <w:t>Councils</w:t>
      </w:r>
      <w:r w:rsidR="00A35726">
        <w:t>.</w:t>
      </w:r>
      <w:r w:rsidR="003D4CFE">
        <w:t xml:space="preserve"> </w:t>
      </w:r>
    </w:p>
    <w:p w14:paraId="3D5A1054" w14:textId="0C7FA22D" w:rsidR="000031ED" w:rsidRPr="0008210B" w:rsidRDefault="000031ED" w:rsidP="000031ED">
      <w:pPr>
        <w:pStyle w:val="ListBullet"/>
      </w:pPr>
      <w:r w:rsidRPr="00F1501C">
        <w:rPr>
          <w:i/>
        </w:rPr>
        <w:lastRenderedPageBreak/>
        <w:t>Education and Training Regulations 20</w:t>
      </w:r>
      <w:r>
        <w:rPr>
          <w:i/>
        </w:rPr>
        <w:t>1</w:t>
      </w:r>
      <w:r w:rsidRPr="00F1501C">
        <w:rPr>
          <w:i/>
        </w:rPr>
        <w:t>7</w:t>
      </w:r>
      <w:r w:rsidRPr="0008210B">
        <w:t xml:space="preserve"> – Part </w:t>
      </w:r>
      <w:r>
        <w:t>4</w:t>
      </w:r>
      <w:r w:rsidRPr="0008210B">
        <w:t xml:space="preserve"> – Government School Councils</w:t>
      </w:r>
      <w:r>
        <w:t xml:space="preserve"> and Parents Clubs.</w:t>
      </w:r>
    </w:p>
    <w:p w14:paraId="4331289A" w14:textId="77777777" w:rsidR="0077479C" w:rsidRDefault="0077479C" w:rsidP="003D4CFE">
      <w:pPr>
        <w:pStyle w:val="ListBullet"/>
      </w:pPr>
      <w:r>
        <w:rPr>
          <w:i/>
        </w:rPr>
        <w:t>Financial Management Act 1994.</w:t>
      </w:r>
    </w:p>
    <w:p w14:paraId="4FEF7DBA" w14:textId="12FA9594" w:rsidR="0051778F" w:rsidRDefault="0051778F" w:rsidP="003D4CFE">
      <w:pPr>
        <w:pStyle w:val="ListBullet"/>
      </w:pPr>
      <w:r w:rsidRPr="00AD3210">
        <w:t>Standing</w:t>
      </w:r>
      <w:r w:rsidR="003D4CFE">
        <w:t xml:space="preserve"> </w:t>
      </w:r>
      <w:r w:rsidRPr="00AD3210">
        <w:t>Directions</w:t>
      </w:r>
      <w:r w:rsidR="003D4CFE">
        <w:t xml:space="preserve"> </w:t>
      </w:r>
      <w:r w:rsidRPr="00AD3210">
        <w:t>of</w:t>
      </w:r>
      <w:r w:rsidR="003D4CFE">
        <w:t xml:space="preserve"> </w:t>
      </w:r>
      <w:r w:rsidRPr="00AD3210">
        <w:t>the</w:t>
      </w:r>
      <w:r w:rsidR="003D4CFE">
        <w:t xml:space="preserve"> </w:t>
      </w:r>
      <w:r w:rsidRPr="00AD3210">
        <w:t>Minister</w:t>
      </w:r>
      <w:r w:rsidR="003D4CFE">
        <w:t xml:space="preserve"> </w:t>
      </w:r>
      <w:r w:rsidRPr="00AD3210">
        <w:t>of</w:t>
      </w:r>
      <w:r w:rsidR="003D4CFE">
        <w:t xml:space="preserve"> </w:t>
      </w:r>
      <w:r w:rsidRPr="00AD3210">
        <w:t>Finance</w:t>
      </w:r>
      <w:r w:rsidR="003D4CFE">
        <w:t xml:space="preserve"> </w:t>
      </w:r>
      <w:r w:rsidR="00866ED8">
        <w:t>201</w:t>
      </w:r>
      <w:r w:rsidR="001F03BD">
        <w:t>8</w:t>
      </w:r>
      <w:r w:rsidR="00866ED8">
        <w:t xml:space="preserve"> </w:t>
      </w:r>
      <w:r w:rsidR="0077479C">
        <w:t xml:space="preserve">under the </w:t>
      </w:r>
      <w:r w:rsidR="0077479C" w:rsidRPr="0077479C">
        <w:rPr>
          <w:i/>
        </w:rPr>
        <w:t>Financial Management Act 1994</w:t>
      </w:r>
      <w:r w:rsidR="0077479C">
        <w:t xml:space="preserve"> </w:t>
      </w:r>
      <w:r w:rsidR="00096CA9" w:rsidRPr="00AD3210">
        <w:t>–</w:t>
      </w:r>
      <w:r w:rsidR="003D4CFE">
        <w:t xml:space="preserve"> </w:t>
      </w:r>
      <w:r w:rsidR="00096CA9" w:rsidRPr="00AD3210">
        <w:t>Section</w:t>
      </w:r>
      <w:r w:rsidR="003D4CFE">
        <w:t xml:space="preserve"> </w:t>
      </w:r>
      <w:r w:rsidR="007F1751">
        <w:t xml:space="preserve">3.3 Financial authorisations, 3.4 Internal control system, 3.6 </w:t>
      </w:r>
      <w:proofErr w:type="gramStart"/>
      <w:r w:rsidR="007F1751">
        <w:t>Purchasing</w:t>
      </w:r>
      <w:proofErr w:type="gramEnd"/>
      <w:r w:rsidR="007F1751">
        <w:t xml:space="preserve"> and prepaid debit cards</w:t>
      </w:r>
      <w:r w:rsidR="00A35726">
        <w:t>.</w:t>
      </w:r>
    </w:p>
    <w:p w14:paraId="56C2E487" w14:textId="77777777" w:rsidR="00121F36" w:rsidRDefault="00121F36">
      <w:pPr>
        <w:spacing w:before="0" w:line="240" w:lineRule="auto"/>
      </w:pPr>
    </w:p>
    <w:p w14:paraId="59EC4519" w14:textId="77777777" w:rsidR="0051778F" w:rsidRPr="00AD3210" w:rsidRDefault="0051778F" w:rsidP="003D4CFE">
      <w:pPr>
        <w:pStyle w:val="Heading2"/>
      </w:pPr>
      <w:r w:rsidRPr="00AD3210">
        <w:t>Definitions</w:t>
      </w:r>
      <w:r w:rsidR="003D4CFE">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19"/>
      </w:tblGrid>
      <w:tr w:rsidR="00121F36" w:rsidRPr="003D4CFE" w14:paraId="4A47B8F3" w14:textId="77777777" w:rsidTr="00121F36">
        <w:tc>
          <w:tcPr>
            <w:tcW w:w="1979" w:type="dxa"/>
          </w:tcPr>
          <w:p w14:paraId="348CF847" w14:textId="687EB1D1" w:rsidR="00121F36" w:rsidRPr="00121F36" w:rsidRDefault="00121F36" w:rsidP="000A3D6A">
            <w:pPr>
              <w:rPr>
                <w:b/>
              </w:rPr>
            </w:pPr>
            <w:r w:rsidRPr="00121F36">
              <w:rPr>
                <w:b/>
              </w:rPr>
              <w:t>Term</w:t>
            </w:r>
          </w:p>
        </w:tc>
        <w:tc>
          <w:tcPr>
            <w:tcW w:w="7028" w:type="dxa"/>
          </w:tcPr>
          <w:p w14:paraId="1F1D836D" w14:textId="48A77C87" w:rsidR="00121F36" w:rsidRPr="00121F36" w:rsidRDefault="00121F36" w:rsidP="00755112">
            <w:pPr>
              <w:rPr>
                <w:b/>
              </w:rPr>
            </w:pPr>
            <w:r w:rsidRPr="00121F36">
              <w:rPr>
                <w:b/>
              </w:rPr>
              <w:t>Definition</w:t>
            </w:r>
          </w:p>
        </w:tc>
      </w:tr>
      <w:tr w:rsidR="000A3D6A" w:rsidRPr="003D4CFE" w14:paraId="4A81502B" w14:textId="77777777" w:rsidTr="00121F36">
        <w:tc>
          <w:tcPr>
            <w:tcW w:w="1979" w:type="dxa"/>
          </w:tcPr>
          <w:p w14:paraId="5823C605" w14:textId="77777777" w:rsidR="000A3D6A" w:rsidRPr="0088314A" w:rsidRDefault="000A3D6A" w:rsidP="000A3D6A">
            <w:pPr>
              <w:rPr>
                <w:b/>
              </w:rPr>
            </w:pPr>
            <w:r w:rsidRPr="0088314A">
              <w:rPr>
                <w:b/>
              </w:rPr>
              <w:t>CASES21</w:t>
            </w:r>
          </w:p>
        </w:tc>
        <w:tc>
          <w:tcPr>
            <w:tcW w:w="7028" w:type="dxa"/>
          </w:tcPr>
          <w:p w14:paraId="6F7083E8" w14:textId="77777777" w:rsidR="000A3D6A" w:rsidRDefault="000A3D6A" w:rsidP="00755112">
            <w:r w:rsidRPr="00E77398">
              <w:t xml:space="preserve">Computerised Administrative System Environment in Schools is the </w:t>
            </w:r>
            <w:r w:rsidR="008877AA">
              <w:t xml:space="preserve">software </w:t>
            </w:r>
            <w:r w:rsidRPr="00E77398">
              <w:t xml:space="preserve">package provided to Victorian Government </w:t>
            </w:r>
            <w:r w:rsidR="0077479C">
              <w:t>s</w:t>
            </w:r>
            <w:r w:rsidRPr="00E77398">
              <w:t>chools to support school administration, finance and central reporting.</w:t>
            </w:r>
          </w:p>
        </w:tc>
      </w:tr>
      <w:tr w:rsidR="000A3D6A" w:rsidRPr="003D4CFE" w14:paraId="1F5D9668" w14:textId="77777777" w:rsidTr="00121F36">
        <w:tc>
          <w:tcPr>
            <w:tcW w:w="1979" w:type="dxa"/>
            <w:shd w:val="clear" w:color="auto" w:fill="F2F2F2" w:themeFill="background1" w:themeFillShade="F2"/>
          </w:tcPr>
          <w:p w14:paraId="5DED693F" w14:textId="77777777" w:rsidR="000A3D6A" w:rsidRPr="0088314A" w:rsidRDefault="000A3D6A" w:rsidP="002D0187">
            <w:pPr>
              <w:rPr>
                <w:b/>
              </w:rPr>
            </w:pPr>
            <w:r w:rsidRPr="0088314A">
              <w:rPr>
                <w:b/>
              </w:rPr>
              <w:t>Receivables</w:t>
            </w:r>
          </w:p>
        </w:tc>
        <w:tc>
          <w:tcPr>
            <w:tcW w:w="7028" w:type="dxa"/>
            <w:shd w:val="clear" w:color="auto" w:fill="F2F2F2" w:themeFill="background1" w:themeFillShade="F2"/>
          </w:tcPr>
          <w:p w14:paraId="77EB77BD" w14:textId="77777777" w:rsidR="000A3D6A" w:rsidRDefault="000A3D6A" w:rsidP="0088314A">
            <w:r w:rsidRPr="000A3D6A">
              <w:t>Monies owing to the school for the sale of goods or provision of services.</w:t>
            </w:r>
          </w:p>
        </w:tc>
      </w:tr>
      <w:tr w:rsidR="0051778F" w:rsidRPr="003D4CFE" w14:paraId="393EC9EC" w14:textId="77777777" w:rsidTr="00121F36">
        <w:tc>
          <w:tcPr>
            <w:tcW w:w="1979" w:type="dxa"/>
          </w:tcPr>
          <w:p w14:paraId="645FDA49" w14:textId="77777777" w:rsidR="0051778F" w:rsidRPr="0088314A" w:rsidRDefault="003D646A" w:rsidP="002D0187">
            <w:pPr>
              <w:rPr>
                <w:b/>
              </w:rPr>
            </w:pPr>
            <w:r w:rsidRPr="0088314A">
              <w:rPr>
                <w:b/>
              </w:rPr>
              <w:t>Subsidiary systems</w:t>
            </w:r>
          </w:p>
        </w:tc>
        <w:tc>
          <w:tcPr>
            <w:tcW w:w="7028" w:type="dxa"/>
          </w:tcPr>
          <w:p w14:paraId="4C461FCD" w14:textId="77777777" w:rsidR="0051778F" w:rsidRPr="003D4CFE" w:rsidRDefault="00A35727" w:rsidP="0088314A">
            <w:r>
              <w:t xml:space="preserve">System external to CASES21 used for financial and/or student management. </w:t>
            </w:r>
            <w:r w:rsidR="002C37F8">
              <w:t>For example</w:t>
            </w:r>
            <w:r w:rsidR="00A35726">
              <w:t>,</w:t>
            </w:r>
            <w:r w:rsidR="002C37F8">
              <w:t xml:space="preserve"> </w:t>
            </w:r>
            <w:r>
              <w:t xml:space="preserve">Kids </w:t>
            </w:r>
            <w:proofErr w:type="spellStart"/>
            <w:r>
              <w:t>Wizz</w:t>
            </w:r>
            <w:proofErr w:type="spellEnd"/>
            <w:r w:rsidR="000B1AC1">
              <w:t xml:space="preserve"> and </w:t>
            </w:r>
            <w:proofErr w:type="spellStart"/>
            <w:r>
              <w:t>QikKids</w:t>
            </w:r>
            <w:proofErr w:type="spellEnd"/>
            <w:r w:rsidR="00A35726">
              <w:t>.</w:t>
            </w:r>
          </w:p>
        </w:tc>
      </w:tr>
      <w:tr w:rsidR="0051778F" w:rsidRPr="003D4CFE" w14:paraId="26AE4758" w14:textId="77777777" w:rsidTr="00121F36">
        <w:trPr>
          <w:trHeight w:val="609"/>
        </w:trPr>
        <w:tc>
          <w:tcPr>
            <w:tcW w:w="1979" w:type="dxa"/>
            <w:shd w:val="clear" w:color="auto" w:fill="F2F2F2" w:themeFill="background1" w:themeFillShade="F2"/>
          </w:tcPr>
          <w:p w14:paraId="38D54365" w14:textId="77777777" w:rsidR="0051778F" w:rsidRPr="0088314A" w:rsidRDefault="00146F8A" w:rsidP="002D0187">
            <w:pPr>
              <w:rPr>
                <w:b/>
              </w:rPr>
            </w:pPr>
            <w:r w:rsidRPr="0088314A">
              <w:rPr>
                <w:b/>
              </w:rPr>
              <w:t>Taxation treatment</w:t>
            </w:r>
          </w:p>
        </w:tc>
        <w:tc>
          <w:tcPr>
            <w:tcW w:w="7028" w:type="dxa"/>
            <w:shd w:val="clear" w:color="auto" w:fill="F2F2F2" w:themeFill="background1" w:themeFillShade="F2"/>
          </w:tcPr>
          <w:p w14:paraId="6887394E" w14:textId="77777777" w:rsidR="0051778F" w:rsidRPr="003D4CFE" w:rsidRDefault="00A35726" w:rsidP="0088314A">
            <w:r>
              <w:t xml:space="preserve">The way </w:t>
            </w:r>
            <w:r w:rsidR="00146F8A">
              <w:t>transactions of a trading operation will be treated for G</w:t>
            </w:r>
            <w:r w:rsidR="0077479C">
              <w:t>oods and Services Tax (G</w:t>
            </w:r>
            <w:r w:rsidR="00146F8A">
              <w:t>ST</w:t>
            </w:r>
            <w:r w:rsidR="0077479C">
              <w:t>)</w:t>
            </w:r>
            <w:r w:rsidR="00146F8A">
              <w:t xml:space="preserve"> purposes. Taxable – GST is paid and reclaimed for applicable transactions. Input Taxed – no GST is paid or claimed for any transactions.</w:t>
            </w:r>
          </w:p>
        </w:tc>
      </w:tr>
    </w:tbl>
    <w:p w14:paraId="06F3C4ED" w14:textId="77777777" w:rsidR="0091756B" w:rsidRDefault="0091756B">
      <w:pPr>
        <w:spacing w:before="0" w:line="240" w:lineRule="auto"/>
      </w:pPr>
    </w:p>
    <w:p w14:paraId="50D6764A" w14:textId="77777777" w:rsidR="0051778F" w:rsidRDefault="0051778F" w:rsidP="0091756B">
      <w:pPr>
        <w:pStyle w:val="Heading2"/>
      </w:pPr>
      <w:r w:rsidRPr="00AD3210">
        <w:t>Additional</w:t>
      </w:r>
      <w:r w:rsidR="003D4CFE">
        <w:t xml:space="preserve"> </w:t>
      </w:r>
      <w:r w:rsidR="00106F4E">
        <w:t>r</w:t>
      </w:r>
      <w:r w:rsidRPr="00AD3210">
        <w:t>esources</w:t>
      </w:r>
    </w:p>
    <w:p w14:paraId="5F0E3F95" w14:textId="3D5D8FD9" w:rsidR="006E1F4D" w:rsidRDefault="00FC7716" w:rsidP="00B34D15">
      <w:pPr>
        <w:pStyle w:val="ListBullet"/>
        <w:numPr>
          <w:ilvl w:val="0"/>
          <w:numId w:val="37"/>
        </w:numPr>
        <w:spacing w:before="0"/>
      </w:pPr>
      <w:hyperlink r:id="rId14" w:history="1">
        <w:r w:rsidR="0077479C" w:rsidRPr="00121F36">
          <w:rPr>
            <w:rStyle w:val="Hyperlink"/>
          </w:rPr>
          <w:t>Cash Handling Best Practice Controls</w:t>
        </w:r>
      </w:hyperlink>
      <w:r w:rsidR="0077479C">
        <w:t xml:space="preserve"> </w:t>
      </w:r>
    </w:p>
    <w:p w14:paraId="11E6BFB6" w14:textId="77777777" w:rsidR="006E1F4D" w:rsidRPr="006E1F4D" w:rsidRDefault="00FC7716" w:rsidP="00B34D15">
      <w:pPr>
        <w:pStyle w:val="ListBullet"/>
        <w:numPr>
          <w:ilvl w:val="0"/>
          <w:numId w:val="37"/>
        </w:numPr>
        <w:spacing w:before="0"/>
        <w:rPr>
          <w:rStyle w:val="Hyperlink"/>
          <w:color w:val="auto"/>
          <w:u w:val="none"/>
        </w:rPr>
      </w:pPr>
      <w:hyperlink r:id="rId15" w:history="1">
        <w:r w:rsidR="0077479C" w:rsidRPr="00121F36">
          <w:rPr>
            <w:rStyle w:val="Hyperlink"/>
          </w:rPr>
          <w:t>Internal Controls for Victorian Government Schools</w:t>
        </w:r>
      </w:hyperlink>
    </w:p>
    <w:p w14:paraId="02631DBF" w14:textId="21314374" w:rsidR="00121F36" w:rsidRDefault="00FC7716" w:rsidP="00121F36">
      <w:pPr>
        <w:pStyle w:val="ListBullet"/>
        <w:numPr>
          <w:ilvl w:val="0"/>
          <w:numId w:val="37"/>
        </w:numPr>
        <w:spacing w:before="0"/>
      </w:pPr>
      <w:hyperlink r:id="rId16" w:history="1">
        <w:r w:rsidR="0077479C" w:rsidRPr="00121F36">
          <w:rPr>
            <w:rStyle w:val="Hyperlink"/>
          </w:rPr>
          <w:t>Legal Services</w:t>
        </w:r>
      </w:hyperlink>
    </w:p>
    <w:p w14:paraId="7625AE07" w14:textId="77777777" w:rsidR="006E1F4D" w:rsidRPr="006E1F4D" w:rsidRDefault="00FC7716" w:rsidP="00121F36">
      <w:pPr>
        <w:pStyle w:val="ListBullet"/>
        <w:numPr>
          <w:ilvl w:val="0"/>
          <w:numId w:val="37"/>
        </w:numPr>
        <w:spacing w:before="0"/>
        <w:rPr>
          <w:rStyle w:val="Hyperlink"/>
          <w:color w:val="auto"/>
          <w:u w:val="none"/>
        </w:rPr>
      </w:pPr>
      <w:hyperlink r:id="rId17" w:history="1">
        <w:r w:rsidR="008B7A74" w:rsidRPr="00121F36">
          <w:rPr>
            <w:rStyle w:val="Hyperlink"/>
          </w:rPr>
          <w:t>Management of School Trading Operations Guidelines</w:t>
        </w:r>
      </w:hyperlink>
    </w:p>
    <w:p w14:paraId="2EB918DD" w14:textId="77777777" w:rsidR="006E1F4D" w:rsidRPr="006E1F4D" w:rsidRDefault="00FC7716" w:rsidP="00121F36">
      <w:pPr>
        <w:pStyle w:val="ListBullet"/>
        <w:spacing w:before="0"/>
        <w:ind w:left="426"/>
        <w:rPr>
          <w:rStyle w:val="Hyperlink"/>
          <w:color w:val="auto"/>
          <w:u w:val="none"/>
        </w:rPr>
      </w:pPr>
      <w:hyperlink r:id="rId18" w:history="1">
        <w:r w:rsidR="0077479C" w:rsidRPr="00121F36">
          <w:rPr>
            <w:rStyle w:val="Hyperlink"/>
          </w:rPr>
          <w:t>School Policy and Advisory Guide</w:t>
        </w:r>
      </w:hyperlink>
    </w:p>
    <w:p w14:paraId="10214FB1" w14:textId="26609F18" w:rsidR="00053C0D" w:rsidRDefault="00FC7716" w:rsidP="00121F36">
      <w:pPr>
        <w:pStyle w:val="ListBullet"/>
        <w:numPr>
          <w:ilvl w:val="0"/>
          <w:numId w:val="37"/>
        </w:numPr>
        <w:spacing w:before="0"/>
        <w:rPr>
          <w:rStyle w:val="Hyperlink"/>
        </w:rPr>
      </w:pPr>
      <w:hyperlink r:id="rId19" w:anchor="/app/content/2089/support_and_service_(schools)%252Fprocurement,_funding_and_travel%252Fprocurement%252Fprocurement_procedure" w:history="1">
        <w:r w:rsidR="00053C0D" w:rsidRPr="00053C0D">
          <w:rPr>
            <w:rStyle w:val="Hyperlink"/>
          </w:rPr>
          <w:t>Procurement Policy for Victorian Government Schools</w:t>
        </w:r>
      </w:hyperlink>
    </w:p>
    <w:p w14:paraId="63C426CC" w14:textId="092273ED" w:rsidR="00ED132E" w:rsidRDefault="00ED132E" w:rsidP="00ED132E">
      <w:pPr>
        <w:pStyle w:val="ListBullet"/>
        <w:numPr>
          <w:ilvl w:val="0"/>
          <w:numId w:val="0"/>
        </w:numPr>
        <w:spacing w:before="0"/>
        <w:ind w:left="284" w:hanging="284"/>
        <w:rPr>
          <w:rStyle w:val="Hyperlink"/>
        </w:rPr>
      </w:pPr>
    </w:p>
    <w:p w14:paraId="09C611FC" w14:textId="3C7ECADD" w:rsidR="00ED132E" w:rsidRDefault="00ED132E" w:rsidP="00ED132E">
      <w:pPr>
        <w:pStyle w:val="ListBullet"/>
        <w:numPr>
          <w:ilvl w:val="0"/>
          <w:numId w:val="0"/>
        </w:numPr>
        <w:spacing w:before="0"/>
        <w:ind w:left="284" w:hanging="284"/>
        <w:rPr>
          <w:rStyle w:val="Hyperlink"/>
        </w:rPr>
      </w:pPr>
    </w:p>
    <w:p w14:paraId="67395939" w14:textId="77777777" w:rsidR="00ED132E" w:rsidRDefault="00ED132E" w:rsidP="00ED132E">
      <w:pPr>
        <w:pStyle w:val="ListBullet"/>
        <w:numPr>
          <w:ilvl w:val="0"/>
          <w:numId w:val="0"/>
        </w:numPr>
        <w:spacing w:before="0"/>
        <w:ind w:left="284" w:hanging="284"/>
        <w:rPr>
          <w:rStyle w:val="Hyperlink"/>
        </w:rPr>
      </w:pPr>
    </w:p>
    <w:p w14:paraId="7EA7D0F6" w14:textId="77777777" w:rsidR="002C37F8" w:rsidRPr="002C37F8" w:rsidRDefault="00BD19DD" w:rsidP="002C37F8">
      <w:pPr>
        <w:keepNext/>
        <w:keepLines/>
        <w:pBdr>
          <w:top w:val="single" w:sz="8" w:space="3" w:color="AF272F"/>
        </w:pBdr>
        <w:spacing w:before="240" w:after="120"/>
        <w:ind w:left="851" w:hanging="851"/>
        <w:outlineLvl w:val="1"/>
        <w:rPr>
          <w:rFonts w:eastAsiaTheme="majorEastAsia" w:cstheme="majorBidi"/>
          <w:b/>
          <w:color w:val="AF272F"/>
          <w:sz w:val="36"/>
          <w:szCs w:val="20"/>
        </w:rPr>
      </w:pPr>
      <w:r>
        <w:rPr>
          <w:rFonts w:eastAsiaTheme="majorEastAsia" w:cstheme="majorBidi"/>
          <w:b/>
          <w:color w:val="AF272F"/>
          <w:sz w:val="36"/>
          <w:szCs w:val="20"/>
        </w:rPr>
        <w:t xml:space="preserve">Version and </w:t>
      </w:r>
      <w:r w:rsidR="00106F4E">
        <w:rPr>
          <w:rFonts w:eastAsiaTheme="majorEastAsia" w:cstheme="majorBidi"/>
          <w:b/>
          <w:color w:val="AF272F"/>
          <w:sz w:val="36"/>
          <w:szCs w:val="20"/>
        </w:rPr>
        <w:t>r</w:t>
      </w:r>
      <w:r w:rsidR="002C37F8" w:rsidRPr="002C37F8">
        <w:rPr>
          <w:rFonts w:eastAsiaTheme="majorEastAsia" w:cstheme="majorBidi"/>
          <w:b/>
          <w:color w:val="AF272F"/>
          <w:sz w:val="36"/>
          <w:szCs w:val="20"/>
        </w:rPr>
        <w:t xml:space="preserve">evision </w:t>
      </w:r>
      <w:r>
        <w:rPr>
          <w:rFonts w:eastAsiaTheme="majorEastAsia" w:cstheme="majorBidi"/>
          <w:b/>
          <w:color w:val="AF272F"/>
          <w:sz w:val="36"/>
          <w:szCs w:val="20"/>
        </w:rPr>
        <w:t xml:space="preserve">control </w:t>
      </w:r>
      <w:r w:rsidR="002C37F8" w:rsidRPr="002C37F8">
        <w:rPr>
          <w:rFonts w:eastAsiaTheme="majorEastAsia" w:cstheme="majorBidi"/>
          <w:b/>
          <w:color w:val="AF272F"/>
          <w:sz w:val="36"/>
          <w:szCs w:val="20"/>
        </w:rPr>
        <w:t>record</w:t>
      </w:r>
    </w:p>
    <w:tbl>
      <w:tblPr>
        <w:tblStyle w:val="GridTable6Colorful10"/>
        <w:tblW w:w="0" w:type="auto"/>
        <w:tblLook w:val="04A0" w:firstRow="1" w:lastRow="0" w:firstColumn="1" w:lastColumn="0" w:noHBand="0" w:noVBand="1"/>
        <w:tblDescription w:val="footer containing version and revision control records"/>
      </w:tblPr>
      <w:tblGrid>
        <w:gridCol w:w="1318"/>
        <w:gridCol w:w="1133"/>
        <w:gridCol w:w="4914"/>
        <w:gridCol w:w="1689"/>
      </w:tblGrid>
      <w:tr w:rsidR="002C37F8" w:rsidRPr="002C37F8" w14:paraId="2CCC39E0" w14:textId="77777777" w:rsidTr="003C1B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bottom w:val="single" w:sz="4" w:space="0" w:color="auto"/>
            </w:tcBorders>
            <w:shd w:val="clear" w:color="auto" w:fill="F2F2F2" w:themeFill="background1" w:themeFillShade="F2"/>
          </w:tcPr>
          <w:p w14:paraId="07085B71" w14:textId="77777777" w:rsidR="002C37F8" w:rsidRPr="002C37F8" w:rsidRDefault="002C37F8" w:rsidP="002C37F8">
            <w:r w:rsidRPr="002C37F8">
              <w:t>Date</w:t>
            </w:r>
          </w:p>
        </w:tc>
        <w:tc>
          <w:tcPr>
            <w:tcW w:w="1133" w:type="dxa"/>
            <w:tcBorders>
              <w:bottom w:val="single" w:sz="4" w:space="0" w:color="auto"/>
            </w:tcBorders>
            <w:shd w:val="clear" w:color="auto" w:fill="F2F2F2" w:themeFill="background1" w:themeFillShade="F2"/>
          </w:tcPr>
          <w:p w14:paraId="66A8AB15" w14:textId="77777777" w:rsidR="002C37F8" w:rsidRPr="002C37F8" w:rsidRDefault="002C37F8" w:rsidP="002C37F8">
            <w:pPr>
              <w:cnfStyle w:val="100000000000" w:firstRow="1" w:lastRow="0" w:firstColumn="0" w:lastColumn="0" w:oddVBand="0" w:evenVBand="0" w:oddHBand="0" w:evenHBand="0" w:firstRowFirstColumn="0" w:firstRowLastColumn="0" w:lastRowFirstColumn="0" w:lastRowLastColumn="0"/>
            </w:pPr>
            <w:r w:rsidRPr="002C37F8">
              <w:t>Version</w:t>
            </w:r>
          </w:p>
        </w:tc>
        <w:tc>
          <w:tcPr>
            <w:tcW w:w="4914" w:type="dxa"/>
            <w:tcBorders>
              <w:bottom w:val="single" w:sz="4" w:space="0" w:color="auto"/>
            </w:tcBorders>
            <w:shd w:val="clear" w:color="auto" w:fill="F2F2F2" w:themeFill="background1" w:themeFillShade="F2"/>
          </w:tcPr>
          <w:p w14:paraId="6FB824D6" w14:textId="77777777" w:rsidR="002C37F8" w:rsidRPr="002C37F8" w:rsidRDefault="002C37F8" w:rsidP="002C37F8">
            <w:pPr>
              <w:cnfStyle w:val="100000000000" w:firstRow="1" w:lastRow="0" w:firstColumn="0" w:lastColumn="0" w:oddVBand="0" w:evenVBand="0" w:oddHBand="0" w:evenHBand="0" w:firstRowFirstColumn="0" w:firstRowLastColumn="0" w:lastRowFirstColumn="0" w:lastRowLastColumn="0"/>
            </w:pPr>
            <w:r w:rsidRPr="002C37F8">
              <w:t>Approver</w:t>
            </w:r>
          </w:p>
        </w:tc>
        <w:tc>
          <w:tcPr>
            <w:tcW w:w="1689" w:type="dxa"/>
            <w:tcBorders>
              <w:bottom w:val="single" w:sz="4" w:space="0" w:color="auto"/>
            </w:tcBorders>
            <w:shd w:val="clear" w:color="auto" w:fill="F2F2F2" w:themeFill="background1" w:themeFillShade="F2"/>
          </w:tcPr>
          <w:p w14:paraId="066A0847" w14:textId="77777777" w:rsidR="002C37F8" w:rsidRPr="002C37F8" w:rsidRDefault="002C37F8" w:rsidP="002C37F8">
            <w:pPr>
              <w:cnfStyle w:val="100000000000" w:firstRow="1" w:lastRow="0" w:firstColumn="0" w:lastColumn="0" w:oddVBand="0" w:evenVBand="0" w:oddHBand="0" w:evenHBand="0" w:firstRowFirstColumn="0" w:firstRowLastColumn="0" w:lastRowFirstColumn="0" w:lastRowLastColumn="0"/>
            </w:pPr>
            <w:r w:rsidRPr="002C37F8">
              <w:t>Next Review</w:t>
            </w:r>
          </w:p>
        </w:tc>
      </w:tr>
      <w:tr w:rsidR="002C37F8" w:rsidRPr="002C37F8" w14:paraId="7E0C629E" w14:textId="77777777" w:rsidTr="009D1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tcBorders>
            <w:shd w:val="clear" w:color="auto" w:fill="auto"/>
          </w:tcPr>
          <w:p w14:paraId="31D5150D" w14:textId="266F90D4" w:rsidR="002C37F8" w:rsidRPr="000A3D6A" w:rsidRDefault="002E08E2" w:rsidP="002C37F8">
            <w:pPr>
              <w:rPr>
                <w:b w:val="0"/>
              </w:rPr>
            </w:pPr>
            <w:r>
              <w:rPr>
                <w:b w:val="0"/>
              </w:rPr>
              <w:t>01/2019</w:t>
            </w:r>
          </w:p>
        </w:tc>
        <w:tc>
          <w:tcPr>
            <w:tcW w:w="1133" w:type="dxa"/>
            <w:tcBorders>
              <w:top w:val="single" w:sz="4" w:space="0" w:color="auto"/>
            </w:tcBorders>
            <w:shd w:val="clear" w:color="auto" w:fill="auto"/>
          </w:tcPr>
          <w:p w14:paraId="569562EC" w14:textId="430532A8" w:rsidR="002C37F8" w:rsidRPr="002C37F8" w:rsidRDefault="00523E01" w:rsidP="002C37F8">
            <w:pPr>
              <w:cnfStyle w:val="000000100000" w:firstRow="0" w:lastRow="0" w:firstColumn="0" w:lastColumn="0" w:oddVBand="0" w:evenVBand="0" w:oddHBand="1" w:evenHBand="0" w:firstRowFirstColumn="0" w:firstRowLastColumn="0" w:lastRowFirstColumn="0" w:lastRowLastColumn="0"/>
            </w:pPr>
            <w:r>
              <w:t>1.2</w:t>
            </w:r>
          </w:p>
        </w:tc>
        <w:tc>
          <w:tcPr>
            <w:tcW w:w="4914" w:type="dxa"/>
            <w:tcBorders>
              <w:top w:val="single" w:sz="4" w:space="0" w:color="auto"/>
              <w:bottom w:val="single" w:sz="4" w:space="0" w:color="auto"/>
            </w:tcBorders>
            <w:shd w:val="clear" w:color="auto" w:fill="auto"/>
          </w:tcPr>
          <w:p w14:paraId="3C00D159" w14:textId="77777777" w:rsidR="002C37F8" w:rsidRPr="002C37F8" w:rsidRDefault="002C37F8" w:rsidP="002C37F8">
            <w:pPr>
              <w:cnfStyle w:val="000000100000" w:firstRow="0" w:lastRow="0" w:firstColumn="0" w:lastColumn="0" w:oddVBand="0" w:evenVBand="0" w:oddHBand="1" w:evenHBand="0" w:firstRowFirstColumn="0" w:firstRowLastColumn="0" w:lastRowFirstColumn="0" w:lastRowLastColumn="0"/>
            </w:pPr>
            <w:r w:rsidRPr="002C37F8">
              <w:t>Chief Finance Officer -  Financial Services Division</w:t>
            </w:r>
          </w:p>
        </w:tc>
        <w:tc>
          <w:tcPr>
            <w:tcW w:w="1689" w:type="dxa"/>
            <w:tcBorders>
              <w:top w:val="single" w:sz="4" w:space="0" w:color="auto"/>
            </w:tcBorders>
            <w:shd w:val="clear" w:color="auto" w:fill="auto"/>
          </w:tcPr>
          <w:p w14:paraId="066C2677" w14:textId="0BA5D4E7" w:rsidR="002C37F8" w:rsidRPr="002C37F8" w:rsidRDefault="002E08E2" w:rsidP="002E08E2">
            <w:pPr>
              <w:cnfStyle w:val="000000100000" w:firstRow="0" w:lastRow="0" w:firstColumn="0" w:lastColumn="0" w:oddVBand="0" w:evenVBand="0" w:oddHBand="1" w:evenHBand="0" w:firstRowFirstColumn="0" w:firstRowLastColumn="0" w:lastRowFirstColumn="0" w:lastRowLastColumn="0"/>
            </w:pPr>
            <w:r>
              <w:t>01/2020</w:t>
            </w:r>
          </w:p>
        </w:tc>
      </w:tr>
    </w:tbl>
    <w:p w14:paraId="3C303ADD" w14:textId="77777777" w:rsidR="0051778F" w:rsidRPr="00AD3210" w:rsidRDefault="0051778F" w:rsidP="002C37F8"/>
    <w:sectPr w:rsidR="0051778F" w:rsidRPr="00AD3210" w:rsidSect="00AD3210">
      <w:footerReference w:type="default" r:id="rId20"/>
      <w:pgSz w:w="11900" w:h="16840" w:code="9"/>
      <w:pgMar w:top="1701" w:right="1418" w:bottom="1701"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E38FA" w14:textId="77777777" w:rsidR="005E7896" w:rsidRDefault="005E7896" w:rsidP="008766A4">
      <w:r>
        <w:separator/>
      </w:r>
    </w:p>
  </w:endnote>
  <w:endnote w:type="continuationSeparator" w:id="0">
    <w:p w14:paraId="0FE87AB9" w14:textId="77777777" w:rsidR="005E7896" w:rsidRDefault="005E7896"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F754" w14:textId="703B949A" w:rsidR="003D4CFE" w:rsidRPr="003E29B5" w:rsidRDefault="00E53D3E" w:rsidP="00714E93">
    <w:pPr>
      <w:pStyle w:val="Footer"/>
    </w:pPr>
    <w:r>
      <w:rPr>
        <w:noProof/>
      </w:rPr>
      <w:t xml:space="preserve">Section 12: Trading Operations </w:t>
    </w:r>
    <w:r w:rsidRPr="008A1405">
      <w:t>|</w:t>
    </w:r>
    <w:r>
      <w:t xml:space="preserve"> </w:t>
    </w:r>
    <w:r w:rsidR="003D4CFE" w:rsidRPr="00006534">
      <w:rPr>
        <w:noProof/>
        <w:lang w:eastAsia="en-AU"/>
      </w:rPr>
      <w:drawing>
        <wp:anchor distT="0" distB="0" distL="114300" distR="114300" simplePos="0" relativeHeight="251658752" behindDoc="1" locked="0" layoutInCell="1" allowOverlap="1" wp14:anchorId="0DB8DA3B" wp14:editId="44B94AE5">
          <wp:simplePos x="0" y="0"/>
          <wp:positionH relativeFrom="page">
            <wp:posOffset>762000</wp:posOffset>
          </wp:positionH>
          <wp:positionV relativeFrom="page">
            <wp:posOffset>9728200</wp:posOffset>
          </wp:positionV>
          <wp:extent cx="6627959" cy="721995"/>
          <wp:effectExtent l="0" t="0" r="1905" b="1905"/>
          <wp:wrapNone/>
          <wp:docPr id="1" name="Picture 1" descr="footer containing document name, page number and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627959" cy="721995"/>
                  </a:xfrm>
                  <a:prstGeom prst="rect">
                    <a:avLst/>
                  </a:prstGeom>
                </pic:spPr>
              </pic:pic>
            </a:graphicData>
          </a:graphic>
        </wp:anchor>
      </w:drawing>
    </w:r>
    <w:r w:rsidR="002E08E2">
      <w:t>January 2019</w:t>
    </w:r>
    <w:r w:rsidR="003D4CFE">
      <w:rPr>
        <w:noProof/>
      </w:rPr>
      <w:tab/>
    </w:r>
    <w:sdt>
      <w:sdtPr>
        <w:rPr>
          <w:rFonts w:eastAsia="Arial" w:cs="Times New Roman"/>
        </w:rPr>
        <w:id w:val="208384299"/>
        <w:docPartObj>
          <w:docPartGallery w:val="Page Numbers (Bottom of Page)"/>
          <w:docPartUnique/>
        </w:docPartObj>
      </w:sdtPr>
      <w:sdtEndPr>
        <w:rPr>
          <w:noProof/>
        </w:rPr>
      </w:sdtEndPr>
      <w:sdtContent>
        <w:r w:rsidR="003D4CFE">
          <w:rPr>
            <w:rFonts w:eastAsia="Arial" w:cs="Times New Roman"/>
          </w:rPr>
          <w:t xml:space="preserve">Page </w:t>
        </w:r>
        <w:r w:rsidR="006A3739" w:rsidRPr="00006534">
          <w:rPr>
            <w:rFonts w:eastAsia="Arial" w:cs="Times New Roman"/>
          </w:rPr>
          <w:fldChar w:fldCharType="begin"/>
        </w:r>
        <w:r w:rsidR="003D4CFE" w:rsidRPr="00006534">
          <w:rPr>
            <w:rFonts w:eastAsia="Arial" w:cs="Times New Roman"/>
          </w:rPr>
          <w:instrText xml:space="preserve"> TITLE  \* MERGEFORMAT </w:instrText>
        </w:r>
        <w:r w:rsidR="006A3739" w:rsidRPr="00006534">
          <w:rPr>
            <w:rFonts w:eastAsia="Arial" w:cs="Times New Roman"/>
          </w:rPr>
          <w:fldChar w:fldCharType="end"/>
        </w:r>
        <w:r w:rsidR="006A3739" w:rsidRPr="007B2B29">
          <w:rPr>
            <w:rFonts w:eastAsia="Arial" w:cs="Times New Roman"/>
          </w:rPr>
          <w:fldChar w:fldCharType="begin"/>
        </w:r>
        <w:r w:rsidR="003D4CFE" w:rsidRPr="007B2B29">
          <w:rPr>
            <w:rFonts w:eastAsia="Arial" w:cs="Times New Roman"/>
          </w:rPr>
          <w:instrText xml:space="preserve"> PAGE   \* MERGEFORMAT </w:instrText>
        </w:r>
        <w:r w:rsidR="006A3739" w:rsidRPr="007B2B29">
          <w:rPr>
            <w:rFonts w:eastAsia="Arial" w:cs="Times New Roman"/>
          </w:rPr>
          <w:fldChar w:fldCharType="separate"/>
        </w:r>
        <w:r w:rsidR="00FC7716">
          <w:rPr>
            <w:rFonts w:eastAsia="Arial" w:cs="Times New Roman"/>
            <w:noProof/>
          </w:rPr>
          <w:t>4</w:t>
        </w:r>
        <w:r w:rsidR="006A3739" w:rsidRPr="007B2B29">
          <w:rPr>
            <w:rFonts w:eastAsia="Arial"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0053E" w14:textId="77777777" w:rsidR="005E7896" w:rsidRDefault="005E7896" w:rsidP="008766A4">
      <w:r>
        <w:separator/>
      </w:r>
    </w:p>
  </w:footnote>
  <w:footnote w:type="continuationSeparator" w:id="0">
    <w:p w14:paraId="7D4B04F8" w14:textId="77777777" w:rsidR="005E7896" w:rsidRDefault="005E7896"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5"/>
      <w:lvlText w:val=""/>
      <w:lvlJc w:val="left"/>
      <w:pPr>
        <w:ind w:left="-600" w:hanging="360"/>
      </w:pPr>
      <w:rPr>
        <w:rFonts w:ascii="Symbol" w:hAnsi="Symbol" w:hint="default"/>
        <w:color w:val="AF272F"/>
      </w:rPr>
    </w:lvl>
    <w:lvl w:ilvl="1">
      <w:start w:val="1"/>
      <w:numFmt w:val="bullet"/>
      <w:lvlText w:val=""/>
      <w:lvlJc w:val="left"/>
      <w:pPr>
        <w:tabs>
          <w:tab w:val="num" w:pos="-240"/>
        </w:tabs>
        <w:ind w:left="120" w:hanging="360"/>
      </w:pPr>
      <w:rPr>
        <w:rFonts w:ascii="Symbol" w:hAnsi="Symbol" w:hint="default"/>
      </w:rPr>
    </w:lvl>
    <w:lvl w:ilvl="2">
      <w:start w:val="1"/>
      <w:numFmt w:val="bullet"/>
      <w:pStyle w:val="NoteLevel7"/>
      <w:lvlText w:val="o"/>
      <w:lvlJc w:val="left"/>
      <w:pPr>
        <w:tabs>
          <w:tab w:val="num" w:pos="480"/>
        </w:tabs>
        <w:ind w:left="840" w:hanging="360"/>
      </w:pPr>
      <w:rPr>
        <w:rFonts w:ascii="Courier New" w:hAnsi="Courier New" w:cs="Courier New" w:hint="default"/>
      </w:rPr>
    </w:lvl>
    <w:lvl w:ilvl="3">
      <w:start w:val="1"/>
      <w:numFmt w:val="bullet"/>
      <w:pStyle w:val="NoteLevel8"/>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9"/>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CC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53F59"/>
    <w:multiLevelType w:val="hybridMultilevel"/>
    <w:tmpl w:val="D164A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EB78D0"/>
    <w:multiLevelType w:val="hybridMultilevel"/>
    <w:tmpl w:val="C2886DC8"/>
    <w:lvl w:ilvl="0" w:tplc="D0F02E0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DC44DB"/>
    <w:multiLevelType w:val="hybridMultilevel"/>
    <w:tmpl w:val="947835CA"/>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D91128"/>
    <w:multiLevelType w:val="hybridMultilevel"/>
    <w:tmpl w:val="CECC24BA"/>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67406E"/>
    <w:multiLevelType w:val="hybridMultilevel"/>
    <w:tmpl w:val="D4C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164D5B"/>
    <w:multiLevelType w:val="hybridMultilevel"/>
    <w:tmpl w:val="60E837CE"/>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7444A8"/>
    <w:multiLevelType w:val="hybridMultilevel"/>
    <w:tmpl w:val="CB24E1AA"/>
    <w:lvl w:ilvl="0" w:tplc="F2F2F4AC">
      <w:start w:val="1"/>
      <w:numFmt w:val="bullet"/>
      <w:lvlText w:val=""/>
      <w:lvlJc w:val="left"/>
      <w:pPr>
        <w:ind w:left="426" w:hanging="360"/>
      </w:pPr>
      <w:rPr>
        <w:rFonts w:ascii="Symbol" w:hAnsi="Symbol" w:hint="default"/>
        <w:color w:val="000000" w:themeColor="text1"/>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9"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32617FD5"/>
    <w:multiLevelType w:val="hybridMultilevel"/>
    <w:tmpl w:val="A992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64CAE"/>
    <w:multiLevelType w:val="hybridMultilevel"/>
    <w:tmpl w:val="3662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81152A"/>
    <w:multiLevelType w:val="hybridMultilevel"/>
    <w:tmpl w:val="4BBA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4E2F49"/>
    <w:multiLevelType w:val="hybridMultilevel"/>
    <w:tmpl w:val="9610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5C1796"/>
    <w:multiLevelType w:val="hybridMultilevel"/>
    <w:tmpl w:val="1D5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2D749D"/>
    <w:multiLevelType w:val="hybridMultilevel"/>
    <w:tmpl w:val="ED64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EB2002"/>
    <w:multiLevelType w:val="hybridMultilevel"/>
    <w:tmpl w:val="5A306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9" w15:restartNumberingAfterBreak="0">
    <w:nsid w:val="65E84301"/>
    <w:multiLevelType w:val="hybridMultilevel"/>
    <w:tmpl w:val="6006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1" w15:restartNumberingAfterBreak="0">
    <w:nsid w:val="7F36218B"/>
    <w:multiLevelType w:val="hybridMultilevel"/>
    <w:tmpl w:val="F120E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32"/>
  </w:num>
  <w:num w:numId="14">
    <w:abstractNumId w:val="28"/>
  </w:num>
  <w:num w:numId="15">
    <w:abstractNumId w:val="30"/>
  </w:num>
  <w:num w:numId="16">
    <w:abstractNumId w:val="19"/>
  </w:num>
  <w:num w:numId="17">
    <w:abstractNumId w:val="21"/>
  </w:num>
  <w:num w:numId="18">
    <w:abstractNumId w:val="22"/>
  </w:num>
  <w:num w:numId="19">
    <w:abstractNumId w:val="31"/>
  </w:num>
  <w:num w:numId="20">
    <w:abstractNumId w:val="17"/>
  </w:num>
  <w:num w:numId="21">
    <w:abstractNumId w:val="16"/>
  </w:num>
  <w:num w:numId="22">
    <w:abstractNumId w:val="20"/>
  </w:num>
  <w:num w:numId="23">
    <w:abstractNumId w:val="25"/>
  </w:num>
  <w:num w:numId="24">
    <w:abstractNumId w:val="24"/>
  </w:num>
  <w:num w:numId="25">
    <w:abstractNumId w:val="26"/>
  </w:num>
  <w:num w:numId="26">
    <w:abstractNumId w:val="29"/>
  </w:num>
  <w:num w:numId="27">
    <w:abstractNumId w:val="13"/>
  </w:num>
  <w:num w:numId="28">
    <w:abstractNumId w:val="13"/>
  </w:num>
  <w:num w:numId="29">
    <w:abstractNumId w:val="13"/>
  </w:num>
  <w:num w:numId="30">
    <w:abstractNumId w:val="15"/>
  </w:num>
  <w:num w:numId="31">
    <w:abstractNumId w:val="14"/>
  </w:num>
  <w:num w:numId="32">
    <w:abstractNumId w:val="27"/>
  </w:num>
  <w:num w:numId="33">
    <w:abstractNumId w:val="23"/>
  </w:num>
  <w:num w:numId="34">
    <w:abstractNumId w:val="11"/>
  </w:num>
  <w:num w:numId="35">
    <w:abstractNumId w:val="13"/>
  </w:num>
  <w:num w:numId="36">
    <w:abstractNumId w:val="13"/>
  </w:num>
  <w:num w:numId="37">
    <w:abstractNumId w:val="1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SortMethod w:val="0000"/>
  <w:defaultTabStop w:val="567"/>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1ED"/>
    <w:rsid w:val="000038D4"/>
    <w:rsid w:val="0003247C"/>
    <w:rsid w:val="00032B14"/>
    <w:rsid w:val="00035071"/>
    <w:rsid w:val="00053C0D"/>
    <w:rsid w:val="00080349"/>
    <w:rsid w:val="000852D5"/>
    <w:rsid w:val="00096CA9"/>
    <w:rsid w:val="000A1C9A"/>
    <w:rsid w:val="000A3D6A"/>
    <w:rsid w:val="000A5585"/>
    <w:rsid w:val="000B0506"/>
    <w:rsid w:val="000B1AC1"/>
    <w:rsid w:val="000B6F69"/>
    <w:rsid w:val="000C01B4"/>
    <w:rsid w:val="000C499D"/>
    <w:rsid w:val="000C5885"/>
    <w:rsid w:val="000C68BB"/>
    <w:rsid w:val="000E4ACB"/>
    <w:rsid w:val="000E5700"/>
    <w:rsid w:val="000F10BC"/>
    <w:rsid w:val="000F155E"/>
    <w:rsid w:val="000F47AB"/>
    <w:rsid w:val="000F4C22"/>
    <w:rsid w:val="00104432"/>
    <w:rsid w:val="00106F4E"/>
    <w:rsid w:val="00114F00"/>
    <w:rsid w:val="00121F36"/>
    <w:rsid w:val="00124DC1"/>
    <w:rsid w:val="00127682"/>
    <w:rsid w:val="00130301"/>
    <w:rsid w:val="0013716D"/>
    <w:rsid w:val="00140D58"/>
    <w:rsid w:val="0014310A"/>
    <w:rsid w:val="00146F8A"/>
    <w:rsid w:val="001534D7"/>
    <w:rsid w:val="001574A3"/>
    <w:rsid w:val="00170377"/>
    <w:rsid w:val="00187894"/>
    <w:rsid w:val="00193A4B"/>
    <w:rsid w:val="001A6947"/>
    <w:rsid w:val="001B17AF"/>
    <w:rsid w:val="001C5C38"/>
    <w:rsid w:val="001F03BD"/>
    <w:rsid w:val="001F639F"/>
    <w:rsid w:val="00206738"/>
    <w:rsid w:val="00210EEE"/>
    <w:rsid w:val="0022212D"/>
    <w:rsid w:val="00226B71"/>
    <w:rsid w:val="00230EF6"/>
    <w:rsid w:val="00231D0D"/>
    <w:rsid w:val="00232805"/>
    <w:rsid w:val="00232D16"/>
    <w:rsid w:val="00234998"/>
    <w:rsid w:val="00245E16"/>
    <w:rsid w:val="002525C5"/>
    <w:rsid w:val="00255E0C"/>
    <w:rsid w:val="002578D2"/>
    <w:rsid w:val="00261E81"/>
    <w:rsid w:val="00266DC6"/>
    <w:rsid w:val="0027184D"/>
    <w:rsid w:val="00271AB6"/>
    <w:rsid w:val="00271F77"/>
    <w:rsid w:val="002839CA"/>
    <w:rsid w:val="002A494D"/>
    <w:rsid w:val="002B2D6F"/>
    <w:rsid w:val="002B37D8"/>
    <w:rsid w:val="002C37F8"/>
    <w:rsid w:val="002D0187"/>
    <w:rsid w:val="002E08E2"/>
    <w:rsid w:val="002F304C"/>
    <w:rsid w:val="002F4E54"/>
    <w:rsid w:val="00306C28"/>
    <w:rsid w:val="00313358"/>
    <w:rsid w:val="00320E5E"/>
    <w:rsid w:val="00326F48"/>
    <w:rsid w:val="00336158"/>
    <w:rsid w:val="00347714"/>
    <w:rsid w:val="003514AD"/>
    <w:rsid w:val="00365685"/>
    <w:rsid w:val="00366BF2"/>
    <w:rsid w:val="003A4545"/>
    <w:rsid w:val="003B01B0"/>
    <w:rsid w:val="003B43EC"/>
    <w:rsid w:val="003B440D"/>
    <w:rsid w:val="003B488A"/>
    <w:rsid w:val="003C1B9C"/>
    <w:rsid w:val="003C7FD3"/>
    <w:rsid w:val="003D4CFE"/>
    <w:rsid w:val="003D646A"/>
    <w:rsid w:val="003E1164"/>
    <w:rsid w:val="003E29B5"/>
    <w:rsid w:val="003E51EB"/>
    <w:rsid w:val="003E7FAC"/>
    <w:rsid w:val="003F3C92"/>
    <w:rsid w:val="003F5E75"/>
    <w:rsid w:val="004177BE"/>
    <w:rsid w:val="0042385D"/>
    <w:rsid w:val="00434E35"/>
    <w:rsid w:val="00443FF4"/>
    <w:rsid w:val="004615C4"/>
    <w:rsid w:val="00467819"/>
    <w:rsid w:val="00472606"/>
    <w:rsid w:val="004801D1"/>
    <w:rsid w:val="0048402B"/>
    <w:rsid w:val="00494BC1"/>
    <w:rsid w:val="00494EB8"/>
    <w:rsid w:val="004B24FF"/>
    <w:rsid w:val="004C66DF"/>
    <w:rsid w:val="004D6461"/>
    <w:rsid w:val="004E6EF8"/>
    <w:rsid w:val="0051778F"/>
    <w:rsid w:val="00520E55"/>
    <w:rsid w:val="00523E01"/>
    <w:rsid w:val="00541A74"/>
    <w:rsid w:val="00544F79"/>
    <w:rsid w:val="00553170"/>
    <w:rsid w:val="005711D2"/>
    <w:rsid w:val="0057654B"/>
    <w:rsid w:val="005832B7"/>
    <w:rsid w:val="0058443C"/>
    <w:rsid w:val="00596923"/>
    <w:rsid w:val="005A0C09"/>
    <w:rsid w:val="005A17C5"/>
    <w:rsid w:val="005A1AC6"/>
    <w:rsid w:val="005A1BE0"/>
    <w:rsid w:val="005A23F9"/>
    <w:rsid w:val="005B3B56"/>
    <w:rsid w:val="005D1E06"/>
    <w:rsid w:val="005D3A0D"/>
    <w:rsid w:val="005E5FAE"/>
    <w:rsid w:val="005E6E80"/>
    <w:rsid w:val="005E7896"/>
    <w:rsid w:val="005F067F"/>
    <w:rsid w:val="00600EB1"/>
    <w:rsid w:val="0061125D"/>
    <w:rsid w:val="006143AF"/>
    <w:rsid w:val="00623F69"/>
    <w:rsid w:val="00625741"/>
    <w:rsid w:val="00651C93"/>
    <w:rsid w:val="006554DD"/>
    <w:rsid w:val="00663495"/>
    <w:rsid w:val="006724C4"/>
    <w:rsid w:val="00675AB7"/>
    <w:rsid w:val="00676C48"/>
    <w:rsid w:val="006935C9"/>
    <w:rsid w:val="00694524"/>
    <w:rsid w:val="00694796"/>
    <w:rsid w:val="006A3739"/>
    <w:rsid w:val="006A4F51"/>
    <w:rsid w:val="006B5AAD"/>
    <w:rsid w:val="006B7939"/>
    <w:rsid w:val="006D7338"/>
    <w:rsid w:val="006E1F4D"/>
    <w:rsid w:val="006E2451"/>
    <w:rsid w:val="00711670"/>
    <w:rsid w:val="0071225A"/>
    <w:rsid w:val="00714E93"/>
    <w:rsid w:val="00716345"/>
    <w:rsid w:val="007178F0"/>
    <w:rsid w:val="00720270"/>
    <w:rsid w:val="00722DD0"/>
    <w:rsid w:val="00725687"/>
    <w:rsid w:val="00727502"/>
    <w:rsid w:val="007276C8"/>
    <w:rsid w:val="0073072D"/>
    <w:rsid w:val="00751081"/>
    <w:rsid w:val="00755112"/>
    <w:rsid w:val="00760289"/>
    <w:rsid w:val="007640BE"/>
    <w:rsid w:val="0077479C"/>
    <w:rsid w:val="00784798"/>
    <w:rsid w:val="007B353A"/>
    <w:rsid w:val="007C1FCB"/>
    <w:rsid w:val="007D75FA"/>
    <w:rsid w:val="007E2162"/>
    <w:rsid w:val="007F1751"/>
    <w:rsid w:val="007F4A35"/>
    <w:rsid w:val="00816ED5"/>
    <w:rsid w:val="00831BB4"/>
    <w:rsid w:val="00841F2A"/>
    <w:rsid w:val="00866ED8"/>
    <w:rsid w:val="00867F89"/>
    <w:rsid w:val="00871EC0"/>
    <w:rsid w:val="0087581F"/>
    <w:rsid w:val="008766A4"/>
    <w:rsid w:val="00877262"/>
    <w:rsid w:val="0088314A"/>
    <w:rsid w:val="008877AA"/>
    <w:rsid w:val="00887E2D"/>
    <w:rsid w:val="008919D9"/>
    <w:rsid w:val="00895870"/>
    <w:rsid w:val="00896FF2"/>
    <w:rsid w:val="008A240B"/>
    <w:rsid w:val="008A5234"/>
    <w:rsid w:val="008B3CC9"/>
    <w:rsid w:val="008B7A74"/>
    <w:rsid w:val="008C0B02"/>
    <w:rsid w:val="008C6FA8"/>
    <w:rsid w:val="008D2D16"/>
    <w:rsid w:val="008D3BDE"/>
    <w:rsid w:val="008F185F"/>
    <w:rsid w:val="008F3046"/>
    <w:rsid w:val="009030AA"/>
    <w:rsid w:val="009142CB"/>
    <w:rsid w:val="0091756B"/>
    <w:rsid w:val="00917F2A"/>
    <w:rsid w:val="009250E6"/>
    <w:rsid w:val="009269FD"/>
    <w:rsid w:val="00927DEE"/>
    <w:rsid w:val="00933910"/>
    <w:rsid w:val="009478ED"/>
    <w:rsid w:val="009652F7"/>
    <w:rsid w:val="00967755"/>
    <w:rsid w:val="009731D8"/>
    <w:rsid w:val="0097421F"/>
    <w:rsid w:val="00976A96"/>
    <w:rsid w:val="00980015"/>
    <w:rsid w:val="00991395"/>
    <w:rsid w:val="009A25B7"/>
    <w:rsid w:val="009A58A8"/>
    <w:rsid w:val="009E4078"/>
    <w:rsid w:val="009F2302"/>
    <w:rsid w:val="009F2C43"/>
    <w:rsid w:val="00A04E5A"/>
    <w:rsid w:val="00A106B1"/>
    <w:rsid w:val="00A140E9"/>
    <w:rsid w:val="00A24325"/>
    <w:rsid w:val="00A33C93"/>
    <w:rsid w:val="00A354FA"/>
    <w:rsid w:val="00A35726"/>
    <w:rsid w:val="00A35727"/>
    <w:rsid w:val="00A4558B"/>
    <w:rsid w:val="00A516E9"/>
    <w:rsid w:val="00A62D1A"/>
    <w:rsid w:val="00A74400"/>
    <w:rsid w:val="00A81C7A"/>
    <w:rsid w:val="00A8302C"/>
    <w:rsid w:val="00A834E3"/>
    <w:rsid w:val="00A94E33"/>
    <w:rsid w:val="00AD3210"/>
    <w:rsid w:val="00AD4561"/>
    <w:rsid w:val="00AE44A6"/>
    <w:rsid w:val="00B05F5B"/>
    <w:rsid w:val="00B134F9"/>
    <w:rsid w:val="00B17AF7"/>
    <w:rsid w:val="00B230DB"/>
    <w:rsid w:val="00B239F0"/>
    <w:rsid w:val="00B40154"/>
    <w:rsid w:val="00B44818"/>
    <w:rsid w:val="00B5537C"/>
    <w:rsid w:val="00B578B2"/>
    <w:rsid w:val="00B91456"/>
    <w:rsid w:val="00BB0C3B"/>
    <w:rsid w:val="00BB5F6F"/>
    <w:rsid w:val="00BC3DEC"/>
    <w:rsid w:val="00BD19DD"/>
    <w:rsid w:val="00BF1D94"/>
    <w:rsid w:val="00C052CB"/>
    <w:rsid w:val="00C1688C"/>
    <w:rsid w:val="00C26B08"/>
    <w:rsid w:val="00C412C9"/>
    <w:rsid w:val="00C57F1A"/>
    <w:rsid w:val="00C75380"/>
    <w:rsid w:val="00C84D64"/>
    <w:rsid w:val="00C87FF8"/>
    <w:rsid w:val="00C91AC2"/>
    <w:rsid w:val="00C96775"/>
    <w:rsid w:val="00CA7DD8"/>
    <w:rsid w:val="00CC3605"/>
    <w:rsid w:val="00CC7F0A"/>
    <w:rsid w:val="00CD43BC"/>
    <w:rsid w:val="00CD44D5"/>
    <w:rsid w:val="00CE1579"/>
    <w:rsid w:val="00CE6B2B"/>
    <w:rsid w:val="00D049D0"/>
    <w:rsid w:val="00D26CF0"/>
    <w:rsid w:val="00D31299"/>
    <w:rsid w:val="00D45CD8"/>
    <w:rsid w:val="00D6078F"/>
    <w:rsid w:val="00D80EB7"/>
    <w:rsid w:val="00D832C4"/>
    <w:rsid w:val="00D84C0F"/>
    <w:rsid w:val="00DA020D"/>
    <w:rsid w:val="00DA036C"/>
    <w:rsid w:val="00DB4623"/>
    <w:rsid w:val="00DB7AE5"/>
    <w:rsid w:val="00DC426F"/>
    <w:rsid w:val="00DC5A1A"/>
    <w:rsid w:val="00DD7D45"/>
    <w:rsid w:val="00DE0F00"/>
    <w:rsid w:val="00DE643D"/>
    <w:rsid w:val="00DF1C42"/>
    <w:rsid w:val="00DF64B1"/>
    <w:rsid w:val="00E42E39"/>
    <w:rsid w:val="00E53D3E"/>
    <w:rsid w:val="00E756D0"/>
    <w:rsid w:val="00E97212"/>
    <w:rsid w:val="00EB6BC7"/>
    <w:rsid w:val="00EC458A"/>
    <w:rsid w:val="00EC718D"/>
    <w:rsid w:val="00ED132E"/>
    <w:rsid w:val="00ED22E8"/>
    <w:rsid w:val="00EF04D3"/>
    <w:rsid w:val="00EF1BC2"/>
    <w:rsid w:val="00F02A3F"/>
    <w:rsid w:val="00F10D4B"/>
    <w:rsid w:val="00F16129"/>
    <w:rsid w:val="00F27799"/>
    <w:rsid w:val="00F303C7"/>
    <w:rsid w:val="00F36897"/>
    <w:rsid w:val="00F37E0C"/>
    <w:rsid w:val="00F512FA"/>
    <w:rsid w:val="00F534C5"/>
    <w:rsid w:val="00F546B5"/>
    <w:rsid w:val="00F676E6"/>
    <w:rsid w:val="00F70CB4"/>
    <w:rsid w:val="00F7204D"/>
    <w:rsid w:val="00F84D08"/>
    <w:rsid w:val="00F85A04"/>
    <w:rsid w:val="00F85A39"/>
    <w:rsid w:val="00F91A79"/>
    <w:rsid w:val="00F936A5"/>
    <w:rsid w:val="00F97B56"/>
    <w:rsid w:val="00FA6B94"/>
    <w:rsid w:val="00FB1204"/>
    <w:rsid w:val="00FB5C2D"/>
    <w:rsid w:val="00FC7716"/>
    <w:rsid w:val="00FD0B62"/>
    <w:rsid w:val="00FD3526"/>
    <w:rsid w:val="00FD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68F1360"/>
  <w15:docId w15:val="{ECF07837-935D-4C35-A6D1-AA7F042A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D4CFE"/>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3D4CFE"/>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2D0187"/>
    <w:pPr>
      <w:pBdr>
        <w:top w:val="single" w:sz="8" w:space="3" w:color="AF272F"/>
      </w:pBdr>
      <w:ind w:left="851" w:hanging="851"/>
      <w:outlineLvl w:val="1"/>
    </w:pPr>
    <w:rPr>
      <w:bCs w:val="0"/>
      <w:sz w:val="36"/>
    </w:rPr>
  </w:style>
  <w:style w:type="paragraph" w:styleId="Heading3">
    <w:name w:val="heading 3"/>
    <w:basedOn w:val="Normal"/>
    <w:next w:val="Normal"/>
    <w:link w:val="Heading3Char"/>
    <w:uiPriority w:val="9"/>
    <w:qFormat/>
    <w:locked/>
    <w:rsid w:val="00CC3605"/>
    <w:pPr>
      <w:tabs>
        <w:tab w:val="left" w:pos="851"/>
      </w:tabs>
      <w:spacing w:before="240" w:after="12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CFE"/>
    <w:rPr>
      <w:rFonts w:ascii="Arial" w:eastAsiaTheme="majorEastAsia" w:hAnsi="Arial" w:cstheme="majorBidi"/>
      <w:b/>
      <w:bCs/>
      <w:color w:val="AF272F"/>
      <w:sz w:val="44"/>
      <w:szCs w:val="20"/>
      <w:lang w:val="en-AU"/>
    </w:rPr>
  </w:style>
  <w:style w:type="character" w:customStyle="1" w:styleId="Heading2Char">
    <w:name w:val="Heading 2 Char"/>
    <w:basedOn w:val="DefaultParagraphFont"/>
    <w:link w:val="Heading2"/>
    <w:uiPriority w:val="9"/>
    <w:rsid w:val="002D0187"/>
    <w:rPr>
      <w:rFonts w:ascii="Arial" w:eastAsiaTheme="majorEastAsia" w:hAnsi="Arial" w:cstheme="majorBidi"/>
      <w:b/>
      <w:color w:val="AF272F"/>
      <w:sz w:val="36"/>
      <w:szCs w:val="20"/>
      <w:lang w:val="en-AU"/>
    </w:rPr>
  </w:style>
  <w:style w:type="character" w:customStyle="1" w:styleId="Heading3Char">
    <w:name w:val="Heading 3 Char"/>
    <w:basedOn w:val="DefaultParagraphFont"/>
    <w:link w:val="Heading3"/>
    <w:uiPriority w:val="9"/>
    <w:rsid w:val="00CC3605"/>
    <w:rPr>
      <w:rFonts w:ascii="Arial" w:hAnsi="Arial" w:cs="Arial"/>
      <w:b/>
      <w:color w:val="000000" w:themeColor="text1"/>
      <w:szCs w:val="18"/>
      <w:lang w:val="en-AU"/>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Footer">
    <w:name w:val="footer"/>
    <w:basedOn w:val="Normal"/>
    <w:link w:val="FooterChar"/>
    <w:uiPriority w:val="99"/>
    <w:rsid w:val="008877AA"/>
    <w:pPr>
      <w:tabs>
        <w:tab w:val="right" w:pos="7371"/>
      </w:tabs>
      <w:spacing w:before="0" w:line="240" w:lineRule="auto"/>
    </w:pPr>
    <w:rPr>
      <w:sz w:val="20"/>
    </w:rPr>
  </w:style>
  <w:style w:type="character" w:customStyle="1" w:styleId="FooterChar">
    <w:name w:val="Footer Char"/>
    <w:basedOn w:val="DefaultParagraphFont"/>
    <w:link w:val="Footer"/>
    <w:uiPriority w:val="99"/>
    <w:rsid w:val="008877AA"/>
    <w:rPr>
      <w:rFonts w:ascii="Arial" w:hAnsi="Arial" w:cs="Arial"/>
      <w:sz w:val="20"/>
      <w:szCs w:val="18"/>
      <w:lang w:val="en-AU"/>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qFormat/>
    <w:locked/>
    <w:rsid w:val="00326F48"/>
    <w:rPr>
      <w:i/>
      <w:iCs/>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714E93"/>
    <w:pPr>
      <w:spacing w:before="0" w:line="240" w:lineRule="auto"/>
    </w:pPr>
    <w:rPr>
      <w:sz w:val="20"/>
    </w:rPr>
  </w:style>
  <w:style w:type="character" w:customStyle="1" w:styleId="HeaderChar">
    <w:name w:val="Header Char"/>
    <w:basedOn w:val="DefaultParagraphFont"/>
    <w:link w:val="Header"/>
    <w:uiPriority w:val="99"/>
    <w:rsid w:val="00714E93"/>
    <w:rPr>
      <w:rFonts w:ascii="Arial" w:hAnsi="Arial" w:cs="Arial"/>
      <w:sz w:val="20"/>
      <w:szCs w:val="18"/>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styleId="FootnoteText">
    <w:name w:val="footnote text"/>
    <w:basedOn w:val="Normal"/>
    <w:link w:val="FootnoteTextChar"/>
    <w:uiPriority w:val="99"/>
    <w:semiHidden/>
    <w:locked/>
    <w:rsid w:val="00271F77"/>
    <w:pPr>
      <w:spacing w:after="40" w:line="240" w:lineRule="auto"/>
    </w:pPr>
    <w:rPr>
      <w:sz w:val="11"/>
      <w:szCs w:val="11"/>
    </w:rPr>
  </w:style>
  <w:style w:type="character" w:customStyle="1" w:styleId="FootnoteTextChar">
    <w:name w:val="Footnote Text Char"/>
    <w:basedOn w:val="DefaultParagraphFont"/>
    <w:link w:val="FootnoteText"/>
    <w:uiPriority w:val="99"/>
    <w:semiHidden/>
    <w:rsid w:val="00AD3210"/>
    <w:rPr>
      <w:rFonts w:ascii="Arial" w:hAnsi="Arial" w:cs="Arial"/>
      <w:sz w:val="11"/>
      <w:szCs w:val="11"/>
    </w:rPr>
  </w:style>
  <w:style w:type="paragraph" w:customStyle="1" w:styleId="NoteLevel1">
    <w:name w:val="Note Level 1"/>
    <w:basedOn w:val="Normal"/>
    <w:uiPriority w:val="99"/>
    <w:semiHidden/>
    <w:locked/>
    <w:rsid w:val="00895870"/>
    <w:pPr>
      <w:keepNext/>
      <w:ind w:left="284" w:hanging="360"/>
      <w:contextualSpacing/>
      <w:outlineLvl w:val="0"/>
    </w:pPr>
  </w:style>
  <w:style w:type="paragraph" w:customStyle="1" w:styleId="NoteLevel2">
    <w:name w:val="Note Level 2"/>
    <w:basedOn w:val="Normal"/>
    <w:uiPriority w:val="99"/>
    <w:semiHidden/>
    <w:locked/>
    <w:rsid w:val="00D84C0F"/>
    <w:pPr>
      <w:keepNext/>
      <w:tabs>
        <w:tab w:val="num" w:pos="-240"/>
      </w:tabs>
      <w:ind w:left="120" w:firstLine="164"/>
      <w:contextualSpacing/>
      <w:outlineLvl w:val="1"/>
    </w:pPr>
  </w:style>
  <w:style w:type="paragraph" w:customStyle="1" w:styleId="NoteLevel3">
    <w:name w:val="Note Level 3"/>
    <w:basedOn w:val="Normal"/>
    <w:uiPriority w:val="99"/>
    <w:semiHidden/>
    <w:locked/>
    <w:rsid w:val="00D84C0F"/>
    <w:pPr>
      <w:keepNext/>
      <w:tabs>
        <w:tab w:val="num" w:pos="480"/>
      </w:tabs>
      <w:ind w:left="840" w:firstLine="164"/>
      <w:contextualSpacing/>
      <w:outlineLvl w:val="2"/>
    </w:pPr>
  </w:style>
  <w:style w:type="paragraph" w:customStyle="1" w:styleId="NoteLevel4">
    <w:name w:val="Note Level 4"/>
    <w:basedOn w:val="Normal"/>
    <w:uiPriority w:val="99"/>
    <w:semiHidden/>
    <w:locked/>
    <w:rsid w:val="00D84C0F"/>
    <w:pPr>
      <w:keepNext/>
      <w:tabs>
        <w:tab w:val="num" w:pos="1200"/>
      </w:tabs>
      <w:ind w:left="1560" w:firstLine="164"/>
      <w:contextualSpacing/>
      <w:outlineLvl w:val="3"/>
    </w:pPr>
  </w:style>
  <w:style w:type="paragraph" w:customStyle="1" w:styleId="NoteLevel5">
    <w:name w:val="Note Level 5"/>
    <w:basedOn w:val="Normal"/>
    <w:uiPriority w:val="99"/>
    <w:semiHidden/>
    <w:locked/>
    <w:rsid w:val="00D84C0F"/>
    <w:pPr>
      <w:keepNext/>
      <w:numPr>
        <w:ilvl w:val="4"/>
        <w:numId w:val="11"/>
      </w:numPr>
      <w:ind w:left="1985" w:firstLine="164"/>
      <w:contextualSpacing/>
      <w:outlineLvl w:val="4"/>
    </w:pPr>
  </w:style>
  <w:style w:type="paragraph" w:customStyle="1" w:styleId="NoteLevel6">
    <w:name w:val="Note Level 6"/>
    <w:basedOn w:val="Normal"/>
    <w:uiPriority w:val="99"/>
    <w:semiHidden/>
    <w:locked/>
    <w:rsid w:val="00D84C0F"/>
    <w:pPr>
      <w:keepNext/>
      <w:tabs>
        <w:tab w:val="num" w:pos="2640"/>
      </w:tabs>
      <w:ind w:left="3000" w:firstLine="164"/>
      <w:contextualSpacing/>
      <w:outlineLvl w:val="5"/>
    </w:pPr>
  </w:style>
  <w:style w:type="paragraph" w:customStyle="1" w:styleId="NoteLevel7">
    <w:name w:val="Note Level 7"/>
    <w:basedOn w:val="NoteLevel5"/>
    <w:uiPriority w:val="99"/>
    <w:semiHidden/>
    <w:locked/>
    <w:rsid w:val="00D84C0F"/>
    <w:pPr>
      <w:ind w:left="3402" w:firstLine="0"/>
    </w:pPr>
  </w:style>
  <w:style w:type="paragraph" w:customStyle="1" w:styleId="NoteLevel8">
    <w:name w:val="Note Level 8"/>
    <w:basedOn w:val="Normal"/>
    <w:uiPriority w:val="99"/>
    <w:semiHidden/>
    <w:locked/>
    <w:rsid w:val="00D84C0F"/>
    <w:pPr>
      <w:keepNext/>
      <w:numPr>
        <w:ilvl w:val="7"/>
        <w:numId w:val="11"/>
      </w:numPr>
      <w:contextualSpacing/>
      <w:outlineLvl w:val="7"/>
    </w:pPr>
  </w:style>
  <w:style w:type="character" w:styleId="FootnoteReference">
    <w:name w:val="footnote reference"/>
    <w:basedOn w:val="DefaultParagraphFont"/>
    <w:uiPriority w:val="99"/>
    <w:semiHidden/>
    <w:locked/>
    <w:rsid w:val="00271F77"/>
    <w:rPr>
      <w:color w:val="AF272F"/>
      <w:sz w:val="13"/>
      <w:szCs w:val="13"/>
      <w:vertAlign w:val="superscript"/>
    </w:rPr>
  </w:style>
  <w:style w:type="paragraph" w:customStyle="1" w:styleId="NoteLevel9">
    <w:name w:val="Note Level 9"/>
    <w:basedOn w:val="Normal"/>
    <w:uiPriority w:val="99"/>
    <w:semiHidden/>
    <w:locked/>
    <w:rsid w:val="00D84C0F"/>
    <w:pPr>
      <w:keepNext/>
      <w:numPr>
        <w:ilvl w:val="8"/>
        <w:numId w:val="11"/>
      </w:numPr>
      <w:contextualSpacing/>
      <w:outlineLvl w:val="8"/>
    </w:pPr>
  </w:style>
  <w:style w:type="paragraph" w:styleId="TOC3">
    <w:name w:val="toc 3"/>
    <w:basedOn w:val="Normal"/>
    <w:next w:val="Normal"/>
    <w:autoRedefine/>
    <w:uiPriority w:val="39"/>
    <w:semiHidden/>
    <w:locked/>
    <w:rsid w:val="00895870"/>
    <w:pPr>
      <w:ind w:left="360"/>
    </w:pPr>
  </w:style>
  <w:style w:type="paragraph" w:styleId="TOC1">
    <w:name w:val="toc 1"/>
    <w:basedOn w:val="Normal"/>
    <w:next w:val="Normal"/>
    <w:autoRedefine/>
    <w:uiPriority w:val="39"/>
    <w:semiHidden/>
    <w:locked/>
    <w:rsid w:val="00895870"/>
    <w:pPr>
      <w:tabs>
        <w:tab w:val="right" w:leader="dot" w:pos="9346"/>
      </w:tabs>
      <w:spacing w:after="100"/>
    </w:pPr>
    <w:rPr>
      <w:b/>
      <w:color w:val="AF272F"/>
    </w:r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paragraph" w:styleId="TOC9">
    <w:name w:val="toc 9"/>
    <w:basedOn w:val="Normal"/>
    <w:next w:val="Normal"/>
    <w:autoRedefine/>
    <w:uiPriority w:val="39"/>
    <w:semiHidden/>
    <w:locked/>
    <w:rsid w:val="00895870"/>
    <w:pPr>
      <w:ind w:left="1440"/>
    </w:pPr>
  </w:style>
  <w:style w:type="character" w:styleId="EndnoteReference">
    <w:name w:val="endnote reference"/>
    <w:uiPriority w:val="99"/>
    <w:semiHidden/>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927DEE"/>
    <w:rPr>
      <w:color w:val="0000FF"/>
      <w:u w:val="single"/>
    </w:rPr>
  </w:style>
  <w:style w:type="paragraph" w:styleId="ListBullet">
    <w:name w:val="List Bullet"/>
    <w:basedOn w:val="Normal"/>
    <w:uiPriority w:val="99"/>
    <w:locked/>
    <w:rsid w:val="008877AA"/>
    <w:pPr>
      <w:numPr>
        <w:numId w:val="27"/>
      </w:numPr>
      <w:ind w:left="284" w:hanging="284"/>
    </w:pPr>
    <w:rPr>
      <w:rFonts w:eastAsiaTheme="minorHAnsi" w:cstheme="minorBidi"/>
      <w:szCs w:val="22"/>
    </w:rPr>
  </w:style>
  <w:style w:type="paragraph" w:styleId="ListBullet2">
    <w:name w:val="List Bullet 2"/>
    <w:basedOn w:val="Normal"/>
    <w:uiPriority w:val="99"/>
    <w:locked/>
    <w:rsid w:val="00927DEE"/>
    <w:pPr>
      <w:spacing w:before="60"/>
      <w:ind w:left="568" w:hanging="284"/>
    </w:pPr>
    <w:rPr>
      <w:rFonts w:ascii="Candara" w:eastAsiaTheme="minorHAnsi" w:hAnsi="Candara"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semiHidden/>
    <w:locked/>
    <w:rsid w:val="0051778F"/>
    <w:rPr>
      <w:color w:val="0000FF"/>
      <w:u w:val="single"/>
    </w:rPr>
  </w:style>
  <w:style w:type="paragraph" w:styleId="ListContinue">
    <w:name w:val="List Continue"/>
    <w:basedOn w:val="Normal"/>
    <w:uiPriority w:val="99"/>
    <w:unhideWhenUsed/>
    <w:locked/>
    <w:rsid w:val="0051778F"/>
    <w:pPr>
      <w:ind w:left="284"/>
    </w:pPr>
    <w:rPr>
      <w:rFonts w:ascii="Candara" w:eastAsiaTheme="minorHAnsi" w:hAnsi="Candara" w:cstheme="minorBidi"/>
      <w:szCs w:val="22"/>
    </w:rPr>
  </w:style>
  <w:style w:type="paragraph" w:styleId="BodyText">
    <w:name w:val="Body Text"/>
    <w:basedOn w:val="Normal"/>
    <w:link w:val="BodyText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b/>
      <w:color w:val="F79646" w:themeColor="accent6"/>
      <w:sz w:val="24"/>
      <w:szCs w:val="22"/>
    </w:rPr>
  </w:style>
  <w:style w:type="character" w:customStyle="1" w:styleId="BodyTextChar">
    <w:name w:val="Body Text Char"/>
    <w:basedOn w:val="DefaultParagraphFont"/>
    <w:link w:val="BodyText"/>
    <w:uiPriority w:val="99"/>
    <w:rsid w:val="0051778F"/>
    <w:rPr>
      <w:rFonts w:ascii="Candara" w:eastAsiaTheme="minorHAnsi" w:hAnsi="Candara"/>
      <w:b/>
      <w:color w:val="F79646" w:themeColor="accent6"/>
      <w:szCs w:val="22"/>
      <w:lang w:val="en-AU"/>
    </w:rPr>
  </w:style>
  <w:style w:type="paragraph" w:styleId="BodyText2">
    <w:name w:val="Body Text 2"/>
    <w:basedOn w:val="Normal"/>
    <w:link w:val="BodyText2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szCs w:val="22"/>
    </w:rPr>
  </w:style>
  <w:style w:type="character" w:customStyle="1" w:styleId="BodyText2Char">
    <w:name w:val="Body Text 2 Char"/>
    <w:basedOn w:val="DefaultParagraphFont"/>
    <w:link w:val="BodyText2"/>
    <w:uiPriority w:val="99"/>
    <w:rsid w:val="0051778F"/>
    <w:rPr>
      <w:rFonts w:ascii="Candara" w:eastAsiaTheme="minorHAnsi" w:hAnsi="Candara"/>
      <w:sz w:val="22"/>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443FF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43FF4"/>
    <w:rPr>
      <w:rFonts w:ascii="Segoe UI" w:hAnsi="Segoe UI" w:cs="Segoe UI"/>
      <w:sz w:val="18"/>
      <w:szCs w:val="18"/>
    </w:rPr>
  </w:style>
  <w:style w:type="paragraph" w:customStyle="1" w:styleId="Default">
    <w:name w:val="Default"/>
    <w:rsid w:val="00232805"/>
    <w:pPr>
      <w:autoSpaceDE w:val="0"/>
      <w:autoSpaceDN w:val="0"/>
      <w:adjustRightInd w:val="0"/>
    </w:pPr>
    <w:rPr>
      <w:rFonts w:ascii="Times New Roman" w:hAnsi="Times New Roman" w:cs="Times New Roman"/>
      <w:color w:val="000000"/>
      <w:lang w:val="en-AU"/>
    </w:rPr>
  </w:style>
  <w:style w:type="character" w:customStyle="1" w:styleId="Mention1">
    <w:name w:val="Mention1"/>
    <w:basedOn w:val="DefaultParagraphFont"/>
    <w:uiPriority w:val="99"/>
    <w:semiHidden/>
    <w:unhideWhenUsed/>
    <w:rsid w:val="0091756B"/>
    <w:rPr>
      <w:color w:val="2B579A"/>
      <w:shd w:val="clear" w:color="auto" w:fill="E6E6E6"/>
    </w:rPr>
  </w:style>
  <w:style w:type="table" w:customStyle="1" w:styleId="GridTable6Colorful10">
    <w:name w:val="Grid Table 6 Colorful1"/>
    <w:basedOn w:val="TableNormal"/>
    <w:next w:val="GridTable6Colorful1"/>
    <w:uiPriority w:val="51"/>
    <w:locked/>
    <w:rsid w:val="002C37F8"/>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87581F"/>
    <w:rPr>
      <w:rFonts w:ascii="Arial" w:hAnsi="Arial" w:cs="Arial"/>
      <w:sz w:val="22"/>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97">
      <w:bodyDiv w:val="1"/>
      <w:marLeft w:val="0"/>
      <w:marRight w:val="0"/>
      <w:marTop w:val="0"/>
      <w:marBottom w:val="0"/>
      <w:divBdr>
        <w:top w:val="none" w:sz="0" w:space="0" w:color="auto"/>
        <w:left w:val="none" w:sz="0" w:space="0" w:color="auto"/>
        <w:bottom w:val="none" w:sz="0" w:space="0" w:color="auto"/>
        <w:right w:val="none" w:sz="0" w:space="0" w:color="auto"/>
      </w:divBdr>
      <w:divsChild>
        <w:div w:id="1477643401">
          <w:marLeft w:val="0"/>
          <w:marRight w:val="0"/>
          <w:marTop w:val="0"/>
          <w:marBottom w:val="0"/>
          <w:divBdr>
            <w:top w:val="none" w:sz="0" w:space="0" w:color="auto"/>
            <w:left w:val="none" w:sz="0" w:space="0" w:color="auto"/>
            <w:bottom w:val="none" w:sz="0" w:space="0" w:color="auto"/>
            <w:right w:val="none" w:sz="0" w:space="0" w:color="auto"/>
          </w:divBdr>
          <w:divsChild>
            <w:div w:id="1404137642">
              <w:marLeft w:val="0"/>
              <w:marRight w:val="0"/>
              <w:marTop w:val="0"/>
              <w:marBottom w:val="0"/>
              <w:divBdr>
                <w:top w:val="none" w:sz="0" w:space="0" w:color="auto"/>
                <w:left w:val="none" w:sz="0" w:space="0" w:color="auto"/>
                <w:bottom w:val="none" w:sz="0" w:space="0" w:color="auto"/>
                <w:right w:val="none" w:sz="0" w:space="0" w:color="auto"/>
              </w:divBdr>
              <w:divsChild>
                <w:div w:id="557671680">
                  <w:marLeft w:val="0"/>
                  <w:marRight w:val="0"/>
                  <w:marTop w:val="0"/>
                  <w:marBottom w:val="0"/>
                  <w:divBdr>
                    <w:top w:val="none" w:sz="0" w:space="0" w:color="auto"/>
                    <w:left w:val="none" w:sz="0" w:space="0" w:color="auto"/>
                    <w:bottom w:val="none" w:sz="0" w:space="0" w:color="auto"/>
                    <w:right w:val="none" w:sz="0" w:space="0" w:color="auto"/>
                  </w:divBdr>
                  <w:divsChild>
                    <w:div w:id="1135827441">
                      <w:marLeft w:val="0"/>
                      <w:marRight w:val="0"/>
                      <w:marTop w:val="0"/>
                      <w:marBottom w:val="0"/>
                      <w:divBdr>
                        <w:top w:val="none" w:sz="0" w:space="0" w:color="auto"/>
                        <w:left w:val="none" w:sz="0" w:space="0" w:color="auto"/>
                        <w:bottom w:val="none" w:sz="0" w:space="0" w:color="auto"/>
                        <w:right w:val="none" w:sz="0" w:space="0" w:color="auto"/>
                      </w:divBdr>
                      <w:divsChild>
                        <w:div w:id="2045863027">
                          <w:marLeft w:val="0"/>
                          <w:marRight w:val="0"/>
                          <w:marTop w:val="0"/>
                          <w:marBottom w:val="0"/>
                          <w:divBdr>
                            <w:top w:val="none" w:sz="0" w:space="0" w:color="auto"/>
                            <w:left w:val="none" w:sz="0" w:space="0" w:color="auto"/>
                            <w:bottom w:val="none" w:sz="0" w:space="0" w:color="auto"/>
                            <w:right w:val="none" w:sz="0" w:space="0" w:color="auto"/>
                          </w:divBdr>
                          <w:divsChild>
                            <w:div w:id="1721241791">
                              <w:marLeft w:val="0"/>
                              <w:marRight w:val="0"/>
                              <w:marTop w:val="0"/>
                              <w:marBottom w:val="0"/>
                              <w:divBdr>
                                <w:top w:val="none" w:sz="0" w:space="0" w:color="auto"/>
                                <w:left w:val="none" w:sz="0" w:space="0" w:color="auto"/>
                                <w:bottom w:val="none" w:sz="0" w:space="0" w:color="auto"/>
                                <w:right w:val="none" w:sz="0" w:space="0" w:color="auto"/>
                              </w:divBdr>
                              <w:divsChild>
                                <w:div w:id="362246848">
                                  <w:marLeft w:val="0"/>
                                  <w:marRight w:val="0"/>
                                  <w:marTop w:val="0"/>
                                  <w:marBottom w:val="0"/>
                                  <w:divBdr>
                                    <w:top w:val="none" w:sz="0" w:space="0" w:color="auto"/>
                                    <w:left w:val="none" w:sz="0" w:space="0" w:color="auto"/>
                                    <w:bottom w:val="none" w:sz="0" w:space="0" w:color="auto"/>
                                    <w:right w:val="none" w:sz="0" w:space="0" w:color="auto"/>
                                  </w:divBdr>
                                  <w:divsChild>
                                    <w:div w:id="740522974">
                                      <w:marLeft w:val="0"/>
                                      <w:marRight w:val="0"/>
                                      <w:marTop w:val="0"/>
                                      <w:marBottom w:val="0"/>
                                      <w:divBdr>
                                        <w:top w:val="none" w:sz="0" w:space="0" w:color="auto"/>
                                        <w:left w:val="none" w:sz="0" w:space="0" w:color="auto"/>
                                        <w:bottom w:val="none" w:sz="0" w:space="0" w:color="auto"/>
                                        <w:right w:val="none" w:sz="0" w:space="0" w:color="auto"/>
                                      </w:divBdr>
                                      <w:divsChild>
                                        <w:div w:id="2115131065">
                                          <w:marLeft w:val="0"/>
                                          <w:marRight w:val="0"/>
                                          <w:marTop w:val="0"/>
                                          <w:marBottom w:val="0"/>
                                          <w:divBdr>
                                            <w:top w:val="none" w:sz="0" w:space="0" w:color="auto"/>
                                            <w:left w:val="none" w:sz="0" w:space="0" w:color="auto"/>
                                            <w:bottom w:val="none" w:sz="0" w:space="0" w:color="auto"/>
                                            <w:right w:val="none" w:sz="0" w:space="0" w:color="auto"/>
                                          </w:divBdr>
                                          <w:divsChild>
                                            <w:div w:id="545678713">
                                              <w:marLeft w:val="0"/>
                                              <w:marRight w:val="0"/>
                                              <w:marTop w:val="0"/>
                                              <w:marBottom w:val="0"/>
                                              <w:divBdr>
                                                <w:top w:val="none" w:sz="0" w:space="0" w:color="auto"/>
                                                <w:left w:val="none" w:sz="0" w:space="0" w:color="auto"/>
                                                <w:bottom w:val="none" w:sz="0" w:space="0" w:color="auto"/>
                                                <w:right w:val="none" w:sz="0" w:space="0" w:color="auto"/>
                                              </w:divBdr>
                                              <w:divsChild>
                                                <w:div w:id="1556162597">
                                                  <w:marLeft w:val="0"/>
                                                  <w:marRight w:val="0"/>
                                                  <w:marTop w:val="0"/>
                                                  <w:marBottom w:val="0"/>
                                                  <w:divBdr>
                                                    <w:top w:val="none" w:sz="0" w:space="0" w:color="auto"/>
                                                    <w:left w:val="none" w:sz="0" w:space="0" w:color="auto"/>
                                                    <w:bottom w:val="none" w:sz="0" w:space="0" w:color="auto"/>
                                                    <w:right w:val="none" w:sz="0" w:space="0" w:color="auto"/>
                                                  </w:divBdr>
                                                  <w:divsChild>
                                                    <w:div w:id="1743025670">
                                                      <w:marLeft w:val="0"/>
                                                      <w:marRight w:val="0"/>
                                                      <w:marTop w:val="300"/>
                                                      <w:marBottom w:val="0"/>
                                                      <w:divBdr>
                                                        <w:top w:val="none" w:sz="0" w:space="0" w:color="auto"/>
                                                        <w:left w:val="none" w:sz="0" w:space="0" w:color="auto"/>
                                                        <w:bottom w:val="none" w:sz="0" w:space="0" w:color="auto"/>
                                                        <w:right w:val="none" w:sz="0" w:space="0" w:color="auto"/>
                                                      </w:divBdr>
                                                      <w:divsChild>
                                                        <w:div w:id="1065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78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ate.eduweb.vic.gov.au/sites/intranet/Services/Legal-Services/Pages/default.aspx" TargetMode="External"/><Relationship Id="rId18" Type="http://schemas.openxmlformats.org/officeDocument/2006/relationships/hyperlink" Target="http://www.education.vic.gov.au/school/principals/spag/pages/spag.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gate.eduweb.vic.gov.au/sites/i/pages/production.aspx" TargetMode="External"/><Relationship Id="rId17" Type="http://schemas.openxmlformats.org/officeDocument/2006/relationships/hyperlink" Target="http://www.education.vic.gov.au/school/teachers/management/finance/Pages/guidelines.aspx" TargetMode="External"/><Relationship Id="rId2" Type="http://schemas.openxmlformats.org/officeDocument/2006/relationships/customXml" Target="../customXml/item2.xml"/><Relationship Id="rId16" Type="http://schemas.openxmlformats.org/officeDocument/2006/relationships/hyperlink" Target="https://www.education.vic.gov.au/Documents/school/teachers/management/&#8226;%09https:/edugate.eduweb.vic.gov.au/sites/intranet/Services/Legal-Services/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sites/intranet/Services/Legal-Services/Pages/default.aspx" TargetMode="External"/><Relationship Id="rId5" Type="http://schemas.openxmlformats.org/officeDocument/2006/relationships/numbering" Target="numbering.xml"/><Relationship Id="rId15" Type="http://schemas.openxmlformats.org/officeDocument/2006/relationships/hyperlink" Target="http://www.education.vic.gov.au/school/teachers/management/finance/Pages/guidelines.aspx" TargetMode="External"/><Relationship Id="rId10" Type="http://schemas.openxmlformats.org/officeDocument/2006/relationships/endnotes" Target="endnotes.xml"/><Relationship Id="rId19" Type="http://schemas.openxmlformats.org/officeDocument/2006/relationships/hyperlink" Target="https://edugate.eduweb.vic.gov.au/sites/i/pages/product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school/teachers/management/&#8226;%09http:/www.education.vic.gov.au/school/teachers/management/finance/Pages/guidelines.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0E0FE-5B91-4B2F-B98E-E1FFBA1DE0CF}"/>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C9AF9A5F-D3E1-4307-B283-F475C4AB481B}"/>
</file>

<file path=docProps/app.xml><?xml version="1.0" encoding="utf-8"?>
<Properties xmlns="http://schemas.openxmlformats.org/officeDocument/2006/extended-properties" xmlns:vt="http://schemas.openxmlformats.org/officeDocument/2006/docPropsVTypes">
  <Template>Normal</Template>
  <TotalTime>3</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Sutherland, Lisa J</cp:lastModifiedBy>
  <cp:revision>5</cp:revision>
  <cp:lastPrinted>2019-02-01T01:03:00Z</cp:lastPrinted>
  <dcterms:created xsi:type="dcterms:W3CDTF">2019-01-25T05:43:00Z</dcterms:created>
  <dcterms:modified xsi:type="dcterms:W3CDTF">2019-02-01T01:03:00Z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