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04F81" w14:textId="77777777" w:rsidR="006554DD" w:rsidRPr="00780C56" w:rsidRDefault="006B4909" w:rsidP="006554DD">
      <w:pPr>
        <w:pStyle w:val="Heading1"/>
        <w:rPr>
          <w:rFonts w:cs="Arial"/>
          <w:b w:val="0"/>
          <w:szCs w:val="44"/>
        </w:rPr>
      </w:pPr>
      <w:bookmarkStart w:id="0" w:name="_Toc455499267"/>
      <w:bookmarkStart w:id="1" w:name="_Toc455499461"/>
      <w:bookmarkStart w:id="2" w:name="_Toc455501167"/>
      <w:r w:rsidRPr="00780C56">
        <w:rPr>
          <w:rFonts w:cs="Arial"/>
          <w:szCs w:val="44"/>
        </w:rPr>
        <w:t>Section 10</w:t>
      </w:r>
      <w:r w:rsidR="006554DD" w:rsidRPr="00780C56">
        <w:rPr>
          <w:rFonts w:cs="Arial"/>
          <w:szCs w:val="44"/>
        </w:rPr>
        <w:t xml:space="preserve">: </w:t>
      </w:r>
      <w:r w:rsidRPr="009D2E0B">
        <w:rPr>
          <w:rFonts w:cs="Arial"/>
          <w:szCs w:val="44"/>
        </w:rPr>
        <w:t>Receivables</w:t>
      </w:r>
      <w:r w:rsidRPr="00780C56">
        <w:rPr>
          <w:rFonts w:cs="Arial"/>
          <w:szCs w:val="44"/>
        </w:rPr>
        <w:t xml:space="preserve"> Management and Cash Handling</w:t>
      </w:r>
    </w:p>
    <w:p w14:paraId="59670F7B" w14:textId="77777777" w:rsidR="006554DD" w:rsidRPr="00780C56" w:rsidRDefault="006F05E1" w:rsidP="006554DD">
      <w:pPr>
        <w:pStyle w:val="Heading2"/>
      </w:pPr>
      <w:r w:rsidRPr="00780C56">
        <w:t>10</w:t>
      </w:r>
      <w:r w:rsidR="006554DD" w:rsidRPr="00780C56">
        <w:t>.1</w:t>
      </w:r>
      <w:r w:rsidR="00EF0224">
        <w:tab/>
      </w:r>
      <w:r w:rsidR="006554DD" w:rsidRPr="00780C56">
        <w:t>Overview</w:t>
      </w:r>
    </w:p>
    <w:p w14:paraId="61C9D931" w14:textId="77777777" w:rsidR="00C84D64" w:rsidRDefault="00E0788A" w:rsidP="009D2E0B">
      <w:r>
        <w:t xml:space="preserve">Schools </w:t>
      </w:r>
      <w:r w:rsidR="00C919C4">
        <w:t xml:space="preserve">can </w:t>
      </w:r>
      <w:r>
        <w:t xml:space="preserve">earn revenue from </w:t>
      </w:r>
      <w:r w:rsidR="00C273A9">
        <w:t>several</w:t>
      </w:r>
      <w:r>
        <w:t xml:space="preserve"> </w:t>
      </w:r>
      <w:r w:rsidR="00221235">
        <w:t>sources</w:t>
      </w:r>
      <w:r>
        <w:t xml:space="preserve">. This may involve invoicing families and sundry debtors as well as the receipt of cash. It is important that schools recognise this revenue in a manner that best matches </w:t>
      </w:r>
      <w:r w:rsidR="00C273A9">
        <w:t xml:space="preserve">those that </w:t>
      </w:r>
      <w:r>
        <w:t xml:space="preserve">will be eventually </w:t>
      </w:r>
      <w:r w:rsidR="00C273A9">
        <w:t>paid. C</w:t>
      </w:r>
      <w:r>
        <w:t xml:space="preserve">ash receipts </w:t>
      </w:r>
      <w:r w:rsidR="00221235">
        <w:t>must</w:t>
      </w:r>
      <w:r w:rsidR="00C273A9">
        <w:t xml:space="preserve"> be </w:t>
      </w:r>
      <w:r>
        <w:t xml:space="preserve">handled </w:t>
      </w:r>
      <w:r w:rsidR="00C273A9">
        <w:t xml:space="preserve">in a manner that </w:t>
      </w:r>
      <w:r>
        <w:t>minimise</w:t>
      </w:r>
      <w:r w:rsidR="00C273A9">
        <w:t>s</w:t>
      </w:r>
      <w:r>
        <w:t xml:space="preserve"> any associated risks.</w:t>
      </w:r>
    </w:p>
    <w:p w14:paraId="289083CA" w14:textId="77777777" w:rsidR="006554DD" w:rsidRDefault="006F05E1" w:rsidP="006554DD">
      <w:pPr>
        <w:pStyle w:val="Heading2"/>
      </w:pPr>
      <w:r>
        <w:t>10</w:t>
      </w:r>
      <w:r w:rsidR="006554DD" w:rsidRPr="009F57A3">
        <w:t>.2</w:t>
      </w:r>
      <w:r w:rsidR="00EF0224">
        <w:tab/>
      </w:r>
      <w:r w:rsidR="00E0788A" w:rsidRPr="00780C56">
        <w:t>Managing Receivables</w:t>
      </w:r>
    </w:p>
    <w:p w14:paraId="4B1CA583" w14:textId="77777777" w:rsidR="006F05E1" w:rsidRPr="006F05E1" w:rsidRDefault="00E0788A" w:rsidP="006F05E1">
      <w:r>
        <w:t>A receivable is</w:t>
      </w:r>
      <w:r w:rsidR="009839C8">
        <w:t xml:space="preserve"> money owing to the school from the provision of services or the sale of goods</w:t>
      </w:r>
      <w:r w:rsidR="00B62037">
        <w:t xml:space="preserve"> and services</w:t>
      </w:r>
      <w:r w:rsidR="009839C8">
        <w:t xml:space="preserve">. It may be owed by families for items such as camps and excursions or third parties (sundry debtors) for items such as hire of </w:t>
      </w:r>
      <w:r w:rsidR="00C919C4">
        <w:t xml:space="preserve">school </w:t>
      </w:r>
      <w:r w:rsidR="009839C8">
        <w:t>facilities.</w:t>
      </w:r>
    </w:p>
    <w:p w14:paraId="25067738" w14:textId="77777777" w:rsidR="006554DD" w:rsidRPr="009F57A3" w:rsidRDefault="00E0788A" w:rsidP="006554DD">
      <w:pPr>
        <w:pStyle w:val="Heading3"/>
      </w:pPr>
      <w:r>
        <w:t>10</w:t>
      </w:r>
      <w:r w:rsidR="006554DD" w:rsidRPr="009F57A3">
        <w:t>.2.1</w:t>
      </w:r>
      <w:r w:rsidR="00EF0224">
        <w:tab/>
      </w:r>
      <w:r w:rsidR="006554DD" w:rsidRPr="009F57A3">
        <w:t>Mandatory policy (</w:t>
      </w:r>
      <w:r w:rsidR="009D2E0B">
        <w:t>Must do</w:t>
      </w:r>
      <w:r w:rsidR="006554DD" w:rsidRPr="009F57A3">
        <w:t>)</w:t>
      </w:r>
      <w:r w:rsidR="00221235">
        <w:t>:</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647"/>
        <w:gridCol w:w="141"/>
      </w:tblGrid>
      <w:tr w:rsidR="001317DC" w:rsidRPr="0091756B" w14:paraId="7A2A80F7" w14:textId="22311B5A" w:rsidTr="001317DC">
        <w:trPr>
          <w:gridAfter w:val="1"/>
          <w:wAfter w:w="141" w:type="dxa"/>
          <w:trHeight w:val="567"/>
          <w:tblHeader/>
        </w:trPr>
        <w:tc>
          <w:tcPr>
            <w:tcW w:w="1134" w:type="dxa"/>
            <w:shd w:val="clear" w:color="auto" w:fill="FFFFFF" w:themeFill="background1"/>
          </w:tcPr>
          <w:p w14:paraId="34D14499" w14:textId="4E0FEEA2" w:rsidR="001317DC" w:rsidRPr="009534D4" w:rsidRDefault="001317DC" w:rsidP="00CD44D5">
            <w:pPr>
              <w:rPr>
                <w:b/>
              </w:rPr>
            </w:pPr>
            <w:r>
              <w:rPr>
                <w:b/>
                <w:sz w:val="18"/>
              </w:rPr>
              <w:t>Sequence</w:t>
            </w:r>
            <w:r w:rsidRPr="0024419D">
              <w:rPr>
                <w:b/>
                <w:sz w:val="18"/>
              </w:rPr>
              <w:t xml:space="preserve"> Number</w:t>
            </w:r>
          </w:p>
        </w:tc>
        <w:tc>
          <w:tcPr>
            <w:tcW w:w="7088" w:type="dxa"/>
            <w:shd w:val="clear" w:color="auto" w:fill="auto"/>
          </w:tcPr>
          <w:p w14:paraId="5B4179D9" w14:textId="5947D362" w:rsidR="001317DC" w:rsidRPr="00924F22" w:rsidRDefault="001317DC" w:rsidP="00CD44D5">
            <w:pPr>
              <w:rPr>
                <w:b/>
                <w:sz w:val="20"/>
                <w:szCs w:val="20"/>
              </w:rPr>
            </w:pPr>
            <w:r w:rsidRPr="00924F22">
              <w:rPr>
                <w:b/>
                <w:sz w:val="20"/>
                <w:szCs w:val="20"/>
              </w:rPr>
              <w:t>Information</w:t>
            </w:r>
          </w:p>
        </w:tc>
        <w:tc>
          <w:tcPr>
            <w:tcW w:w="647" w:type="dxa"/>
            <w:tcBorders>
              <w:top w:val="nil"/>
              <w:right w:val="nil"/>
            </w:tcBorders>
          </w:tcPr>
          <w:p w14:paraId="50F31C3E" w14:textId="77777777" w:rsidR="001317DC" w:rsidRPr="009534D4" w:rsidRDefault="001317DC" w:rsidP="00CD44D5">
            <w:pPr>
              <w:rPr>
                <w:b/>
              </w:rPr>
            </w:pPr>
          </w:p>
        </w:tc>
      </w:tr>
      <w:tr w:rsidR="001317DC" w:rsidRPr="0091756B" w14:paraId="3F6C3BA3" w14:textId="198F5A7B" w:rsidTr="001317DC">
        <w:trPr>
          <w:gridAfter w:val="1"/>
          <w:wAfter w:w="141" w:type="dxa"/>
          <w:trHeight w:val="567"/>
        </w:trPr>
        <w:tc>
          <w:tcPr>
            <w:tcW w:w="1134" w:type="dxa"/>
            <w:shd w:val="clear" w:color="auto" w:fill="FFFFFF" w:themeFill="background1"/>
          </w:tcPr>
          <w:p w14:paraId="04187704" w14:textId="77777777" w:rsidR="001317DC" w:rsidRPr="0091756B" w:rsidRDefault="001317DC" w:rsidP="00CD44D5">
            <w:r>
              <w:t>10</w:t>
            </w:r>
            <w:r w:rsidRPr="0091756B">
              <w:t>.2.1.1</w:t>
            </w:r>
          </w:p>
        </w:tc>
        <w:tc>
          <w:tcPr>
            <w:tcW w:w="7088" w:type="dxa"/>
            <w:shd w:val="clear" w:color="auto" w:fill="auto"/>
          </w:tcPr>
          <w:p w14:paraId="399A757F" w14:textId="77777777" w:rsidR="001317DC" w:rsidRPr="0091756B" w:rsidRDefault="001317DC" w:rsidP="00CD44D5">
            <w:r w:rsidRPr="001133E0">
              <w:t xml:space="preserve">Comply with the </w:t>
            </w:r>
            <w:hyperlink r:id="rId11" w:history="1">
              <w:r w:rsidRPr="001133E0">
                <w:rPr>
                  <w:rStyle w:val="Hyperlink"/>
                </w:rPr>
                <w:t>DET Parent Payment Policy</w:t>
              </w:r>
            </w:hyperlink>
            <w:r>
              <w:t>.</w:t>
            </w:r>
          </w:p>
        </w:tc>
        <w:tc>
          <w:tcPr>
            <w:tcW w:w="647" w:type="dxa"/>
          </w:tcPr>
          <w:p w14:paraId="2B8EE000" w14:textId="77777777" w:rsidR="001317DC" w:rsidRPr="001133E0" w:rsidRDefault="001317DC" w:rsidP="00CD44D5"/>
        </w:tc>
      </w:tr>
      <w:tr w:rsidR="001317DC" w:rsidRPr="0091756B" w14:paraId="5E5D58B1" w14:textId="23342623" w:rsidTr="001317DC">
        <w:trPr>
          <w:gridAfter w:val="1"/>
          <w:wAfter w:w="141" w:type="dxa"/>
          <w:trHeight w:val="567"/>
        </w:trPr>
        <w:tc>
          <w:tcPr>
            <w:tcW w:w="1134" w:type="dxa"/>
            <w:shd w:val="clear" w:color="auto" w:fill="FFFFFF" w:themeFill="background1"/>
          </w:tcPr>
          <w:p w14:paraId="3638C172" w14:textId="77777777" w:rsidR="001317DC" w:rsidRDefault="001317DC" w:rsidP="00CD44D5">
            <w:r>
              <w:t>10.2.1.2</w:t>
            </w:r>
          </w:p>
        </w:tc>
        <w:tc>
          <w:tcPr>
            <w:tcW w:w="7088" w:type="dxa"/>
            <w:shd w:val="clear" w:color="auto" w:fill="auto"/>
          </w:tcPr>
          <w:p w14:paraId="3A61F51A" w14:textId="77777777" w:rsidR="001317DC" w:rsidRPr="001133E0" w:rsidRDefault="001317DC" w:rsidP="00660FEB">
            <w:r>
              <w:t>Enter family and sundry debtor invoices into CASES21 in a timely manner using relevant general ledger and GST codes.</w:t>
            </w:r>
          </w:p>
        </w:tc>
        <w:tc>
          <w:tcPr>
            <w:tcW w:w="647" w:type="dxa"/>
          </w:tcPr>
          <w:p w14:paraId="22A7C0CB" w14:textId="77777777" w:rsidR="001317DC" w:rsidRDefault="001317DC" w:rsidP="00660FEB"/>
        </w:tc>
      </w:tr>
      <w:tr w:rsidR="001317DC" w:rsidRPr="0091756B" w14:paraId="23141AF1" w14:textId="189BE871" w:rsidTr="001317DC">
        <w:trPr>
          <w:gridAfter w:val="1"/>
          <w:wAfter w:w="141" w:type="dxa"/>
          <w:trHeight w:val="707"/>
        </w:trPr>
        <w:tc>
          <w:tcPr>
            <w:tcW w:w="1134" w:type="dxa"/>
            <w:tcBorders>
              <w:bottom w:val="single" w:sz="4" w:space="0" w:color="auto"/>
            </w:tcBorders>
            <w:shd w:val="clear" w:color="auto" w:fill="FFFFFF" w:themeFill="background1"/>
          </w:tcPr>
          <w:p w14:paraId="3E207237" w14:textId="77777777" w:rsidR="001317DC" w:rsidRDefault="001317DC" w:rsidP="00CD44D5">
            <w:r>
              <w:t>10.2.1.3</w:t>
            </w:r>
          </w:p>
        </w:tc>
        <w:tc>
          <w:tcPr>
            <w:tcW w:w="7088" w:type="dxa"/>
            <w:tcBorders>
              <w:bottom w:val="single" w:sz="4" w:space="0" w:color="auto"/>
            </w:tcBorders>
            <w:shd w:val="clear" w:color="auto" w:fill="auto"/>
          </w:tcPr>
          <w:p w14:paraId="7DCA81BE" w14:textId="698EB244" w:rsidR="001317DC" w:rsidRPr="0091756B" w:rsidRDefault="001317DC" w:rsidP="00DA021A">
            <w:r>
              <w:t>Initially review receivables against historical collection rates and make a provision for non-</w:t>
            </w:r>
            <w:r w:rsidR="001F028D">
              <w:t>recoverable</w:t>
            </w:r>
            <w:r>
              <w:t xml:space="preserve"> if appropriate.</w:t>
            </w:r>
          </w:p>
        </w:tc>
        <w:tc>
          <w:tcPr>
            <w:tcW w:w="647" w:type="dxa"/>
            <w:tcBorders>
              <w:bottom w:val="single" w:sz="4" w:space="0" w:color="auto"/>
            </w:tcBorders>
          </w:tcPr>
          <w:p w14:paraId="3030EF79" w14:textId="77777777" w:rsidR="001317DC" w:rsidRDefault="001317DC" w:rsidP="00DA021A"/>
        </w:tc>
      </w:tr>
      <w:tr w:rsidR="001317DC" w:rsidRPr="0091756B" w14:paraId="53BA6CF8" w14:textId="605FC62D" w:rsidTr="001317DC">
        <w:trPr>
          <w:gridAfter w:val="1"/>
          <w:wAfter w:w="141" w:type="dxa"/>
          <w:trHeight w:val="990"/>
        </w:trPr>
        <w:tc>
          <w:tcPr>
            <w:tcW w:w="1134" w:type="dxa"/>
            <w:shd w:val="clear" w:color="auto" w:fill="FFFFFF" w:themeFill="background1"/>
          </w:tcPr>
          <w:p w14:paraId="555A645E" w14:textId="77777777" w:rsidR="001317DC" w:rsidRDefault="001317DC" w:rsidP="00CD44D5">
            <w:r>
              <w:t>10.2.1.4</w:t>
            </w:r>
          </w:p>
        </w:tc>
        <w:tc>
          <w:tcPr>
            <w:tcW w:w="7088" w:type="dxa"/>
            <w:shd w:val="clear" w:color="auto" w:fill="auto"/>
          </w:tcPr>
          <w:p w14:paraId="07C95BAB" w14:textId="77777777" w:rsidR="001317DC" w:rsidRDefault="001317DC" w:rsidP="00660FEB">
            <w:r w:rsidRPr="0091756B">
              <w:t xml:space="preserve">Regularly review </w:t>
            </w:r>
            <w:r>
              <w:t xml:space="preserve">(preferably monthly) </w:t>
            </w:r>
            <w:r w:rsidRPr="0091756B">
              <w:t xml:space="preserve">the outstanding family and sundry debtor balances to assess </w:t>
            </w:r>
            <w:r>
              <w:t>collectability and take any appropriate action.</w:t>
            </w:r>
          </w:p>
        </w:tc>
        <w:tc>
          <w:tcPr>
            <w:tcW w:w="647" w:type="dxa"/>
          </w:tcPr>
          <w:p w14:paraId="5542A8A7" w14:textId="77777777" w:rsidR="001317DC" w:rsidRPr="0091756B" w:rsidRDefault="001317DC" w:rsidP="00660FEB"/>
        </w:tc>
      </w:tr>
      <w:tr w:rsidR="001317DC" w:rsidRPr="0091756B" w14:paraId="51C66CC3" w14:textId="794CF59E" w:rsidTr="001317DC">
        <w:trPr>
          <w:gridAfter w:val="1"/>
          <w:wAfter w:w="141" w:type="dxa"/>
          <w:trHeight w:val="1894"/>
        </w:trPr>
        <w:tc>
          <w:tcPr>
            <w:tcW w:w="1134" w:type="dxa"/>
            <w:shd w:val="clear" w:color="auto" w:fill="FFFFFF" w:themeFill="background1"/>
          </w:tcPr>
          <w:p w14:paraId="31F3379E" w14:textId="77777777" w:rsidR="001317DC" w:rsidRDefault="001317DC" w:rsidP="00CD44D5">
            <w:r>
              <w:t>10.2.1.5</w:t>
            </w:r>
          </w:p>
        </w:tc>
        <w:tc>
          <w:tcPr>
            <w:tcW w:w="7088" w:type="dxa"/>
            <w:shd w:val="clear" w:color="auto" w:fill="auto"/>
          </w:tcPr>
          <w:p w14:paraId="5AA973DA" w14:textId="77777777" w:rsidR="001317DC" w:rsidRPr="0091756B" w:rsidRDefault="001317DC" w:rsidP="00221235">
            <w:r>
              <w:t>Ensure that any adjustments to receivables (i.e. families or sundry debtors) have been approved by the school council prior to the adjustment being made. Adjustment could include the write-off of invoices where the collectability is not going to occur. For example, an invoice processed for a camp/excursion that the student is no longer attending. In this case, the invoice entered in CASES21 must be reversed.</w:t>
            </w:r>
          </w:p>
        </w:tc>
        <w:tc>
          <w:tcPr>
            <w:tcW w:w="647" w:type="dxa"/>
          </w:tcPr>
          <w:p w14:paraId="18779E45" w14:textId="77777777" w:rsidR="001317DC" w:rsidRDefault="001317DC" w:rsidP="00221235"/>
        </w:tc>
      </w:tr>
      <w:tr w:rsidR="001317DC" w:rsidRPr="0091756B" w14:paraId="365332B3" w14:textId="3FFF77E3" w:rsidTr="001317DC">
        <w:trPr>
          <w:gridAfter w:val="1"/>
          <w:wAfter w:w="141" w:type="dxa"/>
          <w:trHeight w:val="567"/>
        </w:trPr>
        <w:tc>
          <w:tcPr>
            <w:tcW w:w="1134" w:type="dxa"/>
            <w:shd w:val="clear" w:color="auto" w:fill="FFFFFF" w:themeFill="background1"/>
          </w:tcPr>
          <w:p w14:paraId="444747DC" w14:textId="77777777" w:rsidR="001317DC" w:rsidRDefault="001317DC" w:rsidP="00CD44D5">
            <w:r>
              <w:t>10.2.1.6</w:t>
            </w:r>
          </w:p>
        </w:tc>
        <w:tc>
          <w:tcPr>
            <w:tcW w:w="7088" w:type="dxa"/>
            <w:shd w:val="clear" w:color="auto" w:fill="auto"/>
          </w:tcPr>
          <w:p w14:paraId="7D9CA6A6" w14:textId="77777777" w:rsidR="001317DC" w:rsidRPr="0091756B" w:rsidRDefault="001317DC" w:rsidP="00221235">
            <w:r>
              <w:t>Undertake a balance day adjustment for any revenue received in advance. For example, camps/excursions and activities already invoiced and/or paid in advance before the activity is conducted. Refer to</w:t>
            </w:r>
            <w:r w:rsidRPr="00C73D56">
              <w:t xml:space="preserve"> </w:t>
            </w:r>
            <w:hyperlink r:id="rId12" w:history="1">
              <w:r w:rsidRPr="00306D24">
                <w:rPr>
                  <w:color w:val="0000FF"/>
                  <w:u w:val="single"/>
                </w:rPr>
                <w:t>CASES21 Finance Business Process Guide - Section 1</w:t>
              </w:r>
              <w:r>
                <w:rPr>
                  <w:color w:val="0000FF"/>
                  <w:u w:val="single"/>
                </w:rPr>
                <w:t>0</w:t>
              </w:r>
              <w:r w:rsidRPr="00306D24">
                <w:rPr>
                  <w:color w:val="0000FF"/>
                  <w:u w:val="single"/>
                </w:rPr>
                <w:t xml:space="preserve"> </w:t>
              </w:r>
              <w:r>
                <w:rPr>
                  <w:color w:val="0000FF"/>
                  <w:u w:val="single"/>
                </w:rPr>
                <w:t>Balance Day Adjustments</w:t>
              </w:r>
            </w:hyperlink>
            <w:r w:rsidRPr="00C73D56">
              <w:t xml:space="preserve"> to determine if </w:t>
            </w:r>
            <w:r>
              <w:t>any balance day a</w:t>
            </w:r>
            <w:r w:rsidRPr="00C73D56">
              <w:t>djustments</w:t>
            </w:r>
            <w:r>
              <w:t xml:space="preserve"> are required to be made</w:t>
            </w:r>
            <w:r w:rsidRPr="00C73D56">
              <w:t>.</w:t>
            </w:r>
          </w:p>
        </w:tc>
        <w:tc>
          <w:tcPr>
            <w:tcW w:w="647" w:type="dxa"/>
          </w:tcPr>
          <w:p w14:paraId="46A7097E" w14:textId="77777777" w:rsidR="001317DC" w:rsidRDefault="001317DC" w:rsidP="00221235"/>
        </w:tc>
      </w:tr>
      <w:tr w:rsidR="001317DC" w:rsidRPr="0091756B" w14:paraId="48D530A5" w14:textId="1124124C" w:rsidTr="001317DC">
        <w:trPr>
          <w:trHeight w:val="3538"/>
        </w:trPr>
        <w:tc>
          <w:tcPr>
            <w:tcW w:w="1134" w:type="dxa"/>
            <w:tcBorders>
              <w:bottom w:val="single" w:sz="4" w:space="0" w:color="auto"/>
            </w:tcBorders>
            <w:shd w:val="clear" w:color="auto" w:fill="FFFFFF" w:themeFill="background1"/>
          </w:tcPr>
          <w:p w14:paraId="30CCBDFE" w14:textId="77777777" w:rsidR="001317DC" w:rsidRDefault="001317DC" w:rsidP="00CD44D5">
            <w:r>
              <w:lastRenderedPageBreak/>
              <w:t>10.2.1.7</w:t>
            </w:r>
          </w:p>
        </w:tc>
        <w:tc>
          <w:tcPr>
            <w:tcW w:w="7088" w:type="dxa"/>
            <w:tcBorders>
              <w:bottom w:val="single" w:sz="4" w:space="0" w:color="auto"/>
            </w:tcBorders>
            <w:shd w:val="clear" w:color="auto" w:fill="auto"/>
          </w:tcPr>
          <w:p w14:paraId="39A17F42" w14:textId="52A45C27" w:rsidR="001317DC" w:rsidRDefault="001317DC" w:rsidP="00306D24">
            <w:r>
              <w:t>If a school engages a third party company for managing parent payments and enters in</w:t>
            </w:r>
            <w:r w:rsidR="00BC2788">
              <w:t xml:space="preserve"> </w:t>
            </w:r>
            <w:r>
              <w:t>to CASES21 a bulk general ledger receipt</w:t>
            </w:r>
            <w:r w:rsidR="001F028D">
              <w:t>,</w:t>
            </w:r>
            <w:r>
              <w:t xml:space="preserve"> the following information must be available upon request by the Department or auditors. This includes:</w:t>
            </w:r>
          </w:p>
          <w:p w14:paraId="039BD37B" w14:textId="77777777" w:rsidR="001317DC" w:rsidRDefault="001317DC" w:rsidP="0098393E">
            <w:pPr>
              <w:pStyle w:val="ListParagraph"/>
              <w:numPr>
                <w:ilvl w:val="0"/>
                <w:numId w:val="38"/>
              </w:numPr>
            </w:pPr>
            <w:r>
              <w:t>clear evidence to what funds have been paid for i.e. camps/excursions or activities and by the student name;</w:t>
            </w:r>
          </w:p>
          <w:p w14:paraId="0C0CDA9F" w14:textId="77777777" w:rsidR="001317DC" w:rsidRDefault="001317DC" w:rsidP="0098393E">
            <w:pPr>
              <w:pStyle w:val="ListParagraph"/>
              <w:numPr>
                <w:ilvl w:val="0"/>
                <w:numId w:val="38"/>
              </w:numPr>
            </w:pPr>
            <w:r w:rsidRPr="0098393E">
              <w:t>a detailed reconciliation listing each transaction that reconciles to the total bulk general ledger receipt</w:t>
            </w:r>
            <w:r>
              <w:t>.</w:t>
            </w:r>
          </w:p>
          <w:p w14:paraId="642BBD6E" w14:textId="77777777" w:rsidR="001317DC" w:rsidRDefault="001317DC" w:rsidP="00221235">
            <w:r>
              <w:t>To ensure better recording purposes and transparency the school must consider entering Parent Payments in detail via the Families module in CASES21.</w:t>
            </w:r>
          </w:p>
        </w:tc>
        <w:tc>
          <w:tcPr>
            <w:tcW w:w="788" w:type="dxa"/>
            <w:gridSpan w:val="2"/>
            <w:tcBorders>
              <w:bottom w:val="single" w:sz="4" w:space="0" w:color="auto"/>
            </w:tcBorders>
          </w:tcPr>
          <w:p w14:paraId="2FDEBA30" w14:textId="77777777" w:rsidR="001317DC" w:rsidRDefault="001317DC" w:rsidP="00306D24"/>
        </w:tc>
      </w:tr>
    </w:tbl>
    <w:bookmarkEnd w:id="0"/>
    <w:bookmarkEnd w:id="1"/>
    <w:bookmarkEnd w:id="2"/>
    <w:p w14:paraId="35B80D39" w14:textId="77777777" w:rsidR="003A4545" w:rsidRPr="00AD3210" w:rsidRDefault="00746914" w:rsidP="003D4CFE">
      <w:pPr>
        <w:pStyle w:val="Heading3"/>
      </w:pPr>
      <w:r>
        <w:t>10.2</w:t>
      </w:r>
      <w:r w:rsidR="003A4545" w:rsidRPr="00AD3210">
        <w:t>.2</w:t>
      </w:r>
      <w:r w:rsidR="00EF0224">
        <w:tab/>
      </w:r>
      <w:r w:rsidR="003A4545" w:rsidRPr="00AD3210">
        <w:t>Prohibited</w:t>
      </w:r>
      <w:r w:rsidR="003D4CFE">
        <w:t xml:space="preserve"> </w:t>
      </w:r>
      <w:r w:rsidR="003A4545" w:rsidRPr="00AD3210">
        <w:t>policy</w:t>
      </w:r>
      <w:r w:rsidR="003D4CFE">
        <w:t xml:space="preserve"> </w:t>
      </w:r>
      <w:r w:rsidR="003A4545" w:rsidRPr="00AD3210">
        <w:t>(</w:t>
      </w:r>
      <w:r w:rsidR="009D2E0B">
        <w:t>Must</w:t>
      </w:r>
      <w:r w:rsidR="003D4CFE">
        <w:t xml:space="preserve"> </w:t>
      </w:r>
      <w:r w:rsidR="003A4545" w:rsidRPr="00AD3210">
        <w:t>not</w:t>
      </w:r>
      <w:r w:rsidR="00221235">
        <w:t xml:space="preserve"> do</w:t>
      </w:r>
      <w:r w:rsidR="003A4545" w:rsidRPr="00AD3210">
        <w:t>)</w:t>
      </w:r>
      <w:r w:rsidR="002D0187">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7060"/>
        <w:gridCol w:w="837"/>
      </w:tblGrid>
      <w:tr w:rsidR="001317DC" w:rsidRPr="0091756B" w14:paraId="7D0A6C9E" w14:textId="4F6590F2" w:rsidTr="001317DC">
        <w:trPr>
          <w:trHeight w:val="567"/>
          <w:tblHeader/>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668820A9" w14:textId="57B381F6" w:rsidR="001317DC" w:rsidRPr="009534D4" w:rsidRDefault="001317DC" w:rsidP="0053366B">
            <w:pPr>
              <w:rPr>
                <w:b/>
              </w:rPr>
            </w:pPr>
            <w:r>
              <w:rPr>
                <w:b/>
                <w:sz w:val="18"/>
              </w:rPr>
              <w:t>Sequence</w:t>
            </w:r>
            <w:r w:rsidRPr="0024419D">
              <w:rPr>
                <w:b/>
                <w:sz w:val="18"/>
              </w:rPr>
              <w:t xml:space="preserve"> Number</w:t>
            </w:r>
          </w:p>
        </w:tc>
        <w:tc>
          <w:tcPr>
            <w:tcW w:w="7060" w:type="dxa"/>
            <w:tcBorders>
              <w:top w:val="single" w:sz="4" w:space="0" w:color="auto"/>
              <w:left w:val="single" w:sz="4" w:space="0" w:color="auto"/>
              <w:bottom w:val="single" w:sz="4" w:space="0" w:color="auto"/>
              <w:right w:val="single" w:sz="4" w:space="0" w:color="auto"/>
            </w:tcBorders>
            <w:shd w:val="clear" w:color="auto" w:fill="auto"/>
          </w:tcPr>
          <w:p w14:paraId="0F59E36A" w14:textId="77777777" w:rsidR="001317DC" w:rsidRPr="00924F22" w:rsidRDefault="001317DC" w:rsidP="0053366B">
            <w:pPr>
              <w:rPr>
                <w:b/>
                <w:sz w:val="20"/>
                <w:szCs w:val="20"/>
              </w:rPr>
            </w:pPr>
            <w:r w:rsidRPr="00924F22">
              <w:rPr>
                <w:b/>
                <w:sz w:val="20"/>
                <w:szCs w:val="20"/>
              </w:rPr>
              <w:t>Information</w:t>
            </w:r>
          </w:p>
        </w:tc>
        <w:tc>
          <w:tcPr>
            <w:tcW w:w="837" w:type="dxa"/>
            <w:tcBorders>
              <w:top w:val="nil"/>
              <w:left w:val="single" w:sz="4" w:space="0" w:color="auto"/>
              <w:bottom w:val="single" w:sz="4" w:space="0" w:color="auto"/>
              <w:right w:val="nil"/>
            </w:tcBorders>
          </w:tcPr>
          <w:p w14:paraId="06766C42" w14:textId="77777777" w:rsidR="001317DC" w:rsidRPr="009534D4" w:rsidRDefault="001317DC" w:rsidP="0053366B">
            <w:pPr>
              <w:rPr>
                <w:b/>
              </w:rPr>
            </w:pPr>
          </w:p>
        </w:tc>
      </w:tr>
      <w:tr w:rsidR="001317DC" w:rsidRPr="0091756B" w14:paraId="6541BD57" w14:textId="0823D960" w:rsidTr="001317DC">
        <w:trPr>
          <w:trHeight w:val="567"/>
        </w:trPr>
        <w:tc>
          <w:tcPr>
            <w:tcW w:w="1100" w:type="dxa"/>
            <w:shd w:val="clear" w:color="auto" w:fill="auto"/>
          </w:tcPr>
          <w:p w14:paraId="70E01108" w14:textId="77777777" w:rsidR="001317DC" w:rsidRPr="0091756B" w:rsidRDefault="001317DC" w:rsidP="003D4CFE">
            <w:r>
              <w:t>10.2</w:t>
            </w:r>
            <w:r w:rsidRPr="0091756B">
              <w:t>.2.1</w:t>
            </w:r>
          </w:p>
        </w:tc>
        <w:tc>
          <w:tcPr>
            <w:tcW w:w="7060" w:type="dxa"/>
            <w:shd w:val="clear" w:color="auto" w:fill="auto"/>
          </w:tcPr>
          <w:p w14:paraId="5EFA4B21" w14:textId="0E499FD1" w:rsidR="001317DC" w:rsidRPr="0091756B" w:rsidRDefault="001317DC" w:rsidP="00EC7D8D">
            <w:r>
              <w:t>Enter voluntary contributions or donations collections into CASES21 until the revenue/cash has been physically received by the school</w:t>
            </w:r>
            <w:r w:rsidRPr="0091756B">
              <w:t>.</w:t>
            </w:r>
            <w:r>
              <w:t xml:space="preserve"> Both voluntary contributions and donations are not considered a receivable. These must not be </w:t>
            </w:r>
            <w:r w:rsidR="00B07EB9">
              <w:t>invoiced and</w:t>
            </w:r>
            <w:r>
              <w:t xml:space="preserve"> must only be recognised on a cash basis or receipt.</w:t>
            </w:r>
          </w:p>
        </w:tc>
        <w:tc>
          <w:tcPr>
            <w:tcW w:w="837" w:type="dxa"/>
          </w:tcPr>
          <w:p w14:paraId="6256F098" w14:textId="77777777" w:rsidR="001317DC" w:rsidRDefault="001317DC" w:rsidP="00EC7D8D"/>
        </w:tc>
      </w:tr>
    </w:tbl>
    <w:p w14:paraId="2609AD44" w14:textId="77777777" w:rsidR="00AA7481" w:rsidRPr="003A4545" w:rsidRDefault="00AA7481" w:rsidP="00AA7481"/>
    <w:p w14:paraId="5C48CA71" w14:textId="77777777" w:rsidR="00E0788A" w:rsidRDefault="00AA7481" w:rsidP="00E0788A">
      <w:pPr>
        <w:pStyle w:val="Heading2"/>
      </w:pPr>
      <w:r>
        <w:t>10</w:t>
      </w:r>
      <w:r w:rsidRPr="009F57A3">
        <w:t>.</w:t>
      </w:r>
      <w:r>
        <w:t>3</w:t>
      </w:r>
      <w:r w:rsidR="00EF0224">
        <w:tab/>
      </w:r>
      <w:r w:rsidR="00E0788A">
        <w:t>Cash Handling</w:t>
      </w:r>
    </w:p>
    <w:p w14:paraId="6F8B287D" w14:textId="77777777" w:rsidR="00E0788A" w:rsidRPr="006F05E1" w:rsidRDefault="00E0788A" w:rsidP="00E0788A">
      <w:r>
        <w:t>Cash is the most vulnerable asset of the school.</w:t>
      </w:r>
      <w:r w:rsidR="008C10A4">
        <w:t xml:space="preserve"> It is essential that schools have robust controls in place to minimise the risk of loss.</w:t>
      </w:r>
      <w:r w:rsidR="00D32955">
        <w:t xml:space="preserve"> It is recommended that schools investigate non-cash payment options as a part of their risk minimisation.</w:t>
      </w:r>
    </w:p>
    <w:p w14:paraId="489D42A3" w14:textId="77777777" w:rsidR="00E0788A" w:rsidRPr="009F57A3" w:rsidRDefault="00746914" w:rsidP="00E0788A">
      <w:pPr>
        <w:pStyle w:val="Heading3"/>
      </w:pPr>
      <w:r>
        <w:t>10.3</w:t>
      </w:r>
      <w:r w:rsidR="00E0788A" w:rsidRPr="009F57A3">
        <w:t>.1</w:t>
      </w:r>
      <w:r w:rsidR="00EF0224">
        <w:tab/>
      </w:r>
      <w:r w:rsidR="00E0788A" w:rsidRPr="009F57A3">
        <w:t>Mandatory policy (</w:t>
      </w:r>
      <w:r w:rsidR="009D2E0B">
        <w:t>Must do</w:t>
      </w:r>
      <w:r w:rsidR="00E0788A" w:rsidRPr="009F57A3">
        <w:t>)</w:t>
      </w:r>
      <w:r w:rsidR="00221235">
        <w:t>:</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788"/>
      </w:tblGrid>
      <w:tr w:rsidR="001317DC" w:rsidRPr="0091756B" w14:paraId="3C7EAE88" w14:textId="36A692B0" w:rsidTr="001317DC">
        <w:trPr>
          <w:trHeight w:val="584"/>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EAD67CA" w14:textId="6B8863F5" w:rsidR="001317DC" w:rsidRPr="009534D4" w:rsidRDefault="001317DC" w:rsidP="0053366B">
            <w:pPr>
              <w:rPr>
                <w:b/>
              </w:rPr>
            </w:pPr>
            <w:r>
              <w:rPr>
                <w:b/>
                <w:sz w:val="18"/>
              </w:rPr>
              <w:t>Sequence</w:t>
            </w:r>
            <w:r w:rsidRPr="0024419D">
              <w:rPr>
                <w:b/>
                <w:sz w:val="18"/>
              </w:rPr>
              <w:t xml:space="preserve"> Number</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D738799" w14:textId="77777777" w:rsidR="001317DC" w:rsidRPr="00924F22" w:rsidRDefault="001317DC" w:rsidP="0053366B">
            <w:pPr>
              <w:rPr>
                <w:b/>
                <w:sz w:val="20"/>
                <w:szCs w:val="20"/>
              </w:rPr>
            </w:pPr>
            <w:r w:rsidRPr="00924F22">
              <w:rPr>
                <w:b/>
                <w:sz w:val="20"/>
                <w:szCs w:val="20"/>
              </w:rPr>
              <w:t>Information</w:t>
            </w:r>
          </w:p>
        </w:tc>
        <w:tc>
          <w:tcPr>
            <w:tcW w:w="788" w:type="dxa"/>
            <w:tcBorders>
              <w:top w:val="nil"/>
              <w:left w:val="single" w:sz="4" w:space="0" w:color="auto"/>
              <w:bottom w:val="single" w:sz="4" w:space="0" w:color="auto"/>
              <w:right w:val="nil"/>
            </w:tcBorders>
          </w:tcPr>
          <w:p w14:paraId="2F564427" w14:textId="77777777" w:rsidR="001317DC" w:rsidRPr="009534D4" w:rsidRDefault="001317DC" w:rsidP="0053366B">
            <w:pPr>
              <w:rPr>
                <w:b/>
              </w:rPr>
            </w:pPr>
          </w:p>
        </w:tc>
      </w:tr>
      <w:tr w:rsidR="001317DC" w:rsidRPr="0091756B" w14:paraId="597A5D7B" w14:textId="1B815A52" w:rsidTr="001317DC">
        <w:trPr>
          <w:trHeight w:val="1028"/>
        </w:trPr>
        <w:tc>
          <w:tcPr>
            <w:tcW w:w="1134" w:type="dxa"/>
            <w:shd w:val="clear" w:color="auto" w:fill="FFFFFF" w:themeFill="background1"/>
          </w:tcPr>
          <w:p w14:paraId="5412518A" w14:textId="77777777" w:rsidR="001317DC" w:rsidRPr="0091756B" w:rsidRDefault="001317DC" w:rsidP="008F5CFD">
            <w:r>
              <w:t>10.3</w:t>
            </w:r>
            <w:r w:rsidRPr="0091756B">
              <w:t>.1.1</w:t>
            </w:r>
          </w:p>
        </w:tc>
        <w:tc>
          <w:tcPr>
            <w:tcW w:w="7088" w:type="dxa"/>
            <w:shd w:val="clear" w:color="auto" w:fill="auto"/>
          </w:tcPr>
          <w:p w14:paraId="5DCEEB4E" w14:textId="77777777" w:rsidR="001317DC" w:rsidRPr="0091756B" w:rsidRDefault="001317DC" w:rsidP="008F5CFD">
            <w:r>
              <w:t>Implement a local cash handling policy approved by school council. For example, like having at least two people present when handling cash and a safe and secure place to hold the cash until it is banked.</w:t>
            </w:r>
          </w:p>
        </w:tc>
        <w:tc>
          <w:tcPr>
            <w:tcW w:w="788" w:type="dxa"/>
          </w:tcPr>
          <w:p w14:paraId="4C72C093" w14:textId="77777777" w:rsidR="001317DC" w:rsidRDefault="001317DC" w:rsidP="008F5CFD"/>
        </w:tc>
      </w:tr>
      <w:tr w:rsidR="001317DC" w:rsidRPr="0091756B" w14:paraId="27FB70A4" w14:textId="69529780" w:rsidTr="001317DC">
        <w:trPr>
          <w:trHeight w:val="1357"/>
        </w:trPr>
        <w:tc>
          <w:tcPr>
            <w:tcW w:w="1134" w:type="dxa"/>
            <w:shd w:val="clear" w:color="auto" w:fill="FFFFFF" w:themeFill="background1"/>
          </w:tcPr>
          <w:p w14:paraId="4661224E" w14:textId="77777777" w:rsidR="001317DC" w:rsidRDefault="001317DC" w:rsidP="008F5CFD">
            <w:r>
              <w:t>10.3.1.2</w:t>
            </w:r>
          </w:p>
        </w:tc>
        <w:tc>
          <w:tcPr>
            <w:tcW w:w="7088" w:type="dxa"/>
            <w:shd w:val="clear" w:color="auto" w:fill="auto"/>
          </w:tcPr>
          <w:p w14:paraId="176DF663" w14:textId="77777777" w:rsidR="001317DC" w:rsidRDefault="001317DC" w:rsidP="00780C56">
            <w:r>
              <w:t>If the school council has approved the use of electronic receipting (BPAY, EFTPOS, third party online revenue collection, etc.) the school must have an electronic funds management policy that is reviewed annually and approved by school council.</w:t>
            </w:r>
          </w:p>
        </w:tc>
        <w:tc>
          <w:tcPr>
            <w:tcW w:w="788" w:type="dxa"/>
          </w:tcPr>
          <w:p w14:paraId="208AEA03" w14:textId="77777777" w:rsidR="001317DC" w:rsidRDefault="001317DC" w:rsidP="00780C56"/>
        </w:tc>
      </w:tr>
      <w:tr w:rsidR="001317DC" w:rsidRPr="0091756B" w14:paraId="7B0C05E9" w14:textId="0C4026C5" w:rsidTr="001317DC">
        <w:trPr>
          <w:trHeight w:val="1114"/>
        </w:trPr>
        <w:tc>
          <w:tcPr>
            <w:tcW w:w="1134" w:type="dxa"/>
            <w:shd w:val="clear" w:color="auto" w:fill="FFFFFF" w:themeFill="background1"/>
          </w:tcPr>
          <w:p w14:paraId="741CF9C0" w14:textId="77777777" w:rsidR="001317DC" w:rsidRDefault="001317DC" w:rsidP="008F5CFD">
            <w:r>
              <w:lastRenderedPageBreak/>
              <w:t>10.3.1.3</w:t>
            </w:r>
          </w:p>
        </w:tc>
        <w:tc>
          <w:tcPr>
            <w:tcW w:w="7088" w:type="dxa"/>
            <w:shd w:val="clear" w:color="auto" w:fill="auto"/>
          </w:tcPr>
          <w:p w14:paraId="16A6211B" w14:textId="77777777" w:rsidR="001317DC" w:rsidRDefault="001317DC" w:rsidP="00780C56">
            <w:r>
              <w:t>Issue an official receipt immediately for all monies received from all sources (e.g. cash, cheques, EFTPOS, BPAY, etc.) and process through CASES21.</w:t>
            </w:r>
          </w:p>
        </w:tc>
        <w:tc>
          <w:tcPr>
            <w:tcW w:w="788" w:type="dxa"/>
          </w:tcPr>
          <w:p w14:paraId="141C1774" w14:textId="77777777" w:rsidR="001317DC" w:rsidRDefault="001317DC" w:rsidP="00780C56"/>
        </w:tc>
      </w:tr>
      <w:tr w:rsidR="001317DC" w:rsidRPr="0091756B" w14:paraId="296DA4E6" w14:textId="14BC8659" w:rsidTr="001317DC">
        <w:trPr>
          <w:trHeight w:val="705"/>
        </w:trPr>
        <w:tc>
          <w:tcPr>
            <w:tcW w:w="1134" w:type="dxa"/>
            <w:shd w:val="clear" w:color="auto" w:fill="FFFFFF" w:themeFill="background1"/>
          </w:tcPr>
          <w:p w14:paraId="174BC058" w14:textId="77777777" w:rsidR="001317DC" w:rsidRDefault="001317DC" w:rsidP="008F5CFD">
            <w:r>
              <w:t>10.3.1.4</w:t>
            </w:r>
          </w:p>
        </w:tc>
        <w:tc>
          <w:tcPr>
            <w:tcW w:w="7088" w:type="dxa"/>
            <w:shd w:val="clear" w:color="auto" w:fill="auto"/>
          </w:tcPr>
          <w:p w14:paraId="501EBDD2" w14:textId="1904AC9C" w:rsidR="001317DC" w:rsidRDefault="001317DC" w:rsidP="002B2ED0">
            <w:r>
              <w:t xml:space="preserve">All cheques received by mail must be entered </w:t>
            </w:r>
            <w:r w:rsidR="00BC2788">
              <w:t>into</w:t>
            </w:r>
            <w:r>
              <w:t xml:space="preserve"> a remittance book on a timely basis. </w:t>
            </w:r>
          </w:p>
        </w:tc>
        <w:tc>
          <w:tcPr>
            <w:tcW w:w="788" w:type="dxa"/>
          </w:tcPr>
          <w:p w14:paraId="1F7AC991" w14:textId="77777777" w:rsidR="001317DC" w:rsidRDefault="001317DC" w:rsidP="002B2ED0"/>
        </w:tc>
      </w:tr>
      <w:tr w:rsidR="001317DC" w:rsidRPr="0091756B" w14:paraId="6262B49E" w14:textId="44939339" w:rsidTr="001317DC">
        <w:trPr>
          <w:trHeight w:val="1036"/>
        </w:trPr>
        <w:tc>
          <w:tcPr>
            <w:tcW w:w="1134" w:type="dxa"/>
            <w:shd w:val="clear" w:color="auto" w:fill="FFFFFF" w:themeFill="background1"/>
          </w:tcPr>
          <w:p w14:paraId="6E5BC433" w14:textId="77777777" w:rsidR="001317DC" w:rsidRDefault="001317DC" w:rsidP="008F5CFD">
            <w:r>
              <w:t>10.3.1.5</w:t>
            </w:r>
          </w:p>
        </w:tc>
        <w:tc>
          <w:tcPr>
            <w:tcW w:w="7088" w:type="dxa"/>
            <w:shd w:val="clear" w:color="auto" w:fill="auto"/>
          </w:tcPr>
          <w:p w14:paraId="5182BEA7" w14:textId="77777777" w:rsidR="001317DC" w:rsidRDefault="001317DC" w:rsidP="002B2ED0">
            <w:r>
              <w:t>The principal or their delegate and one other person must sign all the entries entered in the remittance book. Open cheques must be crossed ‘Not Negotiable’ immediately upon receipt.</w:t>
            </w:r>
          </w:p>
        </w:tc>
        <w:tc>
          <w:tcPr>
            <w:tcW w:w="788" w:type="dxa"/>
          </w:tcPr>
          <w:p w14:paraId="6C83B97C" w14:textId="77777777" w:rsidR="001317DC" w:rsidRDefault="001317DC" w:rsidP="002B2ED0"/>
        </w:tc>
      </w:tr>
      <w:tr w:rsidR="001317DC" w:rsidRPr="0091756B" w14:paraId="070A2FAB" w14:textId="146FCAB4" w:rsidTr="001317DC">
        <w:trPr>
          <w:trHeight w:val="1038"/>
        </w:trPr>
        <w:tc>
          <w:tcPr>
            <w:tcW w:w="1134" w:type="dxa"/>
            <w:shd w:val="clear" w:color="auto" w:fill="FFFFFF" w:themeFill="background1"/>
          </w:tcPr>
          <w:p w14:paraId="7FB7F294" w14:textId="77777777" w:rsidR="001317DC" w:rsidRDefault="001317DC" w:rsidP="002B2ED0">
            <w:r>
              <w:t>10.3.1.6</w:t>
            </w:r>
          </w:p>
        </w:tc>
        <w:tc>
          <w:tcPr>
            <w:tcW w:w="7088" w:type="dxa"/>
            <w:shd w:val="clear" w:color="auto" w:fill="auto"/>
          </w:tcPr>
          <w:p w14:paraId="4EE20828" w14:textId="77777777" w:rsidR="001317DC" w:rsidRDefault="001317DC" w:rsidP="002B2ED0">
            <w:r>
              <w:t>Prior to banking monies, schools must reconcile total receipts with total monies collected (cash, cheques, manual credit card transactions to be banked).</w:t>
            </w:r>
          </w:p>
        </w:tc>
        <w:tc>
          <w:tcPr>
            <w:tcW w:w="788" w:type="dxa"/>
          </w:tcPr>
          <w:p w14:paraId="1FC00A39" w14:textId="77777777" w:rsidR="001317DC" w:rsidRDefault="001317DC" w:rsidP="002B2ED0"/>
        </w:tc>
      </w:tr>
      <w:tr w:rsidR="001317DC" w:rsidRPr="0091756B" w14:paraId="351E7EE0" w14:textId="2554F457" w:rsidTr="001317DC">
        <w:trPr>
          <w:trHeight w:val="1116"/>
        </w:trPr>
        <w:tc>
          <w:tcPr>
            <w:tcW w:w="1134" w:type="dxa"/>
            <w:shd w:val="clear" w:color="auto" w:fill="FFFFFF" w:themeFill="background1"/>
          </w:tcPr>
          <w:p w14:paraId="2CD358A9" w14:textId="77777777" w:rsidR="001317DC" w:rsidRDefault="001317DC" w:rsidP="002B2ED0">
            <w:r>
              <w:t>10.3.1.7</w:t>
            </w:r>
          </w:p>
        </w:tc>
        <w:tc>
          <w:tcPr>
            <w:tcW w:w="7088" w:type="dxa"/>
            <w:shd w:val="clear" w:color="auto" w:fill="auto"/>
          </w:tcPr>
          <w:p w14:paraId="42FD254F" w14:textId="77777777" w:rsidR="001317DC" w:rsidRDefault="001317DC" w:rsidP="00291AEB">
            <w:r>
              <w:t>If the school operates an EFTPOS terminal, they must perform settlement on the EFTPOS terminal at the same time as the CASES21 batch is updated.</w:t>
            </w:r>
          </w:p>
        </w:tc>
        <w:tc>
          <w:tcPr>
            <w:tcW w:w="788" w:type="dxa"/>
          </w:tcPr>
          <w:p w14:paraId="472E79F5" w14:textId="77777777" w:rsidR="001317DC" w:rsidRDefault="001317DC" w:rsidP="00291AEB"/>
        </w:tc>
      </w:tr>
      <w:tr w:rsidR="001317DC" w:rsidRPr="0091756B" w14:paraId="080D2B43" w14:textId="5D09895D" w:rsidTr="001317DC">
        <w:trPr>
          <w:trHeight w:val="2542"/>
        </w:trPr>
        <w:tc>
          <w:tcPr>
            <w:tcW w:w="1134" w:type="dxa"/>
            <w:shd w:val="clear" w:color="auto" w:fill="FFFFFF" w:themeFill="background1"/>
          </w:tcPr>
          <w:p w14:paraId="6DF625F9" w14:textId="77777777" w:rsidR="001317DC" w:rsidRDefault="001317DC" w:rsidP="002B2ED0">
            <w:r>
              <w:t>10.3.1.8</w:t>
            </w:r>
          </w:p>
        </w:tc>
        <w:tc>
          <w:tcPr>
            <w:tcW w:w="7088" w:type="dxa"/>
            <w:shd w:val="clear" w:color="auto" w:fill="auto"/>
          </w:tcPr>
          <w:p w14:paraId="171BB00E" w14:textId="77777777" w:rsidR="001317DC" w:rsidRDefault="001317DC" w:rsidP="004317E4">
            <w:r>
              <w:t xml:space="preserve">The segregation of duties between receiving cash and banking activities must be implemented where possible and practical. The method of ensuring this safeguard is to separate those responsibilities for duties which, if combined, would enable an individual person to receive cash and bank cash received. It can be implemented, by alternating sequential tasks, so that no one person has complete responsibility for the entire transaction, provided that some separation occurs between key activities. </w:t>
            </w:r>
          </w:p>
        </w:tc>
        <w:tc>
          <w:tcPr>
            <w:tcW w:w="788" w:type="dxa"/>
          </w:tcPr>
          <w:p w14:paraId="51E79B10" w14:textId="77777777" w:rsidR="001317DC" w:rsidRDefault="001317DC" w:rsidP="004317E4"/>
        </w:tc>
      </w:tr>
      <w:tr w:rsidR="001317DC" w:rsidRPr="0091756B" w14:paraId="47A2DD87" w14:textId="3D348C54" w:rsidTr="001317DC">
        <w:trPr>
          <w:trHeight w:val="1979"/>
        </w:trPr>
        <w:tc>
          <w:tcPr>
            <w:tcW w:w="1134" w:type="dxa"/>
            <w:shd w:val="clear" w:color="auto" w:fill="FFFFFF" w:themeFill="background1"/>
          </w:tcPr>
          <w:p w14:paraId="7C416C3F" w14:textId="77777777" w:rsidR="001317DC" w:rsidRDefault="001317DC" w:rsidP="002B2ED0">
            <w:r>
              <w:t>10.3.1.9</w:t>
            </w:r>
          </w:p>
        </w:tc>
        <w:tc>
          <w:tcPr>
            <w:tcW w:w="7088" w:type="dxa"/>
            <w:shd w:val="clear" w:color="auto" w:fill="auto"/>
          </w:tcPr>
          <w:p w14:paraId="74E2B4F4" w14:textId="77777777" w:rsidR="001317DC" w:rsidRDefault="001317DC" w:rsidP="00F73021">
            <w:r>
              <w:t>If segregation of duties is not practical (limited number of administrative staff are available for the accounting and finance function in a very small school), the principal or nominee must randomly verify the cash handling and recording process has been correctly undertaken. A minimum of two checks to be carried out per term and a signed record of the checks maintained.</w:t>
            </w:r>
          </w:p>
        </w:tc>
        <w:tc>
          <w:tcPr>
            <w:tcW w:w="788" w:type="dxa"/>
          </w:tcPr>
          <w:p w14:paraId="23F8525A" w14:textId="77777777" w:rsidR="001317DC" w:rsidRDefault="001317DC" w:rsidP="00F73021"/>
        </w:tc>
      </w:tr>
      <w:tr w:rsidR="001317DC" w:rsidRPr="0091756B" w14:paraId="5AFD85B6" w14:textId="087C0663" w:rsidTr="001317DC">
        <w:trPr>
          <w:trHeight w:val="1095"/>
        </w:trPr>
        <w:tc>
          <w:tcPr>
            <w:tcW w:w="1134" w:type="dxa"/>
            <w:shd w:val="clear" w:color="auto" w:fill="FFFFFF" w:themeFill="background1"/>
          </w:tcPr>
          <w:p w14:paraId="4E195A36" w14:textId="77777777" w:rsidR="001317DC" w:rsidRDefault="001317DC" w:rsidP="002B2ED0">
            <w:r>
              <w:t>10.3.1.10</w:t>
            </w:r>
          </w:p>
        </w:tc>
        <w:tc>
          <w:tcPr>
            <w:tcW w:w="7088" w:type="dxa"/>
            <w:shd w:val="clear" w:color="auto" w:fill="auto"/>
          </w:tcPr>
          <w:p w14:paraId="3DA69F1C" w14:textId="77777777" w:rsidR="001317DC" w:rsidRDefault="001317DC" w:rsidP="00291AEB">
            <w:r>
              <w:t>If monies are collected away from the office, schools must undertake the following procedure:</w:t>
            </w:r>
          </w:p>
          <w:p w14:paraId="3C32D8AD" w14:textId="77777777" w:rsidR="001317DC" w:rsidRDefault="001317DC" w:rsidP="001317DC">
            <w:pPr>
              <w:pStyle w:val="ListBullet"/>
              <w:spacing w:before="0"/>
            </w:pPr>
            <w:r>
              <w:t>two people count money (where practical – refer to point 10.3.1.8);</w:t>
            </w:r>
          </w:p>
          <w:p w14:paraId="05AF4715" w14:textId="77777777" w:rsidR="001317DC" w:rsidRDefault="001317DC" w:rsidP="001317DC">
            <w:pPr>
              <w:pStyle w:val="ListBullet"/>
              <w:spacing w:before="0"/>
            </w:pPr>
            <w:r>
              <w:t>control receipt prepared for total amount;</w:t>
            </w:r>
          </w:p>
          <w:p w14:paraId="3046A920" w14:textId="77777777" w:rsidR="001317DC" w:rsidRDefault="001317DC" w:rsidP="001317DC">
            <w:pPr>
              <w:pStyle w:val="ListBullet"/>
              <w:spacing w:before="0"/>
            </w:pPr>
            <w:r>
              <w:t>original control receipt attached to class list/sales book/attendance sheet. Duplicate control receipt retained by the teacher, manager or coordinator;</w:t>
            </w:r>
          </w:p>
          <w:p w14:paraId="21D308D1" w14:textId="77777777" w:rsidR="001317DC" w:rsidRDefault="001317DC" w:rsidP="001317DC">
            <w:pPr>
              <w:pStyle w:val="ListBullet"/>
              <w:spacing w:before="0"/>
            </w:pPr>
            <w:r>
              <w:t>office staff reconcile list of collections/control receipts with monies handed to office and provide receipt.</w:t>
            </w:r>
          </w:p>
        </w:tc>
        <w:tc>
          <w:tcPr>
            <w:tcW w:w="788" w:type="dxa"/>
          </w:tcPr>
          <w:p w14:paraId="190DC694" w14:textId="77777777" w:rsidR="001317DC" w:rsidRDefault="001317DC" w:rsidP="00291AEB"/>
        </w:tc>
      </w:tr>
      <w:tr w:rsidR="001317DC" w:rsidRPr="0091756B" w14:paraId="21FA3A79" w14:textId="4087E199" w:rsidTr="001317DC">
        <w:trPr>
          <w:trHeight w:val="567"/>
        </w:trPr>
        <w:tc>
          <w:tcPr>
            <w:tcW w:w="1134" w:type="dxa"/>
            <w:shd w:val="clear" w:color="auto" w:fill="FFFFFF" w:themeFill="background1"/>
          </w:tcPr>
          <w:p w14:paraId="4AFF8377" w14:textId="77777777" w:rsidR="001317DC" w:rsidRDefault="001317DC" w:rsidP="002B2ED0">
            <w:r>
              <w:lastRenderedPageBreak/>
              <w:t>10.3.1.11</w:t>
            </w:r>
          </w:p>
        </w:tc>
        <w:tc>
          <w:tcPr>
            <w:tcW w:w="7088" w:type="dxa"/>
            <w:shd w:val="clear" w:color="auto" w:fill="auto"/>
          </w:tcPr>
          <w:p w14:paraId="476338BB" w14:textId="77777777" w:rsidR="001317DC" w:rsidRDefault="001317DC" w:rsidP="00291AEB">
            <w:r>
              <w:t>All cash, cheques, etc. must be banked intact and in a timely fashion (preferably daily) to avoid having money on school premises overnight.</w:t>
            </w:r>
          </w:p>
        </w:tc>
        <w:tc>
          <w:tcPr>
            <w:tcW w:w="788" w:type="dxa"/>
          </w:tcPr>
          <w:p w14:paraId="37E68F83" w14:textId="77777777" w:rsidR="001317DC" w:rsidRDefault="001317DC" w:rsidP="00291AEB"/>
        </w:tc>
      </w:tr>
      <w:tr w:rsidR="001317DC" w:rsidRPr="0091756B" w14:paraId="785FE482" w14:textId="231C61C5" w:rsidTr="001317DC">
        <w:trPr>
          <w:trHeight w:val="499"/>
        </w:trPr>
        <w:tc>
          <w:tcPr>
            <w:tcW w:w="1134" w:type="dxa"/>
            <w:shd w:val="clear" w:color="auto" w:fill="FFFFFF" w:themeFill="background1"/>
          </w:tcPr>
          <w:p w14:paraId="17A1E5DD" w14:textId="77777777" w:rsidR="001317DC" w:rsidRDefault="001317DC" w:rsidP="002B2ED0">
            <w:r>
              <w:t>10.3.1.12</w:t>
            </w:r>
          </w:p>
        </w:tc>
        <w:tc>
          <w:tcPr>
            <w:tcW w:w="7088" w:type="dxa"/>
            <w:shd w:val="clear" w:color="auto" w:fill="auto"/>
          </w:tcPr>
          <w:p w14:paraId="38FC01B6" w14:textId="77777777" w:rsidR="001317DC" w:rsidRDefault="001317DC" w:rsidP="00F73021">
            <w:r>
              <w:t>Money kept on school premises must be locked in a secure location.</w:t>
            </w:r>
          </w:p>
        </w:tc>
        <w:tc>
          <w:tcPr>
            <w:tcW w:w="788" w:type="dxa"/>
          </w:tcPr>
          <w:p w14:paraId="12DF797E" w14:textId="77777777" w:rsidR="001317DC" w:rsidRDefault="001317DC" w:rsidP="00F73021"/>
        </w:tc>
      </w:tr>
      <w:tr w:rsidR="001317DC" w:rsidRPr="0091756B" w14:paraId="5937CD0C" w14:textId="22448FB9" w:rsidTr="001317DC">
        <w:trPr>
          <w:trHeight w:val="1696"/>
        </w:trPr>
        <w:tc>
          <w:tcPr>
            <w:tcW w:w="1134" w:type="dxa"/>
            <w:shd w:val="clear" w:color="auto" w:fill="FFFFFF" w:themeFill="background1"/>
          </w:tcPr>
          <w:p w14:paraId="11CE3E93" w14:textId="77777777" w:rsidR="001317DC" w:rsidRDefault="001317DC" w:rsidP="002B2ED0">
            <w:r>
              <w:t>10.3.1.13</w:t>
            </w:r>
          </w:p>
        </w:tc>
        <w:tc>
          <w:tcPr>
            <w:tcW w:w="7088" w:type="dxa"/>
            <w:shd w:val="clear" w:color="auto" w:fill="auto"/>
          </w:tcPr>
          <w:p w14:paraId="30433DE2" w14:textId="77777777" w:rsidR="001317DC" w:rsidRDefault="001317DC" w:rsidP="002F616E">
            <w:r>
              <w:t>In preparing the banking of funds collected, schools must:</w:t>
            </w:r>
          </w:p>
          <w:p w14:paraId="1EA9CE96" w14:textId="77777777" w:rsidR="001317DC" w:rsidRDefault="001317DC" w:rsidP="005C3A5C">
            <w:pPr>
              <w:pStyle w:val="ListBullet"/>
            </w:pPr>
            <w:r>
              <w:t>prepare bank deposit slips in duplicate;</w:t>
            </w:r>
          </w:p>
          <w:p w14:paraId="73670EE8" w14:textId="77777777" w:rsidR="001317DC" w:rsidRDefault="001317DC" w:rsidP="005C3A5C">
            <w:pPr>
              <w:pStyle w:val="ListBullet"/>
            </w:pPr>
            <w:r>
              <w:t>reconcile the total money received with the total amounts recorded in CASES21;</w:t>
            </w:r>
          </w:p>
          <w:p w14:paraId="53B3BFE2" w14:textId="77777777" w:rsidR="001317DC" w:rsidRDefault="001317DC" w:rsidP="005C3A5C">
            <w:pPr>
              <w:pStyle w:val="ListBullet"/>
            </w:pPr>
            <w:r>
              <w:t xml:space="preserve">all bank deposit slips must be signed by the depositor. </w:t>
            </w:r>
          </w:p>
        </w:tc>
        <w:tc>
          <w:tcPr>
            <w:tcW w:w="788" w:type="dxa"/>
          </w:tcPr>
          <w:p w14:paraId="3B4A617B" w14:textId="77777777" w:rsidR="001317DC" w:rsidRDefault="001317DC" w:rsidP="002F616E"/>
        </w:tc>
      </w:tr>
      <w:tr w:rsidR="001317DC" w:rsidRPr="0091756B" w14:paraId="1E8DA786" w14:textId="2F8A8B25" w:rsidTr="001317DC">
        <w:trPr>
          <w:trHeight w:val="844"/>
        </w:trPr>
        <w:tc>
          <w:tcPr>
            <w:tcW w:w="1134" w:type="dxa"/>
            <w:shd w:val="clear" w:color="auto" w:fill="FFFFFF" w:themeFill="background1"/>
          </w:tcPr>
          <w:p w14:paraId="4CC2280A" w14:textId="77777777" w:rsidR="001317DC" w:rsidRDefault="001317DC" w:rsidP="002B2ED0">
            <w:r>
              <w:t>10.3.1.14</w:t>
            </w:r>
          </w:p>
        </w:tc>
        <w:tc>
          <w:tcPr>
            <w:tcW w:w="7088" w:type="dxa"/>
            <w:shd w:val="clear" w:color="auto" w:fill="auto"/>
          </w:tcPr>
          <w:p w14:paraId="4F86E9F0" w14:textId="77777777" w:rsidR="001317DC" w:rsidRDefault="001317DC" w:rsidP="00291AEB">
            <w:r>
              <w:t>Any refunds must be in line with the school’s refund policy and must be by cheque or electronic payment and never cash.</w:t>
            </w:r>
          </w:p>
        </w:tc>
        <w:tc>
          <w:tcPr>
            <w:tcW w:w="788" w:type="dxa"/>
          </w:tcPr>
          <w:p w14:paraId="7108CDA6" w14:textId="77777777" w:rsidR="001317DC" w:rsidRDefault="001317DC" w:rsidP="00291AEB"/>
        </w:tc>
      </w:tr>
      <w:tr w:rsidR="001317DC" w:rsidRPr="0091756B" w14:paraId="6B372E84" w14:textId="79C656E2" w:rsidTr="001317DC">
        <w:trPr>
          <w:trHeight w:val="567"/>
        </w:trPr>
        <w:tc>
          <w:tcPr>
            <w:tcW w:w="1134" w:type="dxa"/>
            <w:tcBorders>
              <w:bottom w:val="single" w:sz="4" w:space="0" w:color="auto"/>
            </w:tcBorders>
            <w:shd w:val="clear" w:color="auto" w:fill="FFFFFF" w:themeFill="background1"/>
          </w:tcPr>
          <w:p w14:paraId="3B6091E0" w14:textId="77777777" w:rsidR="001317DC" w:rsidRDefault="001317DC" w:rsidP="002B2ED0">
            <w:r>
              <w:t>10.3.1.15</w:t>
            </w:r>
          </w:p>
        </w:tc>
        <w:tc>
          <w:tcPr>
            <w:tcW w:w="7088" w:type="dxa"/>
            <w:tcBorders>
              <w:bottom w:val="single" w:sz="4" w:space="0" w:color="auto"/>
            </w:tcBorders>
            <w:shd w:val="clear" w:color="auto" w:fill="auto"/>
          </w:tcPr>
          <w:p w14:paraId="02C9222F" w14:textId="77777777" w:rsidR="001317DC" w:rsidRDefault="001317DC" w:rsidP="002F616E">
            <w:r>
              <w:t>On receipt of advice from the bank that a cheque has been dishonoured, the principal or their delegate must communicate with the drawer of the cheque to correct any irregularities or obtain a fresh remittance. Efforts must be made to recover bank charges from the drawer.</w:t>
            </w:r>
          </w:p>
        </w:tc>
        <w:tc>
          <w:tcPr>
            <w:tcW w:w="788" w:type="dxa"/>
            <w:tcBorders>
              <w:bottom w:val="single" w:sz="4" w:space="0" w:color="auto"/>
            </w:tcBorders>
          </w:tcPr>
          <w:p w14:paraId="4900066D" w14:textId="77777777" w:rsidR="001317DC" w:rsidRDefault="001317DC" w:rsidP="002F616E"/>
        </w:tc>
      </w:tr>
    </w:tbl>
    <w:p w14:paraId="3F006EB8" w14:textId="77777777" w:rsidR="00E0788A" w:rsidRPr="00AD3210" w:rsidRDefault="00746914" w:rsidP="00E0788A">
      <w:pPr>
        <w:pStyle w:val="Heading3"/>
      </w:pPr>
      <w:r>
        <w:t>10.3</w:t>
      </w:r>
      <w:r w:rsidR="00E0788A" w:rsidRPr="00AD3210">
        <w:t>.2</w:t>
      </w:r>
      <w:r w:rsidR="00EF0224">
        <w:tab/>
      </w:r>
      <w:r w:rsidR="00E0788A" w:rsidRPr="00AD3210">
        <w:t>Prohibited</w:t>
      </w:r>
      <w:r w:rsidR="00E0788A">
        <w:t xml:space="preserve"> </w:t>
      </w:r>
      <w:r w:rsidR="00E0788A" w:rsidRPr="00AD3210">
        <w:t>policy</w:t>
      </w:r>
      <w:r w:rsidR="00E0788A">
        <w:t xml:space="preserve"> </w:t>
      </w:r>
      <w:r w:rsidR="00E0788A" w:rsidRPr="00AD3210">
        <w:t>(</w:t>
      </w:r>
      <w:r w:rsidR="00F73021">
        <w:t>M</w:t>
      </w:r>
      <w:r w:rsidR="00E0788A" w:rsidRPr="00AD3210">
        <w:t>ust</w:t>
      </w:r>
      <w:r w:rsidR="00E0788A">
        <w:t xml:space="preserve"> </w:t>
      </w:r>
      <w:r w:rsidR="00E0788A" w:rsidRPr="00AD3210">
        <w:t>not</w:t>
      </w:r>
      <w:r w:rsidR="002116A1">
        <w:t xml:space="preserve"> do</w:t>
      </w:r>
      <w:r w:rsidR="00E0788A" w:rsidRPr="00AD3210">
        <w:t>)</w:t>
      </w:r>
      <w:r w:rsidR="00E0788A">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7203"/>
        <w:gridCol w:w="695"/>
      </w:tblGrid>
      <w:tr w:rsidR="001317DC" w:rsidRPr="0091756B" w14:paraId="33CC3B72" w14:textId="4B92D0DA" w:rsidTr="001317DC">
        <w:trPr>
          <w:trHeight w:val="541"/>
          <w:tblHeader/>
        </w:trPr>
        <w:tc>
          <w:tcPr>
            <w:tcW w:w="1099" w:type="dxa"/>
            <w:tcBorders>
              <w:top w:val="single" w:sz="4" w:space="0" w:color="auto"/>
              <w:left w:val="single" w:sz="4" w:space="0" w:color="auto"/>
              <w:bottom w:val="single" w:sz="4" w:space="0" w:color="auto"/>
              <w:right w:val="single" w:sz="4" w:space="0" w:color="auto"/>
            </w:tcBorders>
            <w:shd w:val="clear" w:color="auto" w:fill="auto"/>
          </w:tcPr>
          <w:p w14:paraId="6028C3E7" w14:textId="4AE7FCAA" w:rsidR="001317DC" w:rsidRPr="009534D4" w:rsidRDefault="001317DC" w:rsidP="0053366B">
            <w:pPr>
              <w:rPr>
                <w:b/>
              </w:rPr>
            </w:pPr>
            <w:r>
              <w:rPr>
                <w:b/>
                <w:sz w:val="18"/>
              </w:rPr>
              <w:t>Sequence</w:t>
            </w:r>
            <w:r w:rsidRPr="0024419D">
              <w:rPr>
                <w:b/>
                <w:sz w:val="18"/>
              </w:rPr>
              <w:t xml:space="preserve"> Number</w:t>
            </w:r>
          </w:p>
        </w:tc>
        <w:tc>
          <w:tcPr>
            <w:tcW w:w="7203" w:type="dxa"/>
            <w:tcBorders>
              <w:top w:val="single" w:sz="4" w:space="0" w:color="auto"/>
              <w:left w:val="single" w:sz="4" w:space="0" w:color="auto"/>
              <w:bottom w:val="single" w:sz="4" w:space="0" w:color="auto"/>
              <w:right w:val="single" w:sz="4" w:space="0" w:color="auto"/>
            </w:tcBorders>
            <w:shd w:val="clear" w:color="auto" w:fill="auto"/>
          </w:tcPr>
          <w:p w14:paraId="16F04FF5" w14:textId="77777777" w:rsidR="001317DC" w:rsidRPr="00924F22" w:rsidRDefault="001317DC" w:rsidP="0053366B">
            <w:pPr>
              <w:rPr>
                <w:b/>
                <w:sz w:val="20"/>
                <w:szCs w:val="20"/>
              </w:rPr>
            </w:pPr>
            <w:r w:rsidRPr="00924F22">
              <w:rPr>
                <w:b/>
                <w:sz w:val="20"/>
                <w:szCs w:val="20"/>
              </w:rPr>
              <w:t>Information</w:t>
            </w:r>
          </w:p>
        </w:tc>
        <w:tc>
          <w:tcPr>
            <w:tcW w:w="695" w:type="dxa"/>
            <w:tcBorders>
              <w:top w:val="nil"/>
              <w:left w:val="single" w:sz="4" w:space="0" w:color="auto"/>
              <w:bottom w:val="single" w:sz="4" w:space="0" w:color="auto"/>
              <w:right w:val="nil"/>
            </w:tcBorders>
          </w:tcPr>
          <w:p w14:paraId="5A6326A4" w14:textId="77777777" w:rsidR="001317DC" w:rsidRPr="009534D4" w:rsidRDefault="001317DC" w:rsidP="0053366B">
            <w:pPr>
              <w:rPr>
                <w:b/>
              </w:rPr>
            </w:pPr>
          </w:p>
        </w:tc>
      </w:tr>
      <w:tr w:rsidR="001317DC" w:rsidRPr="0091756B" w14:paraId="095C678C" w14:textId="28CE4D8D" w:rsidTr="001317DC">
        <w:trPr>
          <w:trHeight w:val="541"/>
        </w:trPr>
        <w:tc>
          <w:tcPr>
            <w:tcW w:w="1099" w:type="dxa"/>
            <w:shd w:val="clear" w:color="auto" w:fill="auto"/>
          </w:tcPr>
          <w:p w14:paraId="0EA470EC" w14:textId="77777777" w:rsidR="001317DC" w:rsidRPr="0091756B" w:rsidRDefault="001317DC" w:rsidP="008F5CFD">
            <w:r>
              <w:t>10.3</w:t>
            </w:r>
            <w:r w:rsidRPr="0091756B">
              <w:t>.2.1</w:t>
            </w:r>
          </w:p>
        </w:tc>
        <w:tc>
          <w:tcPr>
            <w:tcW w:w="7203" w:type="dxa"/>
            <w:shd w:val="clear" w:color="auto" w:fill="auto"/>
          </w:tcPr>
          <w:p w14:paraId="558CCCAC" w14:textId="77777777" w:rsidR="001317DC" w:rsidRPr="0091756B" w:rsidRDefault="001317DC" w:rsidP="008F5CFD">
            <w:r>
              <w:t>Cash personal cheques under any circumstances.</w:t>
            </w:r>
          </w:p>
        </w:tc>
        <w:tc>
          <w:tcPr>
            <w:tcW w:w="695" w:type="dxa"/>
          </w:tcPr>
          <w:p w14:paraId="0D81EA40" w14:textId="77777777" w:rsidR="001317DC" w:rsidRDefault="001317DC" w:rsidP="008F5CFD"/>
        </w:tc>
      </w:tr>
      <w:tr w:rsidR="001317DC" w:rsidRPr="0091756B" w14:paraId="5C029E26" w14:textId="4C044C6D" w:rsidTr="001317DC">
        <w:trPr>
          <w:trHeight w:val="1187"/>
        </w:trPr>
        <w:tc>
          <w:tcPr>
            <w:tcW w:w="1099" w:type="dxa"/>
            <w:shd w:val="clear" w:color="auto" w:fill="auto"/>
          </w:tcPr>
          <w:p w14:paraId="38FD20AE" w14:textId="77777777" w:rsidR="001317DC" w:rsidRPr="0091756B" w:rsidRDefault="001317DC" w:rsidP="008F5CFD">
            <w:r>
              <w:t>10.3.2.2</w:t>
            </w:r>
          </w:p>
        </w:tc>
        <w:tc>
          <w:tcPr>
            <w:tcW w:w="7203" w:type="dxa"/>
            <w:shd w:val="clear" w:color="auto" w:fill="auto"/>
          </w:tcPr>
          <w:p w14:paraId="61DB7D3D" w14:textId="77777777" w:rsidR="001317DC" w:rsidRDefault="001317DC" w:rsidP="00791B46">
            <w:r>
              <w:t>Alter any receipt. If an error is made, the receipt must be cancelled and a new receipt issued. The original of the incorrect receipt must be attached to the copy of the new receipt.</w:t>
            </w:r>
          </w:p>
        </w:tc>
        <w:tc>
          <w:tcPr>
            <w:tcW w:w="695" w:type="dxa"/>
          </w:tcPr>
          <w:p w14:paraId="5BF4CDC2" w14:textId="77777777" w:rsidR="001317DC" w:rsidRDefault="001317DC" w:rsidP="00791B46"/>
        </w:tc>
      </w:tr>
      <w:tr w:rsidR="001317DC" w:rsidRPr="0091756B" w14:paraId="4E84FDED" w14:textId="59867559" w:rsidTr="001317DC">
        <w:trPr>
          <w:trHeight w:val="1412"/>
        </w:trPr>
        <w:tc>
          <w:tcPr>
            <w:tcW w:w="1099" w:type="dxa"/>
            <w:shd w:val="clear" w:color="auto" w:fill="auto"/>
          </w:tcPr>
          <w:p w14:paraId="6B7A0A11" w14:textId="77777777" w:rsidR="001317DC" w:rsidRPr="0091756B" w:rsidRDefault="001317DC" w:rsidP="008F5CFD">
            <w:r>
              <w:t>10.3.2.3</w:t>
            </w:r>
          </w:p>
        </w:tc>
        <w:tc>
          <w:tcPr>
            <w:tcW w:w="7203" w:type="dxa"/>
            <w:shd w:val="clear" w:color="auto" w:fill="auto"/>
          </w:tcPr>
          <w:p w14:paraId="43E12E74" w14:textId="77777777" w:rsidR="001317DC" w:rsidRDefault="001317DC" w:rsidP="002F616E">
            <w:r>
              <w:t>Issue any duplicate receipts. If a duplicate receipt is requested the receipt of money must be acknowledged by a typed note on school letterhead (general ledger receipts) or a copy of a family or sundry debtor statement showing the receipt of money.</w:t>
            </w:r>
          </w:p>
        </w:tc>
        <w:tc>
          <w:tcPr>
            <w:tcW w:w="695" w:type="dxa"/>
          </w:tcPr>
          <w:p w14:paraId="1650CA6D" w14:textId="77777777" w:rsidR="001317DC" w:rsidRDefault="001317DC" w:rsidP="002F616E"/>
        </w:tc>
      </w:tr>
      <w:tr w:rsidR="001317DC" w:rsidRPr="0091756B" w14:paraId="21F91FE0" w14:textId="34726B13" w:rsidTr="001317DC">
        <w:trPr>
          <w:trHeight w:val="567"/>
        </w:trPr>
        <w:tc>
          <w:tcPr>
            <w:tcW w:w="1099" w:type="dxa"/>
            <w:shd w:val="clear" w:color="auto" w:fill="auto"/>
          </w:tcPr>
          <w:p w14:paraId="5F0E3BB2" w14:textId="77777777" w:rsidR="001317DC" w:rsidRPr="0091756B" w:rsidRDefault="001317DC" w:rsidP="008F5CFD">
            <w:r>
              <w:t>10.3.2.4</w:t>
            </w:r>
          </w:p>
        </w:tc>
        <w:tc>
          <w:tcPr>
            <w:tcW w:w="7203" w:type="dxa"/>
            <w:shd w:val="clear" w:color="auto" w:fill="auto"/>
          </w:tcPr>
          <w:p w14:paraId="40150A42" w14:textId="77777777" w:rsidR="001317DC" w:rsidRDefault="001317DC" w:rsidP="00E27F72">
            <w:r>
              <w:t>Leave money on school premises during vacation periods.</w:t>
            </w:r>
          </w:p>
        </w:tc>
        <w:tc>
          <w:tcPr>
            <w:tcW w:w="695" w:type="dxa"/>
          </w:tcPr>
          <w:p w14:paraId="24828994" w14:textId="77777777" w:rsidR="001317DC" w:rsidRDefault="001317DC" w:rsidP="00E27F72"/>
        </w:tc>
      </w:tr>
    </w:tbl>
    <w:p w14:paraId="6D489749" w14:textId="52C3BAD3" w:rsidR="0051778F" w:rsidRDefault="0051778F" w:rsidP="00AD3210"/>
    <w:p w14:paraId="39E30E04" w14:textId="77777777" w:rsidR="00A91E89" w:rsidRPr="00AD3210" w:rsidRDefault="00A91E89" w:rsidP="00AD3210"/>
    <w:p w14:paraId="14E0C43B" w14:textId="77777777" w:rsidR="0051778F" w:rsidRPr="00AD3210" w:rsidRDefault="0051778F" w:rsidP="003D4CFE">
      <w:pPr>
        <w:pStyle w:val="Heading2"/>
      </w:pPr>
      <w:r w:rsidRPr="00AD3210">
        <w:lastRenderedPageBreak/>
        <w:t>Legislative</w:t>
      </w:r>
      <w:r w:rsidR="003D4CFE">
        <w:t xml:space="preserve"> </w:t>
      </w:r>
      <w:r w:rsidRPr="00AD3210">
        <w:t>requirements</w:t>
      </w:r>
    </w:p>
    <w:p w14:paraId="0DD4D6E4" w14:textId="77777777" w:rsidR="0051778F" w:rsidRDefault="0051778F" w:rsidP="003D4CFE">
      <w:pPr>
        <w:pStyle w:val="Heading3"/>
      </w:pPr>
      <w:r w:rsidRPr="00AD3210">
        <w:t>Legislation</w:t>
      </w:r>
    </w:p>
    <w:p w14:paraId="394498EF" w14:textId="77777777" w:rsidR="00E7256D" w:rsidRPr="00E7256D" w:rsidRDefault="00E7256D" w:rsidP="00E7256D">
      <w:r w:rsidRPr="00AD3210">
        <w:t>The</w:t>
      </w:r>
      <w:r>
        <w:t xml:space="preserve"> </w:t>
      </w:r>
      <w:r w:rsidRPr="00AD3210">
        <w:t>advice</w:t>
      </w:r>
      <w:r>
        <w:t xml:space="preserve"> </w:t>
      </w:r>
      <w:r w:rsidRPr="00AD3210">
        <w:t>in</w:t>
      </w:r>
      <w:r>
        <w:t xml:space="preserve"> </w:t>
      </w:r>
      <w:r w:rsidRPr="00AD3210">
        <w:t>this</w:t>
      </w:r>
      <w:r>
        <w:t xml:space="preserve"> </w:t>
      </w:r>
      <w:r w:rsidRPr="00AD3210">
        <w:t>section</w:t>
      </w:r>
      <w:r>
        <w:t xml:space="preserve"> </w:t>
      </w:r>
      <w:r w:rsidRPr="00AD3210">
        <w:t>was</w:t>
      </w:r>
      <w:r>
        <w:t xml:space="preserve"> </w:t>
      </w:r>
      <w:r w:rsidRPr="00AD3210">
        <w:t>based</w:t>
      </w:r>
      <w:r>
        <w:t xml:space="preserve"> </w:t>
      </w:r>
      <w:r w:rsidRPr="00AD3210">
        <w:t>on</w:t>
      </w:r>
      <w:r>
        <w:t xml:space="preserve"> </w:t>
      </w:r>
      <w:r w:rsidRPr="00AD3210">
        <w:t>requirements</w:t>
      </w:r>
      <w:r>
        <w:t xml:space="preserve"> </w:t>
      </w:r>
      <w:r w:rsidRPr="00AD3210">
        <w:t>outlined</w:t>
      </w:r>
      <w:r>
        <w:t xml:space="preserve"> </w:t>
      </w:r>
      <w:r w:rsidRPr="00AD3210">
        <w:t>in</w:t>
      </w:r>
      <w:r>
        <w:t xml:space="preserve"> </w:t>
      </w:r>
      <w:r w:rsidRPr="00AD3210">
        <w:t>the</w:t>
      </w:r>
      <w:r>
        <w:t xml:space="preserve"> </w:t>
      </w:r>
      <w:r w:rsidRPr="00AD3210">
        <w:t>following</w:t>
      </w:r>
      <w:r>
        <w:t xml:space="preserve"> </w:t>
      </w:r>
      <w:r w:rsidRPr="00AD3210">
        <w:t>legislation:</w:t>
      </w:r>
    </w:p>
    <w:p w14:paraId="17ABD3D5" w14:textId="77777777" w:rsidR="00E7256D" w:rsidRDefault="00E7256D" w:rsidP="00E7256D">
      <w:pPr>
        <w:pStyle w:val="ListBullet"/>
      </w:pPr>
      <w:r>
        <w:t>Australian accounting standards –</w:t>
      </w:r>
      <w:r w:rsidRPr="008506F5">
        <w:t xml:space="preserve"> </w:t>
      </w:r>
      <w:r>
        <w:t>ASSB 107 Statement of Cash Flows, AASB 139 Financial Instruments</w:t>
      </w:r>
      <w:r w:rsidRPr="00A41F9D">
        <w:t xml:space="preserve"> and AASB 101 Presentation of Financial Statements</w:t>
      </w:r>
      <w:r>
        <w:t>.</w:t>
      </w:r>
    </w:p>
    <w:p w14:paraId="35EA3F0A" w14:textId="77777777" w:rsidR="00E7256D" w:rsidRPr="00AD3210" w:rsidRDefault="00E7256D" w:rsidP="00E7256D">
      <w:pPr>
        <w:pStyle w:val="ListBullet"/>
      </w:pPr>
      <w:r>
        <w:t>Constituting School Council orders.</w:t>
      </w:r>
    </w:p>
    <w:p w14:paraId="76811FFF" w14:textId="77777777" w:rsidR="0051778F" w:rsidRPr="00AD3210" w:rsidRDefault="0051778F" w:rsidP="003D4CFE">
      <w:pPr>
        <w:pStyle w:val="ListBullet"/>
      </w:pPr>
      <w:r w:rsidRPr="008D42B1">
        <w:rPr>
          <w:i/>
        </w:rPr>
        <w:t>Education</w:t>
      </w:r>
      <w:r w:rsidR="003D4CFE" w:rsidRPr="008D42B1">
        <w:rPr>
          <w:i/>
        </w:rPr>
        <w:t xml:space="preserve"> </w:t>
      </w:r>
      <w:r w:rsidRPr="008D42B1">
        <w:rPr>
          <w:i/>
        </w:rPr>
        <w:t>and</w:t>
      </w:r>
      <w:r w:rsidR="003D4CFE" w:rsidRPr="008D42B1">
        <w:rPr>
          <w:i/>
        </w:rPr>
        <w:t xml:space="preserve"> </w:t>
      </w:r>
      <w:r w:rsidRPr="008D42B1">
        <w:rPr>
          <w:i/>
        </w:rPr>
        <w:t>Training</w:t>
      </w:r>
      <w:r w:rsidR="003D4CFE" w:rsidRPr="008D42B1">
        <w:rPr>
          <w:i/>
        </w:rPr>
        <w:t xml:space="preserve"> </w:t>
      </w:r>
      <w:r w:rsidRPr="008D42B1">
        <w:rPr>
          <w:i/>
        </w:rPr>
        <w:t>Reform</w:t>
      </w:r>
      <w:r w:rsidR="003D4CFE" w:rsidRPr="008D42B1">
        <w:rPr>
          <w:i/>
        </w:rPr>
        <w:t xml:space="preserve"> </w:t>
      </w:r>
      <w:r w:rsidRPr="008D42B1">
        <w:rPr>
          <w:i/>
        </w:rPr>
        <w:t>Act</w:t>
      </w:r>
      <w:r w:rsidR="003D4CFE" w:rsidRPr="008D42B1">
        <w:rPr>
          <w:i/>
        </w:rPr>
        <w:t xml:space="preserve"> </w:t>
      </w:r>
      <w:r w:rsidRPr="008D42B1">
        <w:rPr>
          <w:i/>
        </w:rPr>
        <w:t>2006</w:t>
      </w:r>
      <w:r w:rsidR="003D4CFE">
        <w:t xml:space="preserve"> </w:t>
      </w:r>
      <w:r w:rsidRPr="00AD3210">
        <w:t>–</w:t>
      </w:r>
      <w:r w:rsidR="003D4CFE">
        <w:t xml:space="preserve"> </w:t>
      </w:r>
      <w:r w:rsidR="00CE1579" w:rsidRPr="00AD3210">
        <w:t>Part</w:t>
      </w:r>
      <w:r w:rsidR="003D4CFE">
        <w:t xml:space="preserve"> </w:t>
      </w:r>
      <w:r w:rsidR="00CE1579" w:rsidRPr="00AD3210">
        <w:t>2.3</w:t>
      </w:r>
      <w:r w:rsidR="003D4CFE">
        <w:t xml:space="preserve"> </w:t>
      </w:r>
      <w:r w:rsidR="00CE1579" w:rsidRPr="00AD3210">
        <w:t>–</w:t>
      </w:r>
      <w:r w:rsidR="003D4CFE">
        <w:t xml:space="preserve"> </w:t>
      </w:r>
      <w:r w:rsidR="00CE1579" w:rsidRPr="00AD3210">
        <w:t>Government</w:t>
      </w:r>
      <w:r w:rsidR="003D4CFE">
        <w:t xml:space="preserve"> </w:t>
      </w:r>
      <w:r w:rsidR="00CE1579" w:rsidRPr="00AD3210">
        <w:t>School</w:t>
      </w:r>
      <w:r w:rsidR="003D4CFE">
        <w:t xml:space="preserve"> </w:t>
      </w:r>
      <w:r w:rsidR="00CE1579" w:rsidRPr="00AD3210">
        <w:t>Councils</w:t>
      </w:r>
      <w:r w:rsidR="002F2CC2">
        <w:t>.</w:t>
      </w:r>
      <w:r w:rsidR="003D4CFE">
        <w:t xml:space="preserve"> </w:t>
      </w:r>
    </w:p>
    <w:p w14:paraId="52B570C6" w14:textId="77777777" w:rsidR="0051778F" w:rsidRDefault="00A666E2" w:rsidP="00A666E2">
      <w:pPr>
        <w:pStyle w:val="ListBullet"/>
      </w:pPr>
      <w:r w:rsidRPr="00F1501C">
        <w:rPr>
          <w:i/>
        </w:rPr>
        <w:t>Education and Training Regulations 20</w:t>
      </w:r>
      <w:r>
        <w:rPr>
          <w:i/>
        </w:rPr>
        <w:t>1</w:t>
      </w:r>
      <w:r w:rsidRPr="00F1501C">
        <w:rPr>
          <w:i/>
        </w:rPr>
        <w:t>7</w:t>
      </w:r>
      <w:r w:rsidRPr="0008210B">
        <w:t xml:space="preserve"> – Part </w:t>
      </w:r>
      <w:r>
        <w:t>4</w:t>
      </w:r>
      <w:r w:rsidRPr="0008210B">
        <w:t xml:space="preserve"> – Government School Councils</w:t>
      </w:r>
      <w:r>
        <w:t xml:space="preserve"> and Parents Clubs.</w:t>
      </w:r>
    </w:p>
    <w:p w14:paraId="15B42E94" w14:textId="77777777" w:rsidR="00221235" w:rsidRPr="00AD3210" w:rsidRDefault="00221235" w:rsidP="003D4CFE">
      <w:pPr>
        <w:pStyle w:val="ListBullet"/>
      </w:pPr>
      <w:r>
        <w:rPr>
          <w:i/>
        </w:rPr>
        <w:t>Financial Management Act 1994</w:t>
      </w:r>
    </w:p>
    <w:p w14:paraId="3C6BA4A7" w14:textId="06178245" w:rsidR="0051778F" w:rsidRDefault="0051778F" w:rsidP="003D4CFE">
      <w:pPr>
        <w:pStyle w:val="ListBullet"/>
      </w:pPr>
      <w:r w:rsidRPr="00AD3210">
        <w:t>Standing</w:t>
      </w:r>
      <w:r w:rsidR="003D4CFE">
        <w:t xml:space="preserve"> </w:t>
      </w:r>
      <w:r w:rsidRPr="00AD3210">
        <w:t>Directions</w:t>
      </w:r>
      <w:r w:rsidR="003D4CFE">
        <w:t xml:space="preserve"> </w:t>
      </w:r>
      <w:r w:rsidRPr="00AD3210">
        <w:t>of</w:t>
      </w:r>
      <w:r w:rsidR="003D4CFE">
        <w:t xml:space="preserve"> </w:t>
      </w:r>
      <w:r w:rsidRPr="00AD3210">
        <w:t>the</w:t>
      </w:r>
      <w:r w:rsidR="003D4CFE">
        <w:t xml:space="preserve"> </w:t>
      </w:r>
      <w:r w:rsidRPr="00AD3210">
        <w:t>Minister</w:t>
      </w:r>
      <w:r w:rsidR="003D4CFE">
        <w:t xml:space="preserve"> </w:t>
      </w:r>
      <w:r w:rsidRPr="00AD3210">
        <w:t>of</w:t>
      </w:r>
      <w:r w:rsidR="003D4CFE">
        <w:t xml:space="preserve"> </w:t>
      </w:r>
      <w:r w:rsidRPr="00AD3210">
        <w:t>Finance</w:t>
      </w:r>
      <w:r w:rsidR="003D4CFE">
        <w:t xml:space="preserve"> </w:t>
      </w:r>
      <w:r w:rsidR="008C4BCA">
        <w:t>201</w:t>
      </w:r>
      <w:r w:rsidR="00BB2F6A">
        <w:t>8</w:t>
      </w:r>
      <w:r w:rsidR="008C4BCA">
        <w:t xml:space="preserve"> </w:t>
      </w:r>
      <w:r w:rsidR="00E7256D">
        <w:t xml:space="preserve">under the </w:t>
      </w:r>
      <w:r w:rsidR="00E7256D" w:rsidRPr="00E7256D">
        <w:rPr>
          <w:i/>
        </w:rPr>
        <w:t>Financial Management Act 1994</w:t>
      </w:r>
      <w:r w:rsidR="00E7256D">
        <w:t xml:space="preserve"> </w:t>
      </w:r>
      <w:r w:rsidR="00096CA9" w:rsidRPr="00AD3210">
        <w:t>–</w:t>
      </w:r>
      <w:r w:rsidR="003D4CFE">
        <w:t xml:space="preserve"> </w:t>
      </w:r>
      <w:r w:rsidR="00096CA9" w:rsidRPr="00AD3210">
        <w:t>Section</w:t>
      </w:r>
      <w:r w:rsidR="003D4CFE">
        <w:t xml:space="preserve"> </w:t>
      </w:r>
      <w:r w:rsidR="004C4419">
        <w:t>3.4 Internal Control System</w:t>
      </w:r>
      <w:r w:rsidR="00096CA9" w:rsidRPr="00AD3210">
        <w:t>.</w:t>
      </w:r>
    </w:p>
    <w:p w14:paraId="0898800D" w14:textId="77777777" w:rsidR="00221235" w:rsidRDefault="00221235" w:rsidP="00221235">
      <w:pPr>
        <w:pStyle w:val="ListBullet"/>
        <w:numPr>
          <w:ilvl w:val="0"/>
          <w:numId w:val="0"/>
        </w:numPr>
        <w:ind w:left="720" w:hanging="360"/>
      </w:pPr>
    </w:p>
    <w:p w14:paraId="5D751CFB" w14:textId="77777777" w:rsidR="0051778F" w:rsidRPr="00AD3210" w:rsidRDefault="0051778F" w:rsidP="003D4CFE">
      <w:pPr>
        <w:pStyle w:val="Heading2"/>
      </w:pPr>
      <w:r w:rsidRPr="00AD3210">
        <w:t>Definitions</w:t>
      </w:r>
      <w:r w:rsidR="003D4CFE">
        <w:t xml:space="preserve"> </w:t>
      </w:r>
    </w:p>
    <w:tbl>
      <w:tblPr>
        <w:tblW w:w="9007" w:type="dxa"/>
        <w:tblInd w:w="57" w:type="dxa"/>
        <w:tblLayout w:type="fixed"/>
        <w:tblLook w:val="04A0" w:firstRow="1" w:lastRow="0" w:firstColumn="1" w:lastColumn="0" w:noHBand="0" w:noVBand="1"/>
      </w:tblPr>
      <w:tblGrid>
        <w:gridCol w:w="1978"/>
        <w:gridCol w:w="7029"/>
      </w:tblGrid>
      <w:tr w:rsidR="009534D4" w:rsidRPr="009534D4" w14:paraId="33F6B3B6" w14:textId="77777777" w:rsidTr="009534D4">
        <w:trPr>
          <w:trHeight w:val="518"/>
          <w:tblHeader/>
        </w:trPr>
        <w:tc>
          <w:tcPr>
            <w:tcW w:w="1978" w:type="dxa"/>
            <w:tcBorders>
              <w:top w:val="single" w:sz="4" w:space="0" w:color="auto"/>
              <w:left w:val="single" w:sz="4" w:space="0" w:color="auto"/>
              <w:bottom w:val="single" w:sz="4" w:space="0" w:color="auto"/>
              <w:right w:val="single" w:sz="4" w:space="0" w:color="auto"/>
            </w:tcBorders>
            <w:shd w:val="clear" w:color="auto" w:fill="auto"/>
          </w:tcPr>
          <w:p w14:paraId="199FEF53" w14:textId="11CCFC1D" w:rsidR="009534D4" w:rsidRPr="009534D4" w:rsidRDefault="009534D4" w:rsidP="000A43CA">
            <w:pPr>
              <w:rPr>
                <w:b/>
                <w:sz w:val="24"/>
                <w:szCs w:val="24"/>
              </w:rPr>
            </w:pPr>
            <w:r w:rsidRPr="009534D4">
              <w:rPr>
                <w:b/>
                <w:sz w:val="24"/>
                <w:szCs w:val="24"/>
              </w:rPr>
              <w:t>Item</w:t>
            </w:r>
          </w:p>
        </w:tc>
        <w:tc>
          <w:tcPr>
            <w:tcW w:w="7029" w:type="dxa"/>
            <w:tcBorders>
              <w:top w:val="single" w:sz="4" w:space="0" w:color="auto"/>
              <w:left w:val="single" w:sz="4" w:space="0" w:color="auto"/>
              <w:bottom w:val="single" w:sz="4" w:space="0" w:color="auto"/>
              <w:right w:val="single" w:sz="4" w:space="0" w:color="auto"/>
            </w:tcBorders>
            <w:shd w:val="clear" w:color="auto" w:fill="auto"/>
          </w:tcPr>
          <w:p w14:paraId="27AD071D" w14:textId="28EFDBB2" w:rsidR="009534D4" w:rsidRPr="009534D4" w:rsidRDefault="009534D4" w:rsidP="000A43CA">
            <w:pPr>
              <w:rPr>
                <w:b/>
                <w:sz w:val="24"/>
                <w:szCs w:val="24"/>
              </w:rPr>
            </w:pPr>
            <w:r w:rsidRPr="009534D4">
              <w:rPr>
                <w:b/>
                <w:sz w:val="24"/>
                <w:szCs w:val="24"/>
              </w:rPr>
              <w:t>Definition</w:t>
            </w:r>
          </w:p>
        </w:tc>
      </w:tr>
      <w:tr w:rsidR="002F616E" w:rsidRPr="003D4CFE" w14:paraId="79AD49CD" w14:textId="77777777" w:rsidTr="009534D4">
        <w:trPr>
          <w:trHeight w:val="1172"/>
        </w:trPr>
        <w:tc>
          <w:tcPr>
            <w:tcW w:w="1978" w:type="dxa"/>
            <w:tcBorders>
              <w:top w:val="single" w:sz="4" w:space="0" w:color="auto"/>
              <w:left w:val="single" w:sz="4" w:space="0" w:color="auto"/>
              <w:bottom w:val="single" w:sz="4" w:space="0" w:color="auto"/>
              <w:right w:val="single" w:sz="4" w:space="0" w:color="auto"/>
            </w:tcBorders>
            <w:shd w:val="clear" w:color="auto" w:fill="auto"/>
          </w:tcPr>
          <w:p w14:paraId="70E5B41B" w14:textId="77777777" w:rsidR="002F616E" w:rsidRPr="002F616E" w:rsidRDefault="002F616E" w:rsidP="000A43CA">
            <w:pPr>
              <w:rPr>
                <w:b/>
              </w:rPr>
            </w:pPr>
            <w:r w:rsidRPr="002F616E">
              <w:rPr>
                <w:b/>
              </w:rPr>
              <w:t>BPAY</w:t>
            </w:r>
          </w:p>
        </w:tc>
        <w:tc>
          <w:tcPr>
            <w:tcW w:w="7029" w:type="dxa"/>
            <w:tcBorders>
              <w:top w:val="single" w:sz="4" w:space="0" w:color="auto"/>
              <w:left w:val="single" w:sz="4" w:space="0" w:color="auto"/>
              <w:bottom w:val="single" w:sz="4" w:space="0" w:color="auto"/>
              <w:right w:val="single" w:sz="4" w:space="0" w:color="auto"/>
            </w:tcBorders>
            <w:shd w:val="clear" w:color="auto" w:fill="auto"/>
          </w:tcPr>
          <w:p w14:paraId="373B515E" w14:textId="77777777" w:rsidR="002F616E" w:rsidRDefault="002F616E" w:rsidP="000A43CA">
            <w:r>
              <w:t>Electronic bill payment system that enables payments to be made through a financial institution’s online, mobile or telephone banking facility.</w:t>
            </w:r>
          </w:p>
        </w:tc>
      </w:tr>
      <w:tr w:rsidR="002F616E" w:rsidRPr="003D4CFE" w14:paraId="5B724060" w14:textId="77777777" w:rsidTr="009534D4">
        <w:trPr>
          <w:trHeight w:val="1342"/>
        </w:trPr>
        <w:tc>
          <w:tcPr>
            <w:tcW w:w="1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F548B1" w14:textId="77777777" w:rsidR="002F616E" w:rsidRPr="002F616E" w:rsidRDefault="002F616E" w:rsidP="000A43CA">
            <w:pPr>
              <w:rPr>
                <w:b/>
              </w:rPr>
            </w:pPr>
            <w:r w:rsidRPr="002F616E">
              <w:rPr>
                <w:b/>
              </w:rPr>
              <w:t>CASES21</w:t>
            </w:r>
          </w:p>
        </w:tc>
        <w:tc>
          <w:tcPr>
            <w:tcW w:w="7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F274A8" w14:textId="77777777" w:rsidR="002F616E" w:rsidRPr="003D4CFE" w:rsidRDefault="002F616E" w:rsidP="000179C2">
            <w:r w:rsidRPr="003D4CFE">
              <w:t xml:space="preserve">CASES21 (Computerised Administrative System Environment in Schools) is the </w:t>
            </w:r>
            <w:r w:rsidR="005C3A5C">
              <w:t>software</w:t>
            </w:r>
            <w:r w:rsidR="00E31213">
              <w:t xml:space="preserve"> </w:t>
            </w:r>
            <w:r w:rsidRPr="003D4CFE">
              <w:t>package provided to Victorian government schools to support school administration, finance and central reporting.</w:t>
            </w:r>
          </w:p>
        </w:tc>
      </w:tr>
      <w:tr w:rsidR="00443A16" w:rsidRPr="003D4CFE" w14:paraId="4D413426" w14:textId="77777777" w:rsidTr="009534D4">
        <w:trPr>
          <w:trHeight w:val="807"/>
        </w:trPr>
        <w:tc>
          <w:tcPr>
            <w:tcW w:w="1978" w:type="dxa"/>
            <w:tcBorders>
              <w:top w:val="single" w:sz="4" w:space="0" w:color="auto"/>
              <w:left w:val="single" w:sz="4" w:space="0" w:color="auto"/>
              <w:bottom w:val="single" w:sz="4" w:space="0" w:color="auto"/>
              <w:right w:val="single" w:sz="4" w:space="0" w:color="auto"/>
            </w:tcBorders>
            <w:shd w:val="clear" w:color="auto" w:fill="auto"/>
          </w:tcPr>
          <w:p w14:paraId="491C7991" w14:textId="77777777" w:rsidR="00443A16" w:rsidRPr="002F616E" w:rsidRDefault="00443A16" w:rsidP="000A43CA">
            <w:pPr>
              <w:rPr>
                <w:b/>
              </w:rPr>
            </w:pPr>
            <w:r>
              <w:rPr>
                <w:b/>
              </w:rPr>
              <w:t>Control receipt</w:t>
            </w:r>
          </w:p>
        </w:tc>
        <w:tc>
          <w:tcPr>
            <w:tcW w:w="7029" w:type="dxa"/>
            <w:tcBorders>
              <w:top w:val="single" w:sz="4" w:space="0" w:color="auto"/>
              <w:left w:val="single" w:sz="4" w:space="0" w:color="auto"/>
              <w:bottom w:val="single" w:sz="4" w:space="0" w:color="auto"/>
              <w:right w:val="single" w:sz="4" w:space="0" w:color="auto"/>
            </w:tcBorders>
            <w:shd w:val="clear" w:color="auto" w:fill="auto"/>
          </w:tcPr>
          <w:p w14:paraId="64708F95" w14:textId="77777777" w:rsidR="00443A16" w:rsidRDefault="00443A16" w:rsidP="00443A16">
            <w:r>
              <w:t>A control receipt is a list of total revenue collected for example for a class list/sales for attending an excursion.</w:t>
            </w:r>
          </w:p>
        </w:tc>
      </w:tr>
      <w:tr w:rsidR="002F616E" w:rsidRPr="003D4CFE" w14:paraId="52ECD45A" w14:textId="77777777" w:rsidTr="009534D4">
        <w:trPr>
          <w:trHeight w:val="807"/>
        </w:trPr>
        <w:tc>
          <w:tcPr>
            <w:tcW w:w="1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7A7AA8" w14:textId="77777777" w:rsidR="002F616E" w:rsidRPr="002F616E" w:rsidRDefault="002F616E" w:rsidP="000A43CA">
            <w:pPr>
              <w:rPr>
                <w:b/>
              </w:rPr>
            </w:pPr>
            <w:r w:rsidRPr="002F616E">
              <w:rPr>
                <w:b/>
              </w:rPr>
              <w:t>Dishonoured cheque</w:t>
            </w:r>
          </w:p>
        </w:tc>
        <w:tc>
          <w:tcPr>
            <w:tcW w:w="7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C06B9A" w14:textId="77777777" w:rsidR="002F616E" w:rsidRPr="003D4CFE" w:rsidRDefault="002F616E" w:rsidP="000A43CA">
            <w:r>
              <w:t>A cheque that has not been paid by the bank due to insufficient funds or some other irregularity.</w:t>
            </w:r>
          </w:p>
        </w:tc>
      </w:tr>
      <w:tr w:rsidR="002F616E" w:rsidRPr="003D4CFE" w14:paraId="7790E801" w14:textId="77777777" w:rsidTr="009534D4">
        <w:trPr>
          <w:trHeight w:val="986"/>
        </w:trPr>
        <w:tc>
          <w:tcPr>
            <w:tcW w:w="1978" w:type="dxa"/>
            <w:tcBorders>
              <w:top w:val="single" w:sz="4" w:space="0" w:color="auto"/>
              <w:left w:val="single" w:sz="4" w:space="0" w:color="auto"/>
              <w:bottom w:val="single" w:sz="4" w:space="0" w:color="auto"/>
              <w:right w:val="single" w:sz="4" w:space="0" w:color="auto"/>
            </w:tcBorders>
            <w:shd w:val="clear" w:color="auto" w:fill="auto"/>
          </w:tcPr>
          <w:p w14:paraId="629B5FA1" w14:textId="77777777" w:rsidR="002F616E" w:rsidRPr="002F616E" w:rsidRDefault="002F616E" w:rsidP="000A43CA">
            <w:pPr>
              <w:rPr>
                <w:b/>
              </w:rPr>
            </w:pPr>
            <w:r w:rsidRPr="002F616E">
              <w:rPr>
                <w:b/>
              </w:rPr>
              <w:t>EFTPOS</w:t>
            </w:r>
          </w:p>
        </w:tc>
        <w:tc>
          <w:tcPr>
            <w:tcW w:w="7029" w:type="dxa"/>
            <w:tcBorders>
              <w:top w:val="single" w:sz="4" w:space="0" w:color="auto"/>
              <w:left w:val="single" w:sz="4" w:space="0" w:color="auto"/>
              <w:bottom w:val="single" w:sz="4" w:space="0" w:color="auto"/>
              <w:right w:val="single" w:sz="4" w:space="0" w:color="auto"/>
            </w:tcBorders>
            <w:shd w:val="clear" w:color="auto" w:fill="auto"/>
          </w:tcPr>
          <w:p w14:paraId="7DB082A5" w14:textId="77777777" w:rsidR="002F616E" w:rsidRDefault="002F616E" w:rsidP="000A43CA">
            <w:r>
              <w:rPr>
                <w:rStyle w:val="tgc"/>
                <w:color w:val="222222"/>
              </w:rPr>
              <w:t>An electronic payment system involving electronic funds transfers based on the use of payment cards, such as debit or credit cards, at payment terminals located at points of sale.</w:t>
            </w:r>
          </w:p>
        </w:tc>
      </w:tr>
      <w:tr w:rsidR="002F616E" w:rsidRPr="003D4CFE" w14:paraId="393C713D" w14:textId="77777777" w:rsidTr="009534D4">
        <w:trPr>
          <w:trHeight w:val="873"/>
        </w:trPr>
        <w:tc>
          <w:tcPr>
            <w:tcW w:w="1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215624" w14:textId="77777777" w:rsidR="002F616E" w:rsidRPr="002F616E" w:rsidRDefault="002F616E" w:rsidP="000A43CA">
            <w:pPr>
              <w:rPr>
                <w:b/>
              </w:rPr>
            </w:pPr>
            <w:r w:rsidRPr="002F616E">
              <w:rPr>
                <w:b/>
              </w:rPr>
              <w:t>Non cash payment options</w:t>
            </w:r>
          </w:p>
        </w:tc>
        <w:tc>
          <w:tcPr>
            <w:tcW w:w="7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26C95" w14:textId="77777777" w:rsidR="002F616E" w:rsidRPr="003D4CFE" w:rsidRDefault="002F616E" w:rsidP="00780C56">
            <w:r>
              <w:t xml:space="preserve">Options that allow for the payment of monies without using cash or cheques. </w:t>
            </w:r>
            <w:r w:rsidR="002F2CC2">
              <w:t>For example,</w:t>
            </w:r>
            <w:r>
              <w:t xml:space="preserve"> B</w:t>
            </w:r>
            <w:r w:rsidR="00780C56">
              <w:t>PAY</w:t>
            </w:r>
            <w:r>
              <w:t>, EFTPOS, direct deposit, etc.</w:t>
            </w:r>
          </w:p>
        </w:tc>
      </w:tr>
      <w:tr w:rsidR="002F616E" w:rsidRPr="003D4CFE" w14:paraId="5E77711C" w14:textId="77777777" w:rsidTr="009534D4">
        <w:trPr>
          <w:trHeight w:val="1052"/>
        </w:trPr>
        <w:tc>
          <w:tcPr>
            <w:tcW w:w="1978" w:type="dxa"/>
            <w:tcBorders>
              <w:top w:val="single" w:sz="4" w:space="0" w:color="auto"/>
              <w:left w:val="single" w:sz="4" w:space="0" w:color="auto"/>
              <w:bottom w:val="single" w:sz="4" w:space="0" w:color="auto"/>
              <w:right w:val="single" w:sz="4" w:space="0" w:color="auto"/>
            </w:tcBorders>
            <w:shd w:val="clear" w:color="auto" w:fill="auto"/>
          </w:tcPr>
          <w:p w14:paraId="5ED0F438" w14:textId="77777777" w:rsidR="002F616E" w:rsidRPr="002F616E" w:rsidRDefault="002F616E" w:rsidP="00DA021A">
            <w:pPr>
              <w:rPr>
                <w:b/>
              </w:rPr>
            </w:pPr>
            <w:r w:rsidRPr="002F616E">
              <w:rPr>
                <w:b/>
              </w:rPr>
              <w:lastRenderedPageBreak/>
              <w:t>Provision for non-recoverables</w:t>
            </w:r>
          </w:p>
        </w:tc>
        <w:tc>
          <w:tcPr>
            <w:tcW w:w="7029" w:type="dxa"/>
            <w:tcBorders>
              <w:top w:val="single" w:sz="4" w:space="0" w:color="auto"/>
              <w:left w:val="single" w:sz="4" w:space="0" w:color="auto"/>
              <w:bottom w:val="single" w:sz="4" w:space="0" w:color="auto"/>
              <w:right w:val="single" w:sz="4" w:space="0" w:color="auto"/>
            </w:tcBorders>
            <w:shd w:val="clear" w:color="auto" w:fill="auto"/>
          </w:tcPr>
          <w:p w14:paraId="1135F7FD" w14:textId="77777777" w:rsidR="002F616E" w:rsidRPr="003D4CFE" w:rsidRDefault="002F2CC2" w:rsidP="002D0187">
            <w:r>
              <w:t>An e</w:t>
            </w:r>
            <w:r w:rsidR="002F616E">
              <w:t xml:space="preserve">stimate of </w:t>
            </w:r>
            <w:r>
              <w:t xml:space="preserve">the </w:t>
            </w:r>
            <w:r w:rsidR="002F616E">
              <w:t>receivables</w:t>
            </w:r>
            <w:r>
              <w:t xml:space="preserve"> (money owed to the school)</w:t>
            </w:r>
            <w:r w:rsidR="002F616E">
              <w:t xml:space="preserve"> that will not be recovered</w:t>
            </w:r>
            <w:r>
              <w:t xml:space="preserve"> or paid</w:t>
            </w:r>
            <w:r w:rsidR="002F616E">
              <w:t>.</w:t>
            </w:r>
          </w:p>
        </w:tc>
      </w:tr>
      <w:tr w:rsidR="009D2E0B" w:rsidRPr="003D4CFE" w14:paraId="2987B073" w14:textId="77777777" w:rsidTr="009534D4">
        <w:trPr>
          <w:trHeight w:val="2200"/>
        </w:trPr>
        <w:tc>
          <w:tcPr>
            <w:tcW w:w="1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3B34F6" w14:textId="77777777" w:rsidR="009D2E0B" w:rsidRPr="002F616E" w:rsidRDefault="009D2E0B" w:rsidP="00DA021A">
            <w:pPr>
              <w:rPr>
                <w:b/>
              </w:rPr>
            </w:pPr>
            <w:r>
              <w:rPr>
                <w:b/>
              </w:rPr>
              <w:t>Segregation of duties</w:t>
            </w:r>
          </w:p>
        </w:tc>
        <w:tc>
          <w:tcPr>
            <w:tcW w:w="7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6B8986" w14:textId="77777777" w:rsidR="009D2E0B" w:rsidRDefault="00555B81" w:rsidP="00F73021">
            <w:r>
              <w:t xml:space="preserve">The method of separating those responsibilities or duties which, if combined, would enable an individual person to process and record a complete transaction, such as ordering, receiving, approving and paying for goods. </w:t>
            </w:r>
            <w:r w:rsidR="004317E4">
              <w:t>Th</w:t>
            </w:r>
            <w:r>
              <w:t>is</w:t>
            </w:r>
            <w:r w:rsidR="004317E4" w:rsidRPr="004317E4">
              <w:t xml:space="preserve"> is an internal control intended to prevent fraud and error</w:t>
            </w:r>
            <w:r w:rsidR="00F73021">
              <w:t xml:space="preserve"> to ensure </w:t>
            </w:r>
            <w:r w:rsidR="004317E4">
              <w:t xml:space="preserve">that no one person has complete responsibility for the entire transaction. Functions that must be separated include authorisation, payment, custody and recording. </w:t>
            </w:r>
          </w:p>
        </w:tc>
      </w:tr>
    </w:tbl>
    <w:p w14:paraId="5588EC4A" w14:textId="77777777" w:rsidR="00E7256D" w:rsidRDefault="00E7256D" w:rsidP="00306D24"/>
    <w:p w14:paraId="5579CCE2" w14:textId="77777777" w:rsidR="0051778F" w:rsidRDefault="0051778F" w:rsidP="0091756B">
      <w:pPr>
        <w:pStyle w:val="Heading2"/>
      </w:pPr>
      <w:r w:rsidRPr="00AD3210">
        <w:t>Additional</w:t>
      </w:r>
      <w:r w:rsidR="003D4CFE">
        <w:t xml:space="preserve"> </w:t>
      </w:r>
      <w:r w:rsidR="005B1422">
        <w:t>r</w:t>
      </w:r>
      <w:r w:rsidRPr="00AD3210">
        <w:t>esources</w:t>
      </w:r>
    </w:p>
    <w:p w14:paraId="08F0CA24" w14:textId="77777777" w:rsidR="001517B7" w:rsidRDefault="00351BC5" w:rsidP="001517B7">
      <w:pPr>
        <w:pStyle w:val="ListBullet"/>
        <w:spacing w:before="0" w:line="276" w:lineRule="auto"/>
        <w:ind w:left="426"/>
      </w:pPr>
      <w:hyperlink r:id="rId13" w:history="1">
        <w:r w:rsidR="00E7256D" w:rsidRPr="001517B7">
          <w:rPr>
            <w:rStyle w:val="Hyperlink"/>
          </w:rPr>
          <w:t>Cash handling controls and forms</w:t>
        </w:r>
      </w:hyperlink>
    </w:p>
    <w:p w14:paraId="28D8276F" w14:textId="6586A913" w:rsidR="00E7256D" w:rsidRPr="001517B7" w:rsidRDefault="00351BC5" w:rsidP="001517B7">
      <w:pPr>
        <w:pStyle w:val="ListBullet"/>
        <w:spacing w:before="0" w:line="276" w:lineRule="auto"/>
        <w:ind w:left="426"/>
        <w:rPr>
          <w:rStyle w:val="Hyperlink"/>
          <w:color w:val="auto"/>
          <w:u w:val="none"/>
        </w:rPr>
      </w:pPr>
      <w:hyperlink r:id="rId14" w:history="1">
        <w:r w:rsidR="00E7256D" w:rsidRPr="009C0F9E">
          <w:rPr>
            <w:rStyle w:val="Hyperlink"/>
          </w:rPr>
          <w:t>Cash Handling Primer for Victorian Government Schools</w:t>
        </w:r>
      </w:hyperlink>
    </w:p>
    <w:p w14:paraId="076DA61E" w14:textId="77777777" w:rsidR="00E7256D" w:rsidRPr="00E06FD2" w:rsidRDefault="00351BC5" w:rsidP="001517B7">
      <w:pPr>
        <w:pStyle w:val="ListBullet"/>
        <w:spacing w:before="0" w:line="276" w:lineRule="auto"/>
        <w:ind w:left="426"/>
        <w:rPr>
          <w:rFonts w:cs="Arial"/>
          <w:w w:val="110"/>
        </w:rPr>
      </w:pPr>
      <w:hyperlink r:id="rId15" w:history="1">
        <w:r w:rsidR="00E7256D" w:rsidRPr="00E06FD2">
          <w:rPr>
            <w:rFonts w:eastAsiaTheme="minorEastAsia" w:cs="Arial"/>
            <w:color w:val="0000FF"/>
            <w:szCs w:val="18"/>
            <w:u w:val="single"/>
          </w:rPr>
          <w:t xml:space="preserve">CASES21 Finance Business Process Guide - Section </w:t>
        </w:r>
        <w:r w:rsidR="00E7256D">
          <w:rPr>
            <w:rFonts w:eastAsiaTheme="minorEastAsia" w:cs="Arial"/>
            <w:color w:val="0000FF"/>
            <w:szCs w:val="18"/>
            <w:u w:val="single"/>
          </w:rPr>
          <w:t>1</w:t>
        </w:r>
        <w:r w:rsidR="00E7256D" w:rsidRPr="00E06FD2">
          <w:rPr>
            <w:rFonts w:eastAsiaTheme="minorEastAsia" w:cs="Arial"/>
            <w:color w:val="0000FF"/>
            <w:szCs w:val="18"/>
            <w:u w:val="single"/>
          </w:rPr>
          <w:t xml:space="preserve"> </w:t>
        </w:r>
        <w:r w:rsidR="00E7256D">
          <w:rPr>
            <w:rFonts w:eastAsiaTheme="minorEastAsia" w:cs="Arial"/>
            <w:color w:val="0000FF"/>
            <w:szCs w:val="18"/>
            <w:u w:val="single"/>
          </w:rPr>
          <w:t>Families</w:t>
        </w:r>
      </w:hyperlink>
    </w:p>
    <w:p w14:paraId="148A89BE" w14:textId="77777777" w:rsidR="00E7256D" w:rsidRPr="00E06FD2" w:rsidRDefault="00351BC5" w:rsidP="001517B7">
      <w:pPr>
        <w:pStyle w:val="ListBullet"/>
        <w:spacing w:before="0" w:line="276" w:lineRule="auto"/>
        <w:ind w:left="426"/>
        <w:rPr>
          <w:rFonts w:cs="Arial"/>
          <w:w w:val="110"/>
        </w:rPr>
      </w:pPr>
      <w:hyperlink r:id="rId16" w:history="1">
        <w:r w:rsidR="00E7256D" w:rsidRPr="00E06FD2">
          <w:rPr>
            <w:rFonts w:eastAsiaTheme="minorEastAsia" w:cs="Arial"/>
            <w:color w:val="0000FF"/>
            <w:szCs w:val="18"/>
            <w:u w:val="single"/>
          </w:rPr>
          <w:t xml:space="preserve">CASES21 Finance Business Process Guide - Section </w:t>
        </w:r>
        <w:r w:rsidR="00E7256D">
          <w:rPr>
            <w:rFonts w:eastAsiaTheme="minorEastAsia" w:cs="Arial"/>
            <w:color w:val="0000FF"/>
            <w:szCs w:val="18"/>
            <w:u w:val="single"/>
          </w:rPr>
          <w:t>2</w:t>
        </w:r>
        <w:r w:rsidR="00E7256D" w:rsidRPr="00E06FD2">
          <w:rPr>
            <w:rFonts w:eastAsiaTheme="minorEastAsia" w:cs="Arial"/>
            <w:color w:val="0000FF"/>
            <w:szCs w:val="18"/>
            <w:u w:val="single"/>
          </w:rPr>
          <w:t xml:space="preserve"> </w:t>
        </w:r>
        <w:r w:rsidR="00E7256D">
          <w:rPr>
            <w:rFonts w:eastAsiaTheme="minorEastAsia" w:cs="Arial"/>
            <w:color w:val="0000FF"/>
            <w:szCs w:val="18"/>
            <w:u w:val="single"/>
          </w:rPr>
          <w:t>Sundry Debtors</w:t>
        </w:r>
      </w:hyperlink>
    </w:p>
    <w:p w14:paraId="21D30462" w14:textId="77777777" w:rsidR="00E7256D" w:rsidRPr="00E7256D" w:rsidRDefault="00351BC5" w:rsidP="001517B7">
      <w:pPr>
        <w:pStyle w:val="ListBullet"/>
        <w:spacing w:before="0" w:line="276" w:lineRule="auto"/>
        <w:ind w:left="426"/>
        <w:rPr>
          <w:rFonts w:cs="Arial"/>
          <w:w w:val="110"/>
        </w:rPr>
      </w:pPr>
      <w:hyperlink r:id="rId17" w:history="1">
        <w:r w:rsidR="00E7256D" w:rsidRPr="00E06FD2">
          <w:rPr>
            <w:rFonts w:eastAsiaTheme="minorEastAsia" w:cs="Arial"/>
            <w:color w:val="0000FF"/>
            <w:szCs w:val="18"/>
            <w:u w:val="single"/>
          </w:rPr>
          <w:t xml:space="preserve">CASES21 Finance Business Process Guide - Section </w:t>
        </w:r>
        <w:r w:rsidR="00E7256D">
          <w:rPr>
            <w:rFonts w:eastAsiaTheme="minorEastAsia" w:cs="Arial"/>
            <w:color w:val="0000FF"/>
            <w:szCs w:val="18"/>
            <w:u w:val="single"/>
          </w:rPr>
          <w:t>10</w:t>
        </w:r>
        <w:r w:rsidR="00E7256D" w:rsidRPr="00E06FD2">
          <w:rPr>
            <w:rFonts w:eastAsiaTheme="minorEastAsia" w:cs="Arial"/>
            <w:color w:val="0000FF"/>
            <w:szCs w:val="18"/>
            <w:u w:val="single"/>
          </w:rPr>
          <w:t xml:space="preserve"> </w:t>
        </w:r>
        <w:r w:rsidR="00E7256D">
          <w:rPr>
            <w:rFonts w:eastAsiaTheme="minorEastAsia" w:cs="Arial"/>
            <w:color w:val="0000FF"/>
            <w:szCs w:val="18"/>
            <w:u w:val="single"/>
          </w:rPr>
          <w:t>Balance Day Adjustments</w:t>
        </w:r>
      </w:hyperlink>
    </w:p>
    <w:p w14:paraId="37275D06" w14:textId="1974F6B9" w:rsidR="001517B7" w:rsidRDefault="00351BC5" w:rsidP="00AA2802">
      <w:pPr>
        <w:pStyle w:val="ListBullet"/>
        <w:spacing w:before="0" w:line="276" w:lineRule="auto"/>
        <w:ind w:left="426"/>
      </w:pPr>
      <w:hyperlink r:id="rId18" w:history="1">
        <w:r w:rsidR="00727502" w:rsidRPr="001517B7">
          <w:rPr>
            <w:rStyle w:val="Hyperlink"/>
          </w:rPr>
          <w:t>Internal Controls for Victorian Government Schools</w:t>
        </w:r>
      </w:hyperlink>
    </w:p>
    <w:p w14:paraId="60CC2AB9" w14:textId="0A022480" w:rsidR="0041311B" w:rsidRDefault="00351BC5" w:rsidP="001517B7">
      <w:pPr>
        <w:pStyle w:val="ListBullet"/>
        <w:ind w:left="426" w:hanging="284"/>
      </w:pPr>
      <w:hyperlink r:id="rId19" w:history="1">
        <w:r w:rsidR="009839C8" w:rsidRPr="001517B7">
          <w:rPr>
            <w:rStyle w:val="Hyperlink"/>
          </w:rPr>
          <w:t>School Policy and Advisory Guide – Parent Payment</w:t>
        </w:r>
        <w:r w:rsidR="009839C8" w:rsidRPr="001517B7">
          <w:rPr>
            <w:rStyle w:val="Hyperlink"/>
          </w:rPr>
          <w:br/>
        </w:r>
      </w:hyperlink>
      <w:hyperlink r:id="rId20" w:history="1">
        <w:r w:rsidR="00660F76" w:rsidRPr="001517B7">
          <w:rPr>
            <w:rStyle w:val="Hyperlink"/>
          </w:rPr>
          <w:t>Schools Electronic Funds Management Guidelines</w:t>
        </w:r>
      </w:hyperlink>
      <w:r w:rsidR="00660F76" w:rsidRPr="0091756B">
        <w:br/>
      </w:r>
    </w:p>
    <w:p w14:paraId="2113D206" w14:textId="17EA541C" w:rsidR="0041311B" w:rsidRDefault="0041311B" w:rsidP="0041311B">
      <w:pPr>
        <w:pStyle w:val="ListBullet"/>
        <w:numPr>
          <w:ilvl w:val="0"/>
          <w:numId w:val="0"/>
        </w:numPr>
        <w:ind w:left="720" w:hanging="360"/>
      </w:pPr>
    </w:p>
    <w:p w14:paraId="322C13A7" w14:textId="326DA732" w:rsidR="0041311B" w:rsidRDefault="0041311B" w:rsidP="0041311B">
      <w:pPr>
        <w:pStyle w:val="ListBullet"/>
        <w:numPr>
          <w:ilvl w:val="0"/>
          <w:numId w:val="0"/>
        </w:numPr>
        <w:ind w:left="720" w:hanging="360"/>
      </w:pPr>
      <w:bookmarkStart w:id="3" w:name="_GoBack"/>
      <w:bookmarkEnd w:id="3"/>
    </w:p>
    <w:p w14:paraId="67EFF8CB" w14:textId="10841348" w:rsidR="0041311B" w:rsidRDefault="0041311B" w:rsidP="0041311B">
      <w:pPr>
        <w:pStyle w:val="ListBullet"/>
        <w:numPr>
          <w:ilvl w:val="0"/>
          <w:numId w:val="0"/>
        </w:numPr>
        <w:ind w:left="720" w:hanging="360"/>
      </w:pPr>
    </w:p>
    <w:p w14:paraId="35E4624F" w14:textId="758A0C7A" w:rsidR="001317DC" w:rsidRDefault="001317DC" w:rsidP="0041311B">
      <w:pPr>
        <w:pStyle w:val="ListBullet"/>
        <w:numPr>
          <w:ilvl w:val="0"/>
          <w:numId w:val="0"/>
        </w:numPr>
        <w:ind w:left="720" w:hanging="360"/>
      </w:pPr>
    </w:p>
    <w:p w14:paraId="4C0D9084" w14:textId="77777777" w:rsidR="001317DC" w:rsidRDefault="001317DC" w:rsidP="0041311B">
      <w:pPr>
        <w:pStyle w:val="ListBullet"/>
        <w:numPr>
          <w:ilvl w:val="0"/>
          <w:numId w:val="0"/>
        </w:numPr>
        <w:ind w:left="720" w:hanging="360"/>
      </w:pPr>
    </w:p>
    <w:p w14:paraId="686EA019" w14:textId="314658C5" w:rsidR="0041311B" w:rsidRDefault="0041311B" w:rsidP="0041311B">
      <w:pPr>
        <w:pStyle w:val="ListBullet"/>
        <w:numPr>
          <w:ilvl w:val="0"/>
          <w:numId w:val="0"/>
        </w:numPr>
        <w:ind w:left="720" w:hanging="360"/>
      </w:pPr>
    </w:p>
    <w:p w14:paraId="72C846FE" w14:textId="0794E681" w:rsidR="0041311B" w:rsidRDefault="0041311B" w:rsidP="0041311B">
      <w:pPr>
        <w:pStyle w:val="ListBullet"/>
        <w:numPr>
          <w:ilvl w:val="0"/>
          <w:numId w:val="0"/>
        </w:numPr>
        <w:ind w:left="720" w:hanging="360"/>
      </w:pPr>
    </w:p>
    <w:p w14:paraId="72D5E71E" w14:textId="77777777" w:rsidR="0041311B" w:rsidRPr="0091756B" w:rsidRDefault="0041311B" w:rsidP="0041311B">
      <w:pPr>
        <w:pStyle w:val="ListBullet"/>
        <w:numPr>
          <w:ilvl w:val="0"/>
          <w:numId w:val="0"/>
        </w:numPr>
        <w:ind w:left="720" w:hanging="360"/>
      </w:pPr>
    </w:p>
    <w:p w14:paraId="4FD33EAD" w14:textId="77777777" w:rsidR="002F616E" w:rsidRPr="00103913" w:rsidRDefault="00E7256D" w:rsidP="002F616E">
      <w:pPr>
        <w:pStyle w:val="Heading2"/>
      </w:pPr>
      <w:r>
        <w:t xml:space="preserve">Version and </w:t>
      </w:r>
      <w:r w:rsidR="005B1422">
        <w:t>r</w:t>
      </w:r>
      <w:r w:rsidR="002F616E" w:rsidRPr="00103913">
        <w:t xml:space="preserve">evision </w:t>
      </w:r>
      <w:r>
        <w:t xml:space="preserve">control </w:t>
      </w:r>
      <w:r w:rsidR="002F616E" w:rsidRPr="00103913">
        <w:t>record</w:t>
      </w:r>
    </w:p>
    <w:tbl>
      <w:tblPr>
        <w:tblStyle w:val="GridTable6Colorful2"/>
        <w:tblW w:w="0" w:type="auto"/>
        <w:tblLook w:val="04A0" w:firstRow="1" w:lastRow="0" w:firstColumn="1" w:lastColumn="0" w:noHBand="0" w:noVBand="1"/>
        <w:tblDescription w:val="table containing version and revision contril records"/>
      </w:tblPr>
      <w:tblGrid>
        <w:gridCol w:w="1318"/>
        <w:gridCol w:w="1133"/>
        <w:gridCol w:w="4914"/>
        <w:gridCol w:w="1689"/>
      </w:tblGrid>
      <w:tr w:rsidR="002F616E" w:rsidRPr="00E378B3" w14:paraId="379C3839" w14:textId="77777777" w:rsidTr="001517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18" w:type="dxa"/>
            <w:tcBorders>
              <w:top w:val="single" w:sz="4" w:space="0" w:color="auto"/>
              <w:left w:val="single" w:sz="4" w:space="0" w:color="auto"/>
              <w:bottom w:val="single" w:sz="4" w:space="0" w:color="auto"/>
            </w:tcBorders>
            <w:shd w:val="clear" w:color="auto" w:fill="F2F2F2" w:themeFill="background1" w:themeFillShade="F2"/>
          </w:tcPr>
          <w:p w14:paraId="76184591" w14:textId="77777777" w:rsidR="0065527E" w:rsidRPr="00E378B3" w:rsidRDefault="002F616E" w:rsidP="009C0F9E">
            <w:r w:rsidRPr="00E378B3">
              <w:t>Date</w:t>
            </w:r>
          </w:p>
        </w:tc>
        <w:tc>
          <w:tcPr>
            <w:tcW w:w="1133" w:type="dxa"/>
            <w:tcBorders>
              <w:top w:val="single" w:sz="4" w:space="0" w:color="auto"/>
              <w:bottom w:val="single" w:sz="4" w:space="0" w:color="auto"/>
            </w:tcBorders>
            <w:shd w:val="clear" w:color="auto" w:fill="F2F2F2" w:themeFill="background1" w:themeFillShade="F2"/>
          </w:tcPr>
          <w:p w14:paraId="1C31B9E6" w14:textId="77777777" w:rsidR="002F616E" w:rsidRPr="00E378B3" w:rsidRDefault="002F616E" w:rsidP="000A43CA">
            <w:pPr>
              <w:cnfStyle w:val="100000000000" w:firstRow="1" w:lastRow="0" w:firstColumn="0" w:lastColumn="0" w:oddVBand="0" w:evenVBand="0" w:oddHBand="0" w:evenHBand="0" w:firstRowFirstColumn="0" w:firstRowLastColumn="0" w:lastRowFirstColumn="0" w:lastRowLastColumn="0"/>
            </w:pPr>
            <w:r w:rsidRPr="00E378B3">
              <w:t>Version</w:t>
            </w:r>
          </w:p>
        </w:tc>
        <w:tc>
          <w:tcPr>
            <w:tcW w:w="4914" w:type="dxa"/>
            <w:tcBorders>
              <w:top w:val="single" w:sz="4" w:space="0" w:color="auto"/>
              <w:bottom w:val="single" w:sz="4" w:space="0" w:color="auto"/>
            </w:tcBorders>
            <w:shd w:val="clear" w:color="auto" w:fill="F2F2F2" w:themeFill="background1" w:themeFillShade="F2"/>
          </w:tcPr>
          <w:p w14:paraId="3AB56786" w14:textId="77777777" w:rsidR="002F616E" w:rsidRPr="00E378B3" w:rsidRDefault="002F616E" w:rsidP="000A43CA">
            <w:pPr>
              <w:cnfStyle w:val="100000000000" w:firstRow="1" w:lastRow="0" w:firstColumn="0" w:lastColumn="0" w:oddVBand="0" w:evenVBand="0" w:oddHBand="0" w:evenHBand="0" w:firstRowFirstColumn="0" w:firstRowLastColumn="0" w:lastRowFirstColumn="0" w:lastRowLastColumn="0"/>
            </w:pPr>
            <w:r w:rsidRPr="00E378B3">
              <w:t>Approver</w:t>
            </w:r>
          </w:p>
        </w:tc>
        <w:tc>
          <w:tcPr>
            <w:tcW w:w="1689" w:type="dxa"/>
            <w:tcBorders>
              <w:top w:val="single" w:sz="4" w:space="0" w:color="auto"/>
              <w:bottom w:val="single" w:sz="4" w:space="0" w:color="auto"/>
              <w:right w:val="single" w:sz="4" w:space="0" w:color="auto"/>
            </w:tcBorders>
            <w:shd w:val="clear" w:color="auto" w:fill="F2F2F2" w:themeFill="background1" w:themeFillShade="F2"/>
          </w:tcPr>
          <w:p w14:paraId="5C5157A5" w14:textId="77777777" w:rsidR="002F616E" w:rsidRPr="00E378B3" w:rsidRDefault="002F616E" w:rsidP="000A43CA">
            <w:pPr>
              <w:cnfStyle w:val="100000000000" w:firstRow="1" w:lastRow="0" w:firstColumn="0" w:lastColumn="0" w:oddVBand="0" w:evenVBand="0" w:oddHBand="0" w:evenHBand="0" w:firstRowFirstColumn="0" w:firstRowLastColumn="0" w:lastRowFirstColumn="0" w:lastRowLastColumn="0"/>
            </w:pPr>
            <w:r w:rsidRPr="00E378B3">
              <w:t>Next Review</w:t>
            </w:r>
          </w:p>
        </w:tc>
      </w:tr>
      <w:tr w:rsidR="002F616E" w:rsidRPr="00E378B3" w14:paraId="2FD97C6A" w14:textId="77777777" w:rsidTr="000A43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Borders>
              <w:top w:val="single" w:sz="4" w:space="0" w:color="auto"/>
            </w:tcBorders>
            <w:shd w:val="clear" w:color="auto" w:fill="auto"/>
          </w:tcPr>
          <w:p w14:paraId="7F25B008" w14:textId="57C975C0" w:rsidR="002F616E" w:rsidRPr="00E378B3" w:rsidRDefault="00BB2F6A" w:rsidP="00FA3FC2">
            <w:pPr>
              <w:rPr>
                <w:b w:val="0"/>
              </w:rPr>
            </w:pPr>
            <w:r>
              <w:rPr>
                <w:b w:val="0"/>
              </w:rPr>
              <w:t>01/2019</w:t>
            </w:r>
          </w:p>
        </w:tc>
        <w:tc>
          <w:tcPr>
            <w:tcW w:w="1133" w:type="dxa"/>
            <w:tcBorders>
              <w:top w:val="single" w:sz="4" w:space="0" w:color="auto"/>
            </w:tcBorders>
            <w:shd w:val="clear" w:color="auto" w:fill="auto"/>
          </w:tcPr>
          <w:p w14:paraId="63DF0E20" w14:textId="1DE35078" w:rsidR="002F616E" w:rsidRPr="00E378B3" w:rsidRDefault="002F616E" w:rsidP="00FA3FC2">
            <w:pPr>
              <w:cnfStyle w:val="000000100000" w:firstRow="0" w:lastRow="0" w:firstColumn="0" w:lastColumn="0" w:oddVBand="0" w:evenVBand="0" w:oddHBand="1" w:evenHBand="0" w:firstRowFirstColumn="0" w:firstRowLastColumn="0" w:lastRowFirstColumn="0" w:lastRowLastColumn="0"/>
            </w:pPr>
            <w:r w:rsidRPr="00E378B3">
              <w:t>1.</w:t>
            </w:r>
            <w:r w:rsidR="00DD4680">
              <w:t>2</w:t>
            </w:r>
          </w:p>
        </w:tc>
        <w:tc>
          <w:tcPr>
            <w:tcW w:w="4914" w:type="dxa"/>
            <w:tcBorders>
              <w:top w:val="single" w:sz="4" w:space="0" w:color="auto"/>
            </w:tcBorders>
            <w:shd w:val="clear" w:color="auto" w:fill="auto"/>
          </w:tcPr>
          <w:p w14:paraId="7F2DDF20" w14:textId="111970E5" w:rsidR="002F616E" w:rsidRPr="00E378B3" w:rsidRDefault="002F616E" w:rsidP="000A43CA">
            <w:pPr>
              <w:cnfStyle w:val="000000100000" w:firstRow="0" w:lastRow="0" w:firstColumn="0" w:lastColumn="0" w:oddVBand="0" w:evenVBand="0" w:oddHBand="1" w:evenHBand="0" w:firstRowFirstColumn="0" w:firstRowLastColumn="0" w:lastRowFirstColumn="0" w:lastRowLastColumn="0"/>
            </w:pPr>
            <w:r w:rsidRPr="00E378B3">
              <w:t xml:space="preserve">Chief Finance Officer </w:t>
            </w:r>
            <w:r w:rsidR="00117DB3" w:rsidRPr="00E378B3">
              <w:t>- Financial</w:t>
            </w:r>
            <w:r w:rsidRPr="00E378B3">
              <w:t xml:space="preserve"> Services Division</w:t>
            </w:r>
          </w:p>
        </w:tc>
        <w:tc>
          <w:tcPr>
            <w:tcW w:w="1689" w:type="dxa"/>
            <w:tcBorders>
              <w:top w:val="single" w:sz="4" w:space="0" w:color="auto"/>
            </w:tcBorders>
            <w:shd w:val="clear" w:color="auto" w:fill="auto"/>
          </w:tcPr>
          <w:p w14:paraId="1DD5D858" w14:textId="0F52D0FD" w:rsidR="002F616E" w:rsidRPr="00E378B3" w:rsidRDefault="005834A0" w:rsidP="000A43CA">
            <w:pPr>
              <w:cnfStyle w:val="000000100000" w:firstRow="0" w:lastRow="0" w:firstColumn="0" w:lastColumn="0" w:oddVBand="0" w:evenVBand="0" w:oddHBand="1" w:evenHBand="0" w:firstRowFirstColumn="0" w:firstRowLastColumn="0" w:lastRowFirstColumn="0" w:lastRowLastColumn="0"/>
            </w:pPr>
            <w:r>
              <w:t>01</w:t>
            </w:r>
            <w:r w:rsidR="0052728A">
              <w:t>/</w:t>
            </w:r>
            <w:r>
              <w:t>2020</w:t>
            </w:r>
          </w:p>
        </w:tc>
      </w:tr>
    </w:tbl>
    <w:p w14:paraId="4586BD2F" w14:textId="77777777" w:rsidR="006B5AAD" w:rsidRDefault="006B5AAD" w:rsidP="00AD3210"/>
    <w:sectPr w:rsidR="006B5AAD" w:rsidSect="00AD3210">
      <w:footerReference w:type="default" r:id="rId21"/>
      <w:pgSz w:w="11900" w:h="16840" w:code="9"/>
      <w:pgMar w:top="1701" w:right="1418" w:bottom="1701" w:left="1418" w:header="567" w:footer="851"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46F92" w14:textId="77777777" w:rsidR="00351BC5" w:rsidRDefault="00351BC5" w:rsidP="008766A4">
      <w:r>
        <w:separator/>
      </w:r>
    </w:p>
  </w:endnote>
  <w:endnote w:type="continuationSeparator" w:id="0">
    <w:p w14:paraId="5BB218E9" w14:textId="77777777" w:rsidR="00351BC5" w:rsidRDefault="00351BC5"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1E495" w14:textId="1F032F10" w:rsidR="003D4CFE" w:rsidRPr="003E29B5" w:rsidRDefault="0041311B" w:rsidP="00714E93">
    <w:pPr>
      <w:pStyle w:val="Footer"/>
    </w:pPr>
    <w:r w:rsidRPr="00006534">
      <w:rPr>
        <w:noProof/>
        <w:lang w:eastAsia="en-AU"/>
      </w:rPr>
      <w:drawing>
        <wp:anchor distT="0" distB="0" distL="114300" distR="114300" simplePos="0" relativeHeight="251658240" behindDoc="1" locked="0" layoutInCell="1" allowOverlap="1" wp14:anchorId="60112AD8" wp14:editId="7F9BD40C">
          <wp:simplePos x="0" y="0"/>
          <wp:positionH relativeFrom="page">
            <wp:posOffset>762000</wp:posOffset>
          </wp:positionH>
          <wp:positionV relativeFrom="page">
            <wp:posOffset>9728200</wp:posOffset>
          </wp:positionV>
          <wp:extent cx="6627959" cy="721995"/>
          <wp:effectExtent l="0" t="0" r="1905" b="1905"/>
          <wp:wrapNone/>
          <wp:docPr id="1" name="Picture 1" descr="footer containing document name, page number and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6627959" cy="721995"/>
                  </a:xfrm>
                  <a:prstGeom prst="rect">
                    <a:avLst/>
                  </a:prstGeom>
                </pic:spPr>
              </pic:pic>
            </a:graphicData>
          </a:graphic>
        </wp:anchor>
      </w:drawing>
    </w:r>
    <w:r w:rsidR="00711B33">
      <w:rPr>
        <w:noProof/>
      </w:rPr>
      <w:t>Section 10: Receivables Manage</w:t>
    </w:r>
    <w:r w:rsidR="001B1BE4">
      <w:rPr>
        <w:noProof/>
      </w:rPr>
      <w:t>m</w:t>
    </w:r>
    <w:r w:rsidR="00711B33">
      <w:rPr>
        <w:noProof/>
      </w:rPr>
      <w:t>e</w:t>
    </w:r>
    <w:r w:rsidR="001B1BE4">
      <w:rPr>
        <w:noProof/>
      </w:rPr>
      <w:t>n</w:t>
    </w:r>
    <w:r w:rsidR="00711B33">
      <w:rPr>
        <w:noProof/>
      </w:rPr>
      <w:t xml:space="preserve">t and Cash Handling </w:t>
    </w:r>
    <w:r w:rsidR="00711B33" w:rsidRPr="008A1405">
      <w:t>|</w:t>
    </w:r>
    <w:r w:rsidR="00711B33">
      <w:t xml:space="preserve"> </w:t>
    </w:r>
    <w:r w:rsidR="005834A0">
      <w:t xml:space="preserve">January 2019      </w:t>
    </w:r>
    <w:sdt>
      <w:sdtPr>
        <w:rPr>
          <w:rFonts w:eastAsia="Arial" w:cs="Times New Roman"/>
        </w:rPr>
        <w:id w:val="208384299"/>
        <w:docPartObj>
          <w:docPartGallery w:val="Page Numbers (Bottom of Page)"/>
          <w:docPartUnique/>
        </w:docPartObj>
      </w:sdtPr>
      <w:sdtEndPr>
        <w:rPr>
          <w:noProof/>
        </w:rPr>
      </w:sdtEndPr>
      <w:sdtContent>
        <w:r w:rsidR="003D4CFE">
          <w:rPr>
            <w:rFonts w:eastAsia="Arial" w:cs="Times New Roman"/>
          </w:rPr>
          <w:t xml:space="preserve">Page </w:t>
        </w:r>
        <w:r w:rsidR="00B35004" w:rsidRPr="00006534">
          <w:rPr>
            <w:rFonts w:eastAsia="Arial" w:cs="Times New Roman"/>
          </w:rPr>
          <w:fldChar w:fldCharType="begin"/>
        </w:r>
        <w:r w:rsidR="003D4CFE" w:rsidRPr="00006534">
          <w:rPr>
            <w:rFonts w:eastAsia="Arial" w:cs="Times New Roman"/>
          </w:rPr>
          <w:instrText xml:space="preserve"> TITLE  \* MERGEFORMAT </w:instrText>
        </w:r>
        <w:r w:rsidR="00B35004" w:rsidRPr="00006534">
          <w:rPr>
            <w:rFonts w:eastAsia="Arial" w:cs="Times New Roman"/>
          </w:rPr>
          <w:fldChar w:fldCharType="end"/>
        </w:r>
        <w:r w:rsidR="00B35004" w:rsidRPr="007B2B29">
          <w:rPr>
            <w:rFonts w:eastAsia="Arial" w:cs="Times New Roman"/>
          </w:rPr>
          <w:fldChar w:fldCharType="begin"/>
        </w:r>
        <w:r w:rsidR="003D4CFE" w:rsidRPr="007B2B29">
          <w:rPr>
            <w:rFonts w:eastAsia="Arial" w:cs="Times New Roman"/>
          </w:rPr>
          <w:instrText xml:space="preserve"> PAGE   \* MERGEFORMAT </w:instrText>
        </w:r>
        <w:r w:rsidR="00B35004" w:rsidRPr="007B2B29">
          <w:rPr>
            <w:rFonts w:eastAsia="Arial" w:cs="Times New Roman"/>
          </w:rPr>
          <w:fldChar w:fldCharType="separate"/>
        </w:r>
        <w:r w:rsidR="009E6DD7">
          <w:rPr>
            <w:rFonts w:eastAsia="Arial" w:cs="Times New Roman"/>
            <w:noProof/>
          </w:rPr>
          <w:t>6</w:t>
        </w:r>
        <w:r w:rsidR="00B35004" w:rsidRPr="007B2B29">
          <w:rPr>
            <w:rFonts w:eastAsia="Arial" w:cs="Times New Roman"/>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F6BEE" w14:textId="77777777" w:rsidR="00351BC5" w:rsidRDefault="00351BC5" w:rsidP="008766A4">
      <w:r>
        <w:separator/>
      </w:r>
    </w:p>
  </w:footnote>
  <w:footnote w:type="continuationSeparator" w:id="0">
    <w:p w14:paraId="061EBE5C" w14:textId="77777777" w:rsidR="00351BC5" w:rsidRDefault="00351BC5" w:rsidP="00876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E6ADFC"/>
    <w:lvl w:ilvl="0">
      <w:start w:val="1"/>
      <w:numFmt w:val="bullet"/>
      <w:pStyle w:val="NoteLevel5"/>
      <w:lvlText w:val=""/>
      <w:lvlJc w:val="left"/>
      <w:pPr>
        <w:ind w:left="-600" w:hanging="360"/>
      </w:pPr>
      <w:rPr>
        <w:rFonts w:ascii="Symbol" w:hAnsi="Symbol" w:hint="default"/>
        <w:color w:val="AF272F"/>
      </w:rPr>
    </w:lvl>
    <w:lvl w:ilvl="1">
      <w:start w:val="1"/>
      <w:numFmt w:val="bullet"/>
      <w:lvlText w:val=""/>
      <w:lvlJc w:val="left"/>
      <w:pPr>
        <w:tabs>
          <w:tab w:val="num" w:pos="-240"/>
        </w:tabs>
        <w:ind w:left="120" w:hanging="360"/>
      </w:pPr>
      <w:rPr>
        <w:rFonts w:ascii="Symbol" w:hAnsi="Symbol" w:hint="default"/>
      </w:rPr>
    </w:lvl>
    <w:lvl w:ilvl="2">
      <w:start w:val="1"/>
      <w:numFmt w:val="bullet"/>
      <w:pStyle w:val="NoteLevel7"/>
      <w:lvlText w:val="o"/>
      <w:lvlJc w:val="left"/>
      <w:pPr>
        <w:tabs>
          <w:tab w:val="num" w:pos="480"/>
        </w:tabs>
        <w:ind w:left="840" w:hanging="360"/>
      </w:pPr>
      <w:rPr>
        <w:rFonts w:ascii="Courier New" w:hAnsi="Courier New" w:cs="Courier New" w:hint="default"/>
      </w:rPr>
    </w:lvl>
    <w:lvl w:ilvl="3">
      <w:start w:val="1"/>
      <w:numFmt w:val="bullet"/>
      <w:pStyle w:val="NoteLevel8"/>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9"/>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DE42A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CCCF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EB78D0"/>
    <w:multiLevelType w:val="hybridMultilevel"/>
    <w:tmpl w:val="8CD2BC94"/>
    <w:lvl w:ilvl="0" w:tplc="D0F02E00">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C71F9C"/>
    <w:multiLevelType w:val="hybridMultilevel"/>
    <w:tmpl w:val="DB782B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067406E"/>
    <w:multiLevelType w:val="hybridMultilevel"/>
    <w:tmpl w:val="D4CE9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164D5B"/>
    <w:multiLevelType w:val="hybridMultilevel"/>
    <w:tmpl w:val="60E837CE"/>
    <w:lvl w:ilvl="0" w:tplc="F3189634">
      <w:numFmt w:val="bullet"/>
      <w:lvlText w:val="•"/>
      <w:lvlJc w:val="left"/>
      <w:pPr>
        <w:ind w:left="720" w:hanging="360"/>
      </w:pPr>
      <w:rPr>
        <w:rFonts w:ascii="Times New Roman" w:eastAsia="Times New Roman" w:hAnsi="Times New Roman" w:hint="default"/>
        <w:color w:val="7A7B7D"/>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DC30F4"/>
    <w:multiLevelType w:val="hybridMultilevel"/>
    <w:tmpl w:val="77B4B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32617FD5"/>
    <w:multiLevelType w:val="hybridMultilevel"/>
    <w:tmpl w:val="A992B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64CAE"/>
    <w:multiLevelType w:val="hybridMultilevel"/>
    <w:tmpl w:val="3662B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DA4FC4"/>
    <w:multiLevelType w:val="hybridMultilevel"/>
    <w:tmpl w:val="B798F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4E2F49"/>
    <w:multiLevelType w:val="hybridMultilevel"/>
    <w:tmpl w:val="96106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5C1796"/>
    <w:multiLevelType w:val="hybridMultilevel"/>
    <w:tmpl w:val="1D58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2D749D"/>
    <w:multiLevelType w:val="hybridMultilevel"/>
    <w:tmpl w:val="ED64C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17185F"/>
    <w:multiLevelType w:val="hybridMultilevel"/>
    <w:tmpl w:val="5D62E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7" w15:restartNumberingAfterBreak="0">
    <w:nsid w:val="65E84301"/>
    <w:multiLevelType w:val="hybridMultilevel"/>
    <w:tmpl w:val="60064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9" w15:restartNumberingAfterBreak="0">
    <w:nsid w:val="7F36218B"/>
    <w:multiLevelType w:val="hybridMultilevel"/>
    <w:tmpl w:val="F120EB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30"/>
  </w:num>
  <w:num w:numId="14">
    <w:abstractNumId w:val="26"/>
  </w:num>
  <w:num w:numId="15">
    <w:abstractNumId w:val="28"/>
  </w:num>
  <w:num w:numId="16">
    <w:abstractNumId w:val="17"/>
  </w:num>
  <w:num w:numId="17">
    <w:abstractNumId w:val="19"/>
  </w:num>
  <w:num w:numId="18">
    <w:abstractNumId w:val="20"/>
  </w:num>
  <w:num w:numId="19">
    <w:abstractNumId w:val="29"/>
  </w:num>
  <w:num w:numId="20">
    <w:abstractNumId w:val="15"/>
  </w:num>
  <w:num w:numId="21">
    <w:abstractNumId w:val="14"/>
  </w:num>
  <w:num w:numId="22">
    <w:abstractNumId w:val="18"/>
  </w:num>
  <w:num w:numId="23">
    <w:abstractNumId w:val="23"/>
  </w:num>
  <w:num w:numId="24">
    <w:abstractNumId w:val="22"/>
  </w:num>
  <w:num w:numId="25">
    <w:abstractNumId w:val="24"/>
  </w:num>
  <w:num w:numId="26">
    <w:abstractNumId w:val="27"/>
  </w:num>
  <w:num w:numId="27">
    <w:abstractNumId w:val="12"/>
  </w:num>
  <w:num w:numId="28">
    <w:abstractNumId w:val="12"/>
  </w:num>
  <w:num w:numId="29">
    <w:abstractNumId w:val="12"/>
  </w:num>
  <w:num w:numId="30">
    <w:abstractNumId w:val="12"/>
  </w:num>
  <w:num w:numId="31">
    <w:abstractNumId w:val="12"/>
  </w:num>
  <w:num w:numId="32">
    <w:abstractNumId w:val="21"/>
  </w:num>
  <w:num w:numId="33">
    <w:abstractNumId w:val="12"/>
  </w:num>
  <w:num w:numId="34">
    <w:abstractNumId w:val="12"/>
  </w:num>
  <w:num w:numId="35">
    <w:abstractNumId w:val="12"/>
  </w:num>
  <w:num w:numId="36">
    <w:abstractNumId w:val="25"/>
  </w:num>
  <w:num w:numId="37">
    <w:abstractNumId w:val="13"/>
  </w:num>
  <w:num w:numId="38">
    <w:abstractNumId w:val="16"/>
  </w:num>
  <w:num w:numId="39">
    <w:abstractNumId w:val="12"/>
  </w:num>
  <w:num w:numId="40">
    <w:abstractNumId w:val="12"/>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038D4"/>
    <w:rsid w:val="00004BB7"/>
    <w:rsid w:val="0001156E"/>
    <w:rsid w:val="000179C2"/>
    <w:rsid w:val="0003247C"/>
    <w:rsid w:val="00033C0D"/>
    <w:rsid w:val="00035071"/>
    <w:rsid w:val="00064EE2"/>
    <w:rsid w:val="00080349"/>
    <w:rsid w:val="00084DD6"/>
    <w:rsid w:val="000852D5"/>
    <w:rsid w:val="00093DDC"/>
    <w:rsid w:val="00096CA9"/>
    <w:rsid w:val="000A0E10"/>
    <w:rsid w:val="000A1C9A"/>
    <w:rsid w:val="000A2F5F"/>
    <w:rsid w:val="000A7C68"/>
    <w:rsid w:val="000B0506"/>
    <w:rsid w:val="000B6F69"/>
    <w:rsid w:val="000C01B4"/>
    <w:rsid w:val="000C499D"/>
    <w:rsid w:val="000C5885"/>
    <w:rsid w:val="000C68BB"/>
    <w:rsid w:val="000D04E9"/>
    <w:rsid w:val="000E4ACB"/>
    <w:rsid w:val="000F155E"/>
    <w:rsid w:val="000F47AB"/>
    <w:rsid w:val="000F4C22"/>
    <w:rsid w:val="0010091F"/>
    <w:rsid w:val="00100A5B"/>
    <w:rsid w:val="001039BB"/>
    <w:rsid w:val="00104432"/>
    <w:rsid w:val="00114F00"/>
    <w:rsid w:val="00117DB3"/>
    <w:rsid w:val="00124DC1"/>
    <w:rsid w:val="00127682"/>
    <w:rsid w:val="00130301"/>
    <w:rsid w:val="001317DC"/>
    <w:rsid w:val="0013716D"/>
    <w:rsid w:val="0014310A"/>
    <w:rsid w:val="00146F8A"/>
    <w:rsid w:val="0015073C"/>
    <w:rsid w:val="001517B7"/>
    <w:rsid w:val="001534D7"/>
    <w:rsid w:val="001574A3"/>
    <w:rsid w:val="00166825"/>
    <w:rsid w:val="00170377"/>
    <w:rsid w:val="00187894"/>
    <w:rsid w:val="00193A4B"/>
    <w:rsid w:val="00194C6B"/>
    <w:rsid w:val="001A6947"/>
    <w:rsid w:val="001B17AF"/>
    <w:rsid w:val="001B1BE4"/>
    <w:rsid w:val="001C5C38"/>
    <w:rsid w:val="001F028D"/>
    <w:rsid w:val="001F639F"/>
    <w:rsid w:val="00206738"/>
    <w:rsid w:val="002116A1"/>
    <w:rsid w:val="00221235"/>
    <w:rsid w:val="0022212D"/>
    <w:rsid w:val="002225C0"/>
    <w:rsid w:val="00226B71"/>
    <w:rsid w:val="00230EF6"/>
    <w:rsid w:val="00231D0D"/>
    <w:rsid w:val="00232805"/>
    <w:rsid w:val="00234998"/>
    <w:rsid w:val="002525C5"/>
    <w:rsid w:val="002528A9"/>
    <w:rsid w:val="00255E0C"/>
    <w:rsid w:val="0026051A"/>
    <w:rsid w:val="00261E81"/>
    <w:rsid w:val="002652AE"/>
    <w:rsid w:val="00271AB6"/>
    <w:rsid w:val="00271F77"/>
    <w:rsid w:val="002839CA"/>
    <w:rsid w:val="00291AEB"/>
    <w:rsid w:val="002A494D"/>
    <w:rsid w:val="002A7D28"/>
    <w:rsid w:val="002B2D6F"/>
    <w:rsid w:val="002B2ED0"/>
    <w:rsid w:val="002B37D8"/>
    <w:rsid w:val="002D0187"/>
    <w:rsid w:val="002D3AD3"/>
    <w:rsid w:val="002D6995"/>
    <w:rsid w:val="002F2CC2"/>
    <w:rsid w:val="002F304C"/>
    <w:rsid w:val="002F4E54"/>
    <w:rsid w:val="002F616E"/>
    <w:rsid w:val="00306C28"/>
    <w:rsid w:val="00306D24"/>
    <w:rsid w:val="00313358"/>
    <w:rsid w:val="00320E5E"/>
    <w:rsid w:val="00326F48"/>
    <w:rsid w:val="003453D6"/>
    <w:rsid w:val="00347714"/>
    <w:rsid w:val="003514AD"/>
    <w:rsid w:val="00351BC5"/>
    <w:rsid w:val="00365685"/>
    <w:rsid w:val="00366BF2"/>
    <w:rsid w:val="003A4545"/>
    <w:rsid w:val="003B01B0"/>
    <w:rsid w:val="003B04E0"/>
    <w:rsid w:val="003B43EC"/>
    <w:rsid w:val="003B440D"/>
    <w:rsid w:val="003C21B0"/>
    <w:rsid w:val="003C7FD3"/>
    <w:rsid w:val="003D0555"/>
    <w:rsid w:val="003D4CFE"/>
    <w:rsid w:val="003D646A"/>
    <w:rsid w:val="003E29B5"/>
    <w:rsid w:val="003E51EB"/>
    <w:rsid w:val="003E7FAC"/>
    <w:rsid w:val="003F3C92"/>
    <w:rsid w:val="003F5E75"/>
    <w:rsid w:val="00405506"/>
    <w:rsid w:val="004110B6"/>
    <w:rsid w:val="0041311B"/>
    <w:rsid w:val="004177BE"/>
    <w:rsid w:val="004222D5"/>
    <w:rsid w:val="0042385D"/>
    <w:rsid w:val="0042565B"/>
    <w:rsid w:val="004317E4"/>
    <w:rsid w:val="00434E35"/>
    <w:rsid w:val="00443A16"/>
    <w:rsid w:val="00443FF4"/>
    <w:rsid w:val="004615C4"/>
    <w:rsid w:val="00476A39"/>
    <w:rsid w:val="004801D1"/>
    <w:rsid w:val="0048402B"/>
    <w:rsid w:val="0048670D"/>
    <w:rsid w:val="00494BC1"/>
    <w:rsid w:val="00494EB8"/>
    <w:rsid w:val="00496782"/>
    <w:rsid w:val="00496F6E"/>
    <w:rsid w:val="004B24FF"/>
    <w:rsid w:val="004C4419"/>
    <w:rsid w:val="004C66DF"/>
    <w:rsid w:val="004D6461"/>
    <w:rsid w:val="004E6EF8"/>
    <w:rsid w:val="0051778F"/>
    <w:rsid w:val="00520E55"/>
    <w:rsid w:val="0052611B"/>
    <w:rsid w:val="0052728A"/>
    <w:rsid w:val="00544F79"/>
    <w:rsid w:val="00553170"/>
    <w:rsid w:val="00555B81"/>
    <w:rsid w:val="005711D2"/>
    <w:rsid w:val="0057654B"/>
    <w:rsid w:val="00581DD5"/>
    <w:rsid w:val="005832B7"/>
    <w:rsid w:val="005834A0"/>
    <w:rsid w:val="0058443C"/>
    <w:rsid w:val="00596923"/>
    <w:rsid w:val="005A0C09"/>
    <w:rsid w:val="005A1BE0"/>
    <w:rsid w:val="005A23F9"/>
    <w:rsid w:val="005B1422"/>
    <w:rsid w:val="005B3B56"/>
    <w:rsid w:val="005C1875"/>
    <w:rsid w:val="005C3A5C"/>
    <w:rsid w:val="005D1E06"/>
    <w:rsid w:val="005E5001"/>
    <w:rsid w:val="00600EB1"/>
    <w:rsid w:val="0061125D"/>
    <w:rsid w:val="006143AF"/>
    <w:rsid w:val="00623F69"/>
    <w:rsid w:val="0064498F"/>
    <w:rsid w:val="0064684C"/>
    <w:rsid w:val="00651C93"/>
    <w:rsid w:val="0065527E"/>
    <w:rsid w:val="006554DD"/>
    <w:rsid w:val="00660F76"/>
    <w:rsid w:val="00660FEB"/>
    <w:rsid w:val="00662C1A"/>
    <w:rsid w:val="006724C4"/>
    <w:rsid w:val="00675AB7"/>
    <w:rsid w:val="006935C9"/>
    <w:rsid w:val="00694524"/>
    <w:rsid w:val="00694796"/>
    <w:rsid w:val="006A4F51"/>
    <w:rsid w:val="006B4909"/>
    <w:rsid w:val="006B5AAD"/>
    <w:rsid w:val="006B6753"/>
    <w:rsid w:val="006B722A"/>
    <w:rsid w:val="006B7939"/>
    <w:rsid w:val="006C6EDE"/>
    <w:rsid w:val="006D7338"/>
    <w:rsid w:val="006E2451"/>
    <w:rsid w:val="006F05E1"/>
    <w:rsid w:val="006F72A1"/>
    <w:rsid w:val="00711670"/>
    <w:rsid w:val="00711B33"/>
    <w:rsid w:val="0071225A"/>
    <w:rsid w:val="00714E93"/>
    <w:rsid w:val="007173FC"/>
    <w:rsid w:val="007178F0"/>
    <w:rsid w:val="00720270"/>
    <w:rsid w:val="00722DD0"/>
    <w:rsid w:val="00725687"/>
    <w:rsid w:val="00727502"/>
    <w:rsid w:val="007276C8"/>
    <w:rsid w:val="0073072D"/>
    <w:rsid w:val="00746914"/>
    <w:rsid w:val="00751081"/>
    <w:rsid w:val="00753DF3"/>
    <w:rsid w:val="00760289"/>
    <w:rsid w:val="007640BE"/>
    <w:rsid w:val="00765A50"/>
    <w:rsid w:val="00771097"/>
    <w:rsid w:val="007758FB"/>
    <w:rsid w:val="00780C56"/>
    <w:rsid w:val="00784798"/>
    <w:rsid w:val="00791B46"/>
    <w:rsid w:val="0079578D"/>
    <w:rsid w:val="007E2162"/>
    <w:rsid w:val="007E435F"/>
    <w:rsid w:val="007F01E8"/>
    <w:rsid w:val="007F4A35"/>
    <w:rsid w:val="00816ED5"/>
    <w:rsid w:val="00821F9D"/>
    <w:rsid w:val="00824E28"/>
    <w:rsid w:val="00831BB4"/>
    <w:rsid w:val="00841F2A"/>
    <w:rsid w:val="008506F5"/>
    <w:rsid w:val="00871EC0"/>
    <w:rsid w:val="008766A4"/>
    <w:rsid w:val="00877262"/>
    <w:rsid w:val="00887E2D"/>
    <w:rsid w:val="008919D9"/>
    <w:rsid w:val="00895870"/>
    <w:rsid w:val="00896FF2"/>
    <w:rsid w:val="008A240B"/>
    <w:rsid w:val="008A5234"/>
    <w:rsid w:val="008B0CB6"/>
    <w:rsid w:val="008B7A74"/>
    <w:rsid w:val="008C0B02"/>
    <w:rsid w:val="008C10A4"/>
    <w:rsid w:val="008C4BCA"/>
    <w:rsid w:val="008C6FA8"/>
    <w:rsid w:val="008D2D16"/>
    <w:rsid w:val="008D3BDE"/>
    <w:rsid w:val="008D42B1"/>
    <w:rsid w:val="008F185F"/>
    <w:rsid w:val="008F3046"/>
    <w:rsid w:val="009030AA"/>
    <w:rsid w:val="009056F2"/>
    <w:rsid w:val="0091756B"/>
    <w:rsid w:val="00917F2A"/>
    <w:rsid w:val="00924F22"/>
    <w:rsid w:val="009269FD"/>
    <w:rsid w:val="00927DEE"/>
    <w:rsid w:val="00933910"/>
    <w:rsid w:val="009459D5"/>
    <w:rsid w:val="009478ED"/>
    <w:rsid w:val="00947BF3"/>
    <w:rsid w:val="009534D4"/>
    <w:rsid w:val="009652F7"/>
    <w:rsid w:val="00967755"/>
    <w:rsid w:val="009731D8"/>
    <w:rsid w:val="0097421F"/>
    <w:rsid w:val="00974B44"/>
    <w:rsid w:val="00980015"/>
    <w:rsid w:val="0098393E"/>
    <w:rsid w:val="009839C8"/>
    <w:rsid w:val="0099165D"/>
    <w:rsid w:val="00994DAB"/>
    <w:rsid w:val="009A25B7"/>
    <w:rsid w:val="009A3A85"/>
    <w:rsid w:val="009A58A8"/>
    <w:rsid w:val="009C0F9E"/>
    <w:rsid w:val="009D2E0B"/>
    <w:rsid w:val="009E4078"/>
    <w:rsid w:val="009E6DD7"/>
    <w:rsid w:val="009F2302"/>
    <w:rsid w:val="00A04E5A"/>
    <w:rsid w:val="00A140E9"/>
    <w:rsid w:val="00A24325"/>
    <w:rsid w:val="00A33C93"/>
    <w:rsid w:val="00A35727"/>
    <w:rsid w:val="00A62D1A"/>
    <w:rsid w:val="00A666E2"/>
    <w:rsid w:val="00A74400"/>
    <w:rsid w:val="00A8302C"/>
    <w:rsid w:val="00A91E89"/>
    <w:rsid w:val="00A94E33"/>
    <w:rsid w:val="00AA7481"/>
    <w:rsid w:val="00AC1CDD"/>
    <w:rsid w:val="00AD3210"/>
    <w:rsid w:val="00AD4561"/>
    <w:rsid w:val="00AE1F2B"/>
    <w:rsid w:val="00AE44A6"/>
    <w:rsid w:val="00B07EB9"/>
    <w:rsid w:val="00B114C7"/>
    <w:rsid w:val="00B134F9"/>
    <w:rsid w:val="00B13D63"/>
    <w:rsid w:val="00B17AF7"/>
    <w:rsid w:val="00B230DB"/>
    <w:rsid w:val="00B239F0"/>
    <w:rsid w:val="00B35004"/>
    <w:rsid w:val="00B40154"/>
    <w:rsid w:val="00B44818"/>
    <w:rsid w:val="00B5537C"/>
    <w:rsid w:val="00B578B2"/>
    <w:rsid w:val="00B6194E"/>
    <w:rsid w:val="00B62037"/>
    <w:rsid w:val="00BA4D1B"/>
    <w:rsid w:val="00BB0C3B"/>
    <w:rsid w:val="00BB2F6A"/>
    <w:rsid w:val="00BB5F6F"/>
    <w:rsid w:val="00BC16CC"/>
    <w:rsid w:val="00BC2788"/>
    <w:rsid w:val="00BC3DEC"/>
    <w:rsid w:val="00BF1D94"/>
    <w:rsid w:val="00C052CB"/>
    <w:rsid w:val="00C07776"/>
    <w:rsid w:val="00C078C7"/>
    <w:rsid w:val="00C1688C"/>
    <w:rsid w:val="00C1793C"/>
    <w:rsid w:val="00C20AFD"/>
    <w:rsid w:val="00C273A9"/>
    <w:rsid w:val="00C412C9"/>
    <w:rsid w:val="00C73D56"/>
    <w:rsid w:val="00C75380"/>
    <w:rsid w:val="00C84D64"/>
    <w:rsid w:val="00C87FF8"/>
    <w:rsid w:val="00C919C4"/>
    <w:rsid w:val="00C91AC2"/>
    <w:rsid w:val="00C96775"/>
    <w:rsid w:val="00CA7DD8"/>
    <w:rsid w:val="00CC596B"/>
    <w:rsid w:val="00CC7F0A"/>
    <w:rsid w:val="00CD44D5"/>
    <w:rsid w:val="00CE1579"/>
    <w:rsid w:val="00CE1FD8"/>
    <w:rsid w:val="00CE2087"/>
    <w:rsid w:val="00CE6B2B"/>
    <w:rsid w:val="00D049D0"/>
    <w:rsid w:val="00D16D32"/>
    <w:rsid w:val="00D26CF0"/>
    <w:rsid w:val="00D31299"/>
    <w:rsid w:val="00D32955"/>
    <w:rsid w:val="00D57759"/>
    <w:rsid w:val="00D57F02"/>
    <w:rsid w:val="00D80EB7"/>
    <w:rsid w:val="00D84C0F"/>
    <w:rsid w:val="00DA020D"/>
    <w:rsid w:val="00DA021A"/>
    <w:rsid w:val="00DA036C"/>
    <w:rsid w:val="00DA4C7B"/>
    <w:rsid w:val="00DB7AE5"/>
    <w:rsid w:val="00DC426F"/>
    <w:rsid w:val="00DD4680"/>
    <w:rsid w:val="00DD7D45"/>
    <w:rsid w:val="00DE0F00"/>
    <w:rsid w:val="00DE643D"/>
    <w:rsid w:val="00DF1C42"/>
    <w:rsid w:val="00DF537E"/>
    <w:rsid w:val="00DF64B1"/>
    <w:rsid w:val="00E0788A"/>
    <w:rsid w:val="00E27F72"/>
    <w:rsid w:val="00E31213"/>
    <w:rsid w:val="00E42E39"/>
    <w:rsid w:val="00E7256D"/>
    <w:rsid w:val="00E741A7"/>
    <w:rsid w:val="00E756D0"/>
    <w:rsid w:val="00E7724D"/>
    <w:rsid w:val="00E96705"/>
    <w:rsid w:val="00E97212"/>
    <w:rsid w:val="00EB6B4F"/>
    <w:rsid w:val="00EB6BC7"/>
    <w:rsid w:val="00EC718D"/>
    <w:rsid w:val="00EC7D8D"/>
    <w:rsid w:val="00ED22E8"/>
    <w:rsid w:val="00ED6607"/>
    <w:rsid w:val="00EE039F"/>
    <w:rsid w:val="00EE06FD"/>
    <w:rsid w:val="00EF0224"/>
    <w:rsid w:val="00EF04D3"/>
    <w:rsid w:val="00EF1BC2"/>
    <w:rsid w:val="00F10D4B"/>
    <w:rsid w:val="00F16129"/>
    <w:rsid w:val="00F27799"/>
    <w:rsid w:val="00F303C7"/>
    <w:rsid w:val="00F36897"/>
    <w:rsid w:val="00F37E0C"/>
    <w:rsid w:val="00F512FA"/>
    <w:rsid w:val="00F534C5"/>
    <w:rsid w:val="00F546B5"/>
    <w:rsid w:val="00F60656"/>
    <w:rsid w:val="00F676E6"/>
    <w:rsid w:val="00F70CB4"/>
    <w:rsid w:val="00F7204D"/>
    <w:rsid w:val="00F73021"/>
    <w:rsid w:val="00F84D08"/>
    <w:rsid w:val="00F85A04"/>
    <w:rsid w:val="00F85A39"/>
    <w:rsid w:val="00F91A79"/>
    <w:rsid w:val="00F97B56"/>
    <w:rsid w:val="00FA3FC2"/>
    <w:rsid w:val="00FA6B94"/>
    <w:rsid w:val="00FB1204"/>
    <w:rsid w:val="00FB5C2D"/>
    <w:rsid w:val="00FD7308"/>
    <w:rsid w:val="00FF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F7CE34"/>
  <w15:docId w15:val="{67C907F9-058F-4A45-8B63-232C396F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7">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3D4CFE"/>
    <w:pPr>
      <w:spacing w:before="120" w:line="280" w:lineRule="atLeast"/>
    </w:pPr>
    <w:rPr>
      <w:rFonts w:ascii="Arial" w:hAnsi="Arial" w:cs="Arial"/>
      <w:sz w:val="22"/>
      <w:szCs w:val="18"/>
      <w:lang w:val="en-AU"/>
    </w:rPr>
  </w:style>
  <w:style w:type="paragraph" w:styleId="Heading1">
    <w:name w:val="heading 1"/>
    <w:basedOn w:val="Normal"/>
    <w:next w:val="Normal"/>
    <w:link w:val="Heading1Char"/>
    <w:uiPriority w:val="9"/>
    <w:qFormat/>
    <w:locked/>
    <w:rsid w:val="003D4CFE"/>
    <w:pPr>
      <w:keepNext/>
      <w:keepLines/>
      <w:spacing w:before="240" w:after="120"/>
      <w:outlineLvl w:val="0"/>
    </w:pPr>
    <w:rPr>
      <w:rFonts w:eastAsiaTheme="majorEastAsia" w:cstheme="majorBidi"/>
      <w:b/>
      <w:bCs/>
      <w:color w:val="AF272F"/>
      <w:sz w:val="44"/>
      <w:szCs w:val="20"/>
    </w:rPr>
  </w:style>
  <w:style w:type="paragraph" w:styleId="Heading2">
    <w:name w:val="heading 2"/>
    <w:basedOn w:val="Heading1"/>
    <w:next w:val="Normal"/>
    <w:link w:val="Heading2Char"/>
    <w:uiPriority w:val="9"/>
    <w:qFormat/>
    <w:locked/>
    <w:rsid w:val="002D0187"/>
    <w:pPr>
      <w:pBdr>
        <w:top w:val="single" w:sz="8" w:space="3" w:color="AF272F"/>
      </w:pBdr>
      <w:ind w:left="851" w:hanging="851"/>
      <w:outlineLvl w:val="1"/>
    </w:pPr>
    <w:rPr>
      <w:bCs w:val="0"/>
      <w:sz w:val="36"/>
    </w:rPr>
  </w:style>
  <w:style w:type="paragraph" w:styleId="Heading3">
    <w:name w:val="heading 3"/>
    <w:basedOn w:val="Normal"/>
    <w:next w:val="Normal"/>
    <w:link w:val="Heading3Char"/>
    <w:uiPriority w:val="9"/>
    <w:qFormat/>
    <w:locked/>
    <w:rsid w:val="0064684C"/>
    <w:pPr>
      <w:tabs>
        <w:tab w:val="left" w:pos="851"/>
      </w:tabs>
      <w:spacing w:before="240" w:after="120"/>
      <w:outlineLvl w:val="2"/>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CFE"/>
    <w:rPr>
      <w:rFonts w:ascii="Arial" w:eastAsiaTheme="majorEastAsia" w:hAnsi="Arial" w:cstheme="majorBidi"/>
      <w:b/>
      <w:bCs/>
      <w:color w:val="AF272F"/>
      <w:sz w:val="44"/>
      <w:szCs w:val="20"/>
      <w:lang w:val="en-AU"/>
    </w:rPr>
  </w:style>
  <w:style w:type="character" w:customStyle="1" w:styleId="Heading2Char">
    <w:name w:val="Heading 2 Char"/>
    <w:basedOn w:val="DefaultParagraphFont"/>
    <w:link w:val="Heading2"/>
    <w:uiPriority w:val="9"/>
    <w:rsid w:val="002D0187"/>
    <w:rPr>
      <w:rFonts w:ascii="Arial" w:eastAsiaTheme="majorEastAsia" w:hAnsi="Arial" w:cstheme="majorBidi"/>
      <w:b/>
      <w:color w:val="AF272F"/>
      <w:sz w:val="36"/>
      <w:szCs w:val="20"/>
      <w:lang w:val="en-AU"/>
    </w:rPr>
  </w:style>
  <w:style w:type="character" w:customStyle="1" w:styleId="Heading3Char">
    <w:name w:val="Heading 3 Char"/>
    <w:basedOn w:val="DefaultParagraphFont"/>
    <w:link w:val="Heading3"/>
    <w:uiPriority w:val="9"/>
    <w:rsid w:val="0064684C"/>
    <w:rPr>
      <w:rFonts w:ascii="Arial" w:hAnsi="Arial" w:cs="Arial"/>
      <w:b/>
      <w:color w:val="000000" w:themeColor="text1"/>
      <w:szCs w:val="18"/>
      <w:lang w:val="en-AU"/>
    </w:rPr>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Footer">
    <w:name w:val="footer"/>
    <w:basedOn w:val="Normal"/>
    <w:link w:val="FooterChar"/>
    <w:uiPriority w:val="99"/>
    <w:rsid w:val="00947BF3"/>
    <w:pPr>
      <w:tabs>
        <w:tab w:val="right" w:pos="7371"/>
      </w:tabs>
      <w:spacing w:before="0" w:line="240" w:lineRule="auto"/>
    </w:pPr>
    <w:rPr>
      <w:sz w:val="20"/>
    </w:rPr>
  </w:style>
  <w:style w:type="character" w:customStyle="1" w:styleId="FooterChar">
    <w:name w:val="Footer Char"/>
    <w:basedOn w:val="DefaultParagraphFont"/>
    <w:link w:val="Footer"/>
    <w:uiPriority w:val="99"/>
    <w:rsid w:val="00947BF3"/>
    <w:rPr>
      <w:rFonts w:ascii="Arial" w:hAnsi="Arial" w:cs="Arial"/>
      <w:sz w:val="20"/>
      <w:szCs w:val="18"/>
      <w:lang w:val="en-AU"/>
    </w:rPr>
  </w:style>
  <w:style w:type="paragraph" w:styleId="Subtitle">
    <w:name w:val="Subtitle"/>
    <w:basedOn w:val="Normal"/>
    <w:next w:val="Normal"/>
    <w:link w:val="SubtitleChar"/>
    <w:uiPriority w:val="11"/>
    <w:semiHidden/>
    <w:qFormat/>
    <w:locked/>
    <w:rsid w:val="00980015"/>
    <w:pPr>
      <w:numPr>
        <w:ilvl w:val="1"/>
      </w:numPr>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qFormat/>
    <w:locked/>
    <w:rsid w:val="00326F48"/>
    <w:rPr>
      <w:i/>
      <w:iCs/>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paragraph" w:styleId="EndnoteText">
    <w:name w:val="endnote text"/>
    <w:basedOn w:val="Normal"/>
    <w:link w:val="EndnoteTextChar"/>
    <w:uiPriority w:val="99"/>
    <w:semiHidden/>
    <w:qFormat/>
    <w:locked/>
    <w:rsid w:val="00980015"/>
    <w:pPr>
      <w:spacing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locked/>
    <w:rsid w:val="00714E93"/>
    <w:pPr>
      <w:spacing w:before="0" w:line="240" w:lineRule="auto"/>
    </w:pPr>
    <w:rPr>
      <w:sz w:val="20"/>
    </w:rPr>
  </w:style>
  <w:style w:type="character" w:customStyle="1" w:styleId="HeaderChar">
    <w:name w:val="Header Char"/>
    <w:basedOn w:val="DefaultParagraphFont"/>
    <w:link w:val="Header"/>
    <w:uiPriority w:val="99"/>
    <w:rsid w:val="00714E93"/>
    <w:rPr>
      <w:rFonts w:ascii="Arial" w:hAnsi="Arial" w:cs="Arial"/>
      <w:sz w:val="20"/>
      <w:szCs w:val="18"/>
    </w:rPr>
  </w:style>
  <w:style w:type="paragraph" w:styleId="TOAHeading">
    <w:name w:val="toa heading"/>
    <w:basedOn w:val="Normal"/>
    <w:next w:val="Normal"/>
    <w:uiPriority w:val="99"/>
    <w:semiHidden/>
    <w:locked/>
    <w:rsid w:val="00751081"/>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after="0"/>
      <w:outlineLvl w:val="9"/>
    </w:pPr>
    <w:rPr>
      <w:rFonts w:asciiTheme="majorHAnsi" w:hAnsiTheme="majorHAnsi"/>
      <w:b w:val="0"/>
      <w:bCs w:val="0"/>
      <w:caps/>
      <w:color w:val="365F91" w:themeColor="accent1" w:themeShade="BF"/>
      <w:sz w:val="32"/>
      <w:szCs w:val="32"/>
    </w:rPr>
  </w:style>
  <w:style w:type="paragraph" w:styleId="FootnoteText">
    <w:name w:val="footnote text"/>
    <w:basedOn w:val="Normal"/>
    <w:link w:val="FootnoteTextChar"/>
    <w:uiPriority w:val="99"/>
    <w:semiHidden/>
    <w:locked/>
    <w:rsid w:val="00271F77"/>
    <w:pPr>
      <w:spacing w:after="40" w:line="240" w:lineRule="auto"/>
    </w:pPr>
    <w:rPr>
      <w:sz w:val="11"/>
      <w:szCs w:val="11"/>
    </w:rPr>
  </w:style>
  <w:style w:type="character" w:customStyle="1" w:styleId="FootnoteTextChar">
    <w:name w:val="Footnote Text Char"/>
    <w:basedOn w:val="DefaultParagraphFont"/>
    <w:link w:val="FootnoteText"/>
    <w:uiPriority w:val="99"/>
    <w:semiHidden/>
    <w:rsid w:val="00AD3210"/>
    <w:rPr>
      <w:rFonts w:ascii="Arial" w:hAnsi="Arial" w:cs="Arial"/>
      <w:sz w:val="11"/>
      <w:szCs w:val="11"/>
    </w:rPr>
  </w:style>
  <w:style w:type="paragraph" w:customStyle="1" w:styleId="NoteLevel1">
    <w:name w:val="Note Level 1"/>
    <w:basedOn w:val="Normal"/>
    <w:uiPriority w:val="99"/>
    <w:semiHidden/>
    <w:locked/>
    <w:rsid w:val="00895870"/>
    <w:pPr>
      <w:keepNext/>
      <w:ind w:left="284" w:hanging="360"/>
      <w:contextualSpacing/>
      <w:outlineLvl w:val="0"/>
    </w:pPr>
  </w:style>
  <w:style w:type="paragraph" w:customStyle="1" w:styleId="NoteLevel2">
    <w:name w:val="Note Level 2"/>
    <w:basedOn w:val="Normal"/>
    <w:uiPriority w:val="99"/>
    <w:semiHidden/>
    <w:locked/>
    <w:rsid w:val="00D84C0F"/>
    <w:pPr>
      <w:keepNext/>
      <w:tabs>
        <w:tab w:val="num" w:pos="-240"/>
      </w:tabs>
      <w:ind w:left="120" w:firstLine="164"/>
      <w:contextualSpacing/>
      <w:outlineLvl w:val="1"/>
    </w:pPr>
  </w:style>
  <w:style w:type="paragraph" w:customStyle="1" w:styleId="NoteLevel3">
    <w:name w:val="Note Level 3"/>
    <w:basedOn w:val="Normal"/>
    <w:uiPriority w:val="99"/>
    <w:semiHidden/>
    <w:locked/>
    <w:rsid w:val="00D84C0F"/>
    <w:pPr>
      <w:keepNext/>
      <w:tabs>
        <w:tab w:val="num" w:pos="480"/>
      </w:tabs>
      <w:ind w:left="840" w:firstLine="164"/>
      <w:contextualSpacing/>
      <w:outlineLvl w:val="2"/>
    </w:pPr>
  </w:style>
  <w:style w:type="paragraph" w:customStyle="1" w:styleId="NoteLevel4">
    <w:name w:val="Note Level 4"/>
    <w:basedOn w:val="Normal"/>
    <w:uiPriority w:val="99"/>
    <w:semiHidden/>
    <w:locked/>
    <w:rsid w:val="00D84C0F"/>
    <w:pPr>
      <w:keepNext/>
      <w:tabs>
        <w:tab w:val="num" w:pos="1200"/>
      </w:tabs>
      <w:ind w:left="1560" w:firstLine="164"/>
      <w:contextualSpacing/>
      <w:outlineLvl w:val="3"/>
    </w:pPr>
  </w:style>
  <w:style w:type="paragraph" w:customStyle="1" w:styleId="NoteLevel5">
    <w:name w:val="Note Level 5"/>
    <w:basedOn w:val="Normal"/>
    <w:uiPriority w:val="99"/>
    <w:semiHidden/>
    <w:locked/>
    <w:rsid w:val="00D84C0F"/>
    <w:pPr>
      <w:keepNext/>
      <w:numPr>
        <w:ilvl w:val="4"/>
        <w:numId w:val="11"/>
      </w:numPr>
      <w:ind w:left="1985" w:firstLine="164"/>
      <w:contextualSpacing/>
      <w:outlineLvl w:val="4"/>
    </w:pPr>
  </w:style>
  <w:style w:type="paragraph" w:customStyle="1" w:styleId="NoteLevel6">
    <w:name w:val="Note Level 6"/>
    <w:basedOn w:val="Normal"/>
    <w:uiPriority w:val="99"/>
    <w:semiHidden/>
    <w:locked/>
    <w:rsid w:val="00D84C0F"/>
    <w:pPr>
      <w:keepNext/>
      <w:tabs>
        <w:tab w:val="num" w:pos="2640"/>
      </w:tabs>
      <w:ind w:left="3000" w:firstLine="164"/>
      <w:contextualSpacing/>
      <w:outlineLvl w:val="5"/>
    </w:pPr>
  </w:style>
  <w:style w:type="paragraph" w:customStyle="1" w:styleId="NoteLevel7">
    <w:name w:val="Note Level 7"/>
    <w:basedOn w:val="NoteLevel5"/>
    <w:uiPriority w:val="99"/>
    <w:semiHidden/>
    <w:locked/>
    <w:rsid w:val="00D84C0F"/>
    <w:pPr>
      <w:ind w:left="3402" w:firstLine="0"/>
    </w:pPr>
  </w:style>
  <w:style w:type="paragraph" w:customStyle="1" w:styleId="NoteLevel8">
    <w:name w:val="Note Level 8"/>
    <w:basedOn w:val="Normal"/>
    <w:uiPriority w:val="99"/>
    <w:semiHidden/>
    <w:locked/>
    <w:rsid w:val="00D84C0F"/>
    <w:pPr>
      <w:keepNext/>
      <w:numPr>
        <w:ilvl w:val="7"/>
        <w:numId w:val="11"/>
      </w:numPr>
      <w:contextualSpacing/>
      <w:outlineLvl w:val="7"/>
    </w:pPr>
  </w:style>
  <w:style w:type="character" w:styleId="FootnoteReference">
    <w:name w:val="footnote reference"/>
    <w:basedOn w:val="DefaultParagraphFont"/>
    <w:uiPriority w:val="99"/>
    <w:semiHidden/>
    <w:locked/>
    <w:rsid w:val="00271F77"/>
    <w:rPr>
      <w:color w:val="AF272F"/>
      <w:sz w:val="13"/>
      <w:szCs w:val="13"/>
      <w:vertAlign w:val="superscript"/>
    </w:rPr>
  </w:style>
  <w:style w:type="paragraph" w:customStyle="1" w:styleId="NoteLevel9">
    <w:name w:val="Note Level 9"/>
    <w:basedOn w:val="Normal"/>
    <w:uiPriority w:val="99"/>
    <w:semiHidden/>
    <w:locked/>
    <w:rsid w:val="00D84C0F"/>
    <w:pPr>
      <w:keepNext/>
      <w:numPr>
        <w:ilvl w:val="8"/>
        <w:numId w:val="11"/>
      </w:numPr>
      <w:contextualSpacing/>
      <w:outlineLvl w:val="8"/>
    </w:pPr>
  </w:style>
  <w:style w:type="paragraph" w:styleId="TOC3">
    <w:name w:val="toc 3"/>
    <w:basedOn w:val="Normal"/>
    <w:next w:val="Normal"/>
    <w:autoRedefine/>
    <w:uiPriority w:val="39"/>
    <w:semiHidden/>
    <w:locked/>
    <w:rsid w:val="00895870"/>
    <w:pPr>
      <w:ind w:left="360"/>
    </w:pPr>
  </w:style>
  <w:style w:type="paragraph" w:styleId="TOC1">
    <w:name w:val="toc 1"/>
    <w:basedOn w:val="Normal"/>
    <w:next w:val="Normal"/>
    <w:autoRedefine/>
    <w:uiPriority w:val="39"/>
    <w:semiHidden/>
    <w:locked/>
    <w:rsid w:val="00895870"/>
    <w:pPr>
      <w:tabs>
        <w:tab w:val="right" w:leader="dot" w:pos="9346"/>
      </w:tabs>
      <w:spacing w:after="100"/>
    </w:pPr>
    <w:rPr>
      <w:b/>
      <w:color w:val="AF272F"/>
    </w:rPr>
  </w:style>
  <w:style w:type="paragraph" w:styleId="TOC2">
    <w:name w:val="toc 2"/>
    <w:basedOn w:val="Normal"/>
    <w:next w:val="Normal"/>
    <w:autoRedefine/>
    <w:uiPriority w:val="39"/>
    <w:semiHidden/>
    <w:locked/>
    <w:rsid w:val="00895870"/>
    <w:pPr>
      <w:spacing w:after="100"/>
      <w:ind w:left="180"/>
    </w:pPr>
    <w:rPr>
      <w:color w:val="AF272F"/>
    </w:rPr>
  </w:style>
  <w:style w:type="paragraph" w:styleId="TOC4">
    <w:name w:val="toc 4"/>
    <w:basedOn w:val="Normal"/>
    <w:next w:val="Normal"/>
    <w:autoRedefine/>
    <w:uiPriority w:val="39"/>
    <w:semiHidden/>
    <w:locked/>
    <w:rsid w:val="00895870"/>
    <w:pPr>
      <w:ind w:left="540"/>
    </w:pPr>
  </w:style>
  <w:style w:type="paragraph" w:styleId="TOC5">
    <w:name w:val="toc 5"/>
    <w:basedOn w:val="Normal"/>
    <w:next w:val="Normal"/>
    <w:autoRedefine/>
    <w:uiPriority w:val="39"/>
    <w:semiHidden/>
    <w:locked/>
    <w:rsid w:val="00895870"/>
    <w:pPr>
      <w:ind w:left="720"/>
    </w:pPr>
  </w:style>
  <w:style w:type="paragraph" w:styleId="TOC6">
    <w:name w:val="toc 6"/>
    <w:basedOn w:val="Normal"/>
    <w:next w:val="Normal"/>
    <w:autoRedefine/>
    <w:uiPriority w:val="39"/>
    <w:semiHidden/>
    <w:locked/>
    <w:rsid w:val="00895870"/>
    <w:pPr>
      <w:ind w:left="900"/>
    </w:pPr>
  </w:style>
  <w:style w:type="paragraph" w:styleId="TOC7">
    <w:name w:val="toc 7"/>
    <w:basedOn w:val="Normal"/>
    <w:next w:val="Normal"/>
    <w:autoRedefine/>
    <w:uiPriority w:val="39"/>
    <w:semiHidden/>
    <w:locked/>
    <w:rsid w:val="00895870"/>
    <w:pPr>
      <w:ind w:left="1080"/>
    </w:pPr>
  </w:style>
  <w:style w:type="paragraph" w:styleId="TOC8">
    <w:name w:val="toc 8"/>
    <w:basedOn w:val="Normal"/>
    <w:next w:val="Normal"/>
    <w:autoRedefine/>
    <w:uiPriority w:val="39"/>
    <w:semiHidden/>
    <w:locked/>
    <w:rsid w:val="00895870"/>
    <w:pPr>
      <w:ind w:left="1260"/>
    </w:pPr>
  </w:style>
  <w:style w:type="paragraph" w:styleId="TOC9">
    <w:name w:val="toc 9"/>
    <w:basedOn w:val="Normal"/>
    <w:next w:val="Normal"/>
    <w:autoRedefine/>
    <w:uiPriority w:val="39"/>
    <w:semiHidden/>
    <w:locked/>
    <w:rsid w:val="00895870"/>
    <w:pPr>
      <w:ind w:left="1440"/>
    </w:pPr>
  </w:style>
  <w:style w:type="character" w:styleId="EndnoteReference">
    <w:name w:val="endnote reference"/>
    <w:uiPriority w:val="99"/>
    <w:semiHidden/>
    <w:locked/>
    <w:rsid w:val="00271F77"/>
    <w:rPr>
      <w:b w:val="0"/>
      <w:i w:val="0"/>
      <w:sz w:val="15"/>
      <w:szCs w:val="15"/>
      <w:lang w:val="en-AU"/>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locked/>
    <w:rsid w:val="00927DEE"/>
    <w:rPr>
      <w:color w:val="0000FF"/>
      <w:u w:val="single"/>
    </w:rPr>
  </w:style>
  <w:style w:type="paragraph" w:styleId="ListBullet">
    <w:name w:val="List Bullet"/>
    <w:basedOn w:val="Normal"/>
    <w:uiPriority w:val="99"/>
    <w:locked/>
    <w:rsid w:val="00771097"/>
    <w:pPr>
      <w:numPr>
        <w:numId w:val="27"/>
      </w:numPr>
    </w:pPr>
    <w:rPr>
      <w:rFonts w:eastAsiaTheme="minorHAnsi" w:cstheme="minorBidi"/>
      <w:szCs w:val="22"/>
    </w:rPr>
  </w:style>
  <w:style w:type="paragraph" w:styleId="ListBullet2">
    <w:name w:val="List Bullet 2"/>
    <w:basedOn w:val="Normal"/>
    <w:uiPriority w:val="99"/>
    <w:locked/>
    <w:rsid w:val="00927DEE"/>
    <w:pPr>
      <w:spacing w:before="60"/>
      <w:ind w:left="568" w:hanging="284"/>
    </w:pPr>
    <w:rPr>
      <w:rFonts w:ascii="Candara" w:eastAsiaTheme="minorHAnsi" w:hAnsi="Candara" w:cstheme="minorBidi"/>
      <w:szCs w:val="22"/>
    </w:rPr>
  </w:style>
  <w:style w:type="table" w:styleId="LightList-Accent3">
    <w:name w:val="Light List Accent 3"/>
    <w:basedOn w:val="TableNormal"/>
    <w:uiPriority w:val="61"/>
    <w:locked/>
    <w:rsid w:val="00927DEE"/>
    <w:rPr>
      <w:rFonts w:eastAsiaTheme="minorHAnsi"/>
      <w:sz w:val="22"/>
      <w:szCs w:val="22"/>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semiHidden/>
    <w:locked/>
    <w:rsid w:val="0051778F"/>
    <w:rPr>
      <w:color w:val="0000FF"/>
      <w:u w:val="single"/>
    </w:rPr>
  </w:style>
  <w:style w:type="paragraph" w:styleId="ListContinue">
    <w:name w:val="List Continue"/>
    <w:basedOn w:val="Normal"/>
    <w:uiPriority w:val="99"/>
    <w:unhideWhenUsed/>
    <w:locked/>
    <w:rsid w:val="0051778F"/>
    <w:pPr>
      <w:ind w:left="284"/>
    </w:pPr>
    <w:rPr>
      <w:rFonts w:ascii="Candara" w:eastAsiaTheme="minorHAnsi" w:hAnsi="Candara" w:cstheme="minorBidi"/>
      <w:szCs w:val="22"/>
    </w:rPr>
  </w:style>
  <w:style w:type="paragraph" w:styleId="BodyText">
    <w:name w:val="Body Text"/>
    <w:basedOn w:val="Normal"/>
    <w:link w:val="BodyTextChar"/>
    <w:uiPriority w:val="99"/>
    <w:unhideWhenUsed/>
    <w:locked/>
    <w:rsid w:val="0051778F"/>
    <w:pPr>
      <w:pBdr>
        <w:top w:val="single" w:sz="2" w:space="1" w:color="F79646" w:themeColor="accent6" w:shadow="1"/>
        <w:left w:val="single" w:sz="2" w:space="4" w:color="F79646" w:themeColor="accent6" w:shadow="1"/>
        <w:bottom w:val="single" w:sz="2" w:space="1" w:color="F79646" w:themeColor="accent6" w:shadow="1"/>
        <w:right w:val="single" w:sz="2" w:space="4" w:color="F79646" w:themeColor="accent6" w:shadow="1"/>
      </w:pBdr>
      <w:ind w:left="567" w:right="567"/>
    </w:pPr>
    <w:rPr>
      <w:rFonts w:ascii="Candara" w:eastAsiaTheme="minorHAnsi" w:hAnsi="Candara" w:cstheme="minorBidi"/>
      <w:b/>
      <w:color w:val="F79646" w:themeColor="accent6"/>
      <w:sz w:val="24"/>
      <w:szCs w:val="22"/>
    </w:rPr>
  </w:style>
  <w:style w:type="character" w:customStyle="1" w:styleId="BodyTextChar">
    <w:name w:val="Body Text Char"/>
    <w:basedOn w:val="DefaultParagraphFont"/>
    <w:link w:val="BodyText"/>
    <w:uiPriority w:val="99"/>
    <w:rsid w:val="0051778F"/>
    <w:rPr>
      <w:rFonts w:ascii="Candara" w:eastAsiaTheme="minorHAnsi" w:hAnsi="Candara"/>
      <w:b/>
      <w:color w:val="F79646" w:themeColor="accent6"/>
      <w:szCs w:val="22"/>
      <w:lang w:val="en-AU"/>
    </w:rPr>
  </w:style>
  <w:style w:type="paragraph" w:styleId="BodyText2">
    <w:name w:val="Body Text 2"/>
    <w:basedOn w:val="Normal"/>
    <w:link w:val="BodyText2Char"/>
    <w:uiPriority w:val="99"/>
    <w:unhideWhenUsed/>
    <w:locked/>
    <w:rsid w:val="0051778F"/>
    <w:pPr>
      <w:pBdr>
        <w:top w:val="single" w:sz="2" w:space="1" w:color="F79646" w:themeColor="accent6" w:shadow="1"/>
        <w:left w:val="single" w:sz="2" w:space="4" w:color="F79646" w:themeColor="accent6" w:shadow="1"/>
        <w:bottom w:val="single" w:sz="2" w:space="1" w:color="F79646" w:themeColor="accent6" w:shadow="1"/>
        <w:right w:val="single" w:sz="2" w:space="4" w:color="F79646" w:themeColor="accent6" w:shadow="1"/>
      </w:pBdr>
      <w:ind w:left="567" w:right="567"/>
    </w:pPr>
    <w:rPr>
      <w:rFonts w:ascii="Candara" w:eastAsiaTheme="minorHAnsi" w:hAnsi="Candara" w:cstheme="minorBidi"/>
      <w:szCs w:val="22"/>
    </w:rPr>
  </w:style>
  <w:style w:type="character" w:customStyle="1" w:styleId="BodyText2Char">
    <w:name w:val="Body Text 2 Char"/>
    <w:basedOn w:val="DefaultParagraphFont"/>
    <w:link w:val="BodyText2"/>
    <w:uiPriority w:val="99"/>
    <w:rsid w:val="0051778F"/>
    <w:rPr>
      <w:rFonts w:ascii="Candara" w:eastAsiaTheme="minorHAnsi" w:hAnsi="Candara"/>
      <w:sz w:val="22"/>
      <w:szCs w:val="22"/>
      <w:lang w:val="en-AU"/>
    </w:rPr>
  </w:style>
  <w:style w:type="paragraph" w:styleId="NoSpacing">
    <w:name w:val="No Spacing"/>
    <w:uiPriority w:val="1"/>
    <w:qFormat/>
    <w:locked/>
    <w:rsid w:val="0051778F"/>
    <w:rPr>
      <w:rFonts w:ascii="Candara" w:eastAsiaTheme="minorHAnsi" w:hAnsi="Candara"/>
      <w:sz w:val="22"/>
      <w:szCs w:val="22"/>
      <w:lang w:val="en-AU"/>
    </w:rPr>
  </w:style>
  <w:style w:type="table" w:customStyle="1" w:styleId="GridTable6Colorful1">
    <w:name w:val="Grid Table 6 Colorful1"/>
    <w:basedOn w:val="TableNormal"/>
    <w:uiPriority w:val="51"/>
    <w:locked/>
    <w:rsid w:val="0051778F"/>
    <w:rPr>
      <w:rFonts w:eastAsiaTheme="minorHAnsi"/>
      <w:color w:val="000000" w:themeColor="text1"/>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locked/>
    <w:rsid w:val="00443FF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43FF4"/>
    <w:rPr>
      <w:rFonts w:ascii="Segoe UI" w:hAnsi="Segoe UI" w:cs="Segoe UI"/>
      <w:sz w:val="18"/>
      <w:szCs w:val="18"/>
    </w:rPr>
  </w:style>
  <w:style w:type="paragraph" w:customStyle="1" w:styleId="Default">
    <w:name w:val="Default"/>
    <w:rsid w:val="00232805"/>
    <w:pPr>
      <w:autoSpaceDE w:val="0"/>
      <w:autoSpaceDN w:val="0"/>
      <w:adjustRightInd w:val="0"/>
    </w:pPr>
    <w:rPr>
      <w:rFonts w:ascii="Times New Roman" w:hAnsi="Times New Roman" w:cs="Times New Roman"/>
      <w:color w:val="000000"/>
      <w:lang w:val="en-AU"/>
    </w:rPr>
  </w:style>
  <w:style w:type="character" w:customStyle="1" w:styleId="Mention1">
    <w:name w:val="Mention1"/>
    <w:basedOn w:val="DefaultParagraphFont"/>
    <w:uiPriority w:val="99"/>
    <w:semiHidden/>
    <w:unhideWhenUsed/>
    <w:rsid w:val="0091756B"/>
    <w:rPr>
      <w:color w:val="2B579A"/>
      <w:shd w:val="clear" w:color="auto" w:fill="E6E6E6"/>
    </w:rPr>
  </w:style>
  <w:style w:type="paragraph" w:styleId="ListParagraph">
    <w:name w:val="List Paragraph"/>
    <w:basedOn w:val="Normal"/>
    <w:uiPriority w:val="34"/>
    <w:semiHidden/>
    <w:qFormat/>
    <w:locked/>
    <w:rsid w:val="004222D5"/>
    <w:pPr>
      <w:ind w:left="720"/>
      <w:contextualSpacing/>
    </w:pPr>
  </w:style>
  <w:style w:type="character" w:customStyle="1" w:styleId="tgc">
    <w:name w:val="_tgc"/>
    <w:basedOn w:val="DefaultParagraphFont"/>
    <w:rsid w:val="007E435F"/>
  </w:style>
  <w:style w:type="character" w:styleId="CommentReference">
    <w:name w:val="annotation reference"/>
    <w:basedOn w:val="DefaultParagraphFont"/>
    <w:uiPriority w:val="99"/>
    <w:semiHidden/>
    <w:unhideWhenUsed/>
    <w:locked/>
    <w:rsid w:val="00B62037"/>
    <w:rPr>
      <w:sz w:val="16"/>
      <w:szCs w:val="16"/>
    </w:rPr>
  </w:style>
  <w:style w:type="paragraph" w:styleId="CommentText">
    <w:name w:val="annotation text"/>
    <w:basedOn w:val="Normal"/>
    <w:link w:val="CommentTextChar"/>
    <w:uiPriority w:val="99"/>
    <w:semiHidden/>
    <w:unhideWhenUsed/>
    <w:locked/>
    <w:rsid w:val="00B62037"/>
    <w:pPr>
      <w:spacing w:line="240" w:lineRule="auto"/>
    </w:pPr>
    <w:rPr>
      <w:sz w:val="20"/>
      <w:szCs w:val="20"/>
    </w:rPr>
  </w:style>
  <w:style w:type="character" w:customStyle="1" w:styleId="CommentTextChar">
    <w:name w:val="Comment Text Char"/>
    <w:basedOn w:val="DefaultParagraphFont"/>
    <w:link w:val="CommentText"/>
    <w:uiPriority w:val="99"/>
    <w:semiHidden/>
    <w:rsid w:val="00B62037"/>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locked/>
    <w:rsid w:val="00B62037"/>
    <w:rPr>
      <w:b/>
      <w:bCs/>
    </w:rPr>
  </w:style>
  <w:style w:type="character" w:customStyle="1" w:styleId="CommentSubjectChar">
    <w:name w:val="Comment Subject Char"/>
    <w:basedOn w:val="CommentTextChar"/>
    <w:link w:val="CommentSubject"/>
    <w:uiPriority w:val="99"/>
    <w:semiHidden/>
    <w:rsid w:val="00B62037"/>
    <w:rPr>
      <w:rFonts w:ascii="Arial" w:hAnsi="Arial" w:cs="Arial"/>
      <w:b/>
      <w:bCs/>
      <w:sz w:val="20"/>
      <w:szCs w:val="20"/>
      <w:lang w:val="en-AU"/>
    </w:rPr>
  </w:style>
  <w:style w:type="table" w:customStyle="1" w:styleId="GridTable6Colorful2">
    <w:name w:val="Grid Table 6 Colorful2"/>
    <w:basedOn w:val="TableNormal"/>
    <w:uiPriority w:val="51"/>
    <w:rsid w:val="002F616E"/>
    <w:rPr>
      <w:rFonts w:eastAsiaTheme="minorHAnsi"/>
      <w:color w:val="000000" w:themeColor="text1"/>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DefaultParagraphFont"/>
    <w:rsid w:val="004317E4"/>
  </w:style>
  <w:style w:type="paragraph" w:styleId="Revision">
    <w:name w:val="Revision"/>
    <w:hidden/>
    <w:uiPriority w:val="99"/>
    <w:semiHidden/>
    <w:rsid w:val="00771097"/>
    <w:rPr>
      <w:rFonts w:ascii="Arial" w:hAnsi="Arial" w:cs="Arial"/>
      <w:sz w:val="22"/>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7997">
      <w:bodyDiv w:val="1"/>
      <w:marLeft w:val="0"/>
      <w:marRight w:val="0"/>
      <w:marTop w:val="0"/>
      <w:marBottom w:val="0"/>
      <w:divBdr>
        <w:top w:val="none" w:sz="0" w:space="0" w:color="auto"/>
        <w:left w:val="none" w:sz="0" w:space="0" w:color="auto"/>
        <w:bottom w:val="none" w:sz="0" w:space="0" w:color="auto"/>
        <w:right w:val="none" w:sz="0" w:space="0" w:color="auto"/>
      </w:divBdr>
      <w:divsChild>
        <w:div w:id="1477643401">
          <w:marLeft w:val="0"/>
          <w:marRight w:val="0"/>
          <w:marTop w:val="0"/>
          <w:marBottom w:val="0"/>
          <w:divBdr>
            <w:top w:val="none" w:sz="0" w:space="0" w:color="auto"/>
            <w:left w:val="none" w:sz="0" w:space="0" w:color="auto"/>
            <w:bottom w:val="none" w:sz="0" w:space="0" w:color="auto"/>
            <w:right w:val="none" w:sz="0" w:space="0" w:color="auto"/>
          </w:divBdr>
          <w:divsChild>
            <w:div w:id="1404137642">
              <w:marLeft w:val="0"/>
              <w:marRight w:val="0"/>
              <w:marTop w:val="0"/>
              <w:marBottom w:val="0"/>
              <w:divBdr>
                <w:top w:val="none" w:sz="0" w:space="0" w:color="auto"/>
                <w:left w:val="none" w:sz="0" w:space="0" w:color="auto"/>
                <w:bottom w:val="none" w:sz="0" w:space="0" w:color="auto"/>
                <w:right w:val="none" w:sz="0" w:space="0" w:color="auto"/>
              </w:divBdr>
              <w:divsChild>
                <w:div w:id="557671680">
                  <w:marLeft w:val="0"/>
                  <w:marRight w:val="0"/>
                  <w:marTop w:val="0"/>
                  <w:marBottom w:val="0"/>
                  <w:divBdr>
                    <w:top w:val="none" w:sz="0" w:space="0" w:color="auto"/>
                    <w:left w:val="none" w:sz="0" w:space="0" w:color="auto"/>
                    <w:bottom w:val="none" w:sz="0" w:space="0" w:color="auto"/>
                    <w:right w:val="none" w:sz="0" w:space="0" w:color="auto"/>
                  </w:divBdr>
                  <w:divsChild>
                    <w:div w:id="1135827441">
                      <w:marLeft w:val="0"/>
                      <w:marRight w:val="0"/>
                      <w:marTop w:val="0"/>
                      <w:marBottom w:val="0"/>
                      <w:divBdr>
                        <w:top w:val="none" w:sz="0" w:space="0" w:color="auto"/>
                        <w:left w:val="none" w:sz="0" w:space="0" w:color="auto"/>
                        <w:bottom w:val="none" w:sz="0" w:space="0" w:color="auto"/>
                        <w:right w:val="none" w:sz="0" w:space="0" w:color="auto"/>
                      </w:divBdr>
                      <w:divsChild>
                        <w:div w:id="2045863027">
                          <w:marLeft w:val="0"/>
                          <w:marRight w:val="0"/>
                          <w:marTop w:val="0"/>
                          <w:marBottom w:val="0"/>
                          <w:divBdr>
                            <w:top w:val="none" w:sz="0" w:space="0" w:color="auto"/>
                            <w:left w:val="none" w:sz="0" w:space="0" w:color="auto"/>
                            <w:bottom w:val="none" w:sz="0" w:space="0" w:color="auto"/>
                            <w:right w:val="none" w:sz="0" w:space="0" w:color="auto"/>
                          </w:divBdr>
                          <w:divsChild>
                            <w:div w:id="1721241791">
                              <w:marLeft w:val="0"/>
                              <w:marRight w:val="0"/>
                              <w:marTop w:val="0"/>
                              <w:marBottom w:val="0"/>
                              <w:divBdr>
                                <w:top w:val="none" w:sz="0" w:space="0" w:color="auto"/>
                                <w:left w:val="none" w:sz="0" w:space="0" w:color="auto"/>
                                <w:bottom w:val="none" w:sz="0" w:space="0" w:color="auto"/>
                                <w:right w:val="none" w:sz="0" w:space="0" w:color="auto"/>
                              </w:divBdr>
                              <w:divsChild>
                                <w:div w:id="362246848">
                                  <w:marLeft w:val="0"/>
                                  <w:marRight w:val="0"/>
                                  <w:marTop w:val="0"/>
                                  <w:marBottom w:val="0"/>
                                  <w:divBdr>
                                    <w:top w:val="none" w:sz="0" w:space="0" w:color="auto"/>
                                    <w:left w:val="none" w:sz="0" w:space="0" w:color="auto"/>
                                    <w:bottom w:val="none" w:sz="0" w:space="0" w:color="auto"/>
                                    <w:right w:val="none" w:sz="0" w:space="0" w:color="auto"/>
                                  </w:divBdr>
                                  <w:divsChild>
                                    <w:div w:id="740522974">
                                      <w:marLeft w:val="0"/>
                                      <w:marRight w:val="0"/>
                                      <w:marTop w:val="0"/>
                                      <w:marBottom w:val="0"/>
                                      <w:divBdr>
                                        <w:top w:val="none" w:sz="0" w:space="0" w:color="auto"/>
                                        <w:left w:val="none" w:sz="0" w:space="0" w:color="auto"/>
                                        <w:bottom w:val="none" w:sz="0" w:space="0" w:color="auto"/>
                                        <w:right w:val="none" w:sz="0" w:space="0" w:color="auto"/>
                                      </w:divBdr>
                                      <w:divsChild>
                                        <w:div w:id="2115131065">
                                          <w:marLeft w:val="0"/>
                                          <w:marRight w:val="0"/>
                                          <w:marTop w:val="0"/>
                                          <w:marBottom w:val="0"/>
                                          <w:divBdr>
                                            <w:top w:val="none" w:sz="0" w:space="0" w:color="auto"/>
                                            <w:left w:val="none" w:sz="0" w:space="0" w:color="auto"/>
                                            <w:bottom w:val="none" w:sz="0" w:space="0" w:color="auto"/>
                                            <w:right w:val="none" w:sz="0" w:space="0" w:color="auto"/>
                                          </w:divBdr>
                                          <w:divsChild>
                                            <w:div w:id="545678713">
                                              <w:marLeft w:val="0"/>
                                              <w:marRight w:val="0"/>
                                              <w:marTop w:val="0"/>
                                              <w:marBottom w:val="0"/>
                                              <w:divBdr>
                                                <w:top w:val="none" w:sz="0" w:space="0" w:color="auto"/>
                                                <w:left w:val="none" w:sz="0" w:space="0" w:color="auto"/>
                                                <w:bottom w:val="none" w:sz="0" w:space="0" w:color="auto"/>
                                                <w:right w:val="none" w:sz="0" w:space="0" w:color="auto"/>
                                              </w:divBdr>
                                              <w:divsChild>
                                                <w:div w:id="1556162597">
                                                  <w:marLeft w:val="0"/>
                                                  <w:marRight w:val="0"/>
                                                  <w:marTop w:val="0"/>
                                                  <w:marBottom w:val="0"/>
                                                  <w:divBdr>
                                                    <w:top w:val="none" w:sz="0" w:space="0" w:color="auto"/>
                                                    <w:left w:val="none" w:sz="0" w:space="0" w:color="auto"/>
                                                    <w:bottom w:val="none" w:sz="0" w:space="0" w:color="auto"/>
                                                    <w:right w:val="none" w:sz="0" w:space="0" w:color="auto"/>
                                                  </w:divBdr>
                                                  <w:divsChild>
                                                    <w:div w:id="1743025670">
                                                      <w:marLeft w:val="0"/>
                                                      <w:marRight w:val="0"/>
                                                      <w:marTop w:val="300"/>
                                                      <w:marBottom w:val="0"/>
                                                      <w:divBdr>
                                                        <w:top w:val="none" w:sz="0" w:space="0" w:color="auto"/>
                                                        <w:left w:val="none" w:sz="0" w:space="0" w:color="auto"/>
                                                        <w:bottom w:val="none" w:sz="0" w:space="0" w:color="auto"/>
                                                        <w:right w:val="none" w:sz="0" w:space="0" w:color="auto"/>
                                                      </w:divBdr>
                                                      <w:divsChild>
                                                        <w:div w:id="10654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7785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teachers/management/finance/Pages/guidelines.aspx" TargetMode="External"/><Relationship Id="rId18" Type="http://schemas.openxmlformats.org/officeDocument/2006/relationships/hyperlink" Target="https://www.education.vic.gov.au/Documents/school/teachers/management/&#8226;%09http:/www.education.vic.gov.au/school/teachers/management/finance/Pages/guidelines.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17"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2" Type="http://schemas.openxmlformats.org/officeDocument/2006/relationships/customXml" Target="../customXml/item2.xml"/><Relationship Id="rId16"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20" Type="http://schemas.openxmlformats.org/officeDocument/2006/relationships/hyperlink" Target="https://www.education.vic.gov.au/Documents/school/teachers/management/&#8226;%09http:/www.education.vic.gov.au/school/teachers/management/finance/Pages/guidelin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principals/spag/management/Pages/parentpayments.aspx" TargetMode="External"/><Relationship Id="rId5" Type="http://schemas.openxmlformats.org/officeDocument/2006/relationships/numbering" Target="numbering.xml"/><Relationship Id="rId15"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ducation.vic.gov.au/school/principals/spag/management/Pages/parentpayment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gate.eduweb.vic.gov.au/Services/Policies/Fraud%20Control%20Framework/Cash%20Handling%20Primer%20for%20Victorian%20Government%20Schools.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Finance manual for Victorian Government Schools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0FB354A8-ED4B-4EB7-97D4-D537AC73BCCE}"/>
</file>

<file path=customXml/itemProps4.xml><?xml version="1.0" encoding="utf-8"?>
<ds:datastoreItem xmlns:ds="http://schemas.openxmlformats.org/officeDocument/2006/customXml" ds:itemID="{594FBAD9-F38F-44C5-BEA2-A4E15779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Stacey, Kimberley C</cp:lastModifiedBy>
  <cp:revision>6</cp:revision>
  <cp:lastPrinted>2019-02-01T01:00:00Z</cp:lastPrinted>
  <dcterms:created xsi:type="dcterms:W3CDTF">2020-05-28T05:19:00Z</dcterms:created>
  <dcterms:modified xsi:type="dcterms:W3CDTF">2020-05-28T05:22:00Z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