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457FF" w:rsidRDefault="00C457FF" w:rsidP="00C457FF">
      <w:r>
        <w:rPr>
          <w:noProof/>
          <w:lang w:eastAsia="en-AU"/>
        </w:rPr>
        <mc:AlternateContent>
          <mc:Choice Requires="wpg">
            <w:drawing>
              <wp:anchor distT="0" distB="0" distL="114300" distR="114300" simplePos="0" relativeHeight="251659264" behindDoc="0" locked="0" layoutInCell="0" allowOverlap="1" wp14:anchorId="25F26756" wp14:editId="5F730B02">
                <wp:simplePos x="0" y="0"/>
                <wp:positionH relativeFrom="page">
                  <wp:posOffset>4587875</wp:posOffset>
                </wp:positionH>
                <wp:positionV relativeFrom="page">
                  <wp:align>top</wp:align>
                </wp:positionV>
                <wp:extent cx="2978150" cy="10732135"/>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8150" cy="10732135"/>
                          <a:chOff x="7344" y="0"/>
                          <a:chExt cx="4896" cy="15849"/>
                        </a:xfrm>
                        <a:solidFill>
                          <a:schemeClr val="accent1">
                            <a:lumMod val="75000"/>
                          </a:schemeClr>
                        </a:solidFill>
                      </wpg:grpSpPr>
                      <wpg:grpSp>
                        <wpg:cNvPr id="364" name="Group 364"/>
                        <wpg:cNvGrpSpPr>
                          <a:grpSpLocks/>
                        </wpg:cNvGrpSpPr>
                        <wpg:grpSpPr bwMode="auto">
                          <a:xfrm>
                            <a:off x="7344" y="8"/>
                            <a:ext cx="4873" cy="15841"/>
                            <a:chOff x="7560" y="8"/>
                            <a:chExt cx="4678" cy="15841"/>
                          </a:xfrm>
                          <a:grpFill/>
                        </wpg:grpSpPr>
                        <wps:wsp>
                          <wps:cNvPr id="365" name="Rectangle 365"/>
                          <wps:cNvSpPr>
                            <a:spLocks noChangeArrowheads="1"/>
                          </wps:cNvSpPr>
                          <wps:spPr bwMode="auto">
                            <a:xfrm>
                              <a:off x="7733" y="9"/>
                              <a:ext cx="4505" cy="1584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F66725" w:rsidRDefault="00F66725" w:rsidP="00C457FF">
                                <w:pPr>
                                  <w:jc w:val="center"/>
                                </w:pPr>
                                <w:r>
                                  <w:rPr>
                                    <w:noProof/>
                                    <w:lang w:eastAsia="en-AU"/>
                                  </w:rPr>
                                  <w:drawing>
                                    <wp:inline distT="0" distB="0" distL="0" distR="0" wp14:anchorId="7A28B17F" wp14:editId="062E56D7">
                                      <wp:extent cx="0" cy="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F66725" w:rsidRDefault="00F66725" w:rsidP="00C457FF">
                              <w:pPr>
                                <w:pStyle w:val="NoSpacing"/>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44" y="9522"/>
                            <a:ext cx="4873" cy="4958"/>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F66725" w:rsidRDefault="00F66725" w:rsidP="00C457FF">
                              <w:pPr>
                                <w:pStyle w:val="NoSpacing"/>
                                <w:spacing w:line="360" w:lineRule="auto"/>
                                <w:rPr>
                                  <w:color w:val="FFFFFF" w:themeColor="background1"/>
                                  <w:lang w:val="en-AU"/>
                                </w:rPr>
                              </w:pPr>
                            </w:p>
                            <w:p w:rsidR="00F66725" w:rsidRDefault="00F66725" w:rsidP="00C457FF">
                              <w:pPr>
                                <w:pStyle w:val="NoSpacing"/>
                                <w:spacing w:line="360" w:lineRule="auto"/>
                                <w:rPr>
                                  <w:color w:val="FFFFFF" w:themeColor="background1"/>
                                  <w:lang w:val="en-AU"/>
                                </w:rPr>
                              </w:pPr>
                            </w:p>
                            <w:p w:rsidR="00F66725" w:rsidRDefault="00F66725" w:rsidP="00C457FF">
                              <w:pPr>
                                <w:pStyle w:val="NoSpacing"/>
                                <w:spacing w:line="360" w:lineRule="auto"/>
                                <w:rPr>
                                  <w:color w:val="FFFFFF" w:themeColor="background1"/>
                                  <w:lang w:val="en-AU"/>
                                </w:rPr>
                              </w:pPr>
                            </w:p>
                            <w:p w:rsidR="00F66725" w:rsidRDefault="00F66725" w:rsidP="00C457FF">
                              <w:pPr>
                                <w:pStyle w:val="NoSpacing"/>
                                <w:spacing w:line="360" w:lineRule="auto"/>
                                <w:rPr>
                                  <w:color w:val="FFFFFF" w:themeColor="background1"/>
                                  <w:lang w:val="en-AU"/>
                                </w:rPr>
                              </w:pPr>
                            </w:p>
                            <w:p w:rsidR="00F66725" w:rsidRDefault="00F66725" w:rsidP="00C457FF">
                              <w:pPr>
                                <w:pStyle w:val="NoSpacing"/>
                                <w:spacing w:line="360" w:lineRule="auto"/>
                                <w:rPr>
                                  <w:color w:val="FFFFFF" w:themeColor="background1"/>
                                  <w:lang w:val="en-AU"/>
                                </w:rPr>
                              </w:pPr>
                              <w:r>
                                <w:rPr>
                                  <w:color w:val="FFFFFF" w:themeColor="background1"/>
                                  <w:lang w:val="en-AU"/>
                                </w:rPr>
                                <w:t>Peter Cole</w:t>
                              </w:r>
                            </w:p>
                            <w:p w:rsidR="00F66725" w:rsidRDefault="00F66725" w:rsidP="00C457FF">
                              <w:pPr>
                                <w:pStyle w:val="NoSpacing"/>
                                <w:spacing w:line="360" w:lineRule="auto"/>
                                <w:rPr>
                                  <w:color w:val="FFFFFF" w:themeColor="background1"/>
                                </w:rPr>
                              </w:pPr>
                              <w:r>
                                <w:rPr>
                                  <w:color w:val="FFFFFF" w:themeColor="background1"/>
                                </w:rPr>
                                <w:t>Graeme Jane</w:t>
                              </w:r>
                            </w:p>
                            <w:p w:rsidR="00F66725" w:rsidRDefault="00F66725" w:rsidP="00C457FF">
                              <w:pPr>
                                <w:pStyle w:val="NoSpacing"/>
                                <w:spacing w:line="360" w:lineRule="auto"/>
                                <w:rPr>
                                  <w:color w:val="FFFFFF" w:themeColor="background1"/>
                                </w:rPr>
                              </w:pPr>
                              <w:r>
                                <w:rPr>
                                  <w:color w:val="FFFFFF" w:themeColor="background1"/>
                                  <w:lang w:val="en-AU"/>
                                </w:rPr>
                                <w:t>Dahle Suggett</w:t>
                              </w:r>
                            </w:p>
                            <w:p w:rsidR="00F66725" w:rsidRDefault="00F66725" w:rsidP="00C457FF">
                              <w:pPr>
                                <w:pStyle w:val="NoSpacing"/>
                                <w:spacing w:line="360" w:lineRule="auto"/>
                                <w:rPr>
                                  <w:color w:val="FFFFFF" w:themeColor="background1"/>
                                </w:rPr>
                              </w:pPr>
                              <w:r>
                                <w:rPr>
                                  <w:color w:val="FFFFFF" w:themeColor="background1"/>
                                </w:rPr>
                                <w:t>Chris Wardlaw</w:t>
                              </w:r>
                            </w:p>
                            <w:p w:rsidR="00F66725" w:rsidRPr="005A18E7" w:rsidRDefault="00F66725" w:rsidP="00C457FF">
                              <w:pPr>
                                <w:pStyle w:val="NoSpacing"/>
                                <w:spacing w:line="360" w:lineRule="auto"/>
                                <w:rPr>
                                  <w:b/>
                                  <w:color w:val="FFFFFF" w:themeColor="background1"/>
                                  <w:sz w:val="32"/>
                                  <w:szCs w:val="32"/>
                                </w:rPr>
                              </w:pPr>
                              <w:r w:rsidRPr="005A18E7">
                                <w:rPr>
                                  <w:b/>
                                  <w:color w:val="FFFFFF" w:themeColor="background1"/>
                                  <w:sz w:val="32"/>
                                  <w:szCs w:val="32"/>
                                </w:rPr>
                                <w:t xml:space="preserve">November 2016 </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361.25pt;margin-top:0;width:234.5pt;height:845.05pt;z-index:251659264;mso-position-horizontal-relative:page;mso-position-vertical:top;mso-position-vertical-relative:page" coordorigin="7344" coordsize="4896,15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" o:allowincell="f">
                <v:group id="Group 364" o:spid="_x0000_s1027" style="position:absolute;left:7344;top:8;width:4873;height:15841" coordorigin="7560,8" coordsize="4678,158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33;top:9;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2qYcUA&#10;AADcAAAADwAAAGRycy9kb3ducmV2LnhtbESPQYvCMBSE7wv+h/AEb2vqylqpRpFFcaVerB48Pppn&#10;W2xeShO1/nuzsOBxmJlvmPmyM7W4U+sqywpGwwgEcW51xYWC03HzOQXhPLLG2jIpeJKD5aL3McdE&#10;2wcf6J75QgQIuwQVlN43iZQuL8mgG9qGOHgX2xr0QbaF1C0+AtzU8iuKJtJgxWGhxIZ+Ssqv2c0o&#10;iLM4vaXn9LR2693+MI3H9nLdKjXod6sZCE+df4f/279awXjyDX9nwhGQi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aphxQAAANwAAAAPAAAAAAAAAAAAAAAAAJgCAABkcnMv&#10;ZG93bnJldi54bWxQSwUGAAAAAAQABAD1AAAAigMAAAAA&#10;" filled="f"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o46MYA&#10;AADcAAAADwAAAGRycy9kb3ducmV2LnhtbESPQWvCQBSE74X+h+UVequbGggldZUiVepBodtC8fbM&#10;vibB7NuQXZP4711B8DjMzDfMbDHaRvTU+dqxgtdJAoK4cKbmUsHvz+rlDYQPyAYbx6TgTB4W88eH&#10;GebGDfxNvQ6liBD2OSqoQmhzKX1RkUU/cS1x9P5dZzFE2ZXSdDhEuG3kNEkyabHmuFBhS8uKiqM+&#10;WQWbtV7K03a3/9Q7PRzS1d8R+1Sp56fx4x1EoDHcw7f2l1GQZhlcz8Qj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o46MYAAADcAAAADwAAAAAAAAAAAAAAAACYAgAAZHJz&#10;L2Rvd25yZXYueG1sUEsFBgAAAAAEAAQA9QAAAIsDAAAAAA==&#10;" filled="f" stroked="f" strokecolor="white" strokeweight="1pt">
                    <v:shadow color="#d8d8d8" offset="3pt,3pt"/>
                    <v:textbox>
                      <w:txbxContent>
                        <w:p w:rsidR="00F66725" w:rsidRDefault="00F66725" w:rsidP="00C457FF">
                          <w:pPr>
                            <w:jc w:val="center"/>
                          </w:pPr>
                          <w:r>
                            <w:rPr>
                              <w:noProof/>
                              <w:lang w:eastAsia="en-AU"/>
                            </w:rPr>
                            <w:drawing>
                              <wp:inline distT="0" distB="0" distL="0" distR="0" wp14:anchorId="7A28B17F" wp14:editId="062E56D7">
                                <wp:extent cx="0" cy="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788UA&#10;AADcAAAADwAAAGRycy9kb3ducmV2LnhtbESPQWvCQBSE7wX/w/KE3upGq1Gjq5RCSy8etOr5sftM&#10;gtm3SXaraX+9Kwg9DjPzDbNcd7YSF2p96VjBcJCAINbOlJwr2H9/vMxA+IBssHJMCn7Jw3rVe1pi&#10;ZtyVt3TZhVxECPsMFRQh1JmUXhdk0Q9cTRy9k2sthijbXJoWrxFuKzlKklRaLDkuFFjTe0H6vPux&#10;CtJx83fSOt1PtuNmtGmS48HMP5V67ndvCxCBuvAffrS/jILXdAr3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3vzxQAAANwAAAAPAAAAAAAAAAAAAAAAAJgCAABkcnMv&#10;ZG93bnJldi54bWxQSwUGAAAAAAQABAD1AAAAigMAAAAA&#10;" filled="f" stroked="f" strokecolor="white" strokeweight="1pt">
                  <v:shadow color="#d8d8d8" offset="3pt,3pt"/>
                  <v:textbox inset="28.8pt,14.4pt,14.4pt,14.4pt">
                    <w:txbxContent>
                      <w:p w:rsidR="00F66725" w:rsidRDefault="00F66725" w:rsidP="00C457FF">
                        <w:pPr>
                          <w:pStyle w:val="NoSpacing"/>
                          <w:rPr>
                            <w:rFonts w:asciiTheme="majorHAnsi" w:eastAsiaTheme="majorEastAsia" w:hAnsiTheme="majorHAnsi" w:cstheme="majorBidi"/>
                            <w:b/>
                            <w:bCs/>
                            <w:color w:val="FFFFFF" w:themeColor="background1"/>
                            <w:sz w:val="96"/>
                            <w:szCs w:val="96"/>
                          </w:rPr>
                        </w:pPr>
                      </w:p>
                    </w:txbxContent>
                  </v:textbox>
                </v:rect>
                <v:rect id="Rectangle 9" o:spid="_x0000_s1031" style="position:absolute;left:7344;top:9522;width:4873;height:4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zvgcIA&#10;AADcAAAADwAAAGRycy9kb3ducmV2LnhtbERPu27CMBTdkfgH6yKxgcOjEQQMQkhFXTpAKfOVfUki&#10;4uskdiH06+uhEuPRea+3na3EnVpfOlYwGScgiLUzJecKzl/vowUIH5ANVo5JwZM8bDf93hoz4x58&#10;pPsp5CKGsM9QQRFCnUnpdUEW/djVxJG7utZiiLDNpWnxEcNtJadJkkqLJceGAmvaF6Rvpx+rIJ03&#10;v1et0/Pbcd5MP5vk8m2WB6WGg263AhGoCy/xv/vDKJilcW08E4+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XO+BwgAAANwAAAAPAAAAAAAAAAAAAAAAAJgCAABkcnMvZG93&#10;bnJldi54bWxQSwUGAAAAAAQABAD1AAAAhwMAAAAA&#10;" filled="f" stroked="f" strokecolor="white" strokeweight="1pt">
                  <v:shadow color="#d8d8d8" offset="3pt,3pt"/>
                  <v:textbox inset="28.8pt,14.4pt,14.4pt,14.4pt">
                    <w:txbxContent>
                      <w:p w:rsidR="00F66725" w:rsidRDefault="00F66725" w:rsidP="00C457FF">
                        <w:pPr>
                          <w:pStyle w:val="NoSpacing"/>
                          <w:spacing w:line="360" w:lineRule="auto"/>
                          <w:rPr>
                            <w:color w:val="FFFFFF" w:themeColor="background1"/>
                            <w:lang w:val="en-AU"/>
                          </w:rPr>
                        </w:pPr>
                      </w:p>
                      <w:p w:rsidR="00F66725" w:rsidRDefault="00F66725" w:rsidP="00C457FF">
                        <w:pPr>
                          <w:pStyle w:val="NoSpacing"/>
                          <w:spacing w:line="360" w:lineRule="auto"/>
                          <w:rPr>
                            <w:color w:val="FFFFFF" w:themeColor="background1"/>
                            <w:lang w:val="en-AU"/>
                          </w:rPr>
                        </w:pPr>
                      </w:p>
                      <w:p w:rsidR="00F66725" w:rsidRDefault="00F66725" w:rsidP="00C457FF">
                        <w:pPr>
                          <w:pStyle w:val="NoSpacing"/>
                          <w:spacing w:line="360" w:lineRule="auto"/>
                          <w:rPr>
                            <w:color w:val="FFFFFF" w:themeColor="background1"/>
                            <w:lang w:val="en-AU"/>
                          </w:rPr>
                        </w:pPr>
                      </w:p>
                      <w:p w:rsidR="00F66725" w:rsidRDefault="00F66725" w:rsidP="00C457FF">
                        <w:pPr>
                          <w:pStyle w:val="NoSpacing"/>
                          <w:spacing w:line="360" w:lineRule="auto"/>
                          <w:rPr>
                            <w:color w:val="FFFFFF" w:themeColor="background1"/>
                            <w:lang w:val="en-AU"/>
                          </w:rPr>
                        </w:pPr>
                      </w:p>
                      <w:p w:rsidR="00F66725" w:rsidRDefault="00F66725" w:rsidP="00C457FF">
                        <w:pPr>
                          <w:pStyle w:val="NoSpacing"/>
                          <w:spacing w:line="360" w:lineRule="auto"/>
                          <w:rPr>
                            <w:color w:val="FFFFFF" w:themeColor="background1"/>
                            <w:lang w:val="en-AU"/>
                          </w:rPr>
                        </w:pPr>
                        <w:r>
                          <w:rPr>
                            <w:color w:val="FFFFFF" w:themeColor="background1"/>
                            <w:lang w:val="en-AU"/>
                          </w:rPr>
                          <w:t>Peter Cole</w:t>
                        </w:r>
                      </w:p>
                      <w:p w:rsidR="00F66725" w:rsidRDefault="00F66725" w:rsidP="00C457FF">
                        <w:pPr>
                          <w:pStyle w:val="NoSpacing"/>
                          <w:spacing w:line="360" w:lineRule="auto"/>
                          <w:rPr>
                            <w:color w:val="FFFFFF" w:themeColor="background1"/>
                          </w:rPr>
                        </w:pPr>
                        <w:r>
                          <w:rPr>
                            <w:color w:val="FFFFFF" w:themeColor="background1"/>
                          </w:rPr>
                          <w:t>Graeme Jane</w:t>
                        </w:r>
                      </w:p>
                      <w:p w:rsidR="00F66725" w:rsidRDefault="00F66725" w:rsidP="00C457FF">
                        <w:pPr>
                          <w:pStyle w:val="NoSpacing"/>
                          <w:spacing w:line="360" w:lineRule="auto"/>
                          <w:rPr>
                            <w:color w:val="FFFFFF" w:themeColor="background1"/>
                          </w:rPr>
                        </w:pPr>
                        <w:r>
                          <w:rPr>
                            <w:color w:val="FFFFFF" w:themeColor="background1"/>
                            <w:lang w:val="en-AU"/>
                          </w:rPr>
                          <w:t>Dahle Suggett</w:t>
                        </w:r>
                      </w:p>
                      <w:p w:rsidR="00F66725" w:rsidRDefault="00F66725" w:rsidP="00C457FF">
                        <w:pPr>
                          <w:pStyle w:val="NoSpacing"/>
                          <w:spacing w:line="360" w:lineRule="auto"/>
                          <w:rPr>
                            <w:color w:val="FFFFFF" w:themeColor="background1"/>
                          </w:rPr>
                        </w:pPr>
                        <w:r>
                          <w:rPr>
                            <w:color w:val="FFFFFF" w:themeColor="background1"/>
                          </w:rPr>
                          <w:t>Chris Wardlaw</w:t>
                        </w:r>
                      </w:p>
                      <w:p w:rsidR="00F66725" w:rsidRPr="005A18E7" w:rsidRDefault="00F66725" w:rsidP="00C457FF">
                        <w:pPr>
                          <w:pStyle w:val="NoSpacing"/>
                          <w:spacing w:line="360" w:lineRule="auto"/>
                          <w:rPr>
                            <w:b/>
                            <w:color w:val="FFFFFF" w:themeColor="background1"/>
                            <w:sz w:val="32"/>
                            <w:szCs w:val="32"/>
                          </w:rPr>
                        </w:pPr>
                        <w:r w:rsidRPr="005A18E7">
                          <w:rPr>
                            <w:b/>
                            <w:color w:val="FFFFFF" w:themeColor="background1"/>
                            <w:sz w:val="32"/>
                            <w:szCs w:val="32"/>
                          </w:rPr>
                          <w:t xml:space="preserve">November 2016 </w:t>
                        </w:r>
                      </w:p>
                    </w:txbxContent>
                  </v:textbox>
                </v:rect>
                <w10:wrap anchorx="page" anchory="page"/>
              </v:group>
            </w:pict>
          </mc:Fallback>
        </mc:AlternateContent>
      </w:r>
    </w:p>
    <w:p w:rsidR="00C457FF" w:rsidRDefault="00C457FF" w:rsidP="00C457FF"/>
    <w:sdt>
      <w:sdtPr>
        <w:id w:val="1472176779"/>
        <w:docPartObj>
          <w:docPartGallery w:val="Cover Pages"/>
          <w:docPartUnique/>
        </w:docPartObj>
      </w:sdtPr>
      <w:sdtEndPr/>
      <w:sdtContent>
        <w:p w:rsidR="00C457FF" w:rsidRDefault="00C457FF" w:rsidP="00C457FF"/>
        <w:p w:rsidR="00C457FF" w:rsidRDefault="00C457FF" w:rsidP="00C457FF">
          <w:pPr>
            <w:ind w:left="-851"/>
          </w:pPr>
          <w:r w:rsidRPr="00A0719F">
            <w:rPr>
              <w:noProof/>
              <w:lang w:eastAsia="en-AU"/>
            </w:rPr>
            <w:drawing>
              <wp:inline distT="0" distB="0" distL="0" distR="0" wp14:anchorId="6A9FA5B0" wp14:editId="09A450C5">
                <wp:extent cx="1495425" cy="716280"/>
                <wp:effectExtent l="0" t="0" r="9525" b="7620"/>
                <wp:docPr id="9"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5425" cy="716280"/>
                        </a:xfrm>
                        <a:prstGeom prst="rect">
                          <a:avLst/>
                        </a:prstGeom>
                        <a:noFill/>
                        <a:ln>
                          <a:noFill/>
                        </a:ln>
                      </pic:spPr>
                    </pic:pic>
                  </a:graphicData>
                </a:graphic>
              </wp:inline>
            </w:drawing>
          </w:r>
        </w:p>
        <w:p w:rsidR="00C457FF" w:rsidRDefault="00C457FF" w:rsidP="00C457FF"/>
        <w:p w:rsidR="00C457FF" w:rsidRDefault="00C457FF" w:rsidP="00C457FF">
          <w:r>
            <w:rPr>
              <w:noProof/>
              <w:lang w:eastAsia="en-AU"/>
            </w:rPr>
            <mc:AlternateContent>
              <mc:Choice Requires="wps">
                <w:drawing>
                  <wp:anchor distT="0" distB="0" distL="114300" distR="114300" simplePos="0" relativeHeight="251662336" behindDoc="0" locked="0" layoutInCell="0" allowOverlap="1" wp14:anchorId="7FBB5B65" wp14:editId="51AE3CFB">
                    <wp:simplePos x="0" y="0"/>
                    <wp:positionH relativeFrom="page">
                      <wp:posOffset>57150</wp:posOffset>
                    </wp:positionH>
                    <wp:positionV relativeFrom="page">
                      <wp:posOffset>3219450</wp:posOffset>
                    </wp:positionV>
                    <wp:extent cx="6783705" cy="914400"/>
                    <wp:effectExtent l="0" t="0" r="15875" b="1905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3705" cy="914400"/>
                            </a:xfrm>
                            <a:prstGeom prst="rect">
                              <a:avLst/>
                            </a:prstGeom>
                            <a:solidFill>
                              <a:srgbClr val="4F81BD"/>
                            </a:solidFill>
                            <a:ln w="12700">
                              <a:solidFill>
                                <a:sysClr val="window" lastClr="FFFFFF"/>
                              </a:solidFill>
                              <a:miter lim="800000"/>
                              <a:headEnd/>
                              <a:tailEnd/>
                            </a:ln>
                            <a:extLst/>
                          </wps:spPr>
                          <wps:txbx>
                            <w:txbxContent>
                              <w:p w:rsidR="00F66725" w:rsidRPr="002D0050" w:rsidRDefault="00F66725" w:rsidP="00C457FF">
                                <w:pPr>
                                  <w:pStyle w:val="BodyText"/>
                                  <w:rPr>
                                    <w:rFonts w:ascii="Century Gothic" w:hAnsi="Century Gothic"/>
                                    <w:color w:val="FFFFFF" w:themeColor="background1"/>
                                    <w:sz w:val="48"/>
                                    <w:szCs w:val="48"/>
                                  </w:rPr>
                                </w:pPr>
                                <w:r>
                                  <w:rPr>
                                    <w:rFonts w:ascii="Century Gothic" w:hAnsi="Century Gothic"/>
                                    <w:color w:val="FFFFFF" w:themeColor="background1"/>
                                    <w:sz w:val="48"/>
                                    <w:szCs w:val="48"/>
                                  </w:rPr>
                                  <w:t xml:space="preserve">Performance and Past Research </w:t>
                                </w:r>
                              </w:p>
                              <w:p w:rsidR="00F66725" w:rsidRPr="002D0050" w:rsidRDefault="00F66725" w:rsidP="00C457FF">
                                <w:pPr>
                                  <w:shd w:val="clear" w:color="auto" w:fill="4F81BD" w:themeFill="accent1"/>
                                  <w:ind w:left="851" w:right="804"/>
                                  <w:rPr>
                                    <w:color w:val="FFFFFF" w:themeColor="background1"/>
                                    <w:sz w:val="48"/>
                                    <w:szCs w:val="48"/>
                                  </w:rPr>
                                </w:pP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Rectangle 16" o:spid="_x0000_s1032" style="position:absolute;margin-left:4.5pt;margin-top:253.5pt;width:534.15pt;height:1in;z-index:251662336;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" o:allowincell="f" fillcolor="#4f81bd" strokecolor="window" strokeweight="1pt">
                    <v:textbox inset="14.4pt,,14.4pt">
                      <w:txbxContent>
                        <w:p w:rsidR="00F66725" w:rsidRPr="002D0050" w:rsidRDefault="00F66725" w:rsidP="00C457FF">
                          <w:pPr>
                            <w:pStyle w:val="BodyText"/>
                            <w:rPr>
                              <w:rFonts w:ascii="Century Gothic" w:hAnsi="Century Gothic"/>
                              <w:color w:val="FFFFFF" w:themeColor="background1"/>
                              <w:sz w:val="48"/>
                              <w:szCs w:val="48"/>
                            </w:rPr>
                          </w:pPr>
                          <w:r>
                            <w:rPr>
                              <w:rFonts w:ascii="Century Gothic" w:hAnsi="Century Gothic"/>
                              <w:color w:val="FFFFFF" w:themeColor="background1"/>
                              <w:sz w:val="48"/>
                              <w:szCs w:val="48"/>
                            </w:rPr>
                            <w:t xml:space="preserve">Performance and Past Research </w:t>
                          </w:r>
                        </w:p>
                        <w:p w:rsidR="00F66725" w:rsidRPr="002D0050" w:rsidRDefault="00F66725" w:rsidP="00C457FF">
                          <w:pPr>
                            <w:shd w:val="clear" w:color="auto" w:fill="4F81BD" w:themeFill="accent1"/>
                            <w:ind w:left="851" w:right="804"/>
                            <w:rPr>
                              <w:color w:val="FFFFFF" w:themeColor="background1"/>
                              <w:sz w:val="48"/>
                              <w:szCs w:val="48"/>
                            </w:rPr>
                          </w:pPr>
                        </w:p>
                      </w:txbxContent>
                    </v:textbox>
                    <w10:wrap anchorx="page" anchory="page"/>
                  </v:rect>
                </w:pict>
              </mc:Fallback>
            </mc:AlternateContent>
          </w:r>
        </w:p>
        <w:p w:rsidR="00C457FF" w:rsidRDefault="00C457FF" w:rsidP="00C457FF"/>
        <w:p w:rsidR="00C457FF" w:rsidRDefault="00C457FF" w:rsidP="00C457FF"/>
        <w:p w:rsidR="00C457FF" w:rsidRDefault="00C457FF" w:rsidP="00C457FF"/>
        <w:p w:rsidR="00C457FF" w:rsidRDefault="00C457FF" w:rsidP="00C457FF">
          <w:r>
            <w:rPr>
              <w:noProof/>
              <w:lang w:eastAsia="en-AU"/>
            </w:rPr>
            <mc:AlternateContent>
              <mc:Choice Requires="wps">
                <w:drawing>
                  <wp:anchor distT="0" distB="0" distL="114300" distR="114300" simplePos="0" relativeHeight="251664384" behindDoc="0" locked="0" layoutInCell="0" allowOverlap="1" wp14:anchorId="24665CCD" wp14:editId="0602E25E">
                    <wp:simplePos x="0" y="0"/>
                    <wp:positionH relativeFrom="page">
                      <wp:posOffset>38100</wp:posOffset>
                    </wp:positionH>
                    <wp:positionV relativeFrom="page">
                      <wp:posOffset>7255608</wp:posOffset>
                    </wp:positionV>
                    <wp:extent cx="6782435" cy="1176020"/>
                    <wp:effectExtent l="0" t="0" r="15875" b="24765"/>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2435" cy="1176020"/>
                            </a:xfrm>
                            <a:prstGeom prst="rect">
                              <a:avLst/>
                            </a:prstGeom>
                            <a:solidFill>
                              <a:schemeClr val="accent1"/>
                            </a:solidFill>
                            <a:ln w="12700">
                              <a:solidFill>
                                <a:schemeClr val="bg1"/>
                              </a:solidFill>
                              <a:miter lim="800000"/>
                              <a:headEnd/>
                              <a:tailEnd/>
                            </a:ln>
                            <a:extLst/>
                          </wps:spPr>
                          <wps:txbx>
                            <w:txbxContent>
                              <w:p w:rsidR="00F66725" w:rsidRPr="00C457FF" w:rsidRDefault="00F66725" w:rsidP="00C457FF">
                                <w:pPr>
                                  <w:pStyle w:val="BodyText"/>
                                  <w:rPr>
                                    <w:rFonts w:ascii="Century Gothic" w:hAnsi="Century Gothic"/>
                                    <w:color w:val="FFFFFF" w:themeColor="background1"/>
                                    <w:sz w:val="48"/>
                                    <w:szCs w:val="48"/>
                                  </w:rPr>
                                </w:pPr>
                                <w:r>
                                  <w:rPr>
                                    <w:rFonts w:ascii="Century Gothic" w:hAnsi="Century Gothic"/>
                                    <w:color w:val="FFFFFF" w:themeColor="background1"/>
                                    <w:sz w:val="48"/>
                                    <w:szCs w:val="48"/>
                                  </w:rPr>
                                  <w:t>Gender Differences in Years 6-7 literacy and numeracy Transition Outcomes</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_x0000_s1033" style="position:absolute;margin-left:3pt;margin-top:571.3pt;width:534.05pt;height:92.6pt;z-index:251664384;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" o:allowincell="f" fillcolor="#4f81bd [3204]" strokecolor="white [3212]" strokeweight="1pt">
                    <v:textbox style="mso-fit-shape-to-text:t" inset="14.4pt,,14.4pt">
                      <w:txbxContent>
                        <w:p w:rsidR="00F66725" w:rsidRPr="00C457FF" w:rsidRDefault="00F66725" w:rsidP="00C457FF">
                          <w:pPr>
                            <w:pStyle w:val="BodyText"/>
                            <w:rPr>
                              <w:rFonts w:ascii="Century Gothic" w:hAnsi="Century Gothic"/>
                              <w:color w:val="FFFFFF" w:themeColor="background1"/>
                              <w:sz w:val="48"/>
                              <w:szCs w:val="48"/>
                            </w:rPr>
                          </w:pPr>
                          <w:r>
                            <w:rPr>
                              <w:rFonts w:ascii="Century Gothic" w:hAnsi="Century Gothic"/>
                              <w:color w:val="FFFFFF" w:themeColor="background1"/>
                              <w:sz w:val="48"/>
                              <w:szCs w:val="48"/>
                            </w:rPr>
                            <w:t>Gender Differences in Years 6-7 literacy and numeracy Transition Outcomes</w:t>
                          </w:r>
                        </w:p>
                      </w:txbxContent>
                    </v:textbox>
                    <w10:wrap anchorx="page" anchory="page"/>
                  </v:rect>
                </w:pict>
              </mc:Fallback>
            </mc:AlternateContent>
          </w:r>
          <w:r>
            <w:rPr>
              <w:noProof/>
              <w:lang w:eastAsia="en-AU"/>
            </w:rPr>
            <w:drawing>
              <wp:inline distT="0" distB="0" distL="0" distR="0" wp14:anchorId="37B2E4F9" wp14:editId="65070078">
                <wp:extent cx="2943887" cy="275272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duotone>
                            <a:prstClr val="black"/>
                            <a:schemeClr val="accent4">
                              <a:tint val="45000"/>
                              <a:satMod val="400000"/>
                            </a:schemeClr>
                          </a:duotone>
                        </a:blip>
                        <a:stretch>
                          <a:fillRect/>
                        </a:stretch>
                      </pic:blipFill>
                      <pic:spPr>
                        <a:xfrm>
                          <a:off x="0" y="0"/>
                          <a:ext cx="2938485" cy="2747673"/>
                        </a:xfrm>
                        <a:prstGeom prst="rect">
                          <a:avLst/>
                        </a:prstGeom>
                      </pic:spPr>
                    </pic:pic>
                  </a:graphicData>
                </a:graphic>
              </wp:inline>
            </w:drawing>
          </w:r>
        </w:p>
        <w:p w:rsidR="00C457FF" w:rsidRDefault="00C457FF" w:rsidP="00C457FF"/>
        <w:p w:rsidR="00C457FF" w:rsidRDefault="00C457FF" w:rsidP="00C457FF"/>
        <w:p w:rsidR="00C457FF" w:rsidRDefault="00C457FF" w:rsidP="00C457FF"/>
        <w:p w:rsidR="00C457FF" w:rsidRDefault="00C457FF" w:rsidP="00C457FF"/>
        <w:p w:rsidR="00C457FF" w:rsidRDefault="00C457FF" w:rsidP="00C457FF"/>
        <w:p w:rsidR="00C457FF" w:rsidRDefault="00C457FF" w:rsidP="00C457FF"/>
        <w:p w:rsidR="00C457FF" w:rsidRDefault="00C457FF" w:rsidP="00C457FF"/>
        <w:p w:rsidR="00C457FF" w:rsidRDefault="00C457FF" w:rsidP="00C457FF"/>
        <w:sdt>
          <w:sdtPr>
            <w:rPr>
              <w:rFonts w:asciiTheme="minorHAnsi" w:eastAsiaTheme="minorHAnsi" w:hAnsiTheme="minorHAnsi" w:cstheme="minorBidi"/>
              <w:b w:val="0"/>
              <w:bCs w:val="0"/>
              <w:color w:val="auto"/>
              <w:sz w:val="22"/>
              <w:szCs w:val="22"/>
              <w:lang w:val="en-AU" w:eastAsia="en-US"/>
            </w:rPr>
            <w:id w:val="-1953317825"/>
            <w:docPartObj>
              <w:docPartGallery w:val="Table of Contents"/>
              <w:docPartUnique/>
            </w:docPartObj>
          </w:sdtPr>
          <w:sdtEndPr>
            <w:rPr>
              <w:noProof/>
            </w:rPr>
          </w:sdtEndPr>
          <w:sdtContent>
            <w:p w:rsidR="000948B8" w:rsidRDefault="000948B8">
              <w:pPr>
                <w:pStyle w:val="TOCHeading"/>
              </w:pPr>
              <w:r>
                <w:t>Contents</w:t>
              </w:r>
            </w:p>
            <w:p w:rsidR="00110554" w:rsidRPr="005D1769" w:rsidRDefault="000948B8">
              <w:pPr>
                <w:pStyle w:val="TOC1"/>
                <w:tabs>
                  <w:tab w:val="right" w:leader="dot" w:pos="9016"/>
                </w:tabs>
                <w:rPr>
                  <w:b/>
                  <w:noProof/>
                  <w:color w:val="1F497D" w:themeColor="text2"/>
                </w:rPr>
              </w:pPr>
              <w:r w:rsidRPr="005D1769">
                <w:rPr>
                  <w:b/>
                  <w:color w:val="1F497D" w:themeColor="text2"/>
                </w:rPr>
                <w:fldChar w:fldCharType="begin"/>
              </w:r>
              <w:r w:rsidRPr="005D1769">
                <w:rPr>
                  <w:b/>
                  <w:color w:val="1F497D" w:themeColor="text2"/>
                </w:rPr>
                <w:instrText xml:space="preserve"> TOC \o "1-3" \h \z \u </w:instrText>
              </w:r>
              <w:r w:rsidRPr="005D1769">
                <w:rPr>
                  <w:b/>
                  <w:color w:val="1F497D" w:themeColor="text2"/>
                </w:rPr>
                <w:fldChar w:fldCharType="separate"/>
              </w:r>
            </w:p>
            <w:p w:rsidR="00110554" w:rsidRPr="005D1769" w:rsidRDefault="003378D5">
              <w:pPr>
                <w:pStyle w:val="TOC1"/>
                <w:tabs>
                  <w:tab w:val="right" w:leader="dot" w:pos="9016"/>
                </w:tabs>
                <w:rPr>
                  <w:rFonts w:eastAsiaTheme="minorEastAsia"/>
                  <w:b/>
                  <w:noProof/>
                  <w:color w:val="1F497D" w:themeColor="text2"/>
                  <w:lang w:eastAsia="en-AU"/>
                </w:rPr>
              </w:pPr>
              <w:hyperlink w:anchor="_Toc469259437" w:history="1">
                <w:r w:rsidR="00110554" w:rsidRPr="005D1769">
                  <w:rPr>
                    <w:rStyle w:val="Hyperlink"/>
                    <w:b/>
                    <w:noProof/>
                    <w:color w:val="1F497D" w:themeColor="text2"/>
                  </w:rPr>
                  <w:t>Performance and Past Research</w:t>
                </w:r>
                <w:r w:rsidR="00110554" w:rsidRPr="005D1769">
                  <w:rPr>
                    <w:b/>
                    <w:noProof/>
                    <w:webHidden/>
                    <w:color w:val="1F497D" w:themeColor="text2"/>
                  </w:rPr>
                  <w:tab/>
                </w:r>
                <w:r w:rsidR="00110554" w:rsidRPr="005D1769">
                  <w:rPr>
                    <w:b/>
                    <w:noProof/>
                    <w:webHidden/>
                    <w:color w:val="1F497D" w:themeColor="text2"/>
                  </w:rPr>
                  <w:fldChar w:fldCharType="begin"/>
                </w:r>
                <w:r w:rsidR="00110554" w:rsidRPr="005D1769">
                  <w:rPr>
                    <w:b/>
                    <w:noProof/>
                    <w:webHidden/>
                    <w:color w:val="1F497D" w:themeColor="text2"/>
                  </w:rPr>
                  <w:instrText xml:space="preserve"> PAGEREF _Toc469259437 \h </w:instrText>
                </w:r>
                <w:r w:rsidR="00110554" w:rsidRPr="005D1769">
                  <w:rPr>
                    <w:b/>
                    <w:noProof/>
                    <w:webHidden/>
                    <w:color w:val="1F497D" w:themeColor="text2"/>
                  </w:rPr>
                </w:r>
                <w:r w:rsidR="00110554" w:rsidRPr="005D1769">
                  <w:rPr>
                    <w:b/>
                    <w:noProof/>
                    <w:webHidden/>
                    <w:color w:val="1F497D" w:themeColor="text2"/>
                  </w:rPr>
                  <w:fldChar w:fldCharType="separate"/>
                </w:r>
                <w:r w:rsidR="00110554" w:rsidRPr="005D1769">
                  <w:rPr>
                    <w:b/>
                    <w:noProof/>
                    <w:webHidden/>
                    <w:color w:val="1F497D" w:themeColor="text2"/>
                  </w:rPr>
                  <w:t>3</w:t>
                </w:r>
                <w:r w:rsidR="00110554" w:rsidRPr="005D1769">
                  <w:rPr>
                    <w:b/>
                    <w:noProof/>
                    <w:webHidden/>
                    <w:color w:val="1F497D" w:themeColor="text2"/>
                  </w:rPr>
                  <w:fldChar w:fldCharType="end"/>
                </w:r>
              </w:hyperlink>
            </w:p>
            <w:p w:rsidR="00110554" w:rsidRPr="005D1769" w:rsidRDefault="003378D5">
              <w:pPr>
                <w:pStyle w:val="TOC2"/>
                <w:tabs>
                  <w:tab w:val="right" w:leader="dot" w:pos="9016"/>
                </w:tabs>
                <w:rPr>
                  <w:rFonts w:eastAsiaTheme="minorEastAsia"/>
                  <w:b/>
                  <w:noProof/>
                  <w:color w:val="1F497D" w:themeColor="text2"/>
                  <w:lang w:eastAsia="en-AU"/>
                </w:rPr>
              </w:pPr>
              <w:hyperlink w:anchor="_Toc469259438" w:history="1">
                <w:r w:rsidR="00110554" w:rsidRPr="005D1769">
                  <w:rPr>
                    <w:rStyle w:val="Hyperlink"/>
                    <w:b/>
                    <w:noProof/>
                    <w:color w:val="1F497D" w:themeColor="text2"/>
                  </w:rPr>
                  <w:t>Synopsis of past research</w:t>
                </w:r>
                <w:r w:rsidR="00110554" w:rsidRPr="005D1769">
                  <w:rPr>
                    <w:b/>
                    <w:noProof/>
                    <w:webHidden/>
                    <w:color w:val="1F497D" w:themeColor="text2"/>
                  </w:rPr>
                  <w:tab/>
                </w:r>
                <w:r w:rsidR="00110554" w:rsidRPr="005D1769">
                  <w:rPr>
                    <w:b/>
                    <w:noProof/>
                    <w:webHidden/>
                    <w:color w:val="1F497D" w:themeColor="text2"/>
                  </w:rPr>
                  <w:fldChar w:fldCharType="begin"/>
                </w:r>
                <w:r w:rsidR="00110554" w:rsidRPr="005D1769">
                  <w:rPr>
                    <w:b/>
                    <w:noProof/>
                    <w:webHidden/>
                    <w:color w:val="1F497D" w:themeColor="text2"/>
                  </w:rPr>
                  <w:instrText xml:space="preserve"> PAGEREF _Toc469259438 \h </w:instrText>
                </w:r>
                <w:r w:rsidR="00110554" w:rsidRPr="005D1769">
                  <w:rPr>
                    <w:b/>
                    <w:noProof/>
                    <w:webHidden/>
                    <w:color w:val="1F497D" w:themeColor="text2"/>
                  </w:rPr>
                </w:r>
                <w:r w:rsidR="00110554" w:rsidRPr="005D1769">
                  <w:rPr>
                    <w:b/>
                    <w:noProof/>
                    <w:webHidden/>
                    <w:color w:val="1F497D" w:themeColor="text2"/>
                  </w:rPr>
                  <w:fldChar w:fldCharType="separate"/>
                </w:r>
                <w:r w:rsidR="00110554" w:rsidRPr="005D1769">
                  <w:rPr>
                    <w:b/>
                    <w:noProof/>
                    <w:webHidden/>
                    <w:color w:val="1F497D" w:themeColor="text2"/>
                  </w:rPr>
                  <w:t>4</w:t>
                </w:r>
                <w:r w:rsidR="00110554" w:rsidRPr="005D1769">
                  <w:rPr>
                    <w:b/>
                    <w:noProof/>
                    <w:webHidden/>
                    <w:color w:val="1F497D" w:themeColor="text2"/>
                  </w:rPr>
                  <w:fldChar w:fldCharType="end"/>
                </w:r>
              </w:hyperlink>
            </w:p>
            <w:p w:rsidR="00110554" w:rsidRPr="005D1769" w:rsidRDefault="003378D5" w:rsidP="005D1769">
              <w:pPr>
                <w:pStyle w:val="TOC3"/>
                <w:tabs>
                  <w:tab w:val="right" w:leader="dot" w:pos="9016"/>
                </w:tabs>
                <w:ind w:left="0"/>
                <w:rPr>
                  <w:rFonts w:eastAsiaTheme="minorEastAsia"/>
                  <w:b/>
                  <w:noProof/>
                  <w:color w:val="1F497D" w:themeColor="text2"/>
                  <w:lang w:eastAsia="en-AU"/>
                </w:rPr>
              </w:pPr>
              <w:hyperlink w:anchor="_Toc469259441" w:history="1"/>
            </w:p>
            <w:p w:rsidR="00110554" w:rsidRPr="005D1769" w:rsidRDefault="003378D5">
              <w:pPr>
                <w:pStyle w:val="TOC2"/>
                <w:tabs>
                  <w:tab w:val="right" w:leader="dot" w:pos="9016"/>
                </w:tabs>
                <w:rPr>
                  <w:rFonts w:eastAsiaTheme="minorEastAsia"/>
                  <w:b/>
                  <w:noProof/>
                  <w:color w:val="1F497D" w:themeColor="text2"/>
                  <w:lang w:eastAsia="en-AU"/>
                </w:rPr>
              </w:pPr>
              <w:hyperlink w:anchor="_Toc469259443" w:history="1">
                <w:r w:rsidR="00110554" w:rsidRPr="005D1769">
                  <w:rPr>
                    <w:rStyle w:val="Hyperlink"/>
                    <w:b/>
                    <w:noProof/>
                    <w:color w:val="1F497D" w:themeColor="text2"/>
                  </w:rPr>
                  <w:t>1. Performance patterns and gender</w:t>
                </w:r>
                <w:r w:rsidR="00110554" w:rsidRPr="005D1769">
                  <w:rPr>
                    <w:b/>
                    <w:noProof/>
                    <w:webHidden/>
                    <w:color w:val="1F497D" w:themeColor="text2"/>
                  </w:rPr>
                  <w:tab/>
                </w:r>
                <w:r w:rsidR="00110554" w:rsidRPr="005D1769">
                  <w:rPr>
                    <w:b/>
                    <w:noProof/>
                    <w:webHidden/>
                    <w:color w:val="1F497D" w:themeColor="text2"/>
                  </w:rPr>
                  <w:fldChar w:fldCharType="begin"/>
                </w:r>
                <w:r w:rsidR="00110554" w:rsidRPr="005D1769">
                  <w:rPr>
                    <w:b/>
                    <w:noProof/>
                    <w:webHidden/>
                    <w:color w:val="1F497D" w:themeColor="text2"/>
                  </w:rPr>
                  <w:instrText xml:space="preserve"> PAGEREF _Toc469259443 \h </w:instrText>
                </w:r>
                <w:r w:rsidR="00110554" w:rsidRPr="005D1769">
                  <w:rPr>
                    <w:b/>
                    <w:noProof/>
                    <w:webHidden/>
                    <w:color w:val="1F497D" w:themeColor="text2"/>
                  </w:rPr>
                </w:r>
                <w:r w:rsidR="00110554" w:rsidRPr="005D1769">
                  <w:rPr>
                    <w:b/>
                    <w:noProof/>
                    <w:webHidden/>
                    <w:color w:val="1F497D" w:themeColor="text2"/>
                  </w:rPr>
                  <w:fldChar w:fldCharType="separate"/>
                </w:r>
                <w:r w:rsidR="00110554" w:rsidRPr="005D1769">
                  <w:rPr>
                    <w:b/>
                    <w:noProof/>
                    <w:webHidden/>
                    <w:color w:val="1F497D" w:themeColor="text2"/>
                  </w:rPr>
                  <w:t>5</w:t>
                </w:r>
                <w:r w:rsidR="00110554" w:rsidRPr="005D1769">
                  <w:rPr>
                    <w:b/>
                    <w:noProof/>
                    <w:webHidden/>
                    <w:color w:val="1F497D" w:themeColor="text2"/>
                  </w:rPr>
                  <w:fldChar w:fldCharType="end"/>
                </w:r>
              </w:hyperlink>
            </w:p>
            <w:p w:rsidR="005D1769" w:rsidRPr="005D1769" w:rsidRDefault="005D1769">
              <w:pPr>
                <w:pStyle w:val="TOC2"/>
                <w:tabs>
                  <w:tab w:val="right" w:leader="dot" w:pos="9016"/>
                </w:tabs>
                <w:rPr>
                  <w:rStyle w:val="Hyperlink"/>
                  <w:b/>
                  <w:noProof/>
                  <w:color w:val="1F497D" w:themeColor="text2"/>
                </w:rPr>
              </w:pPr>
            </w:p>
            <w:p w:rsidR="00110554" w:rsidRPr="005D1769" w:rsidRDefault="003378D5">
              <w:pPr>
                <w:pStyle w:val="TOC2"/>
                <w:tabs>
                  <w:tab w:val="right" w:leader="dot" w:pos="9016"/>
                </w:tabs>
                <w:rPr>
                  <w:rFonts w:eastAsiaTheme="minorEastAsia"/>
                  <w:b/>
                  <w:noProof/>
                  <w:color w:val="1F497D" w:themeColor="text2"/>
                  <w:lang w:eastAsia="en-AU"/>
                </w:rPr>
              </w:pPr>
              <w:hyperlink w:anchor="_Toc469259446" w:history="1">
                <w:r w:rsidR="00110554" w:rsidRPr="005D1769">
                  <w:rPr>
                    <w:rStyle w:val="Hyperlink"/>
                    <w:rFonts w:ascii="Century Gothic" w:hAnsi="Century Gothic"/>
                    <w:b/>
                    <w:noProof/>
                    <w:color w:val="1F497D" w:themeColor="text2"/>
                  </w:rPr>
                  <w:t>2. Explanations of gender differences</w:t>
                </w:r>
                <w:r w:rsidR="00110554" w:rsidRPr="005D1769">
                  <w:rPr>
                    <w:b/>
                    <w:noProof/>
                    <w:webHidden/>
                    <w:color w:val="1F497D" w:themeColor="text2"/>
                  </w:rPr>
                  <w:tab/>
                </w:r>
                <w:r w:rsidR="00110554" w:rsidRPr="005D1769">
                  <w:rPr>
                    <w:b/>
                    <w:noProof/>
                    <w:webHidden/>
                    <w:color w:val="1F497D" w:themeColor="text2"/>
                  </w:rPr>
                  <w:fldChar w:fldCharType="begin"/>
                </w:r>
                <w:r w:rsidR="00110554" w:rsidRPr="005D1769">
                  <w:rPr>
                    <w:b/>
                    <w:noProof/>
                    <w:webHidden/>
                    <w:color w:val="1F497D" w:themeColor="text2"/>
                  </w:rPr>
                  <w:instrText xml:space="preserve"> PAGEREF _Toc469259446 \h </w:instrText>
                </w:r>
                <w:r w:rsidR="00110554" w:rsidRPr="005D1769">
                  <w:rPr>
                    <w:b/>
                    <w:noProof/>
                    <w:webHidden/>
                    <w:color w:val="1F497D" w:themeColor="text2"/>
                  </w:rPr>
                </w:r>
                <w:r w:rsidR="00110554" w:rsidRPr="005D1769">
                  <w:rPr>
                    <w:b/>
                    <w:noProof/>
                    <w:webHidden/>
                    <w:color w:val="1F497D" w:themeColor="text2"/>
                  </w:rPr>
                  <w:fldChar w:fldCharType="separate"/>
                </w:r>
                <w:r w:rsidR="00110554" w:rsidRPr="005D1769">
                  <w:rPr>
                    <w:b/>
                    <w:noProof/>
                    <w:webHidden/>
                    <w:color w:val="1F497D" w:themeColor="text2"/>
                  </w:rPr>
                  <w:t>10</w:t>
                </w:r>
                <w:r w:rsidR="00110554" w:rsidRPr="005D1769">
                  <w:rPr>
                    <w:b/>
                    <w:noProof/>
                    <w:webHidden/>
                    <w:color w:val="1F497D" w:themeColor="text2"/>
                  </w:rPr>
                  <w:fldChar w:fldCharType="end"/>
                </w:r>
              </w:hyperlink>
            </w:p>
            <w:p w:rsidR="005D1769" w:rsidRPr="005D1769" w:rsidRDefault="005D1769">
              <w:pPr>
                <w:pStyle w:val="TOC2"/>
                <w:tabs>
                  <w:tab w:val="right" w:leader="dot" w:pos="9016"/>
                </w:tabs>
                <w:rPr>
                  <w:rStyle w:val="Hyperlink"/>
                  <w:b/>
                  <w:noProof/>
                  <w:color w:val="1F497D" w:themeColor="text2"/>
                </w:rPr>
              </w:pPr>
            </w:p>
            <w:p w:rsidR="00110554" w:rsidRPr="005D1769" w:rsidRDefault="003378D5">
              <w:pPr>
                <w:pStyle w:val="TOC2"/>
                <w:tabs>
                  <w:tab w:val="right" w:leader="dot" w:pos="9016"/>
                </w:tabs>
                <w:rPr>
                  <w:rFonts w:eastAsiaTheme="minorEastAsia"/>
                  <w:b/>
                  <w:noProof/>
                  <w:color w:val="1F497D" w:themeColor="text2"/>
                  <w:lang w:eastAsia="en-AU"/>
                </w:rPr>
              </w:pPr>
              <w:hyperlink w:anchor="_Toc469259450" w:history="1">
                <w:r w:rsidR="00110554" w:rsidRPr="005D1769">
                  <w:rPr>
                    <w:rStyle w:val="Hyperlink"/>
                    <w:rFonts w:ascii="Century Gothic" w:hAnsi="Century Gothic"/>
                    <w:b/>
                    <w:noProof/>
                    <w:color w:val="1F497D" w:themeColor="text2"/>
                  </w:rPr>
                  <w:t>3. Effective strategies</w:t>
                </w:r>
                <w:r w:rsidR="00110554" w:rsidRPr="005D1769">
                  <w:rPr>
                    <w:b/>
                    <w:noProof/>
                    <w:webHidden/>
                    <w:color w:val="1F497D" w:themeColor="text2"/>
                  </w:rPr>
                  <w:tab/>
                </w:r>
                <w:r w:rsidR="00110554" w:rsidRPr="005D1769">
                  <w:rPr>
                    <w:b/>
                    <w:noProof/>
                    <w:webHidden/>
                    <w:color w:val="1F497D" w:themeColor="text2"/>
                  </w:rPr>
                  <w:fldChar w:fldCharType="begin"/>
                </w:r>
                <w:r w:rsidR="00110554" w:rsidRPr="005D1769">
                  <w:rPr>
                    <w:b/>
                    <w:noProof/>
                    <w:webHidden/>
                    <w:color w:val="1F497D" w:themeColor="text2"/>
                  </w:rPr>
                  <w:instrText xml:space="preserve"> PAGEREF _Toc469259450 \h </w:instrText>
                </w:r>
                <w:r w:rsidR="00110554" w:rsidRPr="005D1769">
                  <w:rPr>
                    <w:b/>
                    <w:noProof/>
                    <w:webHidden/>
                    <w:color w:val="1F497D" w:themeColor="text2"/>
                  </w:rPr>
                </w:r>
                <w:r w:rsidR="00110554" w:rsidRPr="005D1769">
                  <w:rPr>
                    <w:b/>
                    <w:noProof/>
                    <w:webHidden/>
                    <w:color w:val="1F497D" w:themeColor="text2"/>
                  </w:rPr>
                  <w:fldChar w:fldCharType="separate"/>
                </w:r>
                <w:r w:rsidR="00110554" w:rsidRPr="005D1769">
                  <w:rPr>
                    <w:b/>
                    <w:noProof/>
                    <w:webHidden/>
                    <w:color w:val="1F497D" w:themeColor="text2"/>
                  </w:rPr>
                  <w:t>13</w:t>
                </w:r>
                <w:r w:rsidR="00110554" w:rsidRPr="005D1769">
                  <w:rPr>
                    <w:b/>
                    <w:noProof/>
                    <w:webHidden/>
                    <w:color w:val="1F497D" w:themeColor="text2"/>
                  </w:rPr>
                  <w:fldChar w:fldCharType="end"/>
                </w:r>
              </w:hyperlink>
            </w:p>
            <w:p w:rsidR="005D1769" w:rsidRPr="005D1769" w:rsidRDefault="005D1769">
              <w:pPr>
                <w:pStyle w:val="TOC2"/>
                <w:tabs>
                  <w:tab w:val="right" w:leader="dot" w:pos="9016"/>
                </w:tabs>
                <w:rPr>
                  <w:rStyle w:val="Hyperlink"/>
                  <w:b/>
                  <w:noProof/>
                  <w:color w:val="1F497D" w:themeColor="text2"/>
                </w:rPr>
              </w:pPr>
            </w:p>
            <w:p w:rsidR="00110554" w:rsidRPr="005D1769" w:rsidRDefault="003378D5">
              <w:pPr>
                <w:pStyle w:val="TOC2"/>
                <w:tabs>
                  <w:tab w:val="right" w:leader="dot" w:pos="9016"/>
                </w:tabs>
                <w:rPr>
                  <w:rFonts w:eastAsiaTheme="minorEastAsia"/>
                  <w:b/>
                  <w:noProof/>
                  <w:color w:val="1F497D" w:themeColor="text2"/>
                  <w:lang w:eastAsia="en-AU"/>
                </w:rPr>
              </w:pPr>
              <w:hyperlink w:anchor="_Toc469259454" w:history="1">
                <w:r w:rsidR="00110554" w:rsidRPr="005D1769">
                  <w:rPr>
                    <w:rStyle w:val="Hyperlink"/>
                    <w:b/>
                    <w:noProof/>
                    <w:color w:val="1F497D" w:themeColor="text2"/>
                  </w:rPr>
                  <w:t>4. Mapping the research findings to the Evaluation Framework</w:t>
                </w:r>
                <w:r w:rsidR="00110554" w:rsidRPr="005D1769">
                  <w:rPr>
                    <w:b/>
                    <w:noProof/>
                    <w:webHidden/>
                    <w:color w:val="1F497D" w:themeColor="text2"/>
                  </w:rPr>
                  <w:tab/>
                </w:r>
                <w:r w:rsidR="00110554" w:rsidRPr="005D1769">
                  <w:rPr>
                    <w:b/>
                    <w:noProof/>
                    <w:webHidden/>
                    <w:color w:val="1F497D" w:themeColor="text2"/>
                  </w:rPr>
                  <w:fldChar w:fldCharType="begin"/>
                </w:r>
                <w:r w:rsidR="00110554" w:rsidRPr="005D1769">
                  <w:rPr>
                    <w:b/>
                    <w:noProof/>
                    <w:webHidden/>
                    <w:color w:val="1F497D" w:themeColor="text2"/>
                  </w:rPr>
                  <w:instrText xml:space="preserve"> PAGEREF _Toc469259454 \h </w:instrText>
                </w:r>
                <w:r w:rsidR="00110554" w:rsidRPr="005D1769">
                  <w:rPr>
                    <w:b/>
                    <w:noProof/>
                    <w:webHidden/>
                    <w:color w:val="1F497D" w:themeColor="text2"/>
                  </w:rPr>
                </w:r>
                <w:r w:rsidR="00110554" w:rsidRPr="005D1769">
                  <w:rPr>
                    <w:b/>
                    <w:noProof/>
                    <w:webHidden/>
                    <w:color w:val="1F497D" w:themeColor="text2"/>
                  </w:rPr>
                  <w:fldChar w:fldCharType="separate"/>
                </w:r>
                <w:r w:rsidR="00110554" w:rsidRPr="005D1769">
                  <w:rPr>
                    <w:b/>
                    <w:noProof/>
                    <w:webHidden/>
                    <w:color w:val="1F497D" w:themeColor="text2"/>
                  </w:rPr>
                  <w:t>16</w:t>
                </w:r>
                <w:r w:rsidR="00110554" w:rsidRPr="005D1769">
                  <w:rPr>
                    <w:b/>
                    <w:noProof/>
                    <w:webHidden/>
                    <w:color w:val="1F497D" w:themeColor="text2"/>
                  </w:rPr>
                  <w:fldChar w:fldCharType="end"/>
                </w:r>
              </w:hyperlink>
            </w:p>
            <w:p w:rsidR="005D1769" w:rsidRPr="005D1769" w:rsidRDefault="005D1769">
              <w:pPr>
                <w:pStyle w:val="TOC1"/>
                <w:tabs>
                  <w:tab w:val="right" w:leader="dot" w:pos="9016"/>
                </w:tabs>
                <w:rPr>
                  <w:rStyle w:val="Hyperlink"/>
                  <w:b/>
                  <w:noProof/>
                  <w:color w:val="1F497D" w:themeColor="text2"/>
                </w:rPr>
              </w:pPr>
            </w:p>
            <w:p w:rsidR="00110554" w:rsidRPr="005D1769" w:rsidRDefault="003378D5">
              <w:pPr>
                <w:pStyle w:val="TOC1"/>
                <w:tabs>
                  <w:tab w:val="right" w:leader="dot" w:pos="9016"/>
                </w:tabs>
                <w:rPr>
                  <w:rFonts w:eastAsiaTheme="minorEastAsia"/>
                  <w:b/>
                  <w:noProof/>
                  <w:color w:val="1F497D" w:themeColor="text2"/>
                  <w:lang w:eastAsia="en-AU"/>
                </w:rPr>
              </w:pPr>
              <w:hyperlink w:anchor="_Toc469259458" w:history="1">
                <w:r w:rsidR="00110554" w:rsidRPr="005D1769">
                  <w:rPr>
                    <w:rStyle w:val="Hyperlink"/>
                    <w:b/>
                    <w:noProof/>
                    <w:color w:val="1F497D" w:themeColor="text2"/>
                  </w:rPr>
                  <w:t>References</w:t>
                </w:r>
                <w:r w:rsidR="00110554" w:rsidRPr="005D1769">
                  <w:rPr>
                    <w:b/>
                    <w:noProof/>
                    <w:webHidden/>
                    <w:color w:val="1F497D" w:themeColor="text2"/>
                  </w:rPr>
                  <w:tab/>
                </w:r>
                <w:r w:rsidR="00110554" w:rsidRPr="005D1769">
                  <w:rPr>
                    <w:b/>
                    <w:noProof/>
                    <w:webHidden/>
                    <w:color w:val="1F497D" w:themeColor="text2"/>
                  </w:rPr>
                  <w:fldChar w:fldCharType="begin"/>
                </w:r>
                <w:r w:rsidR="00110554" w:rsidRPr="005D1769">
                  <w:rPr>
                    <w:b/>
                    <w:noProof/>
                    <w:webHidden/>
                    <w:color w:val="1F497D" w:themeColor="text2"/>
                  </w:rPr>
                  <w:instrText xml:space="preserve"> PAGEREF _Toc469259458 \h </w:instrText>
                </w:r>
                <w:r w:rsidR="00110554" w:rsidRPr="005D1769">
                  <w:rPr>
                    <w:b/>
                    <w:noProof/>
                    <w:webHidden/>
                    <w:color w:val="1F497D" w:themeColor="text2"/>
                  </w:rPr>
                </w:r>
                <w:r w:rsidR="00110554" w:rsidRPr="005D1769">
                  <w:rPr>
                    <w:b/>
                    <w:noProof/>
                    <w:webHidden/>
                    <w:color w:val="1F497D" w:themeColor="text2"/>
                  </w:rPr>
                  <w:fldChar w:fldCharType="separate"/>
                </w:r>
                <w:r w:rsidR="00110554" w:rsidRPr="005D1769">
                  <w:rPr>
                    <w:b/>
                    <w:noProof/>
                    <w:webHidden/>
                    <w:color w:val="1F497D" w:themeColor="text2"/>
                  </w:rPr>
                  <w:t>19</w:t>
                </w:r>
                <w:r w:rsidR="00110554" w:rsidRPr="005D1769">
                  <w:rPr>
                    <w:b/>
                    <w:noProof/>
                    <w:webHidden/>
                    <w:color w:val="1F497D" w:themeColor="text2"/>
                  </w:rPr>
                  <w:fldChar w:fldCharType="end"/>
                </w:r>
              </w:hyperlink>
            </w:p>
            <w:p w:rsidR="000948B8" w:rsidRDefault="000948B8">
              <w:r w:rsidRPr="005D1769">
                <w:rPr>
                  <w:b/>
                  <w:bCs/>
                  <w:noProof/>
                  <w:color w:val="1F497D" w:themeColor="text2"/>
                </w:rPr>
                <w:fldChar w:fldCharType="end"/>
              </w:r>
            </w:p>
          </w:sdtContent>
        </w:sdt>
        <w:p w:rsidR="000948B8" w:rsidRDefault="000948B8">
          <w:r>
            <w:br w:type="page"/>
          </w:r>
        </w:p>
        <w:p w:rsidR="00F20F0C" w:rsidRPr="00C457FF" w:rsidRDefault="003378D5"/>
      </w:sdtContent>
    </w:sdt>
    <w:p w:rsidR="006F07DF" w:rsidRDefault="005A18E7" w:rsidP="006F07DF">
      <w:pPr>
        <w:pStyle w:val="Heading1"/>
        <w:spacing w:before="240" w:after="120"/>
      </w:pPr>
      <w:bookmarkStart w:id="1" w:name="_Toc469259437"/>
      <w:r>
        <w:t>Performance and Past R</w:t>
      </w:r>
      <w:r w:rsidR="006F07DF">
        <w:t>esearch</w:t>
      </w:r>
      <w:bookmarkEnd w:id="1"/>
      <w:r w:rsidR="006F07DF">
        <w:t xml:space="preserve"> </w:t>
      </w:r>
    </w:p>
    <w:p w:rsidR="005A6EAE" w:rsidRDefault="005A6EAE" w:rsidP="00363766">
      <w:pPr>
        <w:jc w:val="both"/>
        <w:rPr>
          <w:rFonts w:ascii="Century Gothic" w:hAnsi="Century Gothic"/>
          <w:sz w:val="20"/>
          <w:szCs w:val="20"/>
        </w:rPr>
      </w:pPr>
      <w:r>
        <w:rPr>
          <w:rFonts w:ascii="Century Gothic" w:hAnsi="Century Gothic"/>
          <w:sz w:val="20"/>
          <w:szCs w:val="20"/>
        </w:rPr>
        <w:t>For a number of decades g</w:t>
      </w:r>
      <w:r w:rsidRPr="005A6EAE">
        <w:rPr>
          <w:rFonts w:ascii="Century Gothic" w:hAnsi="Century Gothic"/>
          <w:sz w:val="20"/>
          <w:szCs w:val="20"/>
        </w:rPr>
        <w:t>ender issues in education have been at the forefront of interest for parents, schools, education authorities and researchers</w:t>
      </w:r>
      <w:r w:rsidR="00BD3ED8">
        <w:rPr>
          <w:rFonts w:ascii="Century Gothic" w:hAnsi="Century Gothic"/>
          <w:sz w:val="20"/>
          <w:szCs w:val="20"/>
        </w:rPr>
        <w:t xml:space="preserve">. Persistent gender economic inequalities have driven investigation into the differences for girls’ </w:t>
      </w:r>
      <w:r w:rsidR="00220037">
        <w:rPr>
          <w:rFonts w:ascii="Century Gothic" w:hAnsi="Century Gothic"/>
          <w:sz w:val="20"/>
          <w:szCs w:val="20"/>
        </w:rPr>
        <w:t xml:space="preserve">outcomes </w:t>
      </w:r>
      <w:r w:rsidR="00BD3ED8">
        <w:rPr>
          <w:rFonts w:ascii="Century Gothic" w:hAnsi="Century Gothic"/>
          <w:sz w:val="20"/>
          <w:szCs w:val="20"/>
        </w:rPr>
        <w:t xml:space="preserve">in </w:t>
      </w:r>
      <w:r w:rsidR="00363766">
        <w:rPr>
          <w:rFonts w:ascii="Century Gothic" w:hAnsi="Century Gothic"/>
          <w:sz w:val="20"/>
          <w:szCs w:val="20"/>
        </w:rPr>
        <w:t xml:space="preserve">school and tertiary education </w:t>
      </w:r>
      <w:r w:rsidR="00BD3ED8">
        <w:rPr>
          <w:rFonts w:ascii="Century Gothic" w:hAnsi="Century Gothic"/>
          <w:sz w:val="20"/>
          <w:szCs w:val="20"/>
        </w:rPr>
        <w:t xml:space="preserve">mathematics, science and technology. </w:t>
      </w:r>
      <w:r w:rsidR="00363766">
        <w:rPr>
          <w:rFonts w:ascii="Century Gothic" w:hAnsi="Century Gothic"/>
          <w:sz w:val="20"/>
          <w:szCs w:val="20"/>
        </w:rPr>
        <w:t>The ge</w:t>
      </w:r>
      <w:r w:rsidR="000E71C1">
        <w:rPr>
          <w:rFonts w:ascii="Century Gothic" w:hAnsi="Century Gothic"/>
          <w:sz w:val="20"/>
          <w:szCs w:val="20"/>
        </w:rPr>
        <w:t>nder focus</w:t>
      </w:r>
      <w:r w:rsidR="00363766">
        <w:rPr>
          <w:rFonts w:ascii="Century Gothic" w:hAnsi="Century Gothic"/>
          <w:sz w:val="20"/>
          <w:szCs w:val="20"/>
        </w:rPr>
        <w:t xml:space="preserve"> has widened in the past decade to include educational disadvantage that boys experience. While </w:t>
      </w:r>
      <w:r w:rsidRPr="005A6EAE">
        <w:rPr>
          <w:rFonts w:ascii="Century Gothic" w:hAnsi="Century Gothic"/>
          <w:sz w:val="20"/>
          <w:szCs w:val="20"/>
        </w:rPr>
        <w:t xml:space="preserve">there has been a growing perception in Australia that girls </w:t>
      </w:r>
      <w:r w:rsidR="00BD3ED8">
        <w:rPr>
          <w:rFonts w:ascii="Century Gothic" w:hAnsi="Century Gothic"/>
          <w:sz w:val="20"/>
          <w:szCs w:val="20"/>
        </w:rPr>
        <w:t>are becoming</w:t>
      </w:r>
      <w:r w:rsidRPr="005A6EAE">
        <w:rPr>
          <w:rFonts w:ascii="Century Gothic" w:hAnsi="Century Gothic"/>
          <w:sz w:val="20"/>
          <w:szCs w:val="20"/>
        </w:rPr>
        <w:t xml:space="preserve"> more successful </w:t>
      </w:r>
      <w:r w:rsidR="00BD3ED8">
        <w:rPr>
          <w:rFonts w:ascii="Century Gothic" w:hAnsi="Century Gothic"/>
          <w:sz w:val="20"/>
          <w:szCs w:val="20"/>
        </w:rPr>
        <w:t xml:space="preserve">in </w:t>
      </w:r>
      <w:r w:rsidRPr="005A6EAE">
        <w:rPr>
          <w:rFonts w:ascii="Century Gothic" w:hAnsi="Century Gothic"/>
          <w:sz w:val="20"/>
          <w:szCs w:val="20"/>
        </w:rPr>
        <w:t>pursuing their educational goals</w:t>
      </w:r>
      <w:r w:rsidR="00363766">
        <w:rPr>
          <w:rFonts w:ascii="Century Gothic" w:hAnsi="Century Gothic"/>
          <w:sz w:val="20"/>
          <w:szCs w:val="20"/>
        </w:rPr>
        <w:t xml:space="preserve">, concern has grown that </w:t>
      </w:r>
      <w:r w:rsidR="0056569E">
        <w:rPr>
          <w:rFonts w:ascii="Century Gothic" w:hAnsi="Century Gothic"/>
          <w:sz w:val="20"/>
          <w:szCs w:val="20"/>
        </w:rPr>
        <w:t>boys</w:t>
      </w:r>
      <w:r w:rsidR="00BD3ED8">
        <w:rPr>
          <w:rFonts w:ascii="Century Gothic" w:hAnsi="Century Gothic"/>
          <w:sz w:val="20"/>
          <w:szCs w:val="20"/>
        </w:rPr>
        <w:t xml:space="preserve"> are experiencing comparatively poorer </w:t>
      </w:r>
      <w:r w:rsidR="00220037">
        <w:rPr>
          <w:rFonts w:ascii="Century Gothic" w:hAnsi="Century Gothic"/>
          <w:sz w:val="20"/>
          <w:szCs w:val="20"/>
        </w:rPr>
        <w:t xml:space="preserve">literacy </w:t>
      </w:r>
      <w:r>
        <w:rPr>
          <w:rFonts w:ascii="Century Gothic" w:hAnsi="Century Gothic"/>
          <w:sz w:val="20"/>
          <w:szCs w:val="20"/>
        </w:rPr>
        <w:t xml:space="preserve">educational </w:t>
      </w:r>
      <w:r w:rsidRPr="005A6EAE">
        <w:rPr>
          <w:rFonts w:ascii="Century Gothic" w:hAnsi="Century Gothic"/>
          <w:sz w:val="20"/>
          <w:szCs w:val="20"/>
        </w:rPr>
        <w:t xml:space="preserve">outcomes and </w:t>
      </w:r>
      <w:r w:rsidR="00220037">
        <w:rPr>
          <w:rFonts w:ascii="Century Gothic" w:hAnsi="Century Gothic"/>
          <w:sz w:val="20"/>
          <w:szCs w:val="20"/>
        </w:rPr>
        <w:t xml:space="preserve">this negatively </w:t>
      </w:r>
      <w:r w:rsidR="00CB40EF">
        <w:rPr>
          <w:rFonts w:ascii="Century Gothic" w:hAnsi="Century Gothic"/>
          <w:sz w:val="20"/>
          <w:szCs w:val="20"/>
        </w:rPr>
        <w:t>affects</w:t>
      </w:r>
      <w:r w:rsidR="00220037">
        <w:rPr>
          <w:rFonts w:ascii="Century Gothic" w:hAnsi="Century Gothic"/>
          <w:sz w:val="20"/>
          <w:szCs w:val="20"/>
        </w:rPr>
        <w:t xml:space="preserve"> </w:t>
      </w:r>
      <w:r w:rsidRPr="005A6EAE">
        <w:rPr>
          <w:rFonts w:ascii="Century Gothic" w:hAnsi="Century Gothic"/>
          <w:sz w:val="20"/>
          <w:szCs w:val="20"/>
        </w:rPr>
        <w:t>retention in the last years of secondary e</w:t>
      </w:r>
      <w:r>
        <w:rPr>
          <w:rFonts w:ascii="Century Gothic" w:hAnsi="Century Gothic"/>
          <w:sz w:val="20"/>
          <w:szCs w:val="20"/>
        </w:rPr>
        <w:t xml:space="preserve">ducation. </w:t>
      </w:r>
    </w:p>
    <w:p w:rsidR="00CB40EF" w:rsidRDefault="006F07DF" w:rsidP="00D54B9A">
      <w:pPr>
        <w:spacing w:after="120"/>
        <w:jc w:val="both"/>
        <w:rPr>
          <w:rFonts w:ascii="Century Gothic" w:hAnsi="Century Gothic"/>
          <w:sz w:val="20"/>
          <w:szCs w:val="20"/>
        </w:rPr>
      </w:pPr>
      <w:r>
        <w:rPr>
          <w:rFonts w:ascii="Century Gothic" w:hAnsi="Century Gothic"/>
          <w:sz w:val="20"/>
          <w:szCs w:val="20"/>
        </w:rPr>
        <w:t>Th</w:t>
      </w:r>
      <w:r w:rsidR="00DC5CF8">
        <w:rPr>
          <w:rFonts w:ascii="Century Gothic" w:hAnsi="Century Gothic"/>
          <w:sz w:val="20"/>
          <w:szCs w:val="20"/>
        </w:rPr>
        <w:t>is</w:t>
      </w:r>
      <w:r>
        <w:rPr>
          <w:rFonts w:ascii="Century Gothic" w:hAnsi="Century Gothic"/>
          <w:sz w:val="20"/>
          <w:szCs w:val="20"/>
        </w:rPr>
        <w:t xml:space="preserve"> research overview </w:t>
      </w:r>
      <w:r w:rsidR="00BD3ED8">
        <w:rPr>
          <w:rFonts w:ascii="Century Gothic" w:hAnsi="Century Gothic"/>
          <w:sz w:val="20"/>
          <w:szCs w:val="20"/>
        </w:rPr>
        <w:t xml:space="preserve">is focussed on </w:t>
      </w:r>
      <w:r>
        <w:rPr>
          <w:rFonts w:ascii="Century Gothic" w:hAnsi="Century Gothic"/>
          <w:sz w:val="20"/>
          <w:szCs w:val="20"/>
        </w:rPr>
        <w:t>gender</w:t>
      </w:r>
      <w:r w:rsidR="00DC5CF8">
        <w:rPr>
          <w:rFonts w:ascii="Century Gothic" w:hAnsi="Century Gothic"/>
          <w:sz w:val="20"/>
          <w:szCs w:val="20"/>
        </w:rPr>
        <w:t>-based differences</w:t>
      </w:r>
      <w:r>
        <w:rPr>
          <w:rFonts w:ascii="Century Gothic" w:hAnsi="Century Gothic"/>
          <w:sz w:val="20"/>
          <w:szCs w:val="20"/>
        </w:rPr>
        <w:t xml:space="preserve"> in literacy and numeracy </w:t>
      </w:r>
      <w:r w:rsidR="00BD3ED8">
        <w:rPr>
          <w:rFonts w:ascii="Century Gothic" w:hAnsi="Century Gothic"/>
          <w:sz w:val="20"/>
          <w:szCs w:val="20"/>
        </w:rPr>
        <w:t>achievement in school</w:t>
      </w:r>
      <w:r w:rsidR="00063EE9">
        <w:rPr>
          <w:rFonts w:ascii="Century Gothic" w:hAnsi="Century Gothic"/>
          <w:sz w:val="20"/>
          <w:szCs w:val="20"/>
        </w:rPr>
        <w:t>, w</w:t>
      </w:r>
      <w:r w:rsidR="000E71C1">
        <w:rPr>
          <w:rFonts w:ascii="Century Gothic" w:hAnsi="Century Gothic"/>
          <w:sz w:val="20"/>
          <w:szCs w:val="20"/>
        </w:rPr>
        <w:t xml:space="preserve">ith a </w:t>
      </w:r>
      <w:r w:rsidR="00063EE9">
        <w:rPr>
          <w:rFonts w:ascii="Century Gothic" w:hAnsi="Century Gothic"/>
          <w:sz w:val="20"/>
          <w:szCs w:val="20"/>
        </w:rPr>
        <w:t>particular focus on the middle years of scho</w:t>
      </w:r>
      <w:r w:rsidR="000E71C1">
        <w:rPr>
          <w:rFonts w:ascii="Century Gothic" w:hAnsi="Century Gothic"/>
          <w:sz w:val="20"/>
          <w:szCs w:val="20"/>
        </w:rPr>
        <w:t>oling</w:t>
      </w:r>
      <w:r w:rsidR="00063EE9">
        <w:rPr>
          <w:rFonts w:ascii="Century Gothic" w:hAnsi="Century Gothic"/>
          <w:sz w:val="20"/>
          <w:szCs w:val="20"/>
        </w:rPr>
        <w:t xml:space="preserve">, </w:t>
      </w:r>
      <w:r w:rsidR="00CB40EF">
        <w:rPr>
          <w:rFonts w:ascii="Century Gothic" w:hAnsi="Century Gothic"/>
          <w:sz w:val="20"/>
          <w:szCs w:val="20"/>
        </w:rPr>
        <w:t xml:space="preserve">particularly </w:t>
      </w:r>
      <w:r w:rsidR="00063EE9">
        <w:rPr>
          <w:rFonts w:ascii="Century Gothic" w:hAnsi="Century Gothic"/>
          <w:sz w:val="20"/>
          <w:szCs w:val="20"/>
        </w:rPr>
        <w:t xml:space="preserve">the transition from primary to secondary school. </w:t>
      </w:r>
      <w:r w:rsidR="000E71C1">
        <w:rPr>
          <w:rFonts w:ascii="Century Gothic" w:hAnsi="Century Gothic"/>
          <w:sz w:val="20"/>
          <w:szCs w:val="20"/>
        </w:rPr>
        <w:t>The research overview</w:t>
      </w:r>
      <w:r w:rsidR="00881C98">
        <w:rPr>
          <w:rFonts w:ascii="Century Gothic" w:hAnsi="Century Gothic"/>
          <w:sz w:val="20"/>
          <w:szCs w:val="20"/>
        </w:rPr>
        <w:t>’s purpose is to</w:t>
      </w:r>
      <w:r w:rsidR="000E71C1">
        <w:rPr>
          <w:rFonts w:ascii="Century Gothic" w:hAnsi="Century Gothic"/>
          <w:sz w:val="20"/>
          <w:szCs w:val="20"/>
        </w:rPr>
        <w:t xml:space="preserve"> </w:t>
      </w:r>
      <w:r w:rsidR="00DC5CF8">
        <w:rPr>
          <w:rFonts w:ascii="Century Gothic" w:hAnsi="Century Gothic"/>
          <w:sz w:val="20"/>
          <w:szCs w:val="20"/>
        </w:rPr>
        <w:t>inform</w:t>
      </w:r>
      <w:r>
        <w:rPr>
          <w:rFonts w:ascii="Century Gothic" w:hAnsi="Century Gothic"/>
          <w:sz w:val="20"/>
          <w:szCs w:val="20"/>
        </w:rPr>
        <w:t xml:space="preserve"> </w:t>
      </w:r>
      <w:r w:rsidR="000E71C1">
        <w:rPr>
          <w:rFonts w:ascii="Century Gothic" w:hAnsi="Century Gothic"/>
          <w:sz w:val="20"/>
          <w:szCs w:val="20"/>
        </w:rPr>
        <w:t xml:space="preserve">the </w:t>
      </w:r>
      <w:r>
        <w:rPr>
          <w:rFonts w:ascii="Century Gothic" w:hAnsi="Century Gothic"/>
          <w:sz w:val="20"/>
          <w:szCs w:val="20"/>
        </w:rPr>
        <w:t>evaluation framework</w:t>
      </w:r>
      <w:r w:rsidR="00CB40EF">
        <w:rPr>
          <w:rFonts w:ascii="Century Gothic" w:hAnsi="Century Gothic"/>
          <w:sz w:val="20"/>
          <w:szCs w:val="20"/>
        </w:rPr>
        <w:t>,</w:t>
      </w:r>
      <w:r>
        <w:rPr>
          <w:rFonts w:ascii="Century Gothic" w:hAnsi="Century Gothic"/>
          <w:sz w:val="20"/>
          <w:szCs w:val="20"/>
        </w:rPr>
        <w:t xml:space="preserve"> </w:t>
      </w:r>
      <w:r w:rsidR="000E71C1">
        <w:rPr>
          <w:rFonts w:ascii="Century Gothic" w:hAnsi="Century Gothic"/>
          <w:sz w:val="20"/>
          <w:szCs w:val="20"/>
        </w:rPr>
        <w:t xml:space="preserve">the </w:t>
      </w:r>
      <w:r w:rsidR="00C20605">
        <w:rPr>
          <w:rFonts w:ascii="Century Gothic" w:hAnsi="Century Gothic"/>
          <w:sz w:val="20"/>
          <w:szCs w:val="20"/>
        </w:rPr>
        <w:t xml:space="preserve">data </w:t>
      </w:r>
      <w:r w:rsidR="000E71C1">
        <w:rPr>
          <w:rFonts w:ascii="Century Gothic" w:hAnsi="Century Gothic"/>
          <w:sz w:val="20"/>
          <w:szCs w:val="20"/>
        </w:rPr>
        <w:t>collection tools</w:t>
      </w:r>
      <w:r w:rsidR="00881C98">
        <w:rPr>
          <w:rFonts w:ascii="Century Gothic" w:hAnsi="Century Gothic"/>
          <w:sz w:val="20"/>
          <w:szCs w:val="20"/>
        </w:rPr>
        <w:t xml:space="preserve"> </w:t>
      </w:r>
      <w:r w:rsidR="00CB40EF">
        <w:rPr>
          <w:rFonts w:ascii="Century Gothic" w:hAnsi="Century Gothic"/>
          <w:sz w:val="20"/>
          <w:szCs w:val="20"/>
        </w:rPr>
        <w:t xml:space="preserve">and the interpretation of findings </w:t>
      </w:r>
      <w:r w:rsidR="00881C98">
        <w:rPr>
          <w:rFonts w:ascii="Century Gothic" w:hAnsi="Century Gothic"/>
          <w:sz w:val="20"/>
          <w:szCs w:val="20"/>
        </w:rPr>
        <w:t xml:space="preserve">for the DET project </w:t>
      </w:r>
      <w:r w:rsidR="00881C98" w:rsidRPr="00881C98">
        <w:rPr>
          <w:rFonts w:ascii="Century Gothic" w:hAnsi="Century Gothic"/>
          <w:i/>
          <w:sz w:val="20"/>
          <w:szCs w:val="20"/>
        </w:rPr>
        <w:t>Gender Based Differences in Year 6-7 Transition Outcomes</w:t>
      </w:r>
      <w:r w:rsidR="00881C98">
        <w:rPr>
          <w:rFonts w:ascii="Century Gothic" w:hAnsi="Century Gothic"/>
          <w:i/>
          <w:sz w:val="20"/>
          <w:szCs w:val="20"/>
        </w:rPr>
        <w:t>.</w:t>
      </w:r>
      <w:r w:rsidR="00881C98">
        <w:rPr>
          <w:rFonts w:ascii="Century Gothic" w:hAnsi="Century Gothic"/>
          <w:sz w:val="20"/>
          <w:szCs w:val="20"/>
        </w:rPr>
        <w:t xml:space="preserve"> </w:t>
      </w:r>
    </w:p>
    <w:p w:rsidR="00881C98" w:rsidRPr="00CB40EF" w:rsidRDefault="00CB40EF" w:rsidP="00D54B9A">
      <w:pPr>
        <w:spacing w:after="120"/>
        <w:jc w:val="both"/>
        <w:rPr>
          <w:rFonts w:ascii="Century Gothic" w:hAnsi="Century Gothic"/>
          <w:sz w:val="20"/>
          <w:szCs w:val="20"/>
        </w:rPr>
      </w:pPr>
      <w:r>
        <w:rPr>
          <w:rFonts w:ascii="Century Gothic" w:hAnsi="Century Gothic"/>
          <w:sz w:val="20"/>
          <w:szCs w:val="20"/>
        </w:rPr>
        <w:t xml:space="preserve">Note that the overview </w:t>
      </w:r>
      <w:r w:rsidR="00B909EC">
        <w:rPr>
          <w:rFonts w:ascii="Century Gothic" w:hAnsi="Century Gothic"/>
          <w:sz w:val="20"/>
          <w:szCs w:val="20"/>
        </w:rPr>
        <w:t>does no</w:t>
      </w:r>
      <w:r>
        <w:rPr>
          <w:rFonts w:ascii="Century Gothic" w:hAnsi="Century Gothic"/>
          <w:sz w:val="20"/>
          <w:szCs w:val="20"/>
        </w:rPr>
        <w:t xml:space="preserve">t review transition literature. Instead, </w:t>
      </w:r>
      <w:r w:rsidR="00B909EC">
        <w:rPr>
          <w:rFonts w:ascii="Century Gothic" w:hAnsi="Century Gothic"/>
          <w:sz w:val="20"/>
          <w:szCs w:val="20"/>
        </w:rPr>
        <w:t xml:space="preserve">the project will be leveraging off the findings from prior action research for the DET project </w:t>
      </w:r>
      <w:r w:rsidR="00B909EC" w:rsidRPr="00B909EC">
        <w:rPr>
          <w:rFonts w:ascii="Century Gothic" w:hAnsi="Century Gothic"/>
          <w:i/>
          <w:sz w:val="20"/>
          <w:szCs w:val="20"/>
        </w:rPr>
        <w:t>Transition: Improved Literacy and Numeracy Outcomes (Professional Barriers</w:t>
      </w:r>
      <w:r w:rsidR="00B909EC">
        <w:rPr>
          <w:rFonts w:ascii="Century Gothic" w:hAnsi="Century Gothic"/>
          <w:i/>
          <w:sz w:val="20"/>
          <w:szCs w:val="20"/>
        </w:rPr>
        <w:t xml:space="preserve"> 2015</w:t>
      </w:r>
      <w:r w:rsidR="00B909EC" w:rsidRPr="00B909EC">
        <w:rPr>
          <w:rFonts w:ascii="Century Gothic" w:hAnsi="Century Gothic"/>
          <w:i/>
          <w:sz w:val="20"/>
          <w:szCs w:val="20"/>
        </w:rPr>
        <w:t>)</w:t>
      </w:r>
      <w:r w:rsidR="00B909EC">
        <w:rPr>
          <w:rStyle w:val="FootnoteReference"/>
          <w:rFonts w:ascii="Century Gothic" w:hAnsi="Century Gothic"/>
          <w:i/>
          <w:sz w:val="20"/>
          <w:szCs w:val="20"/>
        </w:rPr>
        <w:footnoteReference w:id="1"/>
      </w:r>
      <w:r>
        <w:rPr>
          <w:rFonts w:ascii="Century Gothic" w:hAnsi="Century Gothic"/>
          <w:sz w:val="20"/>
          <w:szCs w:val="20"/>
        </w:rPr>
        <w:t xml:space="preserve"> where perspectives and experiences are analysed for successfully responding to the barriers to effective literacy and numeracy transition.  </w:t>
      </w:r>
    </w:p>
    <w:p w:rsidR="00900129" w:rsidRPr="00D973BF" w:rsidRDefault="00881C98" w:rsidP="00D54B9A">
      <w:pPr>
        <w:spacing w:after="120"/>
        <w:jc w:val="both"/>
        <w:rPr>
          <w:rFonts w:ascii="Century Gothic" w:hAnsi="Century Gothic"/>
          <w:sz w:val="20"/>
          <w:szCs w:val="20"/>
        </w:rPr>
      </w:pPr>
      <w:r w:rsidRPr="00D973BF">
        <w:rPr>
          <w:rFonts w:ascii="Century Gothic" w:hAnsi="Century Gothic"/>
          <w:sz w:val="20"/>
          <w:szCs w:val="20"/>
        </w:rPr>
        <w:t xml:space="preserve">Research selected for review comprises empirical studies </w:t>
      </w:r>
      <w:r w:rsidR="00900129" w:rsidRPr="00D973BF">
        <w:rPr>
          <w:rFonts w:ascii="Century Gothic" w:hAnsi="Century Gothic"/>
          <w:sz w:val="20"/>
          <w:szCs w:val="20"/>
        </w:rPr>
        <w:t>of a sufficient scale to be meaningful in a policy context</w:t>
      </w:r>
      <w:r w:rsidR="00B55EF3">
        <w:rPr>
          <w:rFonts w:ascii="Century Gothic" w:hAnsi="Century Gothic"/>
          <w:sz w:val="20"/>
          <w:szCs w:val="20"/>
        </w:rPr>
        <w:t xml:space="preserve"> </w:t>
      </w:r>
      <w:r w:rsidRPr="00D973BF">
        <w:rPr>
          <w:rFonts w:ascii="Century Gothic" w:hAnsi="Century Gothic"/>
          <w:sz w:val="20"/>
          <w:szCs w:val="20"/>
        </w:rPr>
        <w:t>and are r</w:t>
      </w:r>
      <w:r w:rsidR="00900129" w:rsidRPr="00D973BF">
        <w:rPr>
          <w:rFonts w:ascii="Century Gothic" w:hAnsi="Century Gothic"/>
          <w:sz w:val="20"/>
          <w:szCs w:val="20"/>
        </w:rPr>
        <w:t>elevant in Victoria’s environment</w:t>
      </w:r>
      <w:r w:rsidRPr="00D973BF">
        <w:rPr>
          <w:rFonts w:ascii="Century Gothic" w:hAnsi="Century Gothic"/>
          <w:sz w:val="20"/>
          <w:szCs w:val="20"/>
        </w:rPr>
        <w:t>.</w:t>
      </w:r>
      <w:r w:rsidR="00900129" w:rsidRPr="00D973BF">
        <w:rPr>
          <w:rFonts w:ascii="Century Gothic" w:hAnsi="Century Gothic"/>
          <w:sz w:val="20"/>
          <w:szCs w:val="20"/>
        </w:rPr>
        <w:t xml:space="preserve"> </w:t>
      </w:r>
    </w:p>
    <w:p w:rsidR="00CD011B" w:rsidRDefault="006F07DF" w:rsidP="00D54B9A">
      <w:pPr>
        <w:jc w:val="both"/>
        <w:rPr>
          <w:rFonts w:ascii="Century Gothic" w:hAnsi="Century Gothic"/>
          <w:sz w:val="20"/>
          <w:szCs w:val="20"/>
        </w:rPr>
      </w:pPr>
      <w:r w:rsidRPr="005824D5">
        <w:rPr>
          <w:rFonts w:ascii="Century Gothic" w:hAnsi="Century Gothic"/>
          <w:sz w:val="20"/>
          <w:szCs w:val="20"/>
        </w:rPr>
        <w:t>There are</w:t>
      </w:r>
      <w:r>
        <w:rPr>
          <w:rFonts w:ascii="Century Gothic" w:hAnsi="Century Gothic"/>
          <w:sz w:val="20"/>
          <w:szCs w:val="20"/>
        </w:rPr>
        <w:t xml:space="preserve"> three</w:t>
      </w:r>
      <w:r w:rsidRPr="005824D5">
        <w:rPr>
          <w:rFonts w:ascii="Century Gothic" w:hAnsi="Century Gothic"/>
          <w:sz w:val="20"/>
          <w:szCs w:val="20"/>
        </w:rPr>
        <w:t xml:space="preserve"> compone</w:t>
      </w:r>
      <w:r>
        <w:rPr>
          <w:rFonts w:ascii="Century Gothic" w:hAnsi="Century Gothic"/>
          <w:sz w:val="20"/>
          <w:szCs w:val="20"/>
        </w:rPr>
        <w:t>n</w:t>
      </w:r>
      <w:r w:rsidRPr="005824D5">
        <w:rPr>
          <w:rFonts w:ascii="Century Gothic" w:hAnsi="Century Gothic"/>
          <w:sz w:val="20"/>
          <w:szCs w:val="20"/>
        </w:rPr>
        <w:t>ts</w:t>
      </w:r>
      <w:r>
        <w:rPr>
          <w:rFonts w:ascii="Century Gothic" w:hAnsi="Century Gothic"/>
          <w:sz w:val="20"/>
          <w:szCs w:val="20"/>
        </w:rPr>
        <w:t xml:space="preserve"> to the </w:t>
      </w:r>
      <w:r w:rsidR="00B55EF3">
        <w:rPr>
          <w:rFonts w:ascii="Century Gothic" w:hAnsi="Century Gothic"/>
          <w:sz w:val="20"/>
          <w:szCs w:val="20"/>
        </w:rPr>
        <w:t xml:space="preserve">research </w:t>
      </w:r>
      <w:r>
        <w:rPr>
          <w:rFonts w:ascii="Century Gothic" w:hAnsi="Century Gothic"/>
          <w:sz w:val="20"/>
          <w:szCs w:val="20"/>
        </w:rPr>
        <w:t xml:space="preserve">overview: </w:t>
      </w:r>
    </w:p>
    <w:p w:rsidR="00CD011B" w:rsidRDefault="006F07DF" w:rsidP="00CD011B">
      <w:pPr>
        <w:pStyle w:val="ListParagraph"/>
        <w:numPr>
          <w:ilvl w:val="0"/>
          <w:numId w:val="21"/>
        </w:numPr>
        <w:jc w:val="both"/>
        <w:rPr>
          <w:rFonts w:ascii="Century Gothic" w:hAnsi="Century Gothic"/>
          <w:sz w:val="20"/>
          <w:szCs w:val="20"/>
        </w:rPr>
      </w:pPr>
      <w:r w:rsidRPr="00CD011B">
        <w:rPr>
          <w:rFonts w:ascii="Century Gothic" w:hAnsi="Century Gothic"/>
          <w:sz w:val="20"/>
          <w:szCs w:val="20"/>
        </w:rPr>
        <w:t>the patterns of students’ performance rela</w:t>
      </w:r>
      <w:r w:rsidR="00CD011B">
        <w:rPr>
          <w:rFonts w:ascii="Century Gothic" w:hAnsi="Century Gothic"/>
          <w:sz w:val="20"/>
          <w:szCs w:val="20"/>
        </w:rPr>
        <w:t>ted to gender</w:t>
      </w:r>
      <w:r w:rsidRPr="00CD011B">
        <w:rPr>
          <w:rFonts w:ascii="Century Gothic" w:hAnsi="Century Gothic"/>
          <w:sz w:val="20"/>
          <w:szCs w:val="20"/>
        </w:rPr>
        <w:t xml:space="preserve"> </w:t>
      </w:r>
    </w:p>
    <w:p w:rsidR="00CD011B" w:rsidRDefault="006F07DF" w:rsidP="00CD011B">
      <w:pPr>
        <w:pStyle w:val="ListParagraph"/>
        <w:numPr>
          <w:ilvl w:val="0"/>
          <w:numId w:val="21"/>
        </w:numPr>
        <w:jc w:val="both"/>
        <w:rPr>
          <w:rFonts w:ascii="Century Gothic" w:hAnsi="Century Gothic"/>
          <w:sz w:val="20"/>
          <w:szCs w:val="20"/>
        </w:rPr>
      </w:pPr>
      <w:r w:rsidRPr="00CD011B">
        <w:rPr>
          <w:rFonts w:ascii="Century Gothic" w:hAnsi="Century Gothic"/>
          <w:sz w:val="20"/>
          <w:szCs w:val="20"/>
        </w:rPr>
        <w:t xml:space="preserve">explanations of </w:t>
      </w:r>
      <w:r w:rsidR="00B55EF3" w:rsidRPr="00CD011B">
        <w:rPr>
          <w:rFonts w:ascii="Century Gothic" w:hAnsi="Century Gothic"/>
          <w:sz w:val="20"/>
          <w:szCs w:val="20"/>
        </w:rPr>
        <w:t xml:space="preserve">why there are </w:t>
      </w:r>
      <w:r w:rsidRPr="00CD011B">
        <w:rPr>
          <w:rFonts w:ascii="Century Gothic" w:hAnsi="Century Gothic"/>
          <w:sz w:val="20"/>
          <w:szCs w:val="20"/>
        </w:rPr>
        <w:t>gender differ</w:t>
      </w:r>
      <w:r w:rsidR="00F66725">
        <w:rPr>
          <w:rFonts w:ascii="Century Gothic" w:hAnsi="Century Gothic"/>
          <w:sz w:val="20"/>
          <w:szCs w:val="20"/>
        </w:rPr>
        <w:t xml:space="preserve">ences in numeracy and literacy </w:t>
      </w:r>
    </w:p>
    <w:p w:rsidR="00265603" w:rsidRPr="00CD011B" w:rsidRDefault="0085601F" w:rsidP="00CD011B">
      <w:pPr>
        <w:pStyle w:val="ListParagraph"/>
        <w:numPr>
          <w:ilvl w:val="0"/>
          <w:numId w:val="21"/>
        </w:numPr>
        <w:jc w:val="both"/>
        <w:rPr>
          <w:rFonts w:ascii="Century Gothic" w:hAnsi="Century Gothic"/>
          <w:sz w:val="20"/>
          <w:szCs w:val="20"/>
        </w:rPr>
      </w:pPr>
      <w:r w:rsidRPr="00CD011B">
        <w:rPr>
          <w:rFonts w:ascii="Century Gothic" w:hAnsi="Century Gothic"/>
          <w:sz w:val="20"/>
          <w:szCs w:val="20"/>
        </w:rPr>
        <w:t xml:space="preserve">strategies </w:t>
      </w:r>
      <w:r w:rsidR="00CD011B">
        <w:rPr>
          <w:rFonts w:ascii="Century Gothic" w:hAnsi="Century Gothic"/>
          <w:sz w:val="20"/>
          <w:szCs w:val="20"/>
        </w:rPr>
        <w:t xml:space="preserve">that are proposed </w:t>
      </w:r>
      <w:r w:rsidRPr="00CD011B">
        <w:rPr>
          <w:rFonts w:ascii="Century Gothic" w:hAnsi="Century Gothic"/>
          <w:sz w:val="20"/>
          <w:szCs w:val="20"/>
        </w:rPr>
        <w:t xml:space="preserve">to redress the gender gaps. </w:t>
      </w:r>
    </w:p>
    <w:p w:rsidR="00CB40EF" w:rsidRDefault="00CB40EF" w:rsidP="00D54B9A">
      <w:pPr>
        <w:jc w:val="both"/>
        <w:rPr>
          <w:rFonts w:ascii="Century Gothic" w:hAnsi="Century Gothic"/>
          <w:sz w:val="20"/>
          <w:szCs w:val="20"/>
        </w:rPr>
      </w:pPr>
      <w:r>
        <w:rPr>
          <w:rFonts w:ascii="Century Gothic" w:hAnsi="Century Gothic"/>
          <w:sz w:val="20"/>
          <w:szCs w:val="20"/>
        </w:rPr>
        <w:t xml:space="preserve">A synopsis of </w:t>
      </w:r>
      <w:r w:rsidR="00F66725">
        <w:rPr>
          <w:rFonts w:ascii="Century Gothic" w:hAnsi="Century Gothic"/>
          <w:sz w:val="20"/>
          <w:szCs w:val="20"/>
        </w:rPr>
        <w:t>past</w:t>
      </w:r>
      <w:r w:rsidR="00CD011B">
        <w:rPr>
          <w:rFonts w:ascii="Century Gothic" w:hAnsi="Century Gothic"/>
          <w:sz w:val="20"/>
          <w:szCs w:val="20"/>
        </w:rPr>
        <w:t xml:space="preserve"> research is below, followed by a more detailed </w:t>
      </w:r>
      <w:r w:rsidR="00364AFD">
        <w:rPr>
          <w:rFonts w:ascii="Century Gothic" w:hAnsi="Century Gothic"/>
          <w:sz w:val="20"/>
          <w:szCs w:val="20"/>
        </w:rPr>
        <w:t>discussion of findings</w:t>
      </w:r>
      <w:r w:rsidR="00F66725">
        <w:rPr>
          <w:rFonts w:ascii="Century Gothic" w:hAnsi="Century Gothic"/>
          <w:sz w:val="20"/>
          <w:szCs w:val="20"/>
        </w:rPr>
        <w:t xml:space="preserve"> and an explanation of the </w:t>
      </w:r>
      <w:r w:rsidR="00386890">
        <w:rPr>
          <w:rFonts w:ascii="Century Gothic" w:hAnsi="Century Gothic"/>
          <w:sz w:val="20"/>
          <w:szCs w:val="20"/>
        </w:rPr>
        <w:t>evaluation</w:t>
      </w:r>
      <w:r w:rsidR="00F66725">
        <w:rPr>
          <w:rFonts w:ascii="Century Gothic" w:hAnsi="Century Gothic"/>
          <w:sz w:val="20"/>
          <w:szCs w:val="20"/>
        </w:rPr>
        <w:t xml:space="preserve"> framework underpinning the research into classroom practices in Victorian secondary schools and their feeder primary schools. </w:t>
      </w:r>
    </w:p>
    <w:p w:rsidR="00361BC5" w:rsidRDefault="00361BC5" w:rsidP="00361BC5">
      <w:pPr>
        <w:pStyle w:val="Heading2"/>
      </w:pPr>
      <w:bookmarkStart w:id="2" w:name="_Toc469259438"/>
      <w:r>
        <w:t xml:space="preserve">Synopsis of </w:t>
      </w:r>
      <w:r w:rsidR="005A18E7">
        <w:t xml:space="preserve">past </w:t>
      </w:r>
      <w:r w:rsidR="00CD011B">
        <w:t>research</w:t>
      </w:r>
      <w:bookmarkEnd w:id="2"/>
    </w:p>
    <w:bookmarkStart w:id="3" w:name="_Toc466730270"/>
    <w:bookmarkStart w:id="4" w:name="_Toc469259441"/>
    <w:bookmarkStart w:id="5" w:name="_Toc463183790"/>
    <w:p w:rsidR="00CB40EF" w:rsidRDefault="00CB40EF" w:rsidP="006B5075">
      <w:pPr>
        <w:pStyle w:val="Heading3"/>
      </w:pPr>
      <w:r>
        <w:rPr>
          <w:noProof/>
          <w:lang w:eastAsia="en-AU"/>
        </w:rPr>
        <mc:AlternateContent>
          <mc:Choice Requires="wps">
            <w:drawing>
              <wp:anchor distT="0" distB="0" distL="114300" distR="114300" simplePos="0" relativeHeight="251665408" behindDoc="0" locked="0" layoutInCell="1" allowOverlap="1" wp14:anchorId="4B6DCF52" wp14:editId="4EB76670">
                <wp:simplePos x="0" y="0"/>
                <wp:positionH relativeFrom="column">
                  <wp:posOffset>17585</wp:posOffset>
                </wp:positionH>
                <wp:positionV relativeFrom="paragraph">
                  <wp:posOffset>21932</wp:posOffset>
                </wp:positionV>
                <wp:extent cx="5969977" cy="9442743"/>
                <wp:effectExtent l="0" t="0" r="12065" b="25400"/>
                <wp:wrapNone/>
                <wp:docPr id="4" name="Text Box 4"/>
                <wp:cNvGraphicFramePr/>
                <a:graphic xmlns:a="http://schemas.openxmlformats.org/drawingml/2006/main">
                  <a:graphicData uri="http://schemas.microsoft.com/office/word/2010/wordprocessingShape">
                    <wps:wsp>
                      <wps:cNvSpPr txBox="1"/>
                      <wps:spPr>
                        <a:xfrm>
                          <a:off x="0" y="0"/>
                          <a:ext cx="5969977" cy="9442743"/>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F66725" w:rsidRDefault="00F66725" w:rsidP="00CB40EF">
                            <w:pPr>
                              <w:pStyle w:val="Heading3"/>
                            </w:pPr>
                            <w:bookmarkStart w:id="6" w:name="_Toc466730271"/>
                            <w:bookmarkStart w:id="7" w:name="_Toc469259442"/>
                            <w:r>
                              <w:t>Performance and gender</w:t>
                            </w:r>
                            <w:bookmarkEnd w:id="6"/>
                            <w:bookmarkEnd w:id="7"/>
                          </w:p>
                          <w:p w:rsidR="00F66725" w:rsidRPr="00795425" w:rsidRDefault="00F66725" w:rsidP="00CB40EF">
                            <w:pPr>
                              <w:jc w:val="both"/>
                              <w:rPr>
                                <w:rFonts w:ascii="Century Gothic" w:hAnsi="Century Gothic"/>
                                <w:sz w:val="18"/>
                                <w:szCs w:val="18"/>
                              </w:rPr>
                            </w:pPr>
                            <w:r w:rsidRPr="00795425">
                              <w:rPr>
                                <w:rFonts w:ascii="Century Gothic" w:hAnsi="Century Gothic"/>
                                <w:sz w:val="18"/>
                                <w:szCs w:val="18"/>
                              </w:rPr>
                              <w:t xml:space="preserve">Internationally and in Australia the overall pattern of gender difference is generally consistent, although findings are mostly qualified. The broader context is that Australia’s overall performance has so-called flat lined and that improvements are therefore being sought </w:t>
                            </w:r>
                            <w:r>
                              <w:rPr>
                                <w:rFonts w:ascii="Century Gothic" w:hAnsi="Century Gothic"/>
                                <w:sz w:val="18"/>
                                <w:szCs w:val="18"/>
                              </w:rPr>
                              <w:t xml:space="preserve">across the board </w:t>
                            </w:r>
                            <w:r w:rsidRPr="00795425">
                              <w:rPr>
                                <w:rFonts w:ascii="Century Gothic" w:hAnsi="Century Gothic"/>
                                <w:sz w:val="18"/>
                                <w:szCs w:val="18"/>
                              </w:rPr>
                              <w:t xml:space="preserve">for </w:t>
                            </w:r>
                            <w:r>
                              <w:rPr>
                                <w:rFonts w:ascii="Century Gothic" w:hAnsi="Century Gothic"/>
                                <w:sz w:val="18"/>
                                <w:szCs w:val="18"/>
                              </w:rPr>
                              <w:t xml:space="preserve">both </w:t>
                            </w:r>
                            <w:r w:rsidRPr="00795425">
                              <w:rPr>
                                <w:rFonts w:ascii="Century Gothic" w:hAnsi="Century Gothic"/>
                                <w:sz w:val="18"/>
                                <w:szCs w:val="18"/>
                              </w:rPr>
                              <w:t>boys and girls, including in the higher bands of performance</w:t>
                            </w:r>
                            <w:r>
                              <w:rPr>
                                <w:rFonts w:ascii="Century Gothic" w:hAnsi="Century Gothic"/>
                                <w:sz w:val="18"/>
                                <w:szCs w:val="18"/>
                              </w:rPr>
                              <w:t xml:space="preserve"> and in lower socio-economic groups </w:t>
                            </w:r>
                            <w:r w:rsidRPr="00795425">
                              <w:rPr>
                                <w:rFonts w:ascii="Century Gothic" w:hAnsi="Century Gothic"/>
                                <w:sz w:val="18"/>
                                <w:szCs w:val="18"/>
                              </w:rPr>
                              <w:t xml:space="preserve">      </w:t>
                            </w:r>
                          </w:p>
                          <w:p w:rsidR="00F66725" w:rsidRPr="00795425" w:rsidRDefault="00F66725" w:rsidP="00CB40EF">
                            <w:pPr>
                              <w:pStyle w:val="ListParagraph"/>
                              <w:numPr>
                                <w:ilvl w:val="0"/>
                                <w:numId w:val="16"/>
                              </w:numPr>
                              <w:jc w:val="both"/>
                              <w:rPr>
                                <w:rFonts w:ascii="Century Gothic" w:hAnsi="Century Gothic"/>
                                <w:sz w:val="18"/>
                                <w:szCs w:val="18"/>
                              </w:rPr>
                            </w:pPr>
                            <w:r w:rsidRPr="00795425">
                              <w:rPr>
                                <w:rFonts w:ascii="Century Gothic" w:hAnsi="Century Gothic"/>
                                <w:sz w:val="18"/>
                                <w:szCs w:val="18"/>
                              </w:rPr>
                              <w:t>Girls outperform boys in reading and writing – although in Victoria the difference is not large when considering mean performance</w:t>
                            </w:r>
                          </w:p>
                          <w:p w:rsidR="00F66725" w:rsidRPr="00795425" w:rsidRDefault="00F66725" w:rsidP="00CB40EF">
                            <w:pPr>
                              <w:pStyle w:val="ListParagraph"/>
                              <w:numPr>
                                <w:ilvl w:val="0"/>
                                <w:numId w:val="16"/>
                              </w:numPr>
                              <w:jc w:val="both"/>
                              <w:rPr>
                                <w:rFonts w:ascii="Century Gothic" w:hAnsi="Century Gothic"/>
                                <w:sz w:val="18"/>
                                <w:szCs w:val="18"/>
                              </w:rPr>
                            </w:pPr>
                            <w:r w:rsidRPr="00795425">
                              <w:rPr>
                                <w:rFonts w:ascii="Century Gothic" w:hAnsi="Century Gothic"/>
                                <w:sz w:val="18"/>
                                <w:szCs w:val="18"/>
                              </w:rPr>
                              <w:t xml:space="preserve">Boys outperform girls in mathematics in some instances – the nature of the gap varies and is  most apparent among high performers; but some data do not show a gap   </w:t>
                            </w:r>
                          </w:p>
                          <w:p w:rsidR="00F66725" w:rsidRPr="00795425" w:rsidRDefault="00F66725" w:rsidP="00CB40EF">
                            <w:pPr>
                              <w:pStyle w:val="ListParagraph"/>
                              <w:numPr>
                                <w:ilvl w:val="0"/>
                                <w:numId w:val="16"/>
                              </w:numPr>
                              <w:jc w:val="both"/>
                              <w:rPr>
                                <w:rFonts w:ascii="Century Gothic" w:hAnsi="Century Gothic"/>
                                <w:sz w:val="18"/>
                                <w:szCs w:val="18"/>
                              </w:rPr>
                            </w:pPr>
                            <w:r w:rsidRPr="00795425">
                              <w:rPr>
                                <w:rFonts w:ascii="Century Gothic" w:hAnsi="Century Gothic"/>
                                <w:sz w:val="18"/>
                                <w:szCs w:val="18"/>
                              </w:rPr>
                              <w:t xml:space="preserve">The gap between girls and boys in reading is greater than the between boys and girls in mathematics </w:t>
                            </w:r>
                          </w:p>
                          <w:p w:rsidR="00F66725" w:rsidRPr="00795425" w:rsidRDefault="00F66725" w:rsidP="00CB40EF">
                            <w:pPr>
                              <w:pStyle w:val="ListParagraph"/>
                              <w:numPr>
                                <w:ilvl w:val="0"/>
                                <w:numId w:val="16"/>
                              </w:numPr>
                              <w:jc w:val="both"/>
                              <w:rPr>
                                <w:rFonts w:ascii="Century Gothic" w:hAnsi="Century Gothic"/>
                                <w:sz w:val="18"/>
                                <w:szCs w:val="18"/>
                              </w:rPr>
                            </w:pPr>
                            <w:r w:rsidRPr="00795425">
                              <w:rPr>
                                <w:rFonts w:ascii="Century Gothic" w:hAnsi="Century Gothic"/>
                                <w:sz w:val="18"/>
                                <w:szCs w:val="18"/>
                              </w:rPr>
                              <w:t>Boys’ poor reading links with poor engagement in learning and the risk of leaving school early</w:t>
                            </w:r>
                          </w:p>
                          <w:p w:rsidR="00F66725" w:rsidRPr="00795425" w:rsidRDefault="00F66725" w:rsidP="00CB40EF">
                            <w:pPr>
                              <w:pStyle w:val="ListParagraph"/>
                              <w:numPr>
                                <w:ilvl w:val="0"/>
                                <w:numId w:val="16"/>
                              </w:numPr>
                              <w:jc w:val="both"/>
                              <w:rPr>
                                <w:rFonts w:ascii="Century Gothic" w:hAnsi="Century Gothic"/>
                                <w:sz w:val="18"/>
                                <w:szCs w:val="18"/>
                              </w:rPr>
                            </w:pPr>
                            <w:r w:rsidRPr="00795425">
                              <w:rPr>
                                <w:rFonts w:ascii="Century Gothic" w:hAnsi="Century Gothic"/>
                                <w:sz w:val="18"/>
                                <w:szCs w:val="18"/>
                              </w:rPr>
                              <w:t xml:space="preserve">Girls are more likely than boys to express high anxiety about mathematics even when they achieve at the same or at a higher level than boys </w:t>
                            </w:r>
                          </w:p>
                          <w:p w:rsidR="00F66725" w:rsidRPr="00795425" w:rsidRDefault="00F66725" w:rsidP="00CB40EF">
                            <w:pPr>
                              <w:pStyle w:val="ListParagraph"/>
                              <w:numPr>
                                <w:ilvl w:val="0"/>
                                <w:numId w:val="16"/>
                              </w:numPr>
                              <w:jc w:val="both"/>
                              <w:rPr>
                                <w:rFonts w:ascii="Century Gothic" w:hAnsi="Century Gothic"/>
                                <w:sz w:val="18"/>
                                <w:szCs w:val="18"/>
                              </w:rPr>
                            </w:pPr>
                            <w:r w:rsidRPr="00795425">
                              <w:rPr>
                                <w:rFonts w:ascii="Century Gothic" w:hAnsi="Century Gothic"/>
                                <w:sz w:val="18"/>
                                <w:szCs w:val="18"/>
                              </w:rPr>
                              <w:t>Girls are less likely to choose senior studies in mathematics even when they achieve at</w:t>
                            </w:r>
                          </w:p>
                          <w:p w:rsidR="00F66725" w:rsidRPr="00795425" w:rsidRDefault="00F66725" w:rsidP="00CB40EF">
                            <w:pPr>
                              <w:pStyle w:val="ListParagraph"/>
                              <w:jc w:val="both"/>
                              <w:rPr>
                                <w:rFonts w:ascii="Century Gothic" w:hAnsi="Century Gothic"/>
                                <w:sz w:val="18"/>
                                <w:szCs w:val="18"/>
                              </w:rPr>
                            </w:pPr>
                            <w:r w:rsidRPr="00795425">
                              <w:rPr>
                                <w:rFonts w:ascii="Century Gothic" w:hAnsi="Century Gothic"/>
                                <w:sz w:val="18"/>
                                <w:szCs w:val="18"/>
                              </w:rPr>
                              <w:t>the same level or are better than boys.</w:t>
                            </w:r>
                          </w:p>
                          <w:p w:rsidR="00F66725" w:rsidRPr="00795425" w:rsidRDefault="00F66725" w:rsidP="00CB40EF">
                            <w:pPr>
                              <w:pStyle w:val="Heading3"/>
                            </w:pPr>
                            <w:bookmarkStart w:id="8" w:name="_Toc463183791"/>
                            <w:bookmarkStart w:id="9" w:name="_Toc466730272"/>
                            <w:bookmarkStart w:id="10" w:name="_Toc469259439"/>
                            <w:r w:rsidRPr="00795425">
                              <w:t>Why is this happening</w:t>
                            </w:r>
                            <w:bookmarkEnd w:id="8"/>
                            <w:bookmarkEnd w:id="9"/>
                            <w:bookmarkEnd w:id="10"/>
                            <w:r w:rsidRPr="00795425">
                              <w:t xml:space="preserve"> </w:t>
                            </w:r>
                          </w:p>
                          <w:p w:rsidR="00F66725" w:rsidRPr="00795425" w:rsidRDefault="00F66725" w:rsidP="00CB40EF">
                            <w:pPr>
                              <w:jc w:val="both"/>
                              <w:rPr>
                                <w:rFonts w:ascii="Century Gothic" w:hAnsi="Century Gothic"/>
                                <w:sz w:val="18"/>
                                <w:szCs w:val="18"/>
                              </w:rPr>
                            </w:pPr>
                            <w:r w:rsidRPr="00795425">
                              <w:rPr>
                                <w:rFonts w:ascii="Century Gothic" w:hAnsi="Century Gothic"/>
                                <w:sz w:val="18"/>
                                <w:szCs w:val="18"/>
                              </w:rPr>
                              <w:t xml:space="preserve">There are complex, diverse </w:t>
                            </w:r>
                            <w:r>
                              <w:rPr>
                                <w:rFonts w:ascii="Century Gothic" w:hAnsi="Century Gothic"/>
                                <w:sz w:val="18"/>
                                <w:szCs w:val="18"/>
                              </w:rPr>
                              <w:t>and some cont</w:t>
                            </w:r>
                            <w:r w:rsidRPr="00795425">
                              <w:rPr>
                                <w:rFonts w:ascii="Century Gothic" w:hAnsi="Century Gothic"/>
                                <w:sz w:val="18"/>
                                <w:szCs w:val="18"/>
                              </w:rPr>
                              <w:t xml:space="preserve">ested explanations </w:t>
                            </w:r>
                          </w:p>
                          <w:p w:rsidR="00F66725" w:rsidRPr="00795425" w:rsidRDefault="00F66725" w:rsidP="00CB40EF">
                            <w:pPr>
                              <w:pStyle w:val="ListParagraph"/>
                              <w:numPr>
                                <w:ilvl w:val="0"/>
                                <w:numId w:val="16"/>
                              </w:numPr>
                              <w:jc w:val="both"/>
                              <w:rPr>
                                <w:rFonts w:ascii="Century Gothic" w:hAnsi="Century Gothic"/>
                                <w:sz w:val="18"/>
                                <w:szCs w:val="18"/>
                              </w:rPr>
                            </w:pPr>
                            <w:r w:rsidRPr="00795425">
                              <w:rPr>
                                <w:rFonts w:ascii="Century Gothic" w:hAnsi="Century Gothic"/>
                                <w:sz w:val="18"/>
                                <w:szCs w:val="18"/>
                              </w:rPr>
                              <w:t>There is consensus that differences do not arise from innate differences in abilities but from factors such as attitudes (e.g. parent and community expectations about boys’ strengths), behaviours, sense of intrins</w:t>
                            </w:r>
                            <w:r>
                              <w:rPr>
                                <w:rFonts w:ascii="Century Gothic" w:hAnsi="Century Gothic"/>
                                <w:sz w:val="18"/>
                                <w:szCs w:val="18"/>
                              </w:rPr>
                              <w:t xml:space="preserve">ic and extrinsic value (i.e. do girls see maths as </w:t>
                            </w:r>
                            <w:r w:rsidRPr="00795425">
                              <w:rPr>
                                <w:rFonts w:ascii="Century Gothic" w:hAnsi="Century Gothic"/>
                                <w:sz w:val="18"/>
                                <w:szCs w:val="18"/>
                              </w:rPr>
                              <w:t xml:space="preserve">worth doing), engagement with learning and learning patterns  </w:t>
                            </w:r>
                          </w:p>
                          <w:p w:rsidR="00F66725" w:rsidRPr="00795425" w:rsidRDefault="00F66725" w:rsidP="00CB40EF">
                            <w:pPr>
                              <w:pStyle w:val="ListParagraph"/>
                              <w:numPr>
                                <w:ilvl w:val="0"/>
                                <w:numId w:val="16"/>
                              </w:numPr>
                              <w:jc w:val="both"/>
                              <w:rPr>
                                <w:rFonts w:ascii="Century Gothic" w:hAnsi="Century Gothic"/>
                                <w:sz w:val="18"/>
                                <w:szCs w:val="18"/>
                              </w:rPr>
                            </w:pPr>
                            <w:r w:rsidRPr="00795425">
                              <w:rPr>
                                <w:rFonts w:ascii="Century Gothic" w:hAnsi="Century Gothic"/>
                                <w:sz w:val="18"/>
                                <w:szCs w:val="18"/>
                              </w:rPr>
                              <w:t xml:space="preserve">However, factors other than gender </w:t>
                            </w:r>
                            <w:r>
                              <w:rPr>
                                <w:rFonts w:ascii="Century Gothic" w:hAnsi="Century Gothic"/>
                                <w:sz w:val="18"/>
                                <w:szCs w:val="18"/>
                              </w:rPr>
                              <w:t xml:space="preserve">and outside the immediate impact of classroom and school </w:t>
                            </w:r>
                            <w:r w:rsidRPr="00795425">
                              <w:rPr>
                                <w:rFonts w:ascii="Century Gothic" w:hAnsi="Century Gothic"/>
                                <w:sz w:val="18"/>
                                <w:szCs w:val="18"/>
                              </w:rPr>
                              <w:t xml:space="preserve">(e.g. socio-economic background, ethnicity, location, social expectations) may be equally or more important in explaining the gaps in performance </w:t>
                            </w:r>
                          </w:p>
                          <w:p w:rsidR="00F66725" w:rsidRPr="00795425" w:rsidRDefault="00F66725" w:rsidP="00CB40EF">
                            <w:pPr>
                              <w:pStyle w:val="ListParagraph"/>
                              <w:numPr>
                                <w:ilvl w:val="0"/>
                                <w:numId w:val="16"/>
                              </w:numPr>
                              <w:jc w:val="both"/>
                              <w:rPr>
                                <w:rFonts w:ascii="Century Gothic" w:hAnsi="Century Gothic"/>
                                <w:sz w:val="18"/>
                                <w:szCs w:val="18"/>
                              </w:rPr>
                            </w:pPr>
                            <w:r w:rsidRPr="00F66725">
                              <w:rPr>
                                <w:rFonts w:ascii="Century Gothic" w:hAnsi="Century Gothic"/>
                                <w:i/>
                                <w:color w:val="C00000"/>
                                <w:sz w:val="18"/>
                                <w:szCs w:val="18"/>
                              </w:rPr>
                              <w:t>For boys and literacy</w:t>
                            </w:r>
                            <w:r w:rsidRPr="00F66725">
                              <w:rPr>
                                <w:rFonts w:ascii="Century Gothic" w:hAnsi="Century Gothic"/>
                                <w:color w:val="C00000"/>
                                <w:sz w:val="18"/>
                                <w:szCs w:val="18"/>
                              </w:rPr>
                              <w:t xml:space="preserve"> </w:t>
                            </w:r>
                            <w:r w:rsidRPr="00795425">
                              <w:rPr>
                                <w:rFonts w:ascii="Century Gothic" w:hAnsi="Century Gothic"/>
                                <w:sz w:val="18"/>
                                <w:szCs w:val="18"/>
                              </w:rPr>
                              <w:t>– their capacities may not be sufficiently engaged in learning and they do not consistently have opportunities for building a positive self-belief</w:t>
                            </w:r>
                          </w:p>
                          <w:p w:rsidR="00F66725" w:rsidRPr="00795425" w:rsidRDefault="00F66725" w:rsidP="00CB40EF">
                            <w:pPr>
                              <w:pStyle w:val="ListParagraph"/>
                              <w:numPr>
                                <w:ilvl w:val="0"/>
                                <w:numId w:val="16"/>
                              </w:numPr>
                              <w:jc w:val="both"/>
                              <w:rPr>
                                <w:rFonts w:ascii="Century Gothic" w:hAnsi="Century Gothic"/>
                                <w:sz w:val="18"/>
                                <w:szCs w:val="18"/>
                              </w:rPr>
                            </w:pPr>
                            <w:r w:rsidRPr="00F66725">
                              <w:rPr>
                                <w:rFonts w:ascii="Century Gothic" w:hAnsi="Century Gothic"/>
                                <w:i/>
                                <w:color w:val="C00000"/>
                                <w:sz w:val="18"/>
                                <w:szCs w:val="18"/>
                              </w:rPr>
                              <w:t>For girls and numeracy</w:t>
                            </w:r>
                            <w:r w:rsidRPr="00F66725">
                              <w:rPr>
                                <w:rFonts w:ascii="Century Gothic" w:hAnsi="Century Gothic"/>
                                <w:color w:val="C00000"/>
                                <w:sz w:val="18"/>
                                <w:szCs w:val="18"/>
                              </w:rPr>
                              <w:t xml:space="preserve"> </w:t>
                            </w:r>
                            <w:r w:rsidRPr="00795425">
                              <w:rPr>
                                <w:rFonts w:ascii="Century Gothic" w:hAnsi="Century Gothic"/>
                                <w:sz w:val="18"/>
                                <w:szCs w:val="18"/>
                              </w:rPr>
                              <w:t xml:space="preserve">– they tend to be more afraid of mathematics as they move through school, see less intrinsic value in it and prefer other activities. </w:t>
                            </w:r>
                          </w:p>
                          <w:p w:rsidR="00F66725" w:rsidRDefault="00F66725" w:rsidP="00CB40EF">
                            <w:pPr>
                              <w:pStyle w:val="Heading3"/>
                            </w:pPr>
                            <w:bookmarkStart w:id="11" w:name="_Toc466730273"/>
                            <w:bookmarkStart w:id="12" w:name="_Toc469259440"/>
                            <w:r>
                              <w:t>Strategies for success</w:t>
                            </w:r>
                            <w:bookmarkEnd w:id="11"/>
                            <w:bookmarkEnd w:id="12"/>
                            <w:r>
                              <w:t xml:space="preserve"> </w:t>
                            </w:r>
                          </w:p>
                          <w:p w:rsidR="00F66725" w:rsidRPr="00795425" w:rsidRDefault="00F66725" w:rsidP="00CB40EF">
                            <w:pPr>
                              <w:jc w:val="both"/>
                              <w:rPr>
                                <w:sz w:val="18"/>
                                <w:szCs w:val="18"/>
                              </w:rPr>
                            </w:pPr>
                            <w:r w:rsidRPr="00795425">
                              <w:rPr>
                                <w:sz w:val="18"/>
                                <w:szCs w:val="18"/>
                              </w:rPr>
                              <w:t xml:space="preserve">The evidence base for proven education strategies is variable and as yet lacking major recommendations that are backed with a ‘strong’ body of evidence.  </w:t>
                            </w:r>
                          </w:p>
                          <w:p w:rsidR="00F66725" w:rsidRPr="00795425" w:rsidRDefault="00F66725" w:rsidP="00CB40EF">
                            <w:pPr>
                              <w:jc w:val="both"/>
                              <w:rPr>
                                <w:sz w:val="18"/>
                                <w:szCs w:val="18"/>
                              </w:rPr>
                            </w:pPr>
                            <w:r w:rsidRPr="00795425">
                              <w:rPr>
                                <w:sz w:val="18"/>
                                <w:szCs w:val="18"/>
                              </w:rPr>
                              <w:t>Solutions summarised by the OECD reflect those from Australian research and revolve around understanding the behavioural and attitudinal differences between boys and girls</w:t>
                            </w:r>
                          </w:p>
                          <w:p w:rsidR="00F66725" w:rsidRPr="00795425" w:rsidRDefault="00F66725" w:rsidP="00CB40EF">
                            <w:pPr>
                              <w:pStyle w:val="ListParagraph"/>
                              <w:numPr>
                                <w:ilvl w:val="0"/>
                                <w:numId w:val="19"/>
                              </w:numPr>
                              <w:jc w:val="both"/>
                              <w:rPr>
                                <w:rFonts w:ascii="Century Gothic" w:hAnsi="Century Gothic"/>
                                <w:sz w:val="18"/>
                                <w:szCs w:val="18"/>
                              </w:rPr>
                            </w:pPr>
                            <w:r w:rsidRPr="00F66725">
                              <w:rPr>
                                <w:rFonts w:ascii="Century Gothic" w:hAnsi="Century Gothic"/>
                                <w:i/>
                                <w:color w:val="C00000"/>
                                <w:sz w:val="18"/>
                                <w:szCs w:val="18"/>
                              </w:rPr>
                              <w:t>For boys and literacy</w:t>
                            </w:r>
                            <w:r w:rsidRPr="00795425">
                              <w:rPr>
                                <w:rFonts w:ascii="Century Gothic" w:hAnsi="Century Gothic"/>
                                <w:sz w:val="18"/>
                                <w:szCs w:val="18"/>
                              </w:rPr>
                              <w:t>– give them a greater choice and ensure enjoyment is a priority; emphasise the value of reading but also allow video games etc. and out of classroom activities</w:t>
                            </w:r>
                          </w:p>
                          <w:p w:rsidR="00F66725" w:rsidRPr="00795425" w:rsidRDefault="00F66725" w:rsidP="00CB40EF">
                            <w:pPr>
                              <w:pStyle w:val="ListParagraph"/>
                              <w:numPr>
                                <w:ilvl w:val="0"/>
                                <w:numId w:val="16"/>
                              </w:numPr>
                              <w:jc w:val="both"/>
                              <w:rPr>
                                <w:rFonts w:ascii="Century Gothic" w:hAnsi="Century Gothic"/>
                                <w:sz w:val="18"/>
                                <w:szCs w:val="18"/>
                              </w:rPr>
                            </w:pPr>
                            <w:r w:rsidRPr="00F66725">
                              <w:rPr>
                                <w:rFonts w:ascii="Century Gothic" w:hAnsi="Century Gothic"/>
                                <w:i/>
                                <w:color w:val="C00000"/>
                                <w:sz w:val="18"/>
                                <w:szCs w:val="18"/>
                              </w:rPr>
                              <w:t>For girls and mathematics</w:t>
                            </w:r>
                            <w:r w:rsidRPr="00F66725">
                              <w:rPr>
                                <w:rFonts w:ascii="Century Gothic" w:hAnsi="Century Gothic"/>
                                <w:color w:val="C00000"/>
                                <w:sz w:val="18"/>
                                <w:szCs w:val="18"/>
                              </w:rPr>
                              <w:t xml:space="preserve"> </w:t>
                            </w:r>
                            <w:r w:rsidRPr="00F66725">
                              <w:rPr>
                                <w:rFonts w:ascii="Century Gothic" w:hAnsi="Century Gothic"/>
                                <w:sz w:val="18"/>
                                <w:szCs w:val="18"/>
                              </w:rPr>
                              <w:t>–</w:t>
                            </w:r>
                            <w:r w:rsidRPr="00F66725">
                              <w:rPr>
                                <w:rFonts w:ascii="Century Gothic" w:hAnsi="Century Gothic"/>
                                <w:color w:val="C00000"/>
                                <w:sz w:val="18"/>
                                <w:szCs w:val="18"/>
                              </w:rPr>
                              <w:t xml:space="preserve"> </w:t>
                            </w:r>
                            <w:r w:rsidRPr="00795425">
                              <w:rPr>
                                <w:rFonts w:ascii="Century Gothic" w:hAnsi="Century Gothic"/>
                                <w:sz w:val="18"/>
                                <w:szCs w:val="18"/>
                              </w:rPr>
                              <w:t xml:space="preserve">build girls self-confidence; evaluating girls’ actual abilities – noting the tasks they accomplish relatively easily and those with which they struggle; use strategies that equip girls with problem solving techniques, including the time to think and rehearse solutions; build a sense of math’s intrinsic and extrinsic value  </w:t>
                            </w:r>
                          </w:p>
                          <w:p w:rsidR="00F66725" w:rsidRPr="00795425" w:rsidRDefault="00F66725" w:rsidP="00CB40EF">
                            <w:pPr>
                              <w:pStyle w:val="ListParagraph"/>
                              <w:numPr>
                                <w:ilvl w:val="0"/>
                                <w:numId w:val="16"/>
                              </w:numPr>
                              <w:jc w:val="both"/>
                              <w:rPr>
                                <w:rFonts w:ascii="Century Gothic" w:hAnsi="Century Gothic"/>
                                <w:sz w:val="18"/>
                                <w:szCs w:val="18"/>
                              </w:rPr>
                            </w:pPr>
                            <w:r w:rsidRPr="00795425">
                              <w:rPr>
                                <w:rFonts w:ascii="Century Gothic" w:hAnsi="Century Gothic"/>
                                <w:sz w:val="18"/>
                                <w:szCs w:val="18"/>
                              </w:rPr>
                              <w:t xml:space="preserve">Train teaches to be aware of gender bias and how to help students look ahead and be aspirational. </w:t>
                            </w:r>
                          </w:p>
                          <w:p w:rsidR="00F66725" w:rsidRPr="00795425" w:rsidRDefault="00F66725" w:rsidP="00CB40EF">
                            <w:pPr>
                              <w:jc w:val="both"/>
                              <w:rPr>
                                <w:sz w:val="18"/>
                                <w:szCs w:val="18"/>
                              </w:rPr>
                            </w:pPr>
                            <w:r w:rsidRPr="00795425">
                              <w:rPr>
                                <w:sz w:val="18"/>
                                <w:szCs w:val="18"/>
                              </w:rPr>
                              <w:t xml:space="preserve">Importantly, most research concludes that strategies have to be based on high quality teaching that attends to the individual learning and social needs of students through an orderly, supportive and stimulating learning environment. The focus needs to be primarily on individual need not the assumed needs of groups. </w:t>
                            </w:r>
                            <w:r w:rsidRPr="00795425">
                              <w:rPr>
                                <w:rFonts w:ascii="Century Gothic" w:hAnsi="Century Gothic"/>
                                <w:sz w:val="18"/>
                                <w:szCs w:val="18"/>
                              </w:rPr>
                              <w:t xml:space="preserve"> </w:t>
                            </w:r>
                          </w:p>
                          <w:p w:rsidR="00F66725" w:rsidRPr="00795425" w:rsidRDefault="00F66725" w:rsidP="00CB40EF">
                            <w:pPr>
                              <w:jc w:val="both"/>
                              <w:rPr>
                                <w:rFonts w:ascii="Century Gothic" w:hAnsi="Century Gothic"/>
                                <w:sz w:val="18"/>
                                <w:szCs w:val="18"/>
                              </w:rPr>
                            </w:pPr>
                          </w:p>
                          <w:p w:rsidR="00F66725" w:rsidRDefault="00F667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1.4pt;margin-top:1.75pt;width:470.1pt;height:74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" fillcolor="white [3201]" strokecolor="#4f81bd [3204]" strokeweight="2pt">
                <v:textbox>
                  <w:txbxContent>
                    <w:p w:rsidR="00F66725" w:rsidRDefault="00F66725" w:rsidP="00CB40EF">
                      <w:pPr>
                        <w:pStyle w:val="Heading3"/>
                      </w:pPr>
                      <w:bookmarkStart w:id="12" w:name="_Toc466730271"/>
                      <w:bookmarkStart w:id="13" w:name="_Toc469259442"/>
                      <w:r>
                        <w:t>Performance and gender</w:t>
                      </w:r>
                      <w:bookmarkEnd w:id="12"/>
                      <w:bookmarkEnd w:id="13"/>
                    </w:p>
                    <w:p w:rsidR="00F66725" w:rsidRPr="00795425" w:rsidRDefault="00F66725" w:rsidP="00CB40EF">
                      <w:pPr>
                        <w:jc w:val="both"/>
                        <w:rPr>
                          <w:rFonts w:ascii="Century Gothic" w:hAnsi="Century Gothic"/>
                          <w:sz w:val="18"/>
                          <w:szCs w:val="18"/>
                        </w:rPr>
                      </w:pPr>
                      <w:r w:rsidRPr="00795425">
                        <w:rPr>
                          <w:rFonts w:ascii="Century Gothic" w:hAnsi="Century Gothic"/>
                          <w:sz w:val="18"/>
                          <w:szCs w:val="18"/>
                        </w:rPr>
                        <w:t xml:space="preserve">Internationally and in Australia the overall pattern of gender difference is generally consistent, although findings are mostly qualified. The broader context is that Australia’s overall performance has so-called flat lined and that improvements are therefore being sought </w:t>
                      </w:r>
                      <w:r>
                        <w:rPr>
                          <w:rFonts w:ascii="Century Gothic" w:hAnsi="Century Gothic"/>
                          <w:sz w:val="18"/>
                          <w:szCs w:val="18"/>
                        </w:rPr>
                        <w:t xml:space="preserve">across the board </w:t>
                      </w:r>
                      <w:r w:rsidRPr="00795425">
                        <w:rPr>
                          <w:rFonts w:ascii="Century Gothic" w:hAnsi="Century Gothic"/>
                          <w:sz w:val="18"/>
                          <w:szCs w:val="18"/>
                        </w:rPr>
                        <w:t xml:space="preserve">for </w:t>
                      </w:r>
                      <w:r>
                        <w:rPr>
                          <w:rFonts w:ascii="Century Gothic" w:hAnsi="Century Gothic"/>
                          <w:sz w:val="18"/>
                          <w:szCs w:val="18"/>
                        </w:rPr>
                        <w:t xml:space="preserve">both </w:t>
                      </w:r>
                      <w:r w:rsidRPr="00795425">
                        <w:rPr>
                          <w:rFonts w:ascii="Century Gothic" w:hAnsi="Century Gothic"/>
                          <w:sz w:val="18"/>
                          <w:szCs w:val="18"/>
                        </w:rPr>
                        <w:t>boys and girls, including in the higher bands of performance</w:t>
                      </w:r>
                      <w:r>
                        <w:rPr>
                          <w:rFonts w:ascii="Century Gothic" w:hAnsi="Century Gothic"/>
                          <w:sz w:val="18"/>
                          <w:szCs w:val="18"/>
                        </w:rPr>
                        <w:t xml:space="preserve"> and in lower socio-economic groups </w:t>
                      </w:r>
                      <w:r w:rsidRPr="00795425">
                        <w:rPr>
                          <w:rFonts w:ascii="Century Gothic" w:hAnsi="Century Gothic"/>
                          <w:sz w:val="18"/>
                          <w:szCs w:val="18"/>
                        </w:rPr>
                        <w:t xml:space="preserve">      </w:t>
                      </w:r>
                    </w:p>
                    <w:p w:rsidR="00F66725" w:rsidRPr="00795425" w:rsidRDefault="00F66725" w:rsidP="00CB40EF">
                      <w:pPr>
                        <w:pStyle w:val="ListParagraph"/>
                        <w:numPr>
                          <w:ilvl w:val="0"/>
                          <w:numId w:val="16"/>
                        </w:numPr>
                        <w:jc w:val="both"/>
                        <w:rPr>
                          <w:rFonts w:ascii="Century Gothic" w:hAnsi="Century Gothic"/>
                          <w:sz w:val="18"/>
                          <w:szCs w:val="18"/>
                        </w:rPr>
                      </w:pPr>
                      <w:r w:rsidRPr="00795425">
                        <w:rPr>
                          <w:rFonts w:ascii="Century Gothic" w:hAnsi="Century Gothic"/>
                          <w:sz w:val="18"/>
                          <w:szCs w:val="18"/>
                        </w:rPr>
                        <w:t>Girls outperform boys in reading and writing – although in Victoria the difference is not large when considering mean performance</w:t>
                      </w:r>
                    </w:p>
                    <w:p w:rsidR="00F66725" w:rsidRPr="00795425" w:rsidRDefault="00F66725" w:rsidP="00CB40EF">
                      <w:pPr>
                        <w:pStyle w:val="ListParagraph"/>
                        <w:numPr>
                          <w:ilvl w:val="0"/>
                          <w:numId w:val="16"/>
                        </w:numPr>
                        <w:jc w:val="both"/>
                        <w:rPr>
                          <w:rFonts w:ascii="Century Gothic" w:hAnsi="Century Gothic"/>
                          <w:sz w:val="18"/>
                          <w:szCs w:val="18"/>
                        </w:rPr>
                      </w:pPr>
                      <w:r w:rsidRPr="00795425">
                        <w:rPr>
                          <w:rFonts w:ascii="Century Gothic" w:hAnsi="Century Gothic"/>
                          <w:sz w:val="18"/>
                          <w:szCs w:val="18"/>
                        </w:rPr>
                        <w:t xml:space="preserve">Boys outperform girls in mathematics in some instances – the nature of the gap varies and is  most apparent among high performers; but some data do not show a gap   </w:t>
                      </w:r>
                    </w:p>
                    <w:p w:rsidR="00F66725" w:rsidRPr="00795425" w:rsidRDefault="00F66725" w:rsidP="00CB40EF">
                      <w:pPr>
                        <w:pStyle w:val="ListParagraph"/>
                        <w:numPr>
                          <w:ilvl w:val="0"/>
                          <w:numId w:val="16"/>
                        </w:numPr>
                        <w:jc w:val="both"/>
                        <w:rPr>
                          <w:rFonts w:ascii="Century Gothic" w:hAnsi="Century Gothic"/>
                          <w:sz w:val="18"/>
                          <w:szCs w:val="18"/>
                        </w:rPr>
                      </w:pPr>
                      <w:r w:rsidRPr="00795425">
                        <w:rPr>
                          <w:rFonts w:ascii="Century Gothic" w:hAnsi="Century Gothic"/>
                          <w:sz w:val="18"/>
                          <w:szCs w:val="18"/>
                        </w:rPr>
                        <w:t xml:space="preserve">The gap between girls and boys in reading is greater than the between boys and girls in mathematics </w:t>
                      </w:r>
                    </w:p>
                    <w:p w:rsidR="00F66725" w:rsidRPr="00795425" w:rsidRDefault="00F66725" w:rsidP="00CB40EF">
                      <w:pPr>
                        <w:pStyle w:val="ListParagraph"/>
                        <w:numPr>
                          <w:ilvl w:val="0"/>
                          <w:numId w:val="16"/>
                        </w:numPr>
                        <w:jc w:val="both"/>
                        <w:rPr>
                          <w:rFonts w:ascii="Century Gothic" w:hAnsi="Century Gothic"/>
                          <w:sz w:val="18"/>
                          <w:szCs w:val="18"/>
                        </w:rPr>
                      </w:pPr>
                      <w:r w:rsidRPr="00795425">
                        <w:rPr>
                          <w:rFonts w:ascii="Century Gothic" w:hAnsi="Century Gothic"/>
                          <w:sz w:val="18"/>
                          <w:szCs w:val="18"/>
                        </w:rPr>
                        <w:t>Boys’ poor reading links with poor engagement in learning and the risk of leaving school early</w:t>
                      </w:r>
                    </w:p>
                    <w:p w:rsidR="00F66725" w:rsidRPr="00795425" w:rsidRDefault="00F66725" w:rsidP="00CB40EF">
                      <w:pPr>
                        <w:pStyle w:val="ListParagraph"/>
                        <w:numPr>
                          <w:ilvl w:val="0"/>
                          <w:numId w:val="16"/>
                        </w:numPr>
                        <w:jc w:val="both"/>
                        <w:rPr>
                          <w:rFonts w:ascii="Century Gothic" w:hAnsi="Century Gothic"/>
                          <w:sz w:val="18"/>
                          <w:szCs w:val="18"/>
                        </w:rPr>
                      </w:pPr>
                      <w:r w:rsidRPr="00795425">
                        <w:rPr>
                          <w:rFonts w:ascii="Century Gothic" w:hAnsi="Century Gothic"/>
                          <w:sz w:val="18"/>
                          <w:szCs w:val="18"/>
                        </w:rPr>
                        <w:t xml:space="preserve">Girls are more likely than boys to express high anxiety about mathematics even when they achieve at the same or at a higher level than boys </w:t>
                      </w:r>
                    </w:p>
                    <w:p w:rsidR="00F66725" w:rsidRPr="00795425" w:rsidRDefault="00F66725" w:rsidP="00CB40EF">
                      <w:pPr>
                        <w:pStyle w:val="ListParagraph"/>
                        <w:numPr>
                          <w:ilvl w:val="0"/>
                          <w:numId w:val="16"/>
                        </w:numPr>
                        <w:jc w:val="both"/>
                        <w:rPr>
                          <w:rFonts w:ascii="Century Gothic" w:hAnsi="Century Gothic"/>
                          <w:sz w:val="18"/>
                          <w:szCs w:val="18"/>
                        </w:rPr>
                      </w:pPr>
                      <w:r w:rsidRPr="00795425">
                        <w:rPr>
                          <w:rFonts w:ascii="Century Gothic" w:hAnsi="Century Gothic"/>
                          <w:sz w:val="18"/>
                          <w:szCs w:val="18"/>
                        </w:rPr>
                        <w:t>Girls are less likely to choose senior studies in mathematics even when they achieve at</w:t>
                      </w:r>
                    </w:p>
                    <w:p w:rsidR="00F66725" w:rsidRPr="00795425" w:rsidRDefault="00F66725" w:rsidP="00CB40EF">
                      <w:pPr>
                        <w:pStyle w:val="ListParagraph"/>
                        <w:jc w:val="both"/>
                        <w:rPr>
                          <w:rFonts w:ascii="Century Gothic" w:hAnsi="Century Gothic"/>
                          <w:sz w:val="18"/>
                          <w:szCs w:val="18"/>
                        </w:rPr>
                      </w:pPr>
                      <w:r w:rsidRPr="00795425">
                        <w:rPr>
                          <w:rFonts w:ascii="Century Gothic" w:hAnsi="Century Gothic"/>
                          <w:sz w:val="18"/>
                          <w:szCs w:val="18"/>
                        </w:rPr>
                        <w:t>the same level or are better than boys.</w:t>
                      </w:r>
                    </w:p>
                    <w:p w:rsidR="00F66725" w:rsidRPr="00795425" w:rsidRDefault="00F66725" w:rsidP="00CB40EF">
                      <w:pPr>
                        <w:pStyle w:val="Heading3"/>
                      </w:pPr>
                      <w:bookmarkStart w:id="14" w:name="_Toc463183791"/>
                      <w:bookmarkStart w:id="15" w:name="_Toc466730272"/>
                      <w:bookmarkStart w:id="16" w:name="_Toc469259439"/>
                      <w:r w:rsidRPr="00795425">
                        <w:t>Why is this happening</w:t>
                      </w:r>
                      <w:bookmarkEnd w:id="14"/>
                      <w:bookmarkEnd w:id="15"/>
                      <w:bookmarkEnd w:id="16"/>
                      <w:r w:rsidRPr="00795425">
                        <w:t xml:space="preserve"> </w:t>
                      </w:r>
                    </w:p>
                    <w:p w:rsidR="00F66725" w:rsidRPr="00795425" w:rsidRDefault="00F66725" w:rsidP="00CB40EF">
                      <w:pPr>
                        <w:jc w:val="both"/>
                        <w:rPr>
                          <w:rFonts w:ascii="Century Gothic" w:hAnsi="Century Gothic"/>
                          <w:sz w:val="18"/>
                          <w:szCs w:val="18"/>
                        </w:rPr>
                      </w:pPr>
                      <w:r w:rsidRPr="00795425">
                        <w:rPr>
                          <w:rFonts w:ascii="Century Gothic" w:hAnsi="Century Gothic"/>
                          <w:sz w:val="18"/>
                          <w:szCs w:val="18"/>
                        </w:rPr>
                        <w:t xml:space="preserve">There are complex, diverse </w:t>
                      </w:r>
                      <w:r>
                        <w:rPr>
                          <w:rFonts w:ascii="Century Gothic" w:hAnsi="Century Gothic"/>
                          <w:sz w:val="18"/>
                          <w:szCs w:val="18"/>
                        </w:rPr>
                        <w:t>and some cont</w:t>
                      </w:r>
                      <w:r w:rsidRPr="00795425">
                        <w:rPr>
                          <w:rFonts w:ascii="Century Gothic" w:hAnsi="Century Gothic"/>
                          <w:sz w:val="18"/>
                          <w:szCs w:val="18"/>
                        </w:rPr>
                        <w:t xml:space="preserve">ested explanations </w:t>
                      </w:r>
                    </w:p>
                    <w:p w:rsidR="00F66725" w:rsidRPr="00795425" w:rsidRDefault="00F66725" w:rsidP="00CB40EF">
                      <w:pPr>
                        <w:pStyle w:val="ListParagraph"/>
                        <w:numPr>
                          <w:ilvl w:val="0"/>
                          <w:numId w:val="16"/>
                        </w:numPr>
                        <w:jc w:val="both"/>
                        <w:rPr>
                          <w:rFonts w:ascii="Century Gothic" w:hAnsi="Century Gothic"/>
                          <w:sz w:val="18"/>
                          <w:szCs w:val="18"/>
                        </w:rPr>
                      </w:pPr>
                      <w:r w:rsidRPr="00795425">
                        <w:rPr>
                          <w:rFonts w:ascii="Century Gothic" w:hAnsi="Century Gothic"/>
                          <w:sz w:val="18"/>
                          <w:szCs w:val="18"/>
                        </w:rPr>
                        <w:t>There is consensus that differences do not arise from innate differences in abilities but from factors such as attitudes (e.g. parent and community expectations about boys’ strengths), behaviours, sense of intrins</w:t>
                      </w:r>
                      <w:r>
                        <w:rPr>
                          <w:rFonts w:ascii="Century Gothic" w:hAnsi="Century Gothic"/>
                          <w:sz w:val="18"/>
                          <w:szCs w:val="18"/>
                        </w:rPr>
                        <w:t xml:space="preserve">ic and extrinsic value (i.e. do girls see maths as </w:t>
                      </w:r>
                      <w:r w:rsidRPr="00795425">
                        <w:rPr>
                          <w:rFonts w:ascii="Century Gothic" w:hAnsi="Century Gothic"/>
                          <w:sz w:val="18"/>
                          <w:szCs w:val="18"/>
                        </w:rPr>
                        <w:t xml:space="preserve">worth doing), engagement with learning and learning patterns  </w:t>
                      </w:r>
                    </w:p>
                    <w:p w:rsidR="00F66725" w:rsidRPr="00795425" w:rsidRDefault="00F66725" w:rsidP="00CB40EF">
                      <w:pPr>
                        <w:pStyle w:val="ListParagraph"/>
                        <w:numPr>
                          <w:ilvl w:val="0"/>
                          <w:numId w:val="16"/>
                        </w:numPr>
                        <w:jc w:val="both"/>
                        <w:rPr>
                          <w:rFonts w:ascii="Century Gothic" w:hAnsi="Century Gothic"/>
                          <w:sz w:val="18"/>
                          <w:szCs w:val="18"/>
                        </w:rPr>
                      </w:pPr>
                      <w:r w:rsidRPr="00795425">
                        <w:rPr>
                          <w:rFonts w:ascii="Century Gothic" w:hAnsi="Century Gothic"/>
                          <w:sz w:val="18"/>
                          <w:szCs w:val="18"/>
                        </w:rPr>
                        <w:t xml:space="preserve">However, factors other than gender </w:t>
                      </w:r>
                      <w:r>
                        <w:rPr>
                          <w:rFonts w:ascii="Century Gothic" w:hAnsi="Century Gothic"/>
                          <w:sz w:val="18"/>
                          <w:szCs w:val="18"/>
                        </w:rPr>
                        <w:t xml:space="preserve">and outside the immediate impact of classroom and school </w:t>
                      </w:r>
                      <w:r w:rsidRPr="00795425">
                        <w:rPr>
                          <w:rFonts w:ascii="Century Gothic" w:hAnsi="Century Gothic"/>
                          <w:sz w:val="18"/>
                          <w:szCs w:val="18"/>
                        </w:rPr>
                        <w:t xml:space="preserve">(e.g. socio-economic background, ethnicity, location, social expectations) may be equally or more important in explaining the gaps in performance </w:t>
                      </w:r>
                    </w:p>
                    <w:p w:rsidR="00F66725" w:rsidRPr="00795425" w:rsidRDefault="00F66725" w:rsidP="00CB40EF">
                      <w:pPr>
                        <w:pStyle w:val="ListParagraph"/>
                        <w:numPr>
                          <w:ilvl w:val="0"/>
                          <w:numId w:val="16"/>
                        </w:numPr>
                        <w:jc w:val="both"/>
                        <w:rPr>
                          <w:rFonts w:ascii="Century Gothic" w:hAnsi="Century Gothic"/>
                          <w:sz w:val="18"/>
                          <w:szCs w:val="18"/>
                        </w:rPr>
                      </w:pPr>
                      <w:r w:rsidRPr="00F66725">
                        <w:rPr>
                          <w:rFonts w:ascii="Century Gothic" w:hAnsi="Century Gothic"/>
                          <w:i/>
                          <w:color w:val="C00000"/>
                          <w:sz w:val="18"/>
                          <w:szCs w:val="18"/>
                        </w:rPr>
                        <w:t>For boys and literacy</w:t>
                      </w:r>
                      <w:r w:rsidRPr="00F66725">
                        <w:rPr>
                          <w:rFonts w:ascii="Century Gothic" w:hAnsi="Century Gothic"/>
                          <w:color w:val="C00000"/>
                          <w:sz w:val="18"/>
                          <w:szCs w:val="18"/>
                        </w:rPr>
                        <w:t xml:space="preserve"> </w:t>
                      </w:r>
                      <w:r w:rsidRPr="00795425">
                        <w:rPr>
                          <w:rFonts w:ascii="Century Gothic" w:hAnsi="Century Gothic"/>
                          <w:sz w:val="18"/>
                          <w:szCs w:val="18"/>
                        </w:rPr>
                        <w:t>– their capacities may not be sufficiently engaged in learning and they do not consistently have opportunities for building a positive self-belief</w:t>
                      </w:r>
                    </w:p>
                    <w:p w:rsidR="00F66725" w:rsidRPr="00795425" w:rsidRDefault="00F66725" w:rsidP="00CB40EF">
                      <w:pPr>
                        <w:pStyle w:val="ListParagraph"/>
                        <w:numPr>
                          <w:ilvl w:val="0"/>
                          <w:numId w:val="16"/>
                        </w:numPr>
                        <w:jc w:val="both"/>
                        <w:rPr>
                          <w:rFonts w:ascii="Century Gothic" w:hAnsi="Century Gothic"/>
                          <w:sz w:val="18"/>
                          <w:szCs w:val="18"/>
                        </w:rPr>
                      </w:pPr>
                      <w:r w:rsidRPr="00F66725">
                        <w:rPr>
                          <w:rFonts w:ascii="Century Gothic" w:hAnsi="Century Gothic"/>
                          <w:i/>
                          <w:color w:val="C00000"/>
                          <w:sz w:val="18"/>
                          <w:szCs w:val="18"/>
                        </w:rPr>
                        <w:t>For girls and numeracy</w:t>
                      </w:r>
                      <w:r w:rsidRPr="00F66725">
                        <w:rPr>
                          <w:rFonts w:ascii="Century Gothic" w:hAnsi="Century Gothic"/>
                          <w:color w:val="C00000"/>
                          <w:sz w:val="18"/>
                          <w:szCs w:val="18"/>
                        </w:rPr>
                        <w:t xml:space="preserve"> </w:t>
                      </w:r>
                      <w:r w:rsidRPr="00795425">
                        <w:rPr>
                          <w:rFonts w:ascii="Century Gothic" w:hAnsi="Century Gothic"/>
                          <w:sz w:val="18"/>
                          <w:szCs w:val="18"/>
                        </w:rPr>
                        <w:t xml:space="preserve">– they tend to be more afraid of mathematics as they move through school, see less intrinsic value in it and prefer other activities. </w:t>
                      </w:r>
                    </w:p>
                    <w:p w:rsidR="00F66725" w:rsidRDefault="00F66725" w:rsidP="00CB40EF">
                      <w:pPr>
                        <w:pStyle w:val="Heading3"/>
                      </w:pPr>
                      <w:bookmarkStart w:id="17" w:name="_Toc466730273"/>
                      <w:bookmarkStart w:id="18" w:name="_Toc469259440"/>
                      <w:r>
                        <w:t>Strategies for success</w:t>
                      </w:r>
                      <w:bookmarkEnd w:id="17"/>
                      <w:bookmarkEnd w:id="18"/>
                      <w:r>
                        <w:t xml:space="preserve"> </w:t>
                      </w:r>
                    </w:p>
                    <w:p w:rsidR="00F66725" w:rsidRPr="00795425" w:rsidRDefault="00F66725" w:rsidP="00CB40EF">
                      <w:pPr>
                        <w:jc w:val="both"/>
                        <w:rPr>
                          <w:sz w:val="18"/>
                          <w:szCs w:val="18"/>
                        </w:rPr>
                      </w:pPr>
                      <w:r w:rsidRPr="00795425">
                        <w:rPr>
                          <w:sz w:val="18"/>
                          <w:szCs w:val="18"/>
                        </w:rPr>
                        <w:t xml:space="preserve">The evidence base for proven education strategies is variable and as yet lacking major recommendations that are backed with a ‘strong’ body of evidence.  </w:t>
                      </w:r>
                    </w:p>
                    <w:p w:rsidR="00F66725" w:rsidRPr="00795425" w:rsidRDefault="00F66725" w:rsidP="00CB40EF">
                      <w:pPr>
                        <w:jc w:val="both"/>
                        <w:rPr>
                          <w:sz w:val="18"/>
                          <w:szCs w:val="18"/>
                        </w:rPr>
                      </w:pPr>
                      <w:r w:rsidRPr="00795425">
                        <w:rPr>
                          <w:sz w:val="18"/>
                          <w:szCs w:val="18"/>
                        </w:rPr>
                        <w:t>Solutions summarised by the OECD reflect those from Australian research and revolve around understanding the behavioural and attitudinal differences between boys and girls</w:t>
                      </w:r>
                    </w:p>
                    <w:p w:rsidR="00F66725" w:rsidRPr="00795425" w:rsidRDefault="00F66725" w:rsidP="00CB40EF">
                      <w:pPr>
                        <w:pStyle w:val="ListParagraph"/>
                        <w:numPr>
                          <w:ilvl w:val="0"/>
                          <w:numId w:val="19"/>
                        </w:numPr>
                        <w:jc w:val="both"/>
                        <w:rPr>
                          <w:rFonts w:ascii="Century Gothic" w:hAnsi="Century Gothic"/>
                          <w:sz w:val="18"/>
                          <w:szCs w:val="18"/>
                        </w:rPr>
                      </w:pPr>
                      <w:r w:rsidRPr="00F66725">
                        <w:rPr>
                          <w:rFonts w:ascii="Century Gothic" w:hAnsi="Century Gothic"/>
                          <w:i/>
                          <w:color w:val="C00000"/>
                          <w:sz w:val="18"/>
                          <w:szCs w:val="18"/>
                        </w:rPr>
                        <w:t>For boys and literacy</w:t>
                      </w:r>
                      <w:r w:rsidRPr="00795425">
                        <w:rPr>
                          <w:rFonts w:ascii="Century Gothic" w:hAnsi="Century Gothic"/>
                          <w:sz w:val="18"/>
                          <w:szCs w:val="18"/>
                        </w:rPr>
                        <w:t>– give them a greater choice and ensure enjoyment is a priority; emphasise the value of reading but also allow video games etc. and out of classroom activities</w:t>
                      </w:r>
                    </w:p>
                    <w:p w:rsidR="00F66725" w:rsidRPr="00795425" w:rsidRDefault="00F66725" w:rsidP="00CB40EF">
                      <w:pPr>
                        <w:pStyle w:val="ListParagraph"/>
                        <w:numPr>
                          <w:ilvl w:val="0"/>
                          <w:numId w:val="16"/>
                        </w:numPr>
                        <w:jc w:val="both"/>
                        <w:rPr>
                          <w:rFonts w:ascii="Century Gothic" w:hAnsi="Century Gothic"/>
                          <w:sz w:val="18"/>
                          <w:szCs w:val="18"/>
                        </w:rPr>
                      </w:pPr>
                      <w:r w:rsidRPr="00F66725">
                        <w:rPr>
                          <w:rFonts w:ascii="Century Gothic" w:hAnsi="Century Gothic"/>
                          <w:i/>
                          <w:color w:val="C00000"/>
                          <w:sz w:val="18"/>
                          <w:szCs w:val="18"/>
                        </w:rPr>
                        <w:t>For girls and mathematics</w:t>
                      </w:r>
                      <w:r w:rsidRPr="00F66725">
                        <w:rPr>
                          <w:rFonts w:ascii="Century Gothic" w:hAnsi="Century Gothic"/>
                          <w:color w:val="C00000"/>
                          <w:sz w:val="18"/>
                          <w:szCs w:val="18"/>
                        </w:rPr>
                        <w:t xml:space="preserve"> </w:t>
                      </w:r>
                      <w:r w:rsidRPr="00F66725">
                        <w:rPr>
                          <w:rFonts w:ascii="Century Gothic" w:hAnsi="Century Gothic"/>
                          <w:sz w:val="18"/>
                          <w:szCs w:val="18"/>
                        </w:rPr>
                        <w:t>–</w:t>
                      </w:r>
                      <w:r w:rsidRPr="00F66725">
                        <w:rPr>
                          <w:rFonts w:ascii="Century Gothic" w:hAnsi="Century Gothic"/>
                          <w:color w:val="C00000"/>
                          <w:sz w:val="18"/>
                          <w:szCs w:val="18"/>
                        </w:rPr>
                        <w:t xml:space="preserve"> </w:t>
                      </w:r>
                      <w:r w:rsidRPr="00795425">
                        <w:rPr>
                          <w:rFonts w:ascii="Century Gothic" w:hAnsi="Century Gothic"/>
                          <w:sz w:val="18"/>
                          <w:szCs w:val="18"/>
                        </w:rPr>
                        <w:t xml:space="preserve">build girls self-confidence; evaluating girls’ actual abilities – noting the tasks they accomplish relatively easily and those with which they struggle; use strategies that equip girls with problem solving techniques, including the time to think and rehearse solutions; build a sense of math’s intrinsic and extrinsic value  </w:t>
                      </w:r>
                    </w:p>
                    <w:p w:rsidR="00F66725" w:rsidRPr="00795425" w:rsidRDefault="00F66725" w:rsidP="00CB40EF">
                      <w:pPr>
                        <w:pStyle w:val="ListParagraph"/>
                        <w:numPr>
                          <w:ilvl w:val="0"/>
                          <w:numId w:val="16"/>
                        </w:numPr>
                        <w:jc w:val="both"/>
                        <w:rPr>
                          <w:rFonts w:ascii="Century Gothic" w:hAnsi="Century Gothic"/>
                          <w:sz w:val="18"/>
                          <w:szCs w:val="18"/>
                        </w:rPr>
                      </w:pPr>
                      <w:r w:rsidRPr="00795425">
                        <w:rPr>
                          <w:rFonts w:ascii="Century Gothic" w:hAnsi="Century Gothic"/>
                          <w:sz w:val="18"/>
                          <w:szCs w:val="18"/>
                        </w:rPr>
                        <w:t xml:space="preserve">Train teaches to be aware of gender bias and how to help students look ahead and be aspirational. </w:t>
                      </w:r>
                    </w:p>
                    <w:p w:rsidR="00F66725" w:rsidRPr="00795425" w:rsidRDefault="00F66725" w:rsidP="00CB40EF">
                      <w:pPr>
                        <w:jc w:val="both"/>
                        <w:rPr>
                          <w:sz w:val="18"/>
                          <w:szCs w:val="18"/>
                        </w:rPr>
                      </w:pPr>
                      <w:r w:rsidRPr="00795425">
                        <w:rPr>
                          <w:sz w:val="18"/>
                          <w:szCs w:val="18"/>
                        </w:rPr>
                        <w:t xml:space="preserve">Importantly, most research concludes that strategies have to be based on high quality teaching that attends to the individual learning and social needs of students through an orderly, supportive and stimulating learning environment. The focus needs to be primarily on individual need not the assumed needs of groups. </w:t>
                      </w:r>
                      <w:r w:rsidRPr="00795425">
                        <w:rPr>
                          <w:rFonts w:ascii="Century Gothic" w:hAnsi="Century Gothic"/>
                          <w:sz w:val="18"/>
                          <w:szCs w:val="18"/>
                        </w:rPr>
                        <w:t xml:space="preserve"> </w:t>
                      </w:r>
                    </w:p>
                    <w:p w:rsidR="00F66725" w:rsidRPr="00795425" w:rsidRDefault="00F66725" w:rsidP="00CB40EF">
                      <w:pPr>
                        <w:jc w:val="both"/>
                        <w:rPr>
                          <w:rFonts w:ascii="Century Gothic" w:hAnsi="Century Gothic"/>
                          <w:sz w:val="18"/>
                          <w:szCs w:val="18"/>
                        </w:rPr>
                      </w:pPr>
                    </w:p>
                    <w:p w:rsidR="00F66725" w:rsidRDefault="00F66725"/>
                  </w:txbxContent>
                </v:textbox>
              </v:shape>
            </w:pict>
          </mc:Fallback>
        </mc:AlternateContent>
      </w:r>
      <w:bookmarkEnd w:id="3"/>
      <w:bookmarkEnd w:id="4"/>
    </w:p>
    <w:p w:rsidR="00CB40EF" w:rsidRDefault="00CB40EF" w:rsidP="006B5075">
      <w:pPr>
        <w:pStyle w:val="Heading3"/>
      </w:pPr>
    </w:p>
    <w:p w:rsidR="00CB40EF" w:rsidRDefault="00CB40EF" w:rsidP="006B5075">
      <w:pPr>
        <w:pStyle w:val="Heading3"/>
      </w:pPr>
    </w:p>
    <w:p w:rsidR="00CB40EF" w:rsidRDefault="00CB40EF" w:rsidP="006B5075">
      <w:pPr>
        <w:pStyle w:val="Heading3"/>
      </w:pPr>
    </w:p>
    <w:p w:rsidR="00CB40EF" w:rsidRDefault="00CB40EF" w:rsidP="006B5075">
      <w:pPr>
        <w:pStyle w:val="Heading3"/>
      </w:pPr>
    </w:p>
    <w:p w:rsidR="00CB40EF" w:rsidRDefault="00CB40EF" w:rsidP="006B5075">
      <w:pPr>
        <w:pStyle w:val="Heading3"/>
      </w:pPr>
    </w:p>
    <w:p w:rsidR="00CB40EF" w:rsidRDefault="00CB40EF" w:rsidP="006B5075">
      <w:pPr>
        <w:pStyle w:val="Heading3"/>
      </w:pPr>
    </w:p>
    <w:p w:rsidR="00CB40EF" w:rsidRDefault="00CB40EF" w:rsidP="006B5075">
      <w:pPr>
        <w:pStyle w:val="Heading3"/>
      </w:pPr>
    </w:p>
    <w:p w:rsidR="00CB40EF" w:rsidRDefault="00CB40EF" w:rsidP="006B5075">
      <w:pPr>
        <w:pStyle w:val="Heading3"/>
      </w:pPr>
    </w:p>
    <w:bookmarkEnd w:id="5"/>
    <w:p w:rsidR="00CB40EF" w:rsidRDefault="00CB40EF" w:rsidP="006B5075">
      <w:pPr>
        <w:pStyle w:val="Heading3"/>
      </w:pPr>
    </w:p>
    <w:p w:rsidR="00CB40EF" w:rsidRDefault="00CB40EF" w:rsidP="006B5075">
      <w:pPr>
        <w:pStyle w:val="Heading3"/>
      </w:pPr>
    </w:p>
    <w:p w:rsidR="00CB40EF" w:rsidRDefault="00CB40EF" w:rsidP="006B5075">
      <w:pPr>
        <w:pStyle w:val="Heading3"/>
      </w:pPr>
    </w:p>
    <w:p w:rsidR="00CB40EF" w:rsidRDefault="00CB40EF" w:rsidP="006B5075">
      <w:pPr>
        <w:pStyle w:val="Heading3"/>
      </w:pPr>
    </w:p>
    <w:p w:rsidR="00CB40EF" w:rsidRDefault="00CB40EF" w:rsidP="006B5075">
      <w:pPr>
        <w:pStyle w:val="Heading3"/>
      </w:pPr>
    </w:p>
    <w:p w:rsidR="00CB40EF" w:rsidRDefault="00CB40EF" w:rsidP="006B5075">
      <w:pPr>
        <w:pStyle w:val="Heading3"/>
      </w:pPr>
    </w:p>
    <w:p w:rsidR="00CB40EF" w:rsidRDefault="00CB40EF" w:rsidP="006B5075">
      <w:pPr>
        <w:pStyle w:val="Heading3"/>
      </w:pPr>
    </w:p>
    <w:p w:rsidR="00CB40EF" w:rsidRDefault="00CB40EF" w:rsidP="006B5075">
      <w:pPr>
        <w:pStyle w:val="Heading3"/>
      </w:pPr>
    </w:p>
    <w:p w:rsidR="00CB40EF" w:rsidRDefault="00CB40EF" w:rsidP="006B5075">
      <w:pPr>
        <w:pStyle w:val="Heading3"/>
      </w:pPr>
    </w:p>
    <w:p w:rsidR="00CB40EF" w:rsidRDefault="00CB40EF" w:rsidP="006B5075">
      <w:pPr>
        <w:pStyle w:val="Heading3"/>
      </w:pPr>
    </w:p>
    <w:p w:rsidR="00CB40EF" w:rsidRDefault="00CB40EF" w:rsidP="006B5075">
      <w:pPr>
        <w:pStyle w:val="Heading3"/>
      </w:pPr>
    </w:p>
    <w:p w:rsidR="00CB40EF" w:rsidRDefault="00CB40EF" w:rsidP="006B5075">
      <w:pPr>
        <w:pStyle w:val="Heading3"/>
      </w:pPr>
    </w:p>
    <w:p w:rsidR="00CB40EF" w:rsidRDefault="00CB40EF" w:rsidP="006B5075">
      <w:pPr>
        <w:pStyle w:val="Heading3"/>
      </w:pPr>
    </w:p>
    <w:p w:rsidR="00CB40EF" w:rsidRDefault="00CB40EF" w:rsidP="001F3149">
      <w:pPr>
        <w:pStyle w:val="ListParagraph"/>
        <w:numPr>
          <w:ilvl w:val="0"/>
          <w:numId w:val="16"/>
        </w:numPr>
        <w:jc w:val="both"/>
        <w:rPr>
          <w:rFonts w:ascii="Century Gothic" w:hAnsi="Century Gothic"/>
          <w:sz w:val="20"/>
          <w:szCs w:val="20"/>
        </w:rPr>
      </w:pPr>
    </w:p>
    <w:p w:rsidR="00CB40EF" w:rsidRPr="00CB40EF" w:rsidRDefault="00CB40EF" w:rsidP="00CB40EF">
      <w:pPr>
        <w:ind w:left="360"/>
        <w:jc w:val="both"/>
        <w:rPr>
          <w:rFonts w:ascii="Century Gothic" w:hAnsi="Century Gothic"/>
          <w:sz w:val="20"/>
          <w:szCs w:val="20"/>
        </w:rPr>
      </w:pPr>
    </w:p>
    <w:p w:rsidR="00CB40EF" w:rsidRDefault="00CB40EF" w:rsidP="00CB40EF">
      <w:pPr>
        <w:pStyle w:val="ListParagraph"/>
        <w:jc w:val="both"/>
        <w:rPr>
          <w:rFonts w:ascii="Century Gothic" w:hAnsi="Century Gothic"/>
          <w:sz w:val="20"/>
          <w:szCs w:val="20"/>
        </w:rPr>
      </w:pPr>
    </w:p>
    <w:p w:rsidR="00CB40EF" w:rsidRDefault="00CB40EF" w:rsidP="00CB40EF">
      <w:pPr>
        <w:pStyle w:val="ListParagraph"/>
        <w:jc w:val="both"/>
        <w:rPr>
          <w:rFonts w:ascii="Century Gothic" w:hAnsi="Century Gothic"/>
          <w:sz w:val="20"/>
          <w:szCs w:val="20"/>
        </w:rPr>
      </w:pPr>
    </w:p>
    <w:p w:rsidR="00CB40EF" w:rsidRPr="00CB40EF" w:rsidRDefault="00CB40EF" w:rsidP="00CB40EF">
      <w:pPr>
        <w:ind w:left="360"/>
        <w:jc w:val="both"/>
        <w:rPr>
          <w:rFonts w:ascii="Century Gothic" w:hAnsi="Century Gothic"/>
          <w:sz w:val="20"/>
          <w:szCs w:val="20"/>
        </w:rPr>
      </w:pPr>
    </w:p>
    <w:p w:rsidR="006F07DF" w:rsidRDefault="00776E86" w:rsidP="006F07DF">
      <w:pPr>
        <w:pStyle w:val="Heading2"/>
      </w:pPr>
      <w:bookmarkStart w:id="13" w:name="_Toc469259443"/>
      <w:r>
        <w:t xml:space="preserve">1. </w:t>
      </w:r>
      <w:r w:rsidR="006F07DF">
        <w:t xml:space="preserve">Performance patterns </w:t>
      </w:r>
      <w:r w:rsidR="00152E3A">
        <w:t>and gender</w:t>
      </w:r>
      <w:bookmarkEnd w:id="13"/>
    </w:p>
    <w:p w:rsidR="006F07DF" w:rsidRPr="003734B2" w:rsidRDefault="00776E86" w:rsidP="006F07DF">
      <w:pPr>
        <w:rPr>
          <w:color w:val="FF0000"/>
        </w:rPr>
      </w:pPr>
      <w:bookmarkStart w:id="14" w:name="_Toc463183794"/>
      <w:bookmarkStart w:id="15" w:name="_Toc466730275"/>
      <w:bookmarkStart w:id="16" w:name="_Toc469259444"/>
      <w:r>
        <w:rPr>
          <w:rStyle w:val="Heading3Char"/>
        </w:rPr>
        <w:t xml:space="preserve">1.1 </w:t>
      </w:r>
      <w:r w:rsidR="006F07DF" w:rsidRPr="003734B2">
        <w:rPr>
          <w:rStyle w:val="Heading3Char"/>
        </w:rPr>
        <w:t>V</w:t>
      </w:r>
      <w:r w:rsidR="006F07DF">
        <w:rPr>
          <w:rStyle w:val="Heading3Char"/>
        </w:rPr>
        <w:t>ictorian Auditor Gener</w:t>
      </w:r>
      <w:r w:rsidR="00E504E9">
        <w:rPr>
          <w:rStyle w:val="Heading3Char"/>
        </w:rPr>
        <w:t xml:space="preserve">al </w:t>
      </w:r>
      <w:r w:rsidR="00D973BF">
        <w:rPr>
          <w:rStyle w:val="Heading3Char"/>
        </w:rPr>
        <w:t xml:space="preserve">– focus on boy’s literacy </w:t>
      </w:r>
      <w:r w:rsidR="005354EF">
        <w:rPr>
          <w:rStyle w:val="Heading3Char"/>
        </w:rPr>
        <w:t>and engagement with learning</w:t>
      </w:r>
      <w:bookmarkEnd w:id="14"/>
      <w:bookmarkEnd w:id="15"/>
      <w:bookmarkEnd w:id="16"/>
      <w:r w:rsidR="005354EF">
        <w:rPr>
          <w:rStyle w:val="Heading3Char"/>
        </w:rPr>
        <w:t xml:space="preserve"> </w:t>
      </w:r>
      <w:r w:rsidR="006F07DF" w:rsidRPr="000079B3">
        <w:rPr>
          <w:rStyle w:val="Heading3Char"/>
          <w:color w:val="FF0000"/>
        </w:rPr>
        <w:t xml:space="preserve"> </w:t>
      </w:r>
    </w:p>
    <w:p w:rsidR="006F07DF" w:rsidRPr="00784069" w:rsidRDefault="006F07DF" w:rsidP="00D54B9A">
      <w:pPr>
        <w:jc w:val="both"/>
        <w:rPr>
          <w:rFonts w:ascii="Century Gothic" w:hAnsi="Century Gothic"/>
          <w:sz w:val="20"/>
          <w:szCs w:val="20"/>
        </w:rPr>
      </w:pPr>
      <w:r w:rsidRPr="00784069">
        <w:rPr>
          <w:rStyle w:val="IntenseEmphasis"/>
          <w:rFonts w:ascii="Century Gothic" w:hAnsi="Century Gothic"/>
          <w:b w:val="0"/>
          <w:i w:val="0"/>
          <w:color w:val="auto"/>
          <w:sz w:val="20"/>
          <w:szCs w:val="20"/>
        </w:rPr>
        <w:t xml:space="preserve">The </w:t>
      </w:r>
      <w:r w:rsidR="00E504E9" w:rsidRPr="00784069">
        <w:rPr>
          <w:rStyle w:val="IntenseEmphasis"/>
          <w:rFonts w:ascii="Century Gothic" w:hAnsi="Century Gothic"/>
          <w:b w:val="0"/>
          <w:i w:val="0"/>
          <w:color w:val="auto"/>
          <w:sz w:val="20"/>
          <w:szCs w:val="20"/>
        </w:rPr>
        <w:t xml:space="preserve">VAGO </w:t>
      </w:r>
      <w:r w:rsidRPr="00784069">
        <w:rPr>
          <w:rStyle w:val="IntenseEmphasis"/>
          <w:rFonts w:ascii="Century Gothic" w:hAnsi="Century Gothic"/>
          <w:b w:val="0"/>
          <w:i w:val="0"/>
          <w:color w:val="auto"/>
          <w:sz w:val="20"/>
          <w:szCs w:val="20"/>
        </w:rPr>
        <w:t>report</w:t>
      </w:r>
      <w:r w:rsidR="00D973BF">
        <w:rPr>
          <w:rStyle w:val="IntenseEmphasis"/>
          <w:rFonts w:ascii="Century Gothic" w:hAnsi="Century Gothic"/>
          <w:b w:val="0"/>
          <w:i w:val="0"/>
          <w:color w:val="auto"/>
          <w:sz w:val="20"/>
          <w:szCs w:val="20"/>
        </w:rPr>
        <w:t xml:space="preserve"> (</w:t>
      </w:r>
      <w:r w:rsidR="00E504E9" w:rsidRPr="00784069">
        <w:rPr>
          <w:rStyle w:val="IntenseEmphasis"/>
          <w:rFonts w:ascii="Century Gothic" w:hAnsi="Century Gothic"/>
          <w:b w:val="0"/>
          <w:i w:val="0"/>
          <w:color w:val="auto"/>
          <w:sz w:val="20"/>
          <w:szCs w:val="20"/>
        </w:rPr>
        <w:t xml:space="preserve">2015) </w:t>
      </w:r>
      <w:r w:rsidRPr="00784069">
        <w:rPr>
          <w:rFonts w:ascii="Century Gothic" w:hAnsi="Century Gothic"/>
          <w:sz w:val="20"/>
          <w:szCs w:val="20"/>
        </w:rPr>
        <w:t xml:space="preserve"> comments that NAPLAN results show that </w:t>
      </w:r>
      <w:r w:rsidR="004953A0">
        <w:rPr>
          <w:rFonts w:ascii="Century Gothic" w:hAnsi="Century Gothic"/>
          <w:sz w:val="20"/>
          <w:szCs w:val="20"/>
        </w:rPr>
        <w:t xml:space="preserve">in Victorian Government school </w:t>
      </w:r>
      <w:r w:rsidRPr="00784069">
        <w:rPr>
          <w:rFonts w:ascii="Century Gothic" w:hAnsi="Century Gothic"/>
          <w:sz w:val="20"/>
          <w:szCs w:val="20"/>
        </w:rPr>
        <w:t>the percentage of students assessed as being 'at or above' the minimum standard in reading and numeracy</w:t>
      </w:r>
      <w:r w:rsidRPr="00784069">
        <w:rPr>
          <w:sz w:val="20"/>
          <w:szCs w:val="20"/>
        </w:rPr>
        <w:t xml:space="preserve"> tests has </w:t>
      </w:r>
      <w:r w:rsidRPr="00784069">
        <w:rPr>
          <w:rFonts w:ascii="Century Gothic" w:hAnsi="Century Gothic"/>
          <w:sz w:val="20"/>
          <w:szCs w:val="20"/>
        </w:rPr>
        <w:t xml:space="preserve">improved </w:t>
      </w:r>
      <w:r w:rsidR="00C20605" w:rsidRPr="00784069">
        <w:rPr>
          <w:rFonts w:ascii="Century Gothic" w:hAnsi="Century Gothic"/>
          <w:sz w:val="20"/>
          <w:szCs w:val="20"/>
        </w:rPr>
        <w:t xml:space="preserve">from </w:t>
      </w:r>
      <w:r w:rsidRPr="00784069">
        <w:rPr>
          <w:rFonts w:ascii="Century Gothic" w:hAnsi="Century Gothic"/>
          <w:sz w:val="20"/>
          <w:szCs w:val="20"/>
        </w:rPr>
        <w:t>2010</w:t>
      </w:r>
      <w:r w:rsidR="00C20605" w:rsidRPr="00784069">
        <w:rPr>
          <w:rFonts w:ascii="Century Gothic" w:hAnsi="Century Gothic"/>
          <w:sz w:val="20"/>
          <w:szCs w:val="20"/>
        </w:rPr>
        <w:t xml:space="preserve"> to </w:t>
      </w:r>
      <w:r w:rsidRPr="00784069">
        <w:rPr>
          <w:rFonts w:ascii="Century Gothic" w:hAnsi="Century Gothic"/>
          <w:sz w:val="20"/>
          <w:szCs w:val="20"/>
        </w:rPr>
        <w:t xml:space="preserve">2014 for students transitioning from primary to secondary school. However, performance in writing assessments </w:t>
      </w:r>
      <w:r w:rsidR="004953A0">
        <w:rPr>
          <w:rFonts w:ascii="Century Gothic" w:hAnsi="Century Gothic"/>
          <w:sz w:val="20"/>
          <w:szCs w:val="20"/>
        </w:rPr>
        <w:t xml:space="preserve">(in red below) </w:t>
      </w:r>
      <w:r w:rsidRPr="00784069">
        <w:rPr>
          <w:rFonts w:ascii="Century Gothic" w:hAnsi="Century Gothic"/>
          <w:sz w:val="20"/>
          <w:szCs w:val="20"/>
        </w:rPr>
        <w:t xml:space="preserve">has </w:t>
      </w:r>
      <w:r w:rsidR="00E504E9" w:rsidRPr="00784069">
        <w:rPr>
          <w:rFonts w:ascii="Century Gothic" w:hAnsi="Century Gothic"/>
          <w:sz w:val="20"/>
          <w:szCs w:val="20"/>
        </w:rPr>
        <w:t>dropped in each year as student</w:t>
      </w:r>
      <w:r w:rsidRPr="00784069">
        <w:rPr>
          <w:rFonts w:ascii="Century Gothic" w:hAnsi="Century Gothic"/>
          <w:sz w:val="20"/>
          <w:szCs w:val="20"/>
        </w:rPr>
        <w:t>s</w:t>
      </w:r>
      <w:r w:rsidR="00C227B0">
        <w:rPr>
          <w:rFonts w:ascii="Century Gothic" w:hAnsi="Century Gothic"/>
          <w:sz w:val="20"/>
          <w:szCs w:val="20"/>
        </w:rPr>
        <w:t>’</w:t>
      </w:r>
      <w:r w:rsidRPr="00784069">
        <w:rPr>
          <w:rFonts w:ascii="Century Gothic" w:hAnsi="Century Gothic"/>
          <w:sz w:val="20"/>
          <w:szCs w:val="20"/>
        </w:rPr>
        <w:t xml:space="preserve"> transition from primary to secondary school. Specifically, </w:t>
      </w:r>
    </w:p>
    <w:p w:rsidR="006F07DF" w:rsidRPr="00784069" w:rsidRDefault="006F07DF" w:rsidP="006F07DF">
      <w:pPr>
        <w:pStyle w:val="ListParagraph"/>
        <w:numPr>
          <w:ilvl w:val="0"/>
          <w:numId w:val="2"/>
        </w:numPr>
        <w:rPr>
          <w:rFonts w:ascii="Century Gothic" w:hAnsi="Century Gothic"/>
          <w:sz w:val="20"/>
          <w:szCs w:val="20"/>
        </w:rPr>
      </w:pPr>
      <w:r w:rsidRPr="00784069">
        <w:rPr>
          <w:rFonts w:ascii="Century Gothic" w:hAnsi="Century Gothic"/>
          <w:sz w:val="20"/>
          <w:szCs w:val="20"/>
        </w:rPr>
        <w:t xml:space="preserve">the gaps in performance </w:t>
      </w:r>
      <w:r w:rsidR="00881C98" w:rsidRPr="00784069">
        <w:rPr>
          <w:rFonts w:ascii="Century Gothic" w:hAnsi="Century Gothic"/>
          <w:sz w:val="20"/>
          <w:szCs w:val="20"/>
        </w:rPr>
        <w:t xml:space="preserve">in </w:t>
      </w:r>
      <w:r w:rsidR="00C20605" w:rsidRPr="00784069">
        <w:rPr>
          <w:rFonts w:ascii="Century Gothic" w:hAnsi="Century Gothic"/>
          <w:sz w:val="20"/>
          <w:szCs w:val="20"/>
        </w:rPr>
        <w:t xml:space="preserve">numeracy and reading </w:t>
      </w:r>
      <w:r w:rsidRPr="00784069">
        <w:rPr>
          <w:rFonts w:ascii="Century Gothic" w:hAnsi="Century Gothic"/>
          <w:sz w:val="20"/>
          <w:szCs w:val="20"/>
        </w:rPr>
        <w:t xml:space="preserve">between Year 5 and Year </w:t>
      </w:r>
      <w:r w:rsidR="00152E3A">
        <w:rPr>
          <w:rFonts w:ascii="Century Gothic" w:hAnsi="Century Gothic"/>
          <w:sz w:val="20"/>
          <w:szCs w:val="20"/>
        </w:rPr>
        <w:t>7 have changed little over the p</w:t>
      </w:r>
      <w:r w:rsidRPr="00784069">
        <w:rPr>
          <w:rFonts w:ascii="Century Gothic" w:hAnsi="Century Gothic"/>
          <w:sz w:val="20"/>
          <w:szCs w:val="20"/>
        </w:rPr>
        <w:t xml:space="preserve">ast five </w:t>
      </w:r>
    </w:p>
    <w:p w:rsidR="00C20605" w:rsidRPr="005824D5" w:rsidRDefault="00C20605" w:rsidP="006C6726">
      <w:pPr>
        <w:pStyle w:val="ListParagraph"/>
        <w:jc w:val="center"/>
        <w:rPr>
          <w:rFonts w:ascii="Century Gothic" w:hAnsi="Century Gothic"/>
          <w:sz w:val="20"/>
          <w:szCs w:val="20"/>
        </w:rPr>
      </w:pPr>
    </w:p>
    <w:p w:rsidR="006C6726" w:rsidRPr="006C6726" w:rsidRDefault="006C6726" w:rsidP="006C6726">
      <w:pPr>
        <w:pStyle w:val="ListParagraph"/>
        <w:jc w:val="center"/>
        <w:rPr>
          <w:rFonts w:ascii="Century Gothic" w:hAnsi="Century Gothic"/>
          <w:sz w:val="20"/>
          <w:szCs w:val="20"/>
        </w:rPr>
      </w:pPr>
      <w:r>
        <w:rPr>
          <w:noProof/>
          <w:lang w:eastAsia="en-AU"/>
        </w:rPr>
        <w:drawing>
          <wp:inline distT="0" distB="0" distL="0" distR="0" wp14:anchorId="5602D4E5" wp14:editId="45AE2AC2">
            <wp:extent cx="3488552" cy="1357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491669" cy="1358618"/>
                    </a:xfrm>
                    <a:prstGeom prst="rect">
                      <a:avLst/>
                    </a:prstGeom>
                  </pic:spPr>
                </pic:pic>
              </a:graphicData>
            </a:graphic>
          </wp:inline>
        </w:drawing>
      </w:r>
    </w:p>
    <w:p w:rsidR="006C6726" w:rsidRPr="006C6726" w:rsidRDefault="006C6726" w:rsidP="006C6726">
      <w:pPr>
        <w:pStyle w:val="ListParagraph"/>
        <w:numPr>
          <w:ilvl w:val="0"/>
          <w:numId w:val="2"/>
        </w:numPr>
        <w:rPr>
          <w:rFonts w:ascii="Century Gothic" w:hAnsi="Century Gothic"/>
          <w:sz w:val="20"/>
          <w:szCs w:val="20"/>
        </w:rPr>
      </w:pPr>
      <w:r>
        <w:rPr>
          <w:rFonts w:ascii="Century Gothic" w:hAnsi="Century Gothic"/>
          <w:sz w:val="20"/>
          <w:szCs w:val="20"/>
        </w:rPr>
        <w:t>b</w:t>
      </w:r>
      <w:r w:rsidRPr="005824D5">
        <w:rPr>
          <w:rFonts w:ascii="Century Gothic" w:hAnsi="Century Gothic"/>
          <w:sz w:val="20"/>
          <w:szCs w:val="20"/>
        </w:rPr>
        <w:t>oys’ writing performance declines at a far faster rate than their female peers as they progress through school. This is particularly notable following the transition to secondary school</w:t>
      </w:r>
      <w:r>
        <w:rPr>
          <w:rFonts w:ascii="Century Gothic" w:hAnsi="Century Gothic"/>
          <w:sz w:val="20"/>
          <w:szCs w:val="20"/>
        </w:rPr>
        <w:t>.</w:t>
      </w:r>
    </w:p>
    <w:p w:rsidR="006C6726" w:rsidRDefault="006C6726" w:rsidP="006C6726">
      <w:pPr>
        <w:jc w:val="center"/>
        <w:rPr>
          <w:rFonts w:ascii="Century Gothic" w:hAnsi="Century Gothic"/>
          <w:sz w:val="20"/>
          <w:szCs w:val="20"/>
        </w:rPr>
      </w:pPr>
      <w:r>
        <w:rPr>
          <w:noProof/>
          <w:lang w:eastAsia="en-AU"/>
        </w:rPr>
        <w:drawing>
          <wp:inline distT="0" distB="0" distL="0" distR="0" wp14:anchorId="3255C670" wp14:editId="6C636921">
            <wp:extent cx="2758569" cy="2076506"/>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761741" cy="2078894"/>
                    </a:xfrm>
                    <a:prstGeom prst="rect">
                      <a:avLst/>
                    </a:prstGeom>
                  </pic:spPr>
                </pic:pic>
              </a:graphicData>
            </a:graphic>
          </wp:inline>
        </w:drawing>
      </w:r>
    </w:p>
    <w:p w:rsidR="006F07DF" w:rsidRPr="00CD011B" w:rsidRDefault="00881C98" w:rsidP="008A5603">
      <w:pPr>
        <w:jc w:val="both"/>
        <w:rPr>
          <w:rFonts w:ascii="Century Gothic" w:hAnsi="Century Gothic"/>
          <w:sz w:val="20"/>
          <w:szCs w:val="20"/>
        </w:rPr>
      </w:pPr>
      <w:r>
        <w:rPr>
          <w:rFonts w:ascii="Century Gothic" w:hAnsi="Century Gothic"/>
          <w:sz w:val="20"/>
          <w:szCs w:val="20"/>
        </w:rPr>
        <w:t>However, w</w:t>
      </w:r>
      <w:r w:rsidR="006F07DF">
        <w:rPr>
          <w:rFonts w:ascii="Century Gothic" w:hAnsi="Century Gothic"/>
          <w:sz w:val="20"/>
          <w:szCs w:val="20"/>
        </w:rPr>
        <w:t xml:space="preserve">hile there is a continuing gap between boys and girls </w:t>
      </w:r>
      <w:r w:rsidR="006C6726">
        <w:rPr>
          <w:rFonts w:ascii="Century Gothic" w:hAnsi="Century Gothic"/>
          <w:sz w:val="20"/>
          <w:szCs w:val="20"/>
        </w:rPr>
        <w:t>writing</w:t>
      </w:r>
      <w:r w:rsidR="006F07DF">
        <w:rPr>
          <w:rFonts w:ascii="Century Gothic" w:hAnsi="Century Gothic"/>
          <w:sz w:val="20"/>
          <w:szCs w:val="20"/>
        </w:rPr>
        <w:t xml:space="preserve"> in Victoria, a</w:t>
      </w:r>
      <w:r w:rsidR="006F07DF" w:rsidRPr="00CB2D61">
        <w:rPr>
          <w:rFonts w:ascii="Century Gothic" w:hAnsi="Century Gothic"/>
          <w:sz w:val="20"/>
          <w:szCs w:val="20"/>
        </w:rPr>
        <w:t xml:space="preserve"> national comparison of Victoria’s performance </w:t>
      </w:r>
      <w:r w:rsidR="004D1C07">
        <w:rPr>
          <w:rFonts w:ascii="Century Gothic" w:hAnsi="Century Gothic"/>
          <w:sz w:val="20"/>
          <w:szCs w:val="20"/>
        </w:rPr>
        <w:t xml:space="preserve">(all schools) </w:t>
      </w:r>
      <w:r w:rsidR="006F07DF" w:rsidRPr="00CB2D61">
        <w:rPr>
          <w:rFonts w:ascii="Century Gothic" w:hAnsi="Century Gothic"/>
          <w:sz w:val="20"/>
          <w:szCs w:val="20"/>
        </w:rPr>
        <w:t xml:space="preserve">shows that, at both years 5 and 7, NAPLAN scores for Victorian boys’ writing </w:t>
      </w:r>
      <w:r w:rsidR="004D1C07">
        <w:rPr>
          <w:rFonts w:ascii="Century Gothic" w:hAnsi="Century Gothic"/>
          <w:sz w:val="20"/>
          <w:szCs w:val="20"/>
        </w:rPr>
        <w:t xml:space="preserve">(2014, 2015) </w:t>
      </w:r>
      <w:r w:rsidR="006F07DF" w:rsidRPr="00CB2D61">
        <w:rPr>
          <w:rFonts w:ascii="Century Gothic" w:hAnsi="Century Gothic"/>
          <w:sz w:val="20"/>
          <w:szCs w:val="20"/>
        </w:rPr>
        <w:t>are</w:t>
      </w:r>
      <w:r w:rsidR="006F07DF">
        <w:rPr>
          <w:rFonts w:ascii="Century Gothic" w:hAnsi="Century Gothic"/>
          <w:sz w:val="20"/>
          <w:szCs w:val="20"/>
        </w:rPr>
        <w:t xml:space="preserve"> comparatively better than other jurisdictions. </w:t>
      </w:r>
      <w:r w:rsidR="004D1C07">
        <w:rPr>
          <w:rFonts w:ascii="Century Gothic" w:hAnsi="Century Gothic"/>
          <w:sz w:val="20"/>
          <w:szCs w:val="20"/>
        </w:rPr>
        <w:t>Of all jurisdictions Victoria</w:t>
      </w:r>
      <w:r w:rsidR="006F07DF">
        <w:rPr>
          <w:rFonts w:ascii="Century Gothic" w:hAnsi="Century Gothic"/>
          <w:sz w:val="20"/>
          <w:szCs w:val="20"/>
        </w:rPr>
        <w:t xml:space="preserve"> </w:t>
      </w:r>
      <w:r w:rsidR="004D1C07">
        <w:rPr>
          <w:rFonts w:ascii="Century Gothic" w:hAnsi="Century Gothic"/>
          <w:sz w:val="20"/>
          <w:szCs w:val="20"/>
        </w:rPr>
        <w:t xml:space="preserve">has </w:t>
      </w:r>
      <w:r w:rsidR="00CD011B">
        <w:rPr>
          <w:rFonts w:ascii="Century Gothic" w:hAnsi="Century Gothic"/>
          <w:sz w:val="20"/>
          <w:szCs w:val="20"/>
        </w:rPr>
        <w:t xml:space="preserve">the </w:t>
      </w:r>
      <w:r w:rsidR="006F07DF" w:rsidRPr="00CD011B">
        <w:rPr>
          <w:rFonts w:ascii="Century Gothic" w:hAnsi="Century Gothic"/>
          <w:sz w:val="20"/>
          <w:szCs w:val="20"/>
        </w:rPr>
        <w:t xml:space="preserve">lowest </w:t>
      </w:r>
      <w:r w:rsidR="004D1C07">
        <w:rPr>
          <w:rFonts w:ascii="Century Gothic" w:hAnsi="Century Gothic"/>
          <w:sz w:val="20"/>
          <w:szCs w:val="20"/>
        </w:rPr>
        <w:t>proportion of</w:t>
      </w:r>
      <w:r w:rsidR="006F07DF" w:rsidRPr="00CD011B">
        <w:rPr>
          <w:rFonts w:ascii="Century Gothic" w:hAnsi="Century Gothic"/>
          <w:sz w:val="20"/>
          <w:szCs w:val="20"/>
        </w:rPr>
        <w:t xml:space="preserve"> students performing </w:t>
      </w:r>
      <w:r w:rsidR="004D1C07">
        <w:rPr>
          <w:rFonts w:ascii="Century Gothic" w:hAnsi="Century Gothic"/>
          <w:sz w:val="20"/>
          <w:szCs w:val="20"/>
        </w:rPr>
        <w:t xml:space="preserve">at or </w:t>
      </w:r>
      <w:r w:rsidR="006F07DF" w:rsidRPr="00CD011B">
        <w:rPr>
          <w:rFonts w:ascii="Century Gothic" w:hAnsi="Century Gothic"/>
          <w:sz w:val="20"/>
          <w:szCs w:val="20"/>
        </w:rPr>
        <w:t>below the national minimum standard</w:t>
      </w:r>
      <w:r w:rsidR="004D1C07">
        <w:rPr>
          <w:rFonts w:ascii="Century Gothic" w:hAnsi="Century Gothic"/>
          <w:sz w:val="20"/>
          <w:szCs w:val="20"/>
        </w:rPr>
        <w:t>.</w:t>
      </w:r>
      <w:r w:rsidR="006F07DF" w:rsidRPr="00CD011B">
        <w:rPr>
          <w:rFonts w:ascii="Century Gothic" w:hAnsi="Century Gothic"/>
          <w:sz w:val="20"/>
          <w:szCs w:val="20"/>
        </w:rPr>
        <w:t xml:space="preserve"> </w:t>
      </w:r>
      <w:r w:rsidR="005801FE">
        <w:rPr>
          <w:rFonts w:ascii="Century Gothic" w:hAnsi="Century Gothic"/>
          <w:sz w:val="20"/>
          <w:szCs w:val="20"/>
        </w:rPr>
        <w:t>This should also be seen in the broader context of the general and sobering conclusion that Australia’s NAPLAN performance has so</w:t>
      </w:r>
      <w:r w:rsidR="008A5603">
        <w:rPr>
          <w:rFonts w:ascii="Century Gothic" w:hAnsi="Century Gothic"/>
          <w:sz w:val="20"/>
          <w:szCs w:val="20"/>
        </w:rPr>
        <w:t>-</w:t>
      </w:r>
      <w:r w:rsidR="005801FE">
        <w:rPr>
          <w:rFonts w:ascii="Century Gothic" w:hAnsi="Century Gothic"/>
          <w:sz w:val="20"/>
          <w:szCs w:val="20"/>
        </w:rPr>
        <w:t>called flat lined</w:t>
      </w:r>
      <w:r w:rsidR="008A5603">
        <w:rPr>
          <w:rFonts w:ascii="Century Gothic" w:hAnsi="Century Gothic"/>
          <w:sz w:val="20"/>
          <w:szCs w:val="20"/>
        </w:rPr>
        <w:t xml:space="preserve"> and that improvements have been positive for Victoria 2013-2016 but slight.  </w:t>
      </w:r>
      <w:r w:rsidR="005801FE">
        <w:rPr>
          <w:rFonts w:ascii="Century Gothic" w:hAnsi="Century Gothic"/>
          <w:sz w:val="20"/>
          <w:szCs w:val="20"/>
        </w:rPr>
        <w:t xml:space="preserve"> </w:t>
      </w:r>
    </w:p>
    <w:p w:rsidR="006F07DF" w:rsidRPr="00CB2D61" w:rsidRDefault="006F07DF" w:rsidP="006F07DF">
      <w:pPr>
        <w:rPr>
          <w:rFonts w:ascii="Century Gothic" w:hAnsi="Century Gothic"/>
          <w:sz w:val="20"/>
          <w:szCs w:val="20"/>
        </w:rPr>
      </w:pPr>
      <w:r w:rsidRPr="00CB2D61">
        <w:rPr>
          <w:rFonts w:ascii="Century Gothic" w:hAnsi="Century Gothic"/>
          <w:sz w:val="20"/>
          <w:szCs w:val="20"/>
        </w:rPr>
        <w:t xml:space="preserve">The gender dimensions of suspensions from school </w:t>
      </w:r>
      <w:r>
        <w:rPr>
          <w:rFonts w:ascii="Century Gothic" w:hAnsi="Century Gothic"/>
          <w:sz w:val="20"/>
          <w:szCs w:val="20"/>
        </w:rPr>
        <w:t>are</w:t>
      </w:r>
      <w:r w:rsidRPr="00CB2D61">
        <w:rPr>
          <w:rFonts w:ascii="Century Gothic" w:hAnsi="Century Gothic"/>
          <w:sz w:val="20"/>
          <w:szCs w:val="20"/>
        </w:rPr>
        <w:t xml:space="preserve"> another facto</w:t>
      </w:r>
      <w:r>
        <w:rPr>
          <w:rFonts w:ascii="Century Gothic" w:hAnsi="Century Gothic"/>
          <w:sz w:val="20"/>
          <w:szCs w:val="20"/>
        </w:rPr>
        <w:t>r raised by the Auditor-General</w:t>
      </w:r>
      <w:r w:rsidRPr="00CB2D61">
        <w:rPr>
          <w:rFonts w:ascii="Century Gothic" w:hAnsi="Century Gothic"/>
          <w:sz w:val="20"/>
          <w:szCs w:val="20"/>
        </w:rPr>
        <w:t xml:space="preserve">. </w:t>
      </w:r>
    </w:p>
    <w:p w:rsidR="006F07DF" w:rsidRPr="00CB2D61" w:rsidRDefault="006F07DF" w:rsidP="005354EF">
      <w:pPr>
        <w:jc w:val="both"/>
        <w:rPr>
          <w:rFonts w:ascii="Century Gothic" w:hAnsi="Century Gothic"/>
          <w:sz w:val="20"/>
          <w:szCs w:val="20"/>
        </w:rPr>
      </w:pPr>
      <w:r w:rsidRPr="00CB2D61">
        <w:rPr>
          <w:rFonts w:ascii="Century Gothic" w:hAnsi="Century Gothic"/>
          <w:sz w:val="20"/>
          <w:szCs w:val="20"/>
        </w:rPr>
        <w:t>Very few children are suspended from school during their primary years. However, immediately following the transition to secondary school the number of suspensions increases dramatically. Notably, the vast majority of secondary school suspensions are boys</w:t>
      </w:r>
      <w:r w:rsidR="006C6726">
        <w:rPr>
          <w:rFonts w:ascii="Century Gothic" w:hAnsi="Century Gothic"/>
          <w:sz w:val="20"/>
          <w:szCs w:val="20"/>
        </w:rPr>
        <w:t>. Whilst the reasons for and the length of the suspensions are not indicated, VAGO suggests that this is further evidence of</w:t>
      </w:r>
      <w:r w:rsidRPr="00CB2D61">
        <w:rPr>
          <w:rFonts w:ascii="Century Gothic" w:hAnsi="Century Gothic"/>
          <w:sz w:val="20"/>
          <w:szCs w:val="20"/>
        </w:rPr>
        <w:t xml:space="preserve"> the need for more gender-specific </w:t>
      </w:r>
      <w:r w:rsidR="00E64C61">
        <w:rPr>
          <w:rFonts w:ascii="Century Gothic" w:hAnsi="Century Gothic"/>
          <w:sz w:val="20"/>
          <w:szCs w:val="20"/>
        </w:rPr>
        <w:t xml:space="preserve">education </w:t>
      </w:r>
      <w:r w:rsidRPr="00CB2D61">
        <w:rPr>
          <w:rFonts w:ascii="Century Gothic" w:hAnsi="Century Gothic"/>
          <w:sz w:val="20"/>
          <w:szCs w:val="20"/>
        </w:rPr>
        <w:t xml:space="preserve">strategies. The current pattern of suspensions has remained consistent in recent years. </w:t>
      </w:r>
    </w:p>
    <w:p w:rsidR="006F07DF" w:rsidRDefault="006F07DF" w:rsidP="005354EF">
      <w:pPr>
        <w:jc w:val="both"/>
        <w:rPr>
          <w:rFonts w:ascii="Century Gothic" w:hAnsi="Century Gothic"/>
          <w:sz w:val="20"/>
          <w:szCs w:val="20"/>
        </w:rPr>
      </w:pPr>
      <w:r w:rsidRPr="00CB2D61">
        <w:rPr>
          <w:rFonts w:ascii="Century Gothic" w:hAnsi="Century Gothic"/>
          <w:sz w:val="20"/>
          <w:szCs w:val="20"/>
        </w:rPr>
        <w:t xml:space="preserve">Data on </w:t>
      </w:r>
      <w:r w:rsidR="006C6726">
        <w:rPr>
          <w:rFonts w:ascii="Century Gothic" w:hAnsi="Century Gothic"/>
          <w:sz w:val="20"/>
          <w:szCs w:val="20"/>
        </w:rPr>
        <w:t>whether students feel connected to school and are stimulated by the school’s</w:t>
      </w:r>
      <w:r w:rsidR="000F2450">
        <w:rPr>
          <w:rFonts w:ascii="Century Gothic" w:hAnsi="Century Gothic"/>
          <w:sz w:val="20"/>
          <w:szCs w:val="20"/>
        </w:rPr>
        <w:t xml:space="preserve"> learning</w:t>
      </w:r>
      <w:r w:rsidRPr="00CB2D61">
        <w:rPr>
          <w:rFonts w:ascii="Century Gothic" w:hAnsi="Century Gothic"/>
          <w:sz w:val="20"/>
          <w:szCs w:val="20"/>
        </w:rPr>
        <w:t xml:space="preserve"> environment</w:t>
      </w:r>
      <w:r w:rsidR="000F2450">
        <w:rPr>
          <w:rFonts w:ascii="Century Gothic" w:hAnsi="Century Gothic"/>
          <w:sz w:val="20"/>
          <w:szCs w:val="20"/>
        </w:rPr>
        <w:t xml:space="preserve"> reveals significant differences in girls’ and boys’ attitudes.</w:t>
      </w:r>
      <w:r w:rsidRPr="00CB2D61">
        <w:rPr>
          <w:rFonts w:ascii="Century Gothic" w:hAnsi="Century Gothic"/>
          <w:sz w:val="20"/>
          <w:szCs w:val="20"/>
        </w:rPr>
        <w:t xml:space="preserve"> DET’s Attitude to School Survey asks children in Years 5 to 12 about their experiences at school and includes assessments of how stimulated students </w:t>
      </w:r>
      <w:r>
        <w:rPr>
          <w:rFonts w:ascii="Century Gothic" w:hAnsi="Century Gothic"/>
          <w:sz w:val="20"/>
          <w:szCs w:val="20"/>
        </w:rPr>
        <w:t>are</w:t>
      </w:r>
      <w:r w:rsidRPr="00CB2D61">
        <w:rPr>
          <w:rFonts w:ascii="Century Gothic" w:hAnsi="Century Gothic"/>
          <w:sz w:val="20"/>
          <w:szCs w:val="20"/>
        </w:rPr>
        <w:t xml:space="preserve"> by their learning environment and how connected they feel to the school. </w:t>
      </w:r>
    </w:p>
    <w:p w:rsidR="006F07DF" w:rsidRPr="000F2450" w:rsidRDefault="006F07DF" w:rsidP="005354EF">
      <w:pPr>
        <w:jc w:val="both"/>
        <w:rPr>
          <w:rFonts w:ascii="Century Gothic" w:hAnsi="Century Gothic"/>
          <w:sz w:val="20"/>
          <w:szCs w:val="20"/>
        </w:rPr>
      </w:pPr>
      <w:r w:rsidRPr="000F2450">
        <w:rPr>
          <w:rFonts w:ascii="Century Gothic" w:hAnsi="Century Gothic"/>
          <w:sz w:val="20"/>
          <w:szCs w:val="20"/>
        </w:rPr>
        <w:t xml:space="preserve">Both of these indicators decline significantly following </w:t>
      </w:r>
      <w:r w:rsidR="000F2450" w:rsidRPr="000F2450">
        <w:rPr>
          <w:rFonts w:ascii="Century Gothic" w:hAnsi="Century Gothic"/>
          <w:sz w:val="20"/>
          <w:szCs w:val="20"/>
        </w:rPr>
        <w:t>transition into Year 7</w:t>
      </w:r>
      <w:r w:rsidRPr="000F2450">
        <w:rPr>
          <w:rFonts w:ascii="Century Gothic" w:hAnsi="Century Gothic"/>
          <w:sz w:val="20"/>
          <w:szCs w:val="20"/>
        </w:rPr>
        <w:t xml:space="preserve"> </w:t>
      </w:r>
      <w:r w:rsidR="000F2450" w:rsidRPr="000F2450">
        <w:rPr>
          <w:rFonts w:ascii="Century Gothic" w:hAnsi="Century Gothic"/>
          <w:sz w:val="20"/>
          <w:szCs w:val="20"/>
        </w:rPr>
        <w:t>and o</w:t>
      </w:r>
      <w:r w:rsidRPr="000F2450">
        <w:rPr>
          <w:rFonts w:ascii="Century Gothic" w:hAnsi="Century Gothic"/>
          <w:sz w:val="20"/>
          <w:szCs w:val="20"/>
        </w:rPr>
        <w:t>ver the past five years</w:t>
      </w:r>
      <w:r w:rsidR="000F2450" w:rsidRPr="000F2450">
        <w:rPr>
          <w:rFonts w:ascii="Century Gothic" w:hAnsi="Century Gothic"/>
          <w:sz w:val="20"/>
          <w:szCs w:val="20"/>
        </w:rPr>
        <w:t xml:space="preserve"> </w:t>
      </w:r>
      <w:r w:rsidRPr="000F2450">
        <w:rPr>
          <w:rFonts w:ascii="Century Gothic" w:hAnsi="Century Gothic"/>
          <w:sz w:val="20"/>
          <w:szCs w:val="20"/>
        </w:rPr>
        <w:t xml:space="preserve">the overall pattern of performance </w:t>
      </w:r>
      <w:r w:rsidR="000F2450" w:rsidRPr="000F2450">
        <w:rPr>
          <w:rFonts w:ascii="Century Gothic" w:hAnsi="Century Gothic"/>
          <w:sz w:val="20"/>
          <w:szCs w:val="20"/>
        </w:rPr>
        <w:t xml:space="preserve">reveals that </w:t>
      </w:r>
      <w:r w:rsidRPr="000F2450">
        <w:rPr>
          <w:rFonts w:ascii="Century Gothic" w:hAnsi="Century Gothic"/>
          <w:sz w:val="20"/>
          <w:szCs w:val="20"/>
        </w:rPr>
        <w:t>Year 7 girls</w:t>
      </w:r>
      <w:r w:rsidR="000F2450" w:rsidRPr="000F2450">
        <w:rPr>
          <w:rFonts w:ascii="Century Gothic" w:hAnsi="Century Gothic"/>
          <w:sz w:val="20"/>
          <w:szCs w:val="20"/>
        </w:rPr>
        <w:t xml:space="preserve">’ </w:t>
      </w:r>
      <w:r w:rsidR="000F2450">
        <w:rPr>
          <w:rFonts w:ascii="Century Gothic" w:hAnsi="Century Gothic"/>
          <w:sz w:val="20"/>
          <w:szCs w:val="20"/>
        </w:rPr>
        <w:t xml:space="preserve">scores </w:t>
      </w:r>
      <w:r w:rsidR="000F2450" w:rsidRPr="00CB2D61">
        <w:rPr>
          <w:rFonts w:ascii="Century Gothic" w:hAnsi="Century Gothic"/>
          <w:sz w:val="20"/>
          <w:szCs w:val="20"/>
        </w:rPr>
        <w:t>were significantly more positive than Year 7 boys</w:t>
      </w:r>
      <w:r w:rsidR="000F2450">
        <w:rPr>
          <w:rFonts w:ascii="Century Gothic" w:hAnsi="Century Gothic"/>
          <w:sz w:val="20"/>
          <w:szCs w:val="20"/>
        </w:rPr>
        <w:t>’</w:t>
      </w:r>
      <w:r w:rsidR="000F2450" w:rsidRPr="00CB2D61">
        <w:rPr>
          <w:rFonts w:ascii="Century Gothic" w:hAnsi="Century Gothic"/>
          <w:sz w:val="20"/>
          <w:szCs w:val="20"/>
        </w:rPr>
        <w:t xml:space="preserve"> </w:t>
      </w:r>
      <w:r w:rsidR="000F2450" w:rsidRPr="000F2450">
        <w:rPr>
          <w:rFonts w:ascii="Century Gothic" w:hAnsi="Century Gothic"/>
          <w:sz w:val="20"/>
          <w:szCs w:val="20"/>
        </w:rPr>
        <w:t>scores on</w:t>
      </w:r>
      <w:r w:rsidRPr="000F2450">
        <w:rPr>
          <w:rFonts w:ascii="Century Gothic" w:hAnsi="Century Gothic"/>
          <w:sz w:val="20"/>
          <w:szCs w:val="20"/>
        </w:rPr>
        <w:t xml:space="preserve"> </w:t>
      </w:r>
      <w:r w:rsidR="000F2450">
        <w:rPr>
          <w:rFonts w:ascii="Century Gothic" w:hAnsi="Century Gothic"/>
          <w:sz w:val="20"/>
          <w:szCs w:val="20"/>
        </w:rPr>
        <w:t xml:space="preserve">the factors of </w:t>
      </w:r>
      <w:r w:rsidR="000F2450" w:rsidRPr="000F2450">
        <w:rPr>
          <w:rFonts w:ascii="Century Gothic" w:hAnsi="Century Gothic"/>
          <w:sz w:val="20"/>
          <w:szCs w:val="20"/>
        </w:rPr>
        <w:t xml:space="preserve">connectedness to school and </w:t>
      </w:r>
      <w:r w:rsidR="000F2450">
        <w:rPr>
          <w:rFonts w:ascii="Century Gothic" w:hAnsi="Century Gothic"/>
          <w:sz w:val="20"/>
          <w:szCs w:val="20"/>
        </w:rPr>
        <w:t xml:space="preserve">peer; </w:t>
      </w:r>
      <w:r w:rsidRPr="000F2450">
        <w:rPr>
          <w:rFonts w:ascii="Century Gothic" w:hAnsi="Century Gothic"/>
          <w:sz w:val="20"/>
          <w:szCs w:val="20"/>
        </w:rPr>
        <w:t>student motivati</w:t>
      </w:r>
      <w:r w:rsidR="000F2450">
        <w:rPr>
          <w:rFonts w:ascii="Century Gothic" w:hAnsi="Century Gothic"/>
          <w:sz w:val="20"/>
          <w:szCs w:val="20"/>
        </w:rPr>
        <w:t xml:space="preserve">on; and </w:t>
      </w:r>
      <w:r w:rsidRPr="000F2450">
        <w:rPr>
          <w:rFonts w:ascii="Century Gothic" w:hAnsi="Century Gothic"/>
          <w:sz w:val="20"/>
          <w:szCs w:val="20"/>
        </w:rPr>
        <w:t>student morale.</w:t>
      </w:r>
    </w:p>
    <w:p w:rsidR="006F07DF" w:rsidRPr="00CB2D61" w:rsidRDefault="006F07DF" w:rsidP="005354EF">
      <w:pPr>
        <w:jc w:val="both"/>
        <w:rPr>
          <w:rFonts w:ascii="Century Gothic" w:hAnsi="Century Gothic"/>
          <w:sz w:val="20"/>
          <w:szCs w:val="20"/>
        </w:rPr>
      </w:pPr>
      <w:r w:rsidRPr="00CB2D61">
        <w:rPr>
          <w:rFonts w:ascii="Century Gothic" w:hAnsi="Century Gothic"/>
          <w:sz w:val="20"/>
          <w:szCs w:val="20"/>
        </w:rPr>
        <w:t>In summary, the key arguments from VAGO</w:t>
      </w:r>
      <w:r>
        <w:rPr>
          <w:rFonts w:ascii="Century Gothic" w:hAnsi="Century Gothic"/>
          <w:sz w:val="20"/>
          <w:szCs w:val="20"/>
        </w:rPr>
        <w:t xml:space="preserve"> for addressing</w:t>
      </w:r>
      <w:r w:rsidRPr="00CB2D61">
        <w:rPr>
          <w:rFonts w:ascii="Century Gothic" w:hAnsi="Century Gothic"/>
          <w:sz w:val="20"/>
          <w:szCs w:val="20"/>
        </w:rPr>
        <w:t xml:space="preserve"> gender differences, including in the trans</w:t>
      </w:r>
      <w:r>
        <w:rPr>
          <w:rFonts w:ascii="Century Gothic" w:hAnsi="Century Gothic"/>
          <w:sz w:val="20"/>
          <w:szCs w:val="20"/>
        </w:rPr>
        <w:t>ition</w:t>
      </w:r>
      <w:r w:rsidRPr="00CB2D61">
        <w:rPr>
          <w:rFonts w:ascii="Century Gothic" w:hAnsi="Century Gothic"/>
          <w:sz w:val="20"/>
          <w:szCs w:val="20"/>
        </w:rPr>
        <w:t xml:space="preserve"> years </w:t>
      </w:r>
      <w:r w:rsidR="000F2450">
        <w:rPr>
          <w:rFonts w:ascii="Century Gothic" w:hAnsi="Century Gothic"/>
          <w:sz w:val="20"/>
          <w:szCs w:val="20"/>
        </w:rPr>
        <w:t>stem from data about the poor attitudes and performance of boys. Specifically, VAGO was concerned:</w:t>
      </w:r>
      <w:r w:rsidRPr="00CB2D61">
        <w:rPr>
          <w:rFonts w:ascii="Century Gothic" w:hAnsi="Century Gothic"/>
          <w:sz w:val="20"/>
          <w:szCs w:val="20"/>
        </w:rPr>
        <w:t xml:space="preserve"> </w:t>
      </w:r>
    </w:p>
    <w:p w:rsidR="006F07DF" w:rsidRPr="00CB2D61" w:rsidRDefault="00977C51" w:rsidP="006F07DF">
      <w:pPr>
        <w:pStyle w:val="ListParagraph"/>
        <w:numPr>
          <w:ilvl w:val="0"/>
          <w:numId w:val="2"/>
        </w:numPr>
        <w:rPr>
          <w:rFonts w:ascii="Century Gothic" w:hAnsi="Century Gothic"/>
          <w:sz w:val="20"/>
          <w:szCs w:val="20"/>
        </w:rPr>
      </w:pPr>
      <w:r>
        <w:rPr>
          <w:rFonts w:ascii="Century Gothic" w:hAnsi="Century Gothic"/>
          <w:sz w:val="20"/>
          <w:szCs w:val="20"/>
        </w:rPr>
        <w:t>that</w:t>
      </w:r>
      <w:r w:rsidRPr="00CB2D61">
        <w:rPr>
          <w:rFonts w:ascii="Century Gothic" w:hAnsi="Century Gothic"/>
          <w:sz w:val="20"/>
          <w:szCs w:val="20"/>
        </w:rPr>
        <w:t xml:space="preserve"> </w:t>
      </w:r>
      <w:r w:rsidR="006F07DF" w:rsidRPr="00CB2D61">
        <w:rPr>
          <w:rFonts w:ascii="Century Gothic" w:hAnsi="Century Gothic"/>
          <w:sz w:val="20"/>
          <w:szCs w:val="20"/>
        </w:rPr>
        <w:t>boys’ writing scores deteriorate faster t</w:t>
      </w:r>
      <w:r w:rsidR="0016175E">
        <w:rPr>
          <w:rFonts w:ascii="Century Gothic" w:hAnsi="Century Gothic"/>
          <w:sz w:val="20"/>
          <w:szCs w:val="20"/>
        </w:rPr>
        <w:t>han girls as they progress to Y</w:t>
      </w:r>
      <w:r w:rsidR="006F07DF" w:rsidRPr="00CB2D61">
        <w:rPr>
          <w:rFonts w:ascii="Century Gothic" w:hAnsi="Century Gothic"/>
          <w:sz w:val="20"/>
          <w:szCs w:val="20"/>
        </w:rPr>
        <w:t>ear 9 (N</w:t>
      </w:r>
      <w:r w:rsidR="000F2450">
        <w:rPr>
          <w:rFonts w:ascii="Century Gothic" w:hAnsi="Century Gothic"/>
          <w:sz w:val="20"/>
          <w:szCs w:val="20"/>
        </w:rPr>
        <w:t xml:space="preserve">ote that </w:t>
      </w:r>
      <w:r w:rsidR="00C92C69">
        <w:rPr>
          <w:rFonts w:ascii="Century Gothic" w:hAnsi="Century Gothic"/>
          <w:sz w:val="20"/>
          <w:szCs w:val="20"/>
        </w:rPr>
        <w:t xml:space="preserve">the writing test varies at the discretion of ACARA between narrative and </w:t>
      </w:r>
      <w:r w:rsidR="0016175E">
        <w:rPr>
          <w:rFonts w:ascii="Century Gothic" w:hAnsi="Century Gothic"/>
          <w:sz w:val="20"/>
          <w:szCs w:val="20"/>
        </w:rPr>
        <w:t>p</w:t>
      </w:r>
      <w:r w:rsidR="006F07DF" w:rsidRPr="00CB2D61">
        <w:rPr>
          <w:rFonts w:ascii="Century Gothic" w:hAnsi="Century Gothic"/>
          <w:sz w:val="20"/>
          <w:szCs w:val="20"/>
        </w:rPr>
        <w:t xml:space="preserve">ersuasive </w:t>
      </w:r>
      <w:r w:rsidR="00C92C69">
        <w:rPr>
          <w:rFonts w:ascii="Century Gothic" w:hAnsi="Century Gothic"/>
          <w:sz w:val="20"/>
          <w:szCs w:val="20"/>
        </w:rPr>
        <w:t>writing)</w:t>
      </w:r>
    </w:p>
    <w:p w:rsidR="006F07DF" w:rsidRPr="00CB2D61" w:rsidRDefault="00977C51" w:rsidP="006F07DF">
      <w:pPr>
        <w:pStyle w:val="ListParagraph"/>
        <w:numPr>
          <w:ilvl w:val="0"/>
          <w:numId w:val="2"/>
        </w:numPr>
        <w:rPr>
          <w:rFonts w:ascii="Century Gothic" w:hAnsi="Century Gothic"/>
          <w:sz w:val="20"/>
          <w:szCs w:val="20"/>
        </w:rPr>
      </w:pPr>
      <w:r>
        <w:rPr>
          <w:rFonts w:ascii="Century Gothic" w:hAnsi="Century Gothic"/>
          <w:sz w:val="20"/>
          <w:szCs w:val="20"/>
        </w:rPr>
        <w:t xml:space="preserve">with </w:t>
      </w:r>
      <w:r w:rsidR="006F07DF" w:rsidRPr="00CB2D61">
        <w:rPr>
          <w:rFonts w:ascii="Century Gothic" w:hAnsi="Century Gothic"/>
          <w:sz w:val="20"/>
          <w:szCs w:val="20"/>
        </w:rPr>
        <w:t xml:space="preserve">the </w:t>
      </w:r>
      <w:r>
        <w:rPr>
          <w:rFonts w:ascii="Century Gothic" w:hAnsi="Century Gothic"/>
          <w:sz w:val="20"/>
          <w:szCs w:val="20"/>
        </w:rPr>
        <w:t xml:space="preserve">significant </w:t>
      </w:r>
      <w:r w:rsidR="006F07DF" w:rsidRPr="00CB2D61">
        <w:rPr>
          <w:rFonts w:ascii="Century Gothic" w:hAnsi="Century Gothic"/>
          <w:sz w:val="20"/>
          <w:szCs w:val="20"/>
        </w:rPr>
        <w:t>in</w:t>
      </w:r>
      <w:r w:rsidR="0016175E">
        <w:rPr>
          <w:rFonts w:ascii="Century Gothic" w:hAnsi="Century Gothic"/>
          <w:sz w:val="20"/>
          <w:szCs w:val="20"/>
        </w:rPr>
        <w:t xml:space="preserve">crease in suspensions from years </w:t>
      </w:r>
      <w:r w:rsidR="006F07DF" w:rsidRPr="00CB2D61">
        <w:rPr>
          <w:rFonts w:ascii="Century Gothic" w:hAnsi="Century Gothic"/>
          <w:sz w:val="20"/>
          <w:szCs w:val="20"/>
        </w:rPr>
        <w:t>6 to 7 and boys’ greater proportion of suspensions than girl</w:t>
      </w:r>
      <w:r w:rsidR="0016175E">
        <w:rPr>
          <w:rFonts w:ascii="Century Gothic" w:hAnsi="Century Gothic"/>
          <w:sz w:val="20"/>
          <w:szCs w:val="20"/>
        </w:rPr>
        <w:t>s’ in Y</w:t>
      </w:r>
      <w:r w:rsidR="006F07DF" w:rsidRPr="00CB2D61">
        <w:rPr>
          <w:rFonts w:ascii="Century Gothic" w:hAnsi="Century Gothic"/>
          <w:sz w:val="20"/>
          <w:szCs w:val="20"/>
        </w:rPr>
        <w:t>ear 7 (and every year)</w:t>
      </w:r>
      <w:r w:rsidR="00622514">
        <w:rPr>
          <w:rFonts w:ascii="Century Gothic" w:hAnsi="Century Gothic"/>
          <w:sz w:val="20"/>
          <w:szCs w:val="20"/>
        </w:rPr>
        <w:t>, and</w:t>
      </w:r>
    </w:p>
    <w:p w:rsidR="006F07DF" w:rsidRDefault="00977C51" w:rsidP="006F07DF">
      <w:pPr>
        <w:pStyle w:val="ListParagraph"/>
        <w:numPr>
          <w:ilvl w:val="0"/>
          <w:numId w:val="2"/>
        </w:numPr>
        <w:rPr>
          <w:rFonts w:ascii="Century Gothic" w:hAnsi="Century Gothic"/>
          <w:sz w:val="20"/>
          <w:szCs w:val="20"/>
        </w:rPr>
      </w:pPr>
      <w:r>
        <w:rPr>
          <w:rFonts w:ascii="Century Gothic" w:hAnsi="Century Gothic"/>
          <w:sz w:val="20"/>
          <w:szCs w:val="20"/>
        </w:rPr>
        <w:t>that boys</w:t>
      </w:r>
      <w:r w:rsidR="006F07DF" w:rsidRPr="00CB2D61">
        <w:rPr>
          <w:rFonts w:ascii="Century Gothic" w:hAnsi="Century Gothic"/>
          <w:sz w:val="20"/>
          <w:szCs w:val="20"/>
        </w:rPr>
        <w:t xml:space="preserve"> </w:t>
      </w:r>
      <w:r w:rsidR="006F07DF">
        <w:rPr>
          <w:rFonts w:ascii="Century Gothic" w:hAnsi="Century Gothic"/>
          <w:sz w:val="20"/>
          <w:szCs w:val="20"/>
        </w:rPr>
        <w:t xml:space="preserve">have a </w:t>
      </w:r>
      <w:r>
        <w:rPr>
          <w:rFonts w:ascii="Century Gothic" w:hAnsi="Century Gothic"/>
          <w:sz w:val="20"/>
          <w:szCs w:val="20"/>
        </w:rPr>
        <w:t>weak</w:t>
      </w:r>
      <w:r w:rsidR="006F07DF" w:rsidRPr="00CB2D61">
        <w:rPr>
          <w:rFonts w:ascii="Century Gothic" w:hAnsi="Century Gothic"/>
          <w:sz w:val="20"/>
          <w:szCs w:val="20"/>
        </w:rPr>
        <w:t xml:space="preserve">er attachment to schooling and </w:t>
      </w:r>
      <w:r>
        <w:rPr>
          <w:rFonts w:ascii="Century Gothic" w:hAnsi="Century Gothic"/>
          <w:sz w:val="20"/>
          <w:szCs w:val="20"/>
        </w:rPr>
        <w:t>lowe</w:t>
      </w:r>
      <w:r w:rsidR="006F07DF" w:rsidRPr="00CB2D61">
        <w:rPr>
          <w:rFonts w:ascii="Century Gothic" w:hAnsi="Century Gothic"/>
          <w:sz w:val="20"/>
          <w:szCs w:val="20"/>
        </w:rPr>
        <w:t xml:space="preserve">r motivation </w:t>
      </w:r>
      <w:r w:rsidR="006F07DF">
        <w:rPr>
          <w:rFonts w:ascii="Century Gothic" w:hAnsi="Century Gothic"/>
          <w:sz w:val="20"/>
          <w:szCs w:val="20"/>
        </w:rPr>
        <w:t xml:space="preserve">than </w:t>
      </w:r>
      <w:r>
        <w:rPr>
          <w:rFonts w:ascii="Century Gothic" w:hAnsi="Century Gothic"/>
          <w:sz w:val="20"/>
          <w:szCs w:val="20"/>
        </w:rPr>
        <w:t>girl</w:t>
      </w:r>
      <w:r w:rsidR="006F07DF">
        <w:rPr>
          <w:rFonts w:ascii="Century Gothic" w:hAnsi="Century Gothic"/>
          <w:sz w:val="20"/>
          <w:szCs w:val="20"/>
        </w:rPr>
        <w:t>s</w:t>
      </w:r>
      <w:r w:rsidR="006F07DF" w:rsidRPr="00CB2D61">
        <w:rPr>
          <w:rFonts w:ascii="Century Gothic" w:hAnsi="Century Gothic"/>
          <w:sz w:val="20"/>
          <w:szCs w:val="20"/>
        </w:rPr>
        <w:t>.</w:t>
      </w:r>
    </w:p>
    <w:p w:rsidR="0091233C" w:rsidRDefault="00776E86" w:rsidP="006F07DF">
      <w:pPr>
        <w:pStyle w:val="Heading3"/>
      </w:pPr>
      <w:bookmarkStart w:id="17" w:name="_Toc466730276"/>
      <w:bookmarkStart w:id="18" w:name="_Toc469259445"/>
      <w:bookmarkStart w:id="19" w:name="_Toc463183795"/>
      <w:r>
        <w:rPr>
          <w:rStyle w:val="IntenseEmphasis"/>
          <w:b/>
          <w:bCs/>
          <w:i w:val="0"/>
          <w:iCs w:val="0"/>
        </w:rPr>
        <w:t>1.2</w:t>
      </w:r>
      <w:r w:rsidR="00427C1C">
        <w:rPr>
          <w:rStyle w:val="IntenseEmphasis"/>
          <w:b/>
          <w:bCs/>
          <w:i w:val="0"/>
          <w:iCs w:val="0"/>
        </w:rPr>
        <w:t xml:space="preserve"> </w:t>
      </w:r>
      <w:r w:rsidR="00427C1C">
        <w:t xml:space="preserve">Gender </w:t>
      </w:r>
      <w:r w:rsidR="0091233C">
        <w:t xml:space="preserve">gaps: International </w:t>
      </w:r>
      <w:bookmarkEnd w:id="17"/>
      <w:r w:rsidR="00386890">
        <w:t>performance patterns</w:t>
      </w:r>
      <w:bookmarkEnd w:id="18"/>
      <w:r w:rsidR="00386890">
        <w:t xml:space="preserve"> </w:t>
      </w:r>
    </w:p>
    <w:p w:rsidR="006F07DF" w:rsidRPr="0091233C" w:rsidRDefault="0091233C" w:rsidP="0091233C">
      <w:pPr>
        <w:jc w:val="both"/>
        <w:rPr>
          <w:rFonts w:ascii="Century Gothic" w:hAnsi="Century Gothic"/>
          <w:sz w:val="20"/>
          <w:szCs w:val="20"/>
        </w:rPr>
      </w:pPr>
      <w:r>
        <w:rPr>
          <w:rFonts w:ascii="Century Gothic" w:hAnsi="Century Gothic"/>
          <w:sz w:val="20"/>
          <w:szCs w:val="20"/>
        </w:rPr>
        <w:t xml:space="preserve">International tests are important sources of comparative data and this section draws on: </w:t>
      </w:r>
      <w:r w:rsidR="006F07DF" w:rsidRPr="0091233C">
        <w:rPr>
          <w:rFonts w:ascii="Century Gothic" w:hAnsi="Century Gothic"/>
          <w:sz w:val="20"/>
          <w:szCs w:val="20"/>
        </w:rPr>
        <w:t>OECD Program for International Student Assessment (PISA)</w:t>
      </w:r>
      <w:r w:rsidR="00427C1C" w:rsidRPr="0091233C">
        <w:rPr>
          <w:rFonts w:ascii="Century Gothic" w:hAnsi="Century Gothic"/>
          <w:sz w:val="20"/>
          <w:szCs w:val="20"/>
        </w:rPr>
        <w:t>;</w:t>
      </w:r>
      <w:r w:rsidR="006F07DF" w:rsidRPr="0091233C">
        <w:rPr>
          <w:rFonts w:ascii="Century Gothic" w:hAnsi="Century Gothic"/>
          <w:sz w:val="20"/>
          <w:szCs w:val="20"/>
        </w:rPr>
        <w:t xml:space="preserve"> </w:t>
      </w:r>
      <w:r w:rsidR="00E6197E" w:rsidRPr="0091233C">
        <w:rPr>
          <w:rFonts w:ascii="Century Gothic" w:hAnsi="Century Gothic"/>
          <w:sz w:val="20"/>
          <w:szCs w:val="20"/>
        </w:rPr>
        <w:t xml:space="preserve">Trends in International Mathematics and Science Study (TIMSS) </w:t>
      </w:r>
      <w:r w:rsidR="00427C1C" w:rsidRPr="0091233C">
        <w:rPr>
          <w:rFonts w:ascii="Century Gothic" w:hAnsi="Century Gothic"/>
          <w:sz w:val="20"/>
          <w:szCs w:val="20"/>
        </w:rPr>
        <w:t>and Progress in International Reading Literacy Study (PIRLS)</w:t>
      </w:r>
      <w:r>
        <w:rPr>
          <w:rFonts w:ascii="Century Gothic" w:hAnsi="Century Gothic"/>
          <w:sz w:val="20"/>
          <w:szCs w:val="20"/>
        </w:rPr>
        <w:t>.</w:t>
      </w:r>
      <w:r w:rsidR="00427C1C" w:rsidRPr="0091233C">
        <w:rPr>
          <w:rFonts w:ascii="Century Gothic" w:hAnsi="Century Gothic"/>
          <w:sz w:val="20"/>
          <w:szCs w:val="20"/>
        </w:rPr>
        <w:t xml:space="preserve"> </w:t>
      </w:r>
      <w:bookmarkEnd w:id="19"/>
      <w:r>
        <w:rPr>
          <w:rFonts w:ascii="Century Gothic" w:hAnsi="Century Gothic"/>
          <w:sz w:val="20"/>
          <w:szCs w:val="20"/>
        </w:rPr>
        <w:t xml:space="preserve">These assessments have different emphases and results are often not fully consistent but the perspectives on gender are highly informative.   </w:t>
      </w:r>
    </w:p>
    <w:p w:rsidR="00D479C3" w:rsidRDefault="0060768D" w:rsidP="00D54B9A">
      <w:pPr>
        <w:jc w:val="both"/>
        <w:rPr>
          <w:rFonts w:ascii="Century Gothic" w:hAnsi="Century Gothic"/>
          <w:sz w:val="20"/>
          <w:szCs w:val="20"/>
        </w:rPr>
      </w:pPr>
      <w:r>
        <w:rPr>
          <w:rFonts w:ascii="Century Gothic" w:hAnsi="Century Gothic"/>
          <w:sz w:val="20"/>
          <w:szCs w:val="20"/>
        </w:rPr>
        <w:t>The broader context for Australia’s gender performance at age 15 years is that while the OECD averages for mathematics and reading have remained stable</w:t>
      </w:r>
      <w:r w:rsidR="0008102F">
        <w:rPr>
          <w:rFonts w:ascii="Century Gothic" w:hAnsi="Century Gothic"/>
          <w:sz w:val="20"/>
          <w:szCs w:val="20"/>
        </w:rPr>
        <w:t>,</w:t>
      </w:r>
      <w:r>
        <w:rPr>
          <w:rFonts w:ascii="Century Gothic" w:hAnsi="Century Gothic"/>
          <w:sz w:val="20"/>
          <w:szCs w:val="20"/>
        </w:rPr>
        <w:t xml:space="preserve"> Australia’s mean performance has declined in mathematics </w:t>
      </w:r>
      <w:r w:rsidR="00BC0FF7">
        <w:rPr>
          <w:rFonts w:ascii="Century Gothic" w:hAnsi="Century Gothic"/>
          <w:sz w:val="20"/>
          <w:szCs w:val="20"/>
        </w:rPr>
        <w:t xml:space="preserve">from 2003 to 2012 </w:t>
      </w:r>
      <w:r>
        <w:rPr>
          <w:rFonts w:ascii="Century Gothic" w:hAnsi="Century Gothic"/>
          <w:sz w:val="20"/>
          <w:szCs w:val="20"/>
        </w:rPr>
        <w:t xml:space="preserve">(by 20 points which is around six months) and declined in reading from 2000 to 2012 (by 16 points on average or </w:t>
      </w:r>
      <w:r w:rsidR="00BC0FF7">
        <w:rPr>
          <w:rFonts w:ascii="Century Gothic" w:hAnsi="Century Gothic"/>
          <w:sz w:val="20"/>
          <w:szCs w:val="20"/>
        </w:rPr>
        <w:t>approximately 5 months).</w:t>
      </w:r>
      <w:r w:rsidR="0008102F">
        <w:rPr>
          <w:rFonts w:ascii="Century Gothic" w:hAnsi="Century Gothic"/>
          <w:sz w:val="20"/>
          <w:szCs w:val="20"/>
        </w:rPr>
        <w:t xml:space="preserve"> </w:t>
      </w:r>
      <w:r w:rsidR="00D479C3">
        <w:rPr>
          <w:rFonts w:ascii="Century Gothic" w:hAnsi="Century Gothic"/>
          <w:sz w:val="20"/>
          <w:szCs w:val="20"/>
        </w:rPr>
        <w:t xml:space="preserve">The 2015 PISA results indicate a similar decline (Thompson et al 2016a) </w:t>
      </w:r>
    </w:p>
    <w:p w:rsidR="0003551E" w:rsidRDefault="0008102F" w:rsidP="00D54B9A">
      <w:pPr>
        <w:jc w:val="both"/>
        <w:rPr>
          <w:rFonts w:ascii="Century Gothic" w:hAnsi="Century Gothic"/>
          <w:sz w:val="20"/>
          <w:szCs w:val="20"/>
        </w:rPr>
      </w:pPr>
      <w:r>
        <w:rPr>
          <w:rFonts w:ascii="Century Gothic" w:hAnsi="Century Gothic"/>
          <w:sz w:val="20"/>
          <w:szCs w:val="20"/>
        </w:rPr>
        <w:t xml:space="preserve">In jurisdictional comparisons </w:t>
      </w:r>
      <w:r w:rsidR="00D479C3">
        <w:rPr>
          <w:rFonts w:ascii="Century Gothic" w:hAnsi="Century Gothic"/>
          <w:sz w:val="20"/>
          <w:szCs w:val="20"/>
        </w:rPr>
        <w:t xml:space="preserve">however </w:t>
      </w:r>
      <w:r>
        <w:rPr>
          <w:rFonts w:ascii="Century Gothic" w:hAnsi="Century Gothic"/>
          <w:sz w:val="20"/>
          <w:szCs w:val="20"/>
        </w:rPr>
        <w:t>Victoria</w:t>
      </w:r>
      <w:r w:rsidR="00D479C3">
        <w:rPr>
          <w:rFonts w:ascii="Century Gothic" w:hAnsi="Century Gothic"/>
          <w:sz w:val="20"/>
          <w:szCs w:val="20"/>
        </w:rPr>
        <w:t xml:space="preserve">’s reading performance </w:t>
      </w:r>
      <w:r w:rsidR="0003551E">
        <w:rPr>
          <w:rFonts w:ascii="Century Gothic" w:hAnsi="Century Gothic"/>
          <w:sz w:val="20"/>
          <w:szCs w:val="20"/>
        </w:rPr>
        <w:t>has not changed</w:t>
      </w:r>
      <w:r w:rsidR="00D479C3">
        <w:rPr>
          <w:rFonts w:ascii="Century Gothic" w:hAnsi="Century Gothic"/>
          <w:sz w:val="20"/>
          <w:szCs w:val="20"/>
        </w:rPr>
        <w:t xml:space="preserve"> 2000 to 2015 nor has performance in mathema</w:t>
      </w:r>
      <w:r w:rsidR="0003551E">
        <w:rPr>
          <w:rFonts w:ascii="Century Gothic" w:hAnsi="Century Gothic"/>
          <w:sz w:val="20"/>
          <w:szCs w:val="20"/>
        </w:rPr>
        <w:t xml:space="preserve">tics changed 2003 to 2012. </w:t>
      </w:r>
    </w:p>
    <w:p w:rsidR="00BB7310" w:rsidRDefault="0008102F" w:rsidP="00D54B9A">
      <w:pPr>
        <w:jc w:val="both"/>
        <w:rPr>
          <w:rFonts w:ascii="Century Gothic" w:hAnsi="Century Gothic"/>
          <w:sz w:val="20"/>
          <w:szCs w:val="20"/>
        </w:rPr>
      </w:pPr>
      <w:r>
        <w:rPr>
          <w:rFonts w:ascii="Century Gothic" w:hAnsi="Century Gothic"/>
          <w:sz w:val="20"/>
          <w:szCs w:val="20"/>
        </w:rPr>
        <w:t>O</w:t>
      </w:r>
      <w:r w:rsidR="00925225">
        <w:rPr>
          <w:rFonts w:ascii="Century Gothic" w:hAnsi="Century Gothic"/>
          <w:sz w:val="20"/>
          <w:szCs w:val="20"/>
        </w:rPr>
        <w:t>n gender differences</w:t>
      </w:r>
      <w:r w:rsidR="00D81249">
        <w:rPr>
          <w:rFonts w:ascii="Century Gothic" w:hAnsi="Century Gothic"/>
          <w:sz w:val="20"/>
          <w:szCs w:val="20"/>
        </w:rPr>
        <w:t>,</w:t>
      </w:r>
      <w:r w:rsidR="00925225">
        <w:rPr>
          <w:rFonts w:ascii="Century Gothic" w:hAnsi="Century Gothic"/>
          <w:sz w:val="20"/>
          <w:szCs w:val="20"/>
        </w:rPr>
        <w:t xml:space="preserve"> </w:t>
      </w:r>
      <w:r>
        <w:rPr>
          <w:rFonts w:ascii="Century Gothic" w:hAnsi="Century Gothic"/>
          <w:sz w:val="20"/>
          <w:szCs w:val="20"/>
        </w:rPr>
        <w:t xml:space="preserve">PISA data </w:t>
      </w:r>
      <w:r w:rsidR="00A265B6">
        <w:rPr>
          <w:rFonts w:ascii="Century Gothic" w:hAnsi="Century Gothic"/>
          <w:sz w:val="20"/>
          <w:szCs w:val="20"/>
        </w:rPr>
        <w:t xml:space="preserve">(OECD </w:t>
      </w:r>
      <w:r w:rsidR="00AB284F">
        <w:rPr>
          <w:rFonts w:ascii="Century Gothic" w:hAnsi="Century Gothic"/>
          <w:sz w:val="20"/>
          <w:szCs w:val="20"/>
        </w:rPr>
        <w:t>2015)</w:t>
      </w:r>
      <w:r w:rsidR="006F07DF">
        <w:rPr>
          <w:rFonts w:ascii="Century Gothic" w:hAnsi="Century Gothic"/>
          <w:sz w:val="20"/>
          <w:szCs w:val="20"/>
        </w:rPr>
        <w:t xml:space="preserve"> show </w:t>
      </w:r>
      <w:r w:rsidR="00AB284F">
        <w:rPr>
          <w:rFonts w:ascii="Century Gothic" w:hAnsi="Century Gothic"/>
          <w:sz w:val="20"/>
          <w:szCs w:val="20"/>
        </w:rPr>
        <w:t xml:space="preserve">that </w:t>
      </w:r>
      <w:r w:rsidR="00925225">
        <w:rPr>
          <w:rFonts w:ascii="Century Gothic" w:hAnsi="Century Gothic"/>
          <w:sz w:val="20"/>
          <w:szCs w:val="20"/>
        </w:rPr>
        <w:t xml:space="preserve">across OECD countries 15 year old </w:t>
      </w:r>
      <w:r w:rsidR="00211CEF" w:rsidRPr="00AB284F">
        <w:rPr>
          <w:rFonts w:ascii="Century Gothic" w:hAnsi="Century Gothic"/>
          <w:sz w:val="20"/>
          <w:szCs w:val="20"/>
        </w:rPr>
        <w:t xml:space="preserve">boys are more likely than girls </w:t>
      </w:r>
      <w:r w:rsidR="00100C96" w:rsidRPr="00AB284F">
        <w:rPr>
          <w:rFonts w:ascii="Century Gothic" w:hAnsi="Century Gothic"/>
          <w:sz w:val="20"/>
          <w:szCs w:val="20"/>
        </w:rPr>
        <w:t>to be low achievers</w:t>
      </w:r>
      <w:r w:rsidR="00925225">
        <w:rPr>
          <w:rFonts w:ascii="Century Gothic" w:hAnsi="Century Gothic"/>
          <w:sz w:val="20"/>
          <w:szCs w:val="20"/>
        </w:rPr>
        <w:t xml:space="preserve">. In PISA 2012 14 percent </w:t>
      </w:r>
      <w:r w:rsidR="00211CEF" w:rsidRPr="00AB284F">
        <w:rPr>
          <w:rFonts w:ascii="Century Gothic" w:hAnsi="Century Gothic"/>
          <w:sz w:val="20"/>
          <w:szCs w:val="20"/>
        </w:rPr>
        <w:t>of boys compared with 9 percent of girls did not attain the baseline measure of profi</w:t>
      </w:r>
      <w:r w:rsidR="00360A69">
        <w:rPr>
          <w:rFonts w:ascii="Century Gothic" w:hAnsi="Century Gothic"/>
          <w:sz w:val="20"/>
          <w:szCs w:val="20"/>
        </w:rPr>
        <w:t xml:space="preserve">ciency in reading, mathematics. </w:t>
      </w:r>
      <w:r w:rsidR="0016175E">
        <w:rPr>
          <w:rFonts w:ascii="Century Gothic" w:hAnsi="Century Gothic"/>
          <w:sz w:val="20"/>
          <w:szCs w:val="20"/>
        </w:rPr>
        <w:t xml:space="preserve">(For science, which is not being considered in this review, </w:t>
      </w:r>
      <w:r w:rsidR="00100C96" w:rsidRPr="00AB284F">
        <w:rPr>
          <w:rFonts w:ascii="Century Gothic" w:hAnsi="Century Gothic"/>
          <w:sz w:val="20"/>
          <w:szCs w:val="20"/>
        </w:rPr>
        <w:t>gender differe</w:t>
      </w:r>
      <w:r w:rsidR="0016175E">
        <w:rPr>
          <w:rFonts w:ascii="Century Gothic" w:hAnsi="Century Gothic"/>
          <w:sz w:val="20"/>
          <w:szCs w:val="20"/>
        </w:rPr>
        <w:t>nces are only slight.)</w:t>
      </w:r>
      <w:r w:rsidR="00100C96" w:rsidRPr="00AB284F">
        <w:rPr>
          <w:rFonts w:ascii="Century Gothic" w:hAnsi="Century Gothic"/>
          <w:sz w:val="20"/>
          <w:szCs w:val="20"/>
        </w:rPr>
        <w:t xml:space="preserve"> </w:t>
      </w:r>
    </w:p>
    <w:p w:rsidR="00622514" w:rsidRPr="00622514" w:rsidRDefault="00586D25" w:rsidP="00622514">
      <w:pPr>
        <w:jc w:val="both"/>
        <w:rPr>
          <w:rFonts w:ascii="Century Gothic" w:hAnsi="Century Gothic"/>
          <w:sz w:val="20"/>
          <w:szCs w:val="20"/>
        </w:rPr>
      </w:pPr>
      <w:r w:rsidRPr="00622514">
        <w:rPr>
          <w:rFonts w:ascii="Century Gothic" w:hAnsi="Century Gothic"/>
          <w:sz w:val="20"/>
          <w:szCs w:val="20"/>
        </w:rPr>
        <w:t>TIMSS/PI</w:t>
      </w:r>
      <w:r w:rsidR="00BB7310" w:rsidRPr="00622514">
        <w:rPr>
          <w:rFonts w:ascii="Century Gothic" w:hAnsi="Century Gothic"/>
          <w:sz w:val="20"/>
          <w:szCs w:val="20"/>
        </w:rPr>
        <w:t>RLS data (</w:t>
      </w:r>
      <w:r w:rsidRPr="00622514">
        <w:rPr>
          <w:rFonts w:ascii="Century Gothic" w:hAnsi="Century Gothic"/>
          <w:sz w:val="20"/>
          <w:szCs w:val="20"/>
        </w:rPr>
        <w:t xml:space="preserve">TIMSS </w:t>
      </w:r>
      <w:r w:rsidR="00AF6D70">
        <w:rPr>
          <w:rFonts w:ascii="Century Gothic" w:hAnsi="Century Gothic"/>
          <w:sz w:val="20"/>
          <w:szCs w:val="20"/>
        </w:rPr>
        <w:t xml:space="preserve">2015 </w:t>
      </w:r>
      <w:r w:rsidRPr="00622514">
        <w:rPr>
          <w:rFonts w:ascii="Century Gothic" w:hAnsi="Century Gothic"/>
          <w:sz w:val="20"/>
          <w:szCs w:val="20"/>
        </w:rPr>
        <w:t xml:space="preserve">and PIRLS 2011) show that </w:t>
      </w:r>
      <w:r w:rsidR="00BB7310" w:rsidRPr="00622514">
        <w:rPr>
          <w:rFonts w:ascii="Century Gothic" w:hAnsi="Century Gothic"/>
          <w:sz w:val="20"/>
          <w:szCs w:val="20"/>
        </w:rPr>
        <w:t>female students perform at a significantly higher level in</w:t>
      </w:r>
      <w:r w:rsidR="0049243A" w:rsidRPr="00622514">
        <w:rPr>
          <w:rFonts w:ascii="Century Gothic" w:hAnsi="Century Gothic"/>
          <w:sz w:val="20"/>
          <w:szCs w:val="20"/>
        </w:rPr>
        <w:t xml:space="preserve"> literacy </w:t>
      </w:r>
      <w:r w:rsidR="00BB7310" w:rsidRPr="00622514">
        <w:rPr>
          <w:rFonts w:ascii="Century Gothic" w:hAnsi="Century Gothic"/>
          <w:sz w:val="20"/>
          <w:szCs w:val="20"/>
        </w:rPr>
        <w:t>in the majority of countries</w:t>
      </w:r>
      <w:r w:rsidR="0049243A" w:rsidRPr="00622514">
        <w:rPr>
          <w:rFonts w:ascii="Century Gothic" w:hAnsi="Century Gothic"/>
          <w:sz w:val="20"/>
          <w:szCs w:val="20"/>
        </w:rPr>
        <w:t>;</w:t>
      </w:r>
      <w:r w:rsidR="00BB7310" w:rsidRPr="00622514">
        <w:rPr>
          <w:rFonts w:ascii="Century Gothic" w:hAnsi="Century Gothic"/>
          <w:sz w:val="20"/>
          <w:szCs w:val="20"/>
        </w:rPr>
        <w:t xml:space="preserve"> in mathematics </w:t>
      </w:r>
      <w:r w:rsidR="0049243A" w:rsidRPr="00622514">
        <w:rPr>
          <w:rFonts w:ascii="Century Gothic" w:hAnsi="Century Gothic"/>
          <w:sz w:val="20"/>
          <w:szCs w:val="20"/>
        </w:rPr>
        <w:t xml:space="preserve">gender differences are small on average at the Year 4 level but somewhat larger in favour of </w:t>
      </w:r>
      <w:r w:rsidR="00E82682" w:rsidRPr="00622514">
        <w:rPr>
          <w:rFonts w:ascii="Century Gothic" w:hAnsi="Century Gothic"/>
          <w:sz w:val="20"/>
          <w:szCs w:val="20"/>
        </w:rPr>
        <w:t>boys</w:t>
      </w:r>
      <w:r w:rsidR="0049243A" w:rsidRPr="00622514">
        <w:rPr>
          <w:rFonts w:ascii="Century Gothic" w:hAnsi="Century Gothic"/>
          <w:sz w:val="20"/>
          <w:szCs w:val="20"/>
        </w:rPr>
        <w:t xml:space="preserve"> by Year 8</w:t>
      </w:r>
      <w:r w:rsidR="0016175E" w:rsidRPr="00622514">
        <w:rPr>
          <w:rFonts w:ascii="Century Gothic" w:hAnsi="Century Gothic"/>
          <w:sz w:val="20"/>
          <w:szCs w:val="20"/>
        </w:rPr>
        <w:t xml:space="preserve">. </w:t>
      </w:r>
      <w:r w:rsidR="0049243A" w:rsidRPr="00622514">
        <w:rPr>
          <w:rFonts w:ascii="Century Gothic" w:hAnsi="Century Gothic"/>
          <w:sz w:val="20"/>
          <w:szCs w:val="20"/>
        </w:rPr>
        <w:t xml:space="preserve"> </w:t>
      </w:r>
      <w:r w:rsidR="0016175E" w:rsidRPr="00622514">
        <w:rPr>
          <w:rFonts w:ascii="Century Gothic" w:hAnsi="Century Gothic"/>
          <w:sz w:val="20"/>
          <w:szCs w:val="20"/>
        </w:rPr>
        <w:t xml:space="preserve">(For science, </w:t>
      </w:r>
      <w:r w:rsidR="00E82682" w:rsidRPr="00622514">
        <w:rPr>
          <w:rFonts w:ascii="Century Gothic" w:hAnsi="Century Gothic"/>
          <w:sz w:val="20"/>
          <w:szCs w:val="20"/>
        </w:rPr>
        <w:t xml:space="preserve">gender differences are not that noticeable at Year 4 but, unlike PISA, by Year 8 are very mixed with boys performing better in a number of </w:t>
      </w:r>
      <w:r w:rsidR="0016175E" w:rsidRPr="00622514">
        <w:rPr>
          <w:rFonts w:ascii="Century Gothic" w:hAnsi="Century Gothic"/>
          <w:sz w:val="20"/>
          <w:szCs w:val="20"/>
        </w:rPr>
        <w:t>countries, including Australia.</w:t>
      </w:r>
      <w:r w:rsidR="00622514" w:rsidRPr="00622514">
        <w:rPr>
          <w:rFonts w:ascii="Century Gothic" w:hAnsi="Century Gothic"/>
          <w:sz w:val="20"/>
          <w:szCs w:val="20"/>
        </w:rPr>
        <w:t xml:space="preserve"> </w:t>
      </w:r>
      <w:r w:rsidR="00622514">
        <w:rPr>
          <w:rFonts w:ascii="Century Gothic" w:hAnsi="Century Gothic"/>
          <w:sz w:val="20"/>
          <w:szCs w:val="20"/>
        </w:rPr>
        <w:t xml:space="preserve">This has been apparent in Australia </w:t>
      </w:r>
      <w:r w:rsidR="00622514" w:rsidRPr="00622514">
        <w:rPr>
          <w:rFonts w:ascii="Century Gothic" w:hAnsi="Century Gothic"/>
          <w:sz w:val="20"/>
          <w:szCs w:val="20"/>
        </w:rPr>
        <w:t>in each assessment since 1995.</w:t>
      </w:r>
    </w:p>
    <w:p w:rsidR="0016175E" w:rsidRDefault="008A7117" w:rsidP="0016175E">
      <w:pPr>
        <w:pStyle w:val="Heading4"/>
      </w:pPr>
      <w:r w:rsidRPr="00364AFD">
        <w:t xml:space="preserve">Literacy differences </w:t>
      </w:r>
    </w:p>
    <w:p w:rsidR="0016175E" w:rsidRPr="0016175E" w:rsidRDefault="0016175E" w:rsidP="0016175E">
      <w:pPr>
        <w:spacing w:after="0"/>
      </w:pPr>
    </w:p>
    <w:p w:rsidR="00211CEF" w:rsidRPr="0016175E" w:rsidRDefault="0016175E" w:rsidP="0016175E">
      <w:pPr>
        <w:spacing w:after="0"/>
        <w:rPr>
          <w:rFonts w:ascii="Century Gothic" w:hAnsi="Century Gothic"/>
          <w:i/>
          <w:sz w:val="20"/>
          <w:szCs w:val="20"/>
        </w:rPr>
      </w:pPr>
      <w:r>
        <w:rPr>
          <w:rFonts w:ascii="Century Gothic" w:hAnsi="Century Gothic"/>
          <w:i/>
          <w:sz w:val="20"/>
          <w:szCs w:val="20"/>
        </w:rPr>
        <w:t>I</w:t>
      </w:r>
      <w:r w:rsidRPr="0016175E">
        <w:rPr>
          <w:rFonts w:ascii="Century Gothic" w:hAnsi="Century Gothic"/>
          <w:i/>
          <w:sz w:val="20"/>
          <w:szCs w:val="20"/>
        </w:rPr>
        <w:t xml:space="preserve">nternationally </w:t>
      </w:r>
    </w:p>
    <w:p w:rsidR="00E6197E" w:rsidRDefault="00100C96" w:rsidP="0016175E">
      <w:pPr>
        <w:pStyle w:val="ListParagraph"/>
        <w:numPr>
          <w:ilvl w:val="0"/>
          <w:numId w:val="2"/>
        </w:numPr>
        <w:spacing w:after="0"/>
        <w:rPr>
          <w:rFonts w:ascii="Century Gothic" w:hAnsi="Century Gothic"/>
          <w:sz w:val="20"/>
          <w:szCs w:val="20"/>
        </w:rPr>
      </w:pPr>
      <w:r>
        <w:rPr>
          <w:rFonts w:ascii="Century Gothic" w:hAnsi="Century Gothic"/>
          <w:sz w:val="20"/>
          <w:szCs w:val="20"/>
        </w:rPr>
        <w:t>G</w:t>
      </w:r>
      <w:r w:rsidR="006F07DF" w:rsidRPr="00CB2D61">
        <w:rPr>
          <w:rFonts w:ascii="Century Gothic" w:hAnsi="Century Gothic"/>
          <w:sz w:val="20"/>
          <w:szCs w:val="20"/>
        </w:rPr>
        <w:t>irls outperform boys in reading in every OECD country</w:t>
      </w:r>
      <w:r w:rsidR="00211CEF">
        <w:rPr>
          <w:rFonts w:ascii="Century Gothic" w:hAnsi="Century Gothic"/>
          <w:sz w:val="20"/>
          <w:szCs w:val="20"/>
        </w:rPr>
        <w:t xml:space="preserve"> </w:t>
      </w:r>
      <w:r w:rsidR="00E82682">
        <w:rPr>
          <w:rFonts w:ascii="Century Gothic" w:hAnsi="Century Gothic"/>
          <w:sz w:val="20"/>
          <w:szCs w:val="20"/>
        </w:rPr>
        <w:t>with a consequential impact</w:t>
      </w:r>
      <w:r w:rsidR="0072373F">
        <w:rPr>
          <w:rFonts w:ascii="Century Gothic" w:hAnsi="Century Gothic"/>
          <w:sz w:val="20"/>
          <w:szCs w:val="20"/>
        </w:rPr>
        <w:t xml:space="preserve"> on other areas of learning</w:t>
      </w:r>
      <w:r w:rsidR="006F07DF">
        <w:rPr>
          <w:rFonts w:ascii="Century Gothic" w:hAnsi="Century Gothic"/>
          <w:sz w:val="20"/>
          <w:szCs w:val="20"/>
        </w:rPr>
        <w:t xml:space="preserve"> – </w:t>
      </w:r>
      <w:r w:rsidR="006F07DF" w:rsidRPr="00CB2D61">
        <w:rPr>
          <w:rFonts w:ascii="Century Gothic" w:hAnsi="Century Gothic"/>
          <w:sz w:val="20"/>
          <w:szCs w:val="20"/>
        </w:rPr>
        <w:t xml:space="preserve">the </w:t>
      </w:r>
      <w:r w:rsidR="00AB284F" w:rsidRPr="00B909EC">
        <w:rPr>
          <w:rFonts w:ascii="Century Gothic" w:hAnsi="Century Gothic"/>
          <w:sz w:val="20"/>
          <w:szCs w:val="20"/>
        </w:rPr>
        <w:t>average</w:t>
      </w:r>
      <w:r w:rsidR="00AB284F">
        <w:rPr>
          <w:rFonts w:ascii="Century Gothic" w:hAnsi="Century Gothic"/>
          <w:sz w:val="20"/>
          <w:szCs w:val="20"/>
        </w:rPr>
        <w:t xml:space="preserve"> </w:t>
      </w:r>
      <w:r w:rsidR="006F07DF" w:rsidRPr="00CB2D61">
        <w:rPr>
          <w:rFonts w:ascii="Century Gothic" w:hAnsi="Century Gothic"/>
          <w:sz w:val="20"/>
          <w:szCs w:val="20"/>
        </w:rPr>
        <w:t>gap is equivalent to one year’s worth of schooling</w:t>
      </w:r>
      <w:r w:rsidR="0072373F">
        <w:rPr>
          <w:rFonts w:ascii="Century Gothic" w:hAnsi="Century Gothic"/>
          <w:sz w:val="20"/>
          <w:szCs w:val="20"/>
        </w:rPr>
        <w:t>.</w:t>
      </w:r>
    </w:p>
    <w:p w:rsidR="00F906A2" w:rsidRDefault="00100C96" w:rsidP="00F906A2">
      <w:pPr>
        <w:pStyle w:val="ListParagraph"/>
        <w:numPr>
          <w:ilvl w:val="0"/>
          <w:numId w:val="2"/>
        </w:numPr>
        <w:rPr>
          <w:rFonts w:ascii="Century Gothic" w:hAnsi="Century Gothic"/>
          <w:sz w:val="20"/>
          <w:szCs w:val="20"/>
        </w:rPr>
      </w:pPr>
      <w:r>
        <w:rPr>
          <w:rFonts w:ascii="Century Gothic" w:hAnsi="Century Gothic"/>
          <w:sz w:val="20"/>
          <w:szCs w:val="20"/>
        </w:rPr>
        <w:t>A closer look at boys and reading shows that  a large share of the gap may stem from how much boys and girls engage in and enjoy reading – if boys enjoyed reading to the same level as girls they would gain around one year’s worth of schooling</w:t>
      </w:r>
      <w:r w:rsidR="0072373F">
        <w:rPr>
          <w:rFonts w:ascii="Century Gothic" w:hAnsi="Century Gothic"/>
          <w:sz w:val="20"/>
          <w:szCs w:val="20"/>
        </w:rPr>
        <w:t>.</w:t>
      </w:r>
      <w:r>
        <w:rPr>
          <w:rFonts w:ascii="Century Gothic" w:hAnsi="Century Gothic"/>
          <w:sz w:val="20"/>
          <w:szCs w:val="20"/>
        </w:rPr>
        <w:t xml:space="preserve"> </w:t>
      </w:r>
    </w:p>
    <w:p w:rsidR="00F906A2" w:rsidRPr="00F906A2" w:rsidRDefault="00F906A2" w:rsidP="00F906A2">
      <w:pPr>
        <w:pStyle w:val="ListParagraph"/>
        <w:numPr>
          <w:ilvl w:val="0"/>
          <w:numId w:val="2"/>
        </w:numPr>
        <w:rPr>
          <w:rFonts w:ascii="Century Gothic" w:hAnsi="Century Gothic"/>
          <w:sz w:val="20"/>
          <w:szCs w:val="20"/>
        </w:rPr>
      </w:pPr>
      <w:r>
        <w:rPr>
          <w:rFonts w:ascii="Century Gothic" w:hAnsi="Century Gothic"/>
          <w:bCs/>
          <w:iCs/>
          <w:sz w:val="20"/>
          <w:szCs w:val="20"/>
        </w:rPr>
        <w:t xml:space="preserve">However, </w:t>
      </w:r>
      <w:r w:rsidRPr="00F906A2">
        <w:rPr>
          <w:rFonts w:ascii="Century Gothic" w:hAnsi="Century Gothic"/>
          <w:bCs/>
          <w:iCs/>
          <w:sz w:val="20"/>
          <w:szCs w:val="20"/>
        </w:rPr>
        <w:t>average gender differences can mask the gender gaps that are more noticeable among low and high achieving students</w:t>
      </w:r>
    </w:p>
    <w:p w:rsidR="00F906A2" w:rsidRDefault="00F906A2" w:rsidP="00F906A2">
      <w:pPr>
        <w:pStyle w:val="ListParagraph"/>
        <w:numPr>
          <w:ilvl w:val="0"/>
          <w:numId w:val="2"/>
        </w:numPr>
        <w:spacing w:after="120"/>
        <w:rPr>
          <w:rFonts w:ascii="Century Gothic" w:hAnsi="Century Gothic"/>
          <w:sz w:val="20"/>
          <w:szCs w:val="20"/>
        </w:rPr>
      </w:pPr>
      <w:r w:rsidRPr="00BA2B3E">
        <w:rPr>
          <w:rFonts w:ascii="Century Gothic" w:hAnsi="Century Gothic"/>
          <w:sz w:val="20"/>
          <w:szCs w:val="20"/>
        </w:rPr>
        <w:t xml:space="preserve">In reading the </w:t>
      </w:r>
      <w:r>
        <w:rPr>
          <w:rFonts w:ascii="Century Gothic" w:hAnsi="Century Gothic"/>
          <w:sz w:val="20"/>
          <w:szCs w:val="20"/>
        </w:rPr>
        <w:t xml:space="preserve">gender </w:t>
      </w:r>
      <w:r w:rsidRPr="00BA2B3E">
        <w:rPr>
          <w:rFonts w:ascii="Century Gothic" w:hAnsi="Century Gothic"/>
          <w:sz w:val="20"/>
          <w:szCs w:val="20"/>
        </w:rPr>
        <w:t xml:space="preserve">gap is much wider among underperforming students as there are many more boys lacking basic skills than there are girls </w:t>
      </w:r>
    </w:p>
    <w:p w:rsidR="00360A69" w:rsidRPr="00BA2B3E" w:rsidRDefault="00360A69" w:rsidP="00586E00">
      <w:pPr>
        <w:pStyle w:val="ListParagraph"/>
        <w:numPr>
          <w:ilvl w:val="0"/>
          <w:numId w:val="2"/>
        </w:numPr>
        <w:rPr>
          <w:rFonts w:ascii="Century Gothic" w:hAnsi="Century Gothic"/>
          <w:sz w:val="20"/>
          <w:szCs w:val="20"/>
        </w:rPr>
      </w:pPr>
      <w:r w:rsidRPr="00360A69">
        <w:rPr>
          <w:rFonts w:ascii="Century Gothic" w:hAnsi="Century Gothic"/>
          <w:sz w:val="20"/>
          <w:szCs w:val="20"/>
        </w:rPr>
        <w:t xml:space="preserve">In PIRLS </w:t>
      </w:r>
      <w:r w:rsidR="00E82682">
        <w:rPr>
          <w:rFonts w:ascii="Century Gothic" w:hAnsi="Century Gothic"/>
          <w:sz w:val="20"/>
          <w:szCs w:val="20"/>
        </w:rPr>
        <w:t xml:space="preserve">assessments </w:t>
      </w:r>
      <w:r w:rsidRPr="00360A69">
        <w:rPr>
          <w:rFonts w:ascii="Century Gothic" w:hAnsi="Century Gothic"/>
          <w:sz w:val="20"/>
          <w:szCs w:val="20"/>
        </w:rPr>
        <w:t>students who indicated that they liked reading scored higher on the assessments than students who indicated they did not like the area. Students who felt confident in a study area also score</w:t>
      </w:r>
      <w:r w:rsidR="00E82682">
        <w:rPr>
          <w:rFonts w:ascii="Century Gothic" w:hAnsi="Century Gothic"/>
          <w:sz w:val="20"/>
          <w:szCs w:val="20"/>
        </w:rPr>
        <w:t xml:space="preserve">d higher – </w:t>
      </w:r>
      <w:r w:rsidRPr="00360A69">
        <w:rPr>
          <w:rFonts w:ascii="Century Gothic" w:hAnsi="Century Gothic"/>
          <w:sz w:val="20"/>
          <w:szCs w:val="20"/>
        </w:rPr>
        <w:t xml:space="preserve">boys </w:t>
      </w:r>
      <w:r w:rsidR="00E82682">
        <w:rPr>
          <w:rFonts w:ascii="Century Gothic" w:hAnsi="Century Gothic"/>
          <w:sz w:val="20"/>
          <w:szCs w:val="20"/>
        </w:rPr>
        <w:t>like</w:t>
      </w:r>
      <w:r w:rsidRPr="00360A69">
        <w:rPr>
          <w:rFonts w:ascii="Century Gothic" w:hAnsi="Century Gothic"/>
          <w:sz w:val="20"/>
          <w:szCs w:val="20"/>
        </w:rPr>
        <w:t xml:space="preserve"> mathematics a</w:t>
      </w:r>
      <w:r w:rsidR="00E82682">
        <w:rPr>
          <w:rFonts w:ascii="Century Gothic" w:hAnsi="Century Gothic"/>
          <w:sz w:val="20"/>
          <w:szCs w:val="20"/>
        </w:rPr>
        <w:t>nd feel</w:t>
      </w:r>
      <w:r w:rsidRPr="00360A69">
        <w:rPr>
          <w:rFonts w:ascii="Century Gothic" w:hAnsi="Century Gothic"/>
          <w:sz w:val="20"/>
          <w:szCs w:val="20"/>
        </w:rPr>
        <w:t xml:space="preserve"> more confident and girls </w:t>
      </w:r>
      <w:r w:rsidR="00E82682">
        <w:rPr>
          <w:rFonts w:ascii="Century Gothic" w:hAnsi="Century Gothic"/>
          <w:sz w:val="20"/>
          <w:szCs w:val="20"/>
        </w:rPr>
        <w:t>f</w:t>
      </w:r>
      <w:r w:rsidRPr="00360A69">
        <w:rPr>
          <w:rFonts w:ascii="Century Gothic" w:hAnsi="Century Gothic"/>
          <w:sz w:val="20"/>
          <w:szCs w:val="20"/>
        </w:rPr>
        <w:t xml:space="preserve">eeling more confident in reading. </w:t>
      </w:r>
    </w:p>
    <w:p w:rsidR="00F906A2" w:rsidRPr="00BD2CE0" w:rsidRDefault="00FB35B1" w:rsidP="00FB35B1">
      <w:pPr>
        <w:rPr>
          <w:rFonts w:ascii="Century Gothic" w:hAnsi="Century Gothic"/>
          <w:i/>
          <w:sz w:val="20"/>
          <w:szCs w:val="20"/>
        </w:rPr>
      </w:pPr>
      <w:r w:rsidRPr="00BD2CE0">
        <w:rPr>
          <w:rFonts w:ascii="Century Gothic" w:hAnsi="Century Gothic"/>
          <w:i/>
          <w:sz w:val="20"/>
          <w:szCs w:val="20"/>
        </w:rPr>
        <w:t>For Australia</w:t>
      </w:r>
    </w:p>
    <w:p w:rsidR="00FB35B1" w:rsidRDefault="00FB35B1" w:rsidP="00622514">
      <w:pPr>
        <w:pStyle w:val="ListParagraph"/>
        <w:numPr>
          <w:ilvl w:val="0"/>
          <w:numId w:val="2"/>
        </w:numPr>
        <w:jc w:val="both"/>
        <w:rPr>
          <w:rFonts w:ascii="Century Gothic" w:hAnsi="Century Gothic"/>
          <w:sz w:val="20"/>
          <w:szCs w:val="20"/>
        </w:rPr>
      </w:pPr>
      <w:r>
        <w:rPr>
          <w:rFonts w:ascii="Century Gothic" w:hAnsi="Century Gothic"/>
          <w:sz w:val="20"/>
          <w:szCs w:val="20"/>
        </w:rPr>
        <w:t xml:space="preserve">PISA </w:t>
      </w:r>
      <w:r w:rsidR="0091233C">
        <w:rPr>
          <w:rFonts w:ascii="Century Gothic" w:hAnsi="Century Gothic"/>
          <w:sz w:val="20"/>
          <w:szCs w:val="20"/>
        </w:rPr>
        <w:t xml:space="preserve">data show that the mean performance </w:t>
      </w:r>
      <w:r w:rsidR="0016175E">
        <w:rPr>
          <w:rFonts w:ascii="Century Gothic" w:hAnsi="Century Gothic"/>
          <w:sz w:val="20"/>
          <w:szCs w:val="20"/>
        </w:rPr>
        <w:t xml:space="preserve">for literacy </w:t>
      </w:r>
      <w:r w:rsidR="0091233C">
        <w:rPr>
          <w:rFonts w:ascii="Century Gothic" w:hAnsi="Century Gothic"/>
          <w:sz w:val="20"/>
          <w:szCs w:val="20"/>
        </w:rPr>
        <w:t xml:space="preserve">between girls and boys </w:t>
      </w:r>
      <w:r w:rsidR="0016175E">
        <w:rPr>
          <w:rFonts w:ascii="Century Gothic" w:hAnsi="Century Gothic"/>
          <w:sz w:val="20"/>
          <w:szCs w:val="20"/>
        </w:rPr>
        <w:t xml:space="preserve">at age 15 years old </w:t>
      </w:r>
      <w:r w:rsidR="0091233C">
        <w:rPr>
          <w:rFonts w:ascii="Century Gothic" w:hAnsi="Century Gothic"/>
          <w:sz w:val="20"/>
          <w:szCs w:val="20"/>
        </w:rPr>
        <w:t>represents approximately one year of schooling</w:t>
      </w:r>
      <w:r w:rsidR="00CE61EB">
        <w:rPr>
          <w:rFonts w:ascii="Century Gothic" w:hAnsi="Century Gothic"/>
          <w:sz w:val="20"/>
          <w:szCs w:val="20"/>
        </w:rPr>
        <w:t xml:space="preserve"> (</w:t>
      </w:r>
      <w:r w:rsidR="0051372E">
        <w:rPr>
          <w:rFonts w:ascii="Century Gothic" w:hAnsi="Century Gothic"/>
          <w:sz w:val="20"/>
          <w:szCs w:val="20"/>
        </w:rPr>
        <w:t>Thompson et al 2013</w:t>
      </w:r>
      <w:r w:rsidR="00B1000E">
        <w:rPr>
          <w:rFonts w:ascii="Century Gothic" w:hAnsi="Century Gothic"/>
          <w:sz w:val="20"/>
          <w:szCs w:val="20"/>
        </w:rPr>
        <w:t>)</w:t>
      </w:r>
      <w:r w:rsidR="0091233C">
        <w:rPr>
          <w:rFonts w:ascii="Century Gothic" w:hAnsi="Century Gothic"/>
          <w:sz w:val="20"/>
          <w:szCs w:val="20"/>
        </w:rPr>
        <w:t>.</w:t>
      </w:r>
    </w:p>
    <w:p w:rsidR="00360A69" w:rsidRDefault="00555DF6" w:rsidP="00622514">
      <w:pPr>
        <w:pStyle w:val="ListParagraph"/>
        <w:numPr>
          <w:ilvl w:val="0"/>
          <w:numId w:val="2"/>
        </w:numPr>
        <w:jc w:val="both"/>
        <w:rPr>
          <w:rFonts w:ascii="Century Gothic" w:hAnsi="Century Gothic"/>
          <w:sz w:val="20"/>
          <w:szCs w:val="20"/>
        </w:rPr>
      </w:pPr>
      <w:r w:rsidRPr="00555DF6">
        <w:rPr>
          <w:rFonts w:ascii="Century Gothic" w:hAnsi="Century Gothic"/>
          <w:sz w:val="20"/>
          <w:szCs w:val="20"/>
        </w:rPr>
        <w:t>On</w:t>
      </w:r>
      <w:r w:rsidR="00360A69">
        <w:rPr>
          <w:rFonts w:ascii="Century Gothic" w:hAnsi="Century Gothic"/>
          <w:sz w:val="20"/>
          <w:szCs w:val="20"/>
        </w:rPr>
        <w:t xml:space="preserve"> PIRLS</w:t>
      </w:r>
      <w:r w:rsidRPr="00555DF6">
        <w:rPr>
          <w:rFonts w:ascii="Century Gothic" w:hAnsi="Century Gothic"/>
          <w:sz w:val="20"/>
          <w:szCs w:val="20"/>
        </w:rPr>
        <w:t xml:space="preserve"> data </w:t>
      </w:r>
      <w:r w:rsidR="00622514" w:rsidRPr="00555DF6">
        <w:rPr>
          <w:rFonts w:ascii="Century Gothic" w:hAnsi="Century Gothic"/>
          <w:sz w:val="20"/>
          <w:szCs w:val="20"/>
        </w:rPr>
        <w:t xml:space="preserve">for Australia </w:t>
      </w:r>
      <w:r w:rsidRPr="0051372E">
        <w:rPr>
          <w:rFonts w:ascii="Century Gothic" w:hAnsi="Century Gothic"/>
          <w:sz w:val="20"/>
          <w:szCs w:val="20"/>
        </w:rPr>
        <w:t xml:space="preserve">(Thompson </w:t>
      </w:r>
      <w:r w:rsidR="0051372E" w:rsidRPr="0051372E">
        <w:rPr>
          <w:rFonts w:ascii="Century Gothic" w:hAnsi="Century Gothic"/>
          <w:sz w:val="20"/>
          <w:szCs w:val="20"/>
        </w:rPr>
        <w:t xml:space="preserve">and Hillman </w:t>
      </w:r>
      <w:r w:rsidRPr="0051372E">
        <w:rPr>
          <w:rFonts w:ascii="Century Gothic" w:hAnsi="Century Gothic"/>
          <w:sz w:val="20"/>
          <w:szCs w:val="20"/>
        </w:rPr>
        <w:t xml:space="preserve">et al 2012), </w:t>
      </w:r>
      <w:r w:rsidRPr="00555DF6">
        <w:rPr>
          <w:rFonts w:ascii="Century Gothic" w:hAnsi="Century Gothic"/>
          <w:sz w:val="20"/>
          <w:szCs w:val="20"/>
        </w:rPr>
        <w:t xml:space="preserve">female students achieve at a higher level </w:t>
      </w:r>
      <w:r w:rsidR="007434E1">
        <w:rPr>
          <w:rFonts w:ascii="Century Gothic" w:hAnsi="Century Gothic"/>
          <w:sz w:val="20"/>
          <w:szCs w:val="20"/>
        </w:rPr>
        <w:t xml:space="preserve">than </w:t>
      </w:r>
      <w:r w:rsidRPr="00555DF6">
        <w:rPr>
          <w:rFonts w:ascii="Century Gothic" w:hAnsi="Century Gothic"/>
          <w:sz w:val="20"/>
          <w:szCs w:val="20"/>
        </w:rPr>
        <w:t>boys in reading (around a gap of 6 months)</w:t>
      </w:r>
      <w:r w:rsidR="00360A69">
        <w:rPr>
          <w:rFonts w:ascii="Century Gothic" w:hAnsi="Century Gothic"/>
          <w:sz w:val="20"/>
          <w:szCs w:val="20"/>
        </w:rPr>
        <w:t xml:space="preserve"> and a</w:t>
      </w:r>
      <w:r w:rsidR="00360A69" w:rsidRPr="00360A69">
        <w:rPr>
          <w:rFonts w:ascii="Century Gothic" w:hAnsi="Century Gothic"/>
          <w:sz w:val="20"/>
          <w:szCs w:val="20"/>
        </w:rPr>
        <w:t xml:space="preserve"> higher proportion of girls achieve at an advanced level </w:t>
      </w:r>
    </w:p>
    <w:p w:rsidR="00842847" w:rsidRDefault="00842847" w:rsidP="00622514">
      <w:pPr>
        <w:pStyle w:val="ListParagraph"/>
        <w:numPr>
          <w:ilvl w:val="0"/>
          <w:numId w:val="2"/>
        </w:numPr>
        <w:jc w:val="both"/>
        <w:rPr>
          <w:rFonts w:ascii="Century Gothic" w:hAnsi="Century Gothic"/>
          <w:sz w:val="20"/>
          <w:szCs w:val="20"/>
        </w:rPr>
      </w:pPr>
      <w:r w:rsidRPr="0049243A">
        <w:rPr>
          <w:rFonts w:ascii="Century Gothic" w:hAnsi="Century Gothic"/>
          <w:sz w:val="20"/>
          <w:szCs w:val="20"/>
        </w:rPr>
        <w:t xml:space="preserve">Australia’s gender gap in reading </w:t>
      </w:r>
      <w:r>
        <w:rPr>
          <w:rFonts w:ascii="Century Gothic" w:hAnsi="Century Gothic"/>
          <w:sz w:val="20"/>
          <w:szCs w:val="20"/>
        </w:rPr>
        <w:t xml:space="preserve">in PISA 2012 </w:t>
      </w:r>
      <w:r w:rsidRPr="0049243A">
        <w:rPr>
          <w:rFonts w:ascii="Century Gothic" w:hAnsi="Century Gothic"/>
          <w:sz w:val="20"/>
          <w:szCs w:val="20"/>
        </w:rPr>
        <w:t>is slightl</w:t>
      </w:r>
      <w:r>
        <w:rPr>
          <w:rFonts w:ascii="Century Gothic" w:hAnsi="Century Gothic"/>
          <w:sz w:val="20"/>
          <w:szCs w:val="20"/>
        </w:rPr>
        <w:t>y smaller than the OECD average</w:t>
      </w:r>
    </w:p>
    <w:p w:rsidR="0016175E" w:rsidRDefault="008A7117" w:rsidP="00364AFD">
      <w:pPr>
        <w:pStyle w:val="Heading4"/>
      </w:pPr>
      <w:r w:rsidRPr="00364AFD">
        <w:t xml:space="preserve">Numeracy differences </w:t>
      </w:r>
    </w:p>
    <w:p w:rsidR="008A7117" w:rsidRDefault="0016175E" w:rsidP="00364AFD">
      <w:pPr>
        <w:pStyle w:val="Heading4"/>
        <w:rPr>
          <w:rFonts w:ascii="Century Gothic" w:eastAsiaTheme="minorHAnsi" w:hAnsi="Century Gothic" w:cstheme="minorBidi"/>
          <w:b w:val="0"/>
          <w:bCs w:val="0"/>
          <w:iCs w:val="0"/>
          <w:color w:val="auto"/>
          <w:sz w:val="20"/>
          <w:szCs w:val="20"/>
        </w:rPr>
      </w:pPr>
      <w:r>
        <w:rPr>
          <w:rFonts w:ascii="Century Gothic" w:eastAsiaTheme="minorHAnsi" w:hAnsi="Century Gothic" w:cstheme="minorBidi"/>
          <w:b w:val="0"/>
          <w:bCs w:val="0"/>
          <w:iCs w:val="0"/>
          <w:color w:val="auto"/>
          <w:sz w:val="20"/>
          <w:szCs w:val="20"/>
        </w:rPr>
        <w:t>I</w:t>
      </w:r>
      <w:r w:rsidRPr="0016175E">
        <w:rPr>
          <w:rFonts w:ascii="Century Gothic" w:eastAsiaTheme="minorHAnsi" w:hAnsi="Century Gothic" w:cstheme="minorBidi"/>
          <w:b w:val="0"/>
          <w:bCs w:val="0"/>
          <w:iCs w:val="0"/>
          <w:color w:val="auto"/>
          <w:sz w:val="20"/>
          <w:szCs w:val="20"/>
        </w:rPr>
        <w:t xml:space="preserve">nternationally </w:t>
      </w:r>
      <w:r w:rsidR="00622514">
        <w:rPr>
          <w:rFonts w:ascii="Century Gothic" w:eastAsiaTheme="minorHAnsi" w:hAnsi="Century Gothic" w:cstheme="minorBidi"/>
          <w:b w:val="0"/>
          <w:bCs w:val="0"/>
          <w:iCs w:val="0"/>
          <w:color w:val="auto"/>
          <w:sz w:val="20"/>
          <w:szCs w:val="20"/>
        </w:rPr>
        <w:t xml:space="preserve"> </w:t>
      </w:r>
    </w:p>
    <w:p w:rsidR="0016175E" w:rsidRPr="0016175E" w:rsidRDefault="0016175E" w:rsidP="0016175E">
      <w:pPr>
        <w:pStyle w:val="ListParagraph"/>
        <w:numPr>
          <w:ilvl w:val="0"/>
          <w:numId w:val="2"/>
        </w:numPr>
        <w:jc w:val="both"/>
        <w:rPr>
          <w:rFonts w:ascii="Century Gothic" w:hAnsi="Century Gothic"/>
          <w:sz w:val="20"/>
          <w:szCs w:val="20"/>
        </w:rPr>
      </w:pPr>
      <w:r w:rsidRPr="0016175E">
        <w:rPr>
          <w:rFonts w:ascii="Century Gothic" w:hAnsi="Century Gothic"/>
          <w:sz w:val="20"/>
          <w:szCs w:val="20"/>
        </w:rPr>
        <w:t xml:space="preserve">On the whole, gender differences in </w:t>
      </w:r>
      <w:r w:rsidR="00622514">
        <w:rPr>
          <w:rFonts w:ascii="Century Gothic" w:hAnsi="Century Gothic"/>
          <w:sz w:val="20"/>
          <w:szCs w:val="20"/>
        </w:rPr>
        <w:t xml:space="preserve">mathematics </w:t>
      </w:r>
      <w:r w:rsidRPr="0016175E">
        <w:rPr>
          <w:rFonts w:ascii="Century Gothic" w:hAnsi="Century Gothic"/>
          <w:sz w:val="20"/>
          <w:szCs w:val="20"/>
        </w:rPr>
        <w:t xml:space="preserve">are not that marked as for literacy </w:t>
      </w:r>
    </w:p>
    <w:p w:rsidR="00211CEF" w:rsidRDefault="00100C96" w:rsidP="0016175E">
      <w:pPr>
        <w:pStyle w:val="ListParagraph"/>
        <w:numPr>
          <w:ilvl w:val="0"/>
          <w:numId w:val="2"/>
        </w:numPr>
        <w:jc w:val="both"/>
        <w:rPr>
          <w:rFonts w:ascii="Century Gothic" w:hAnsi="Century Gothic"/>
          <w:sz w:val="20"/>
          <w:szCs w:val="20"/>
        </w:rPr>
      </w:pPr>
      <w:r>
        <w:rPr>
          <w:rFonts w:ascii="Century Gothic" w:hAnsi="Century Gothic"/>
          <w:sz w:val="20"/>
          <w:szCs w:val="20"/>
        </w:rPr>
        <w:t>B</w:t>
      </w:r>
      <w:r w:rsidR="006F07DF" w:rsidRPr="004E5687">
        <w:rPr>
          <w:rFonts w:ascii="Century Gothic" w:hAnsi="Century Gothic"/>
          <w:sz w:val="20"/>
          <w:szCs w:val="20"/>
        </w:rPr>
        <w:t xml:space="preserve">oys outperform girls </w:t>
      </w:r>
      <w:r w:rsidR="00977C51">
        <w:rPr>
          <w:rFonts w:ascii="Century Gothic" w:hAnsi="Century Gothic"/>
          <w:sz w:val="20"/>
          <w:szCs w:val="20"/>
        </w:rPr>
        <w:t>i</w:t>
      </w:r>
      <w:r w:rsidR="00977C51" w:rsidRPr="004E5687">
        <w:rPr>
          <w:rFonts w:ascii="Century Gothic" w:hAnsi="Century Gothic"/>
          <w:sz w:val="20"/>
          <w:szCs w:val="20"/>
        </w:rPr>
        <w:t xml:space="preserve">n mathematics </w:t>
      </w:r>
      <w:r w:rsidR="006F07DF" w:rsidRPr="004E5687">
        <w:rPr>
          <w:rFonts w:ascii="Century Gothic" w:hAnsi="Century Gothic"/>
          <w:sz w:val="20"/>
          <w:szCs w:val="20"/>
        </w:rPr>
        <w:t xml:space="preserve">in </w:t>
      </w:r>
      <w:r w:rsidR="00BB5230">
        <w:rPr>
          <w:rFonts w:ascii="Century Gothic" w:hAnsi="Century Gothic"/>
          <w:sz w:val="20"/>
          <w:szCs w:val="20"/>
        </w:rPr>
        <w:t xml:space="preserve">just over half of OECD </w:t>
      </w:r>
      <w:r w:rsidR="006F07DF" w:rsidRPr="004E5687">
        <w:rPr>
          <w:rFonts w:ascii="Century Gothic" w:hAnsi="Century Gothic"/>
          <w:sz w:val="20"/>
          <w:szCs w:val="20"/>
        </w:rPr>
        <w:t>countries</w:t>
      </w:r>
      <w:r w:rsidR="00BB5230">
        <w:rPr>
          <w:rFonts w:ascii="Century Gothic" w:hAnsi="Century Gothic"/>
          <w:sz w:val="20"/>
          <w:szCs w:val="20"/>
        </w:rPr>
        <w:t>;</w:t>
      </w:r>
      <w:r w:rsidR="00555DF6">
        <w:rPr>
          <w:rFonts w:ascii="Century Gothic" w:hAnsi="Century Gothic"/>
          <w:sz w:val="20"/>
          <w:szCs w:val="20"/>
        </w:rPr>
        <w:t xml:space="preserve"> but</w:t>
      </w:r>
      <w:r w:rsidR="00BB5230">
        <w:rPr>
          <w:rFonts w:ascii="Century Gothic" w:hAnsi="Century Gothic"/>
          <w:sz w:val="20"/>
          <w:szCs w:val="20"/>
        </w:rPr>
        <w:t xml:space="preserve"> in five countries girls outperform boys and in 25 countries there is no significant difference. T</w:t>
      </w:r>
      <w:r w:rsidR="00977C51">
        <w:rPr>
          <w:rFonts w:ascii="Century Gothic" w:hAnsi="Century Gothic"/>
          <w:sz w:val="20"/>
          <w:szCs w:val="20"/>
        </w:rPr>
        <w:t xml:space="preserve">he </w:t>
      </w:r>
      <w:r w:rsidR="006F07DF" w:rsidRPr="004E5687">
        <w:rPr>
          <w:rFonts w:ascii="Century Gothic" w:hAnsi="Century Gothic"/>
          <w:sz w:val="20"/>
          <w:szCs w:val="20"/>
        </w:rPr>
        <w:t xml:space="preserve">gaps are narrower than </w:t>
      </w:r>
      <w:r w:rsidR="00977C51">
        <w:rPr>
          <w:rFonts w:ascii="Century Gothic" w:hAnsi="Century Gothic"/>
          <w:sz w:val="20"/>
          <w:szCs w:val="20"/>
        </w:rPr>
        <w:t>for</w:t>
      </w:r>
      <w:r w:rsidR="006F07DF" w:rsidRPr="004E5687">
        <w:rPr>
          <w:rFonts w:ascii="Century Gothic" w:hAnsi="Century Gothic"/>
          <w:sz w:val="20"/>
          <w:szCs w:val="20"/>
        </w:rPr>
        <w:t xml:space="preserve"> reading</w:t>
      </w:r>
      <w:r w:rsidR="00977C51">
        <w:rPr>
          <w:rFonts w:ascii="Century Gothic" w:hAnsi="Century Gothic"/>
          <w:sz w:val="20"/>
          <w:szCs w:val="20"/>
        </w:rPr>
        <w:t xml:space="preserve"> and the gaps are greatest</w:t>
      </w:r>
      <w:r w:rsidR="00C43955">
        <w:rPr>
          <w:rFonts w:ascii="Century Gothic" w:hAnsi="Century Gothic"/>
          <w:sz w:val="20"/>
          <w:szCs w:val="20"/>
        </w:rPr>
        <w:t xml:space="preserve"> </w:t>
      </w:r>
      <w:r w:rsidR="006F07DF">
        <w:rPr>
          <w:rFonts w:ascii="Century Gothic" w:hAnsi="Century Gothic"/>
          <w:sz w:val="20"/>
          <w:szCs w:val="20"/>
        </w:rPr>
        <w:t>among the highest achieving students</w:t>
      </w:r>
      <w:r w:rsidR="0072373F">
        <w:rPr>
          <w:rFonts w:ascii="Century Gothic" w:hAnsi="Century Gothic"/>
          <w:sz w:val="20"/>
          <w:szCs w:val="20"/>
        </w:rPr>
        <w:t>.</w:t>
      </w:r>
    </w:p>
    <w:p w:rsidR="00437810" w:rsidRDefault="00100C96" w:rsidP="0016175E">
      <w:pPr>
        <w:pStyle w:val="ListParagraph"/>
        <w:numPr>
          <w:ilvl w:val="0"/>
          <w:numId w:val="2"/>
        </w:numPr>
        <w:jc w:val="both"/>
        <w:rPr>
          <w:rFonts w:ascii="Century Gothic" w:hAnsi="Century Gothic"/>
          <w:sz w:val="20"/>
          <w:szCs w:val="20"/>
        </w:rPr>
      </w:pPr>
      <w:r>
        <w:rPr>
          <w:rFonts w:ascii="Century Gothic" w:hAnsi="Century Gothic"/>
          <w:sz w:val="20"/>
          <w:szCs w:val="20"/>
        </w:rPr>
        <w:t>A</w:t>
      </w:r>
      <w:r w:rsidR="00D9708D">
        <w:rPr>
          <w:rFonts w:ascii="Century Gothic" w:hAnsi="Century Gothic"/>
          <w:sz w:val="20"/>
          <w:szCs w:val="20"/>
        </w:rPr>
        <w:t xml:space="preserve"> closer loo</w:t>
      </w:r>
      <w:r w:rsidR="00437810">
        <w:rPr>
          <w:rFonts w:ascii="Century Gothic" w:hAnsi="Century Gothic"/>
          <w:sz w:val="20"/>
          <w:szCs w:val="20"/>
        </w:rPr>
        <w:t>k</w:t>
      </w:r>
      <w:r w:rsidR="00D9708D">
        <w:rPr>
          <w:rFonts w:ascii="Century Gothic" w:hAnsi="Century Gothic"/>
          <w:sz w:val="20"/>
          <w:szCs w:val="20"/>
        </w:rPr>
        <w:t xml:space="preserve"> at girls</w:t>
      </w:r>
      <w:r w:rsidR="00F906A2">
        <w:rPr>
          <w:rFonts w:ascii="Century Gothic" w:hAnsi="Century Gothic"/>
          <w:sz w:val="20"/>
          <w:szCs w:val="20"/>
        </w:rPr>
        <w:t>’</w:t>
      </w:r>
      <w:r w:rsidR="00D9708D">
        <w:rPr>
          <w:rFonts w:ascii="Century Gothic" w:hAnsi="Century Gothic"/>
          <w:sz w:val="20"/>
          <w:szCs w:val="20"/>
        </w:rPr>
        <w:t xml:space="preserve"> performance </w:t>
      </w:r>
      <w:r w:rsidR="00437810">
        <w:rPr>
          <w:rFonts w:ascii="Century Gothic" w:hAnsi="Century Gothic"/>
          <w:sz w:val="20"/>
          <w:szCs w:val="20"/>
        </w:rPr>
        <w:t xml:space="preserve">in mathematics </w:t>
      </w:r>
      <w:r w:rsidR="00D9708D">
        <w:rPr>
          <w:rFonts w:ascii="Century Gothic" w:hAnsi="Century Gothic"/>
          <w:sz w:val="20"/>
          <w:szCs w:val="20"/>
        </w:rPr>
        <w:t>show</w:t>
      </w:r>
      <w:r w:rsidR="00437810">
        <w:rPr>
          <w:rFonts w:ascii="Century Gothic" w:hAnsi="Century Gothic"/>
          <w:sz w:val="20"/>
          <w:szCs w:val="20"/>
        </w:rPr>
        <w:t>s</w:t>
      </w:r>
      <w:r w:rsidR="00D9708D">
        <w:rPr>
          <w:rFonts w:ascii="Century Gothic" w:hAnsi="Century Gothic"/>
          <w:sz w:val="20"/>
          <w:szCs w:val="20"/>
        </w:rPr>
        <w:t xml:space="preserve"> that they underachieve </w:t>
      </w:r>
      <w:r w:rsidR="00437810">
        <w:rPr>
          <w:rFonts w:ascii="Century Gothic" w:hAnsi="Century Gothic"/>
          <w:sz w:val="20"/>
          <w:szCs w:val="20"/>
        </w:rPr>
        <w:t>compared with boys when asked to think mathematically and transl</w:t>
      </w:r>
      <w:r w:rsidR="00C12FAB">
        <w:rPr>
          <w:rFonts w:ascii="Century Gothic" w:hAnsi="Century Gothic"/>
          <w:sz w:val="20"/>
          <w:szCs w:val="20"/>
        </w:rPr>
        <w:t xml:space="preserve">ate problems into mathematical </w:t>
      </w:r>
      <w:r w:rsidR="00437810">
        <w:rPr>
          <w:rFonts w:ascii="Century Gothic" w:hAnsi="Century Gothic"/>
          <w:sz w:val="20"/>
          <w:szCs w:val="20"/>
        </w:rPr>
        <w:t>expressions</w:t>
      </w:r>
      <w:r w:rsidR="0072373F">
        <w:rPr>
          <w:rFonts w:ascii="Century Gothic" w:hAnsi="Century Gothic"/>
          <w:sz w:val="20"/>
          <w:szCs w:val="20"/>
        </w:rPr>
        <w:t>.</w:t>
      </w:r>
    </w:p>
    <w:p w:rsidR="00F906A2" w:rsidRPr="00F906A2" w:rsidRDefault="00F906A2" w:rsidP="0016175E">
      <w:pPr>
        <w:pStyle w:val="ListParagraph"/>
        <w:numPr>
          <w:ilvl w:val="0"/>
          <w:numId w:val="2"/>
        </w:numPr>
        <w:jc w:val="both"/>
        <w:rPr>
          <w:rFonts w:ascii="Century Gothic" w:hAnsi="Century Gothic"/>
          <w:sz w:val="20"/>
          <w:szCs w:val="20"/>
        </w:rPr>
      </w:pPr>
      <w:r>
        <w:rPr>
          <w:rFonts w:ascii="Century Gothic" w:hAnsi="Century Gothic"/>
          <w:sz w:val="20"/>
          <w:szCs w:val="20"/>
        </w:rPr>
        <w:t>I</w:t>
      </w:r>
      <w:r w:rsidRPr="004E5687">
        <w:rPr>
          <w:rFonts w:ascii="Century Gothic" w:hAnsi="Century Gothic"/>
          <w:sz w:val="20"/>
          <w:szCs w:val="20"/>
        </w:rPr>
        <w:t>n mathematic</w:t>
      </w:r>
      <w:r>
        <w:rPr>
          <w:rFonts w:ascii="Century Gothic" w:hAnsi="Century Gothic"/>
          <w:sz w:val="20"/>
          <w:szCs w:val="20"/>
        </w:rPr>
        <w:t xml:space="preserve">s, the gender gap is negligible </w:t>
      </w:r>
      <w:r w:rsidRPr="004E5687">
        <w:rPr>
          <w:rFonts w:ascii="Century Gothic" w:hAnsi="Century Gothic"/>
          <w:sz w:val="20"/>
          <w:szCs w:val="20"/>
        </w:rPr>
        <w:t xml:space="preserve">among underperforming </w:t>
      </w:r>
      <w:r>
        <w:rPr>
          <w:rFonts w:ascii="Century Gothic" w:hAnsi="Century Gothic"/>
          <w:sz w:val="20"/>
          <w:szCs w:val="20"/>
        </w:rPr>
        <w:t xml:space="preserve">students however, the gap between boys and girls </w:t>
      </w:r>
      <w:r w:rsidRPr="004E5687">
        <w:rPr>
          <w:rFonts w:ascii="Century Gothic" w:hAnsi="Century Gothic"/>
          <w:sz w:val="20"/>
          <w:szCs w:val="20"/>
        </w:rPr>
        <w:t xml:space="preserve">increases to </w:t>
      </w:r>
      <w:r w:rsidR="00CE61EB">
        <w:rPr>
          <w:rFonts w:ascii="Century Gothic" w:hAnsi="Century Gothic"/>
          <w:sz w:val="20"/>
          <w:szCs w:val="20"/>
        </w:rPr>
        <w:t>around a third of</w:t>
      </w:r>
      <w:r w:rsidRPr="004E5687">
        <w:rPr>
          <w:rFonts w:ascii="Century Gothic" w:hAnsi="Century Gothic"/>
          <w:sz w:val="20"/>
          <w:szCs w:val="20"/>
        </w:rPr>
        <w:t xml:space="preserve"> a year of schooling</w:t>
      </w:r>
      <w:r>
        <w:rPr>
          <w:rFonts w:ascii="Century Gothic" w:hAnsi="Century Gothic"/>
          <w:sz w:val="20"/>
          <w:szCs w:val="20"/>
        </w:rPr>
        <w:t xml:space="preserve"> among the high performing students. </w:t>
      </w:r>
    </w:p>
    <w:p w:rsidR="00842847" w:rsidRPr="00B92340" w:rsidRDefault="00555DF6" w:rsidP="00DB0324">
      <w:pPr>
        <w:pStyle w:val="ListParagraph"/>
        <w:numPr>
          <w:ilvl w:val="0"/>
          <w:numId w:val="2"/>
        </w:numPr>
        <w:jc w:val="both"/>
        <w:rPr>
          <w:rFonts w:ascii="Century Gothic" w:hAnsi="Century Gothic"/>
          <w:sz w:val="20"/>
          <w:szCs w:val="20"/>
        </w:rPr>
      </w:pPr>
      <w:r>
        <w:rPr>
          <w:rFonts w:ascii="Century Gothic" w:hAnsi="Century Gothic"/>
          <w:sz w:val="20"/>
          <w:szCs w:val="20"/>
        </w:rPr>
        <w:t>Girls, even high achieving girls are more likely to express strong feelings</w:t>
      </w:r>
      <w:r w:rsidR="00B92340">
        <w:rPr>
          <w:rFonts w:ascii="Century Gothic" w:hAnsi="Century Gothic"/>
          <w:sz w:val="20"/>
          <w:szCs w:val="20"/>
        </w:rPr>
        <w:t xml:space="preserve"> of anxiety towards mathematics</w:t>
      </w:r>
    </w:p>
    <w:p w:rsidR="005B6F2C" w:rsidRPr="00BD2CE0" w:rsidRDefault="00555DF6" w:rsidP="00DB0324">
      <w:pPr>
        <w:rPr>
          <w:rFonts w:ascii="Century Gothic" w:hAnsi="Century Gothic"/>
          <w:i/>
          <w:sz w:val="20"/>
          <w:szCs w:val="20"/>
        </w:rPr>
      </w:pPr>
      <w:r w:rsidRPr="00BD2CE0">
        <w:rPr>
          <w:rFonts w:ascii="Century Gothic" w:hAnsi="Century Gothic"/>
          <w:i/>
          <w:sz w:val="20"/>
          <w:szCs w:val="20"/>
        </w:rPr>
        <w:t>For Au</w:t>
      </w:r>
      <w:r w:rsidR="005B6F2C" w:rsidRPr="00BD2CE0">
        <w:rPr>
          <w:rFonts w:ascii="Century Gothic" w:hAnsi="Century Gothic"/>
          <w:i/>
          <w:sz w:val="20"/>
          <w:szCs w:val="20"/>
        </w:rPr>
        <w:t>stralia</w:t>
      </w:r>
      <w:r w:rsidRPr="00BD2CE0">
        <w:rPr>
          <w:rFonts w:ascii="Century Gothic" w:hAnsi="Century Gothic"/>
          <w:i/>
          <w:sz w:val="20"/>
          <w:szCs w:val="20"/>
        </w:rPr>
        <w:t xml:space="preserve"> </w:t>
      </w:r>
    </w:p>
    <w:p w:rsidR="00174602" w:rsidRPr="00842847" w:rsidRDefault="00360A69" w:rsidP="00842847">
      <w:pPr>
        <w:pStyle w:val="ListParagraph"/>
        <w:numPr>
          <w:ilvl w:val="0"/>
          <w:numId w:val="2"/>
        </w:numPr>
        <w:jc w:val="both"/>
        <w:rPr>
          <w:rFonts w:ascii="Century Gothic" w:hAnsi="Century Gothic"/>
          <w:sz w:val="20"/>
          <w:szCs w:val="20"/>
        </w:rPr>
      </w:pPr>
      <w:r w:rsidRPr="00842847">
        <w:rPr>
          <w:rFonts w:ascii="Century Gothic" w:hAnsi="Century Gothic"/>
          <w:sz w:val="20"/>
          <w:szCs w:val="20"/>
        </w:rPr>
        <w:t>A</w:t>
      </w:r>
      <w:r w:rsidR="00555DF6" w:rsidRPr="00842847">
        <w:rPr>
          <w:rFonts w:ascii="Century Gothic" w:hAnsi="Century Gothic"/>
          <w:sz w:val="20"/>
          <w:szCs w:val="20"/>
        </w:rPr>
        <w:t xml:space="preserve">n analysis of PISA results showed that in 2003 there was not a significant difference between boys and girls in mathematics but by 2009 Australian boys scored 10 points higher (around 4 months) than girls. </w:t>
      </w:r>
    </w:p>
    <w:p w:rsidR="00555DF6" w:rsidRPr="00842847" w:rsidRDefault="00174602" w:rsidP="00842847">
      <w:pPr>
        <w:pStyle w:val="ListParagraph"/>
        <w:numPr>
          <w:ilvl w:val="0"/>
          <w:numId w:val="2"/>
        </w:numPr>
        <w:jc w:val="both"/>
        <w:rPr>
          <w:rFonts w:ascii="Century Gothic" w:hAnsi="Century Gothic"/>
          <w:sz w:val="20"/>
          <w:szCs w:val="20"/>
        </w:rPr>
      </w:pPr>
      <w:r w:rsidRPr="00174602">
        <w:rPr>
          <w:rFonts w:ascii="Century Gothic" w:hAnsi="Century Gothic"/>
          <w:sz w:val="20"/>
          <w:szCs w:val="20"/>
        </w:rPr>
        <w:t xml:space="preserve">Between PISA 2003 and PISA 2012 Australia’s mathematical literacy performance declined more for girls than it did for boys. </w:t>
      </w:r>
      <w:r w:rsidRPr="00842847">
        <w:rPr>
          <w:rFonts w:ascii="Century Gothic" w:hAnsi="Century Gothic"/>
          <w:sz w:val="20"/>
          <w:szCs w:val="20"/>
        </w:rPr>
        <w:t xml:space="preserve">While the overall PISA mathematics score for Australia is still higher than the OECD average, the score for girls dropped so it is </w:t>
      </w:r>
      <w:r w:rsidR="00AE51D3" w:rsidRPr="00842847">
        <w:rPr>
          <w:rFonts w:ascii="Century Gothic" w:hAnsi="Century Gothic"/>
          <w:sz w:val="20"/>
          <w:szCs w:val="20"/>
        </w:rPr>
        <w:t>close to</w:t>
      </w:r>
      <w:r w:rsidRPr="00842847">
        <w:rPr>
          <w:rFonts w:ascii="Century Gothic" w:hAnsi="Century Gothic"/>
          <w:sz w:val="20"/>
          <w:szCs w:val="20"/>
        </w:rPr>
        <w:t xml:space="preserve"> the OECD average.</w:t>
      </w:r>
      <w:r w:rsidR="00555DF6" w:rsidRPr="00842847">
        <w:rPr>
          <w:rFonts w:ascii="Century Gothic" w:hAnsi="Century Gothic"/>
          <w:sz w:val="20"/>
          <w:szCs w:val="20"/>
        </w:rPr>
        <w:t xml:space="preserve">  </w:t>
      </w:r>
    </w:p>
    <w:p w:rsidR="00AF6D70" w:rsidRDefault="00555DF6" w:rsidP="0016175E">
      <w:pPr>
        <w:pStyle w:val="ListParagraph"/>
        <w:numPr>
          <w:ilvl w:val="0"/>
          <w:numId w:val="2"/>
        </w:numPr>
        <w:jc w:val="both"/>
        <w:rPr>
          <w:rFonts w:ascii="Century Gothic" w:hAnsi="Century Gothic"/>
          <w:sz w:val="20"/>
          <w:szCs w:val="20"/>
        </w:rPr>
      </w:pPr>
      <w:r>
        <w:rPr>
          <w:rFonts w:ascii="Century Gothic" w:hAnsi="Century Gothic"/>
          <w:sz w:val="20"/>
          <w:szCs w:val="20"/>
        </w:rPr>
        <w:t>However, o</w:t>
      </w:r>
      <w:r w:rsidRPr="00555DF6">
        <w:rPr>
          <w:rFonts w:ascii="Century Gothic" w:hAnsi="Century Gothic"/>
          <w:sz w:val="20"/>
          <w:szCs w:val="20"/>
        </w:rPr>
        <w:t xml:space="preserve">n </w:t>
      </w:r>
      <w:r>
        <w:rPr>
          <w:rFonts w:ascii="Century Gothic" w:hAnsi="Century Gothic"/>
          <w:sz w:val="20"/>
          <w:szCs w:val="20"/>
        </w:rPr>
        <w:t>2011</w:t>
      </w:r>
      <w:r w:rsidR="00AF6D70">
        <w:rPr>
          <w:rFonts w:ascii="Century Gothic" w:hAnsi="Century Gothic"/>
          <w:sz w:val="20"/>
          <w:szCs w:val="20"/>
        </w:rPr>
        <w:t xml:space="preserve"> </w:t>
      </w:r>
      <w:r w:rsidRPr="00555DF6">
        <w:rPr>
          <w:rFonts w:ascii="Century Gothic" w:hAnsi="Century Gothic"/>
          <w:sz w:val="20"/>
          <w:szCs w:val="20"/>
        </w:rPr>
        <w:t xml:space="preserve">TIMSS </w:t>
      </w:r>
      <w:r w:rsidRPr="0051372E">
        <w:rPr>
          <w:rFonts w:ascii="Century Gothic" w:hAnsi="Century Gothic"/>
          <w:sz w:val="20"/>
          <w:szCs w:val="20"/>
        </w:rPr>
        <w:t>data (Thompson</w:t>
      </w:r>
      <w:r w:rsidR="0051372E" w:rsidRPr="0051372E">
        <w:rPr>
          <w:rFonts w:ascii="Century Gothic" w:hAnsi="Century Gothic"/>
          <w:sz w:val="20"/>
          <w:szCs w:val="20"/>
        </w:rPr>
        <w:t xml:space="preserve"> and Hillman</w:t>
      </w:r>
      <w:r w:rsidRPr="0051372E">
        <w:rPr>
          <w:rFonts w:ascii="Century Gothic" w:hAnsi="Century Gothic"/>
          <w:sz w:val="20"/>
          <w:szCs w:val="20"/>
        </w:rPr>
        <w:t xml:space="preserve"> et al 2012</w:t>
      </w:r>
      <w:r w:rsidR="00AF6D70">
        <w:rPr>
          <w:rFonts w:ascii="Century Gothic" w:hAnsi="Century Gothic"/>
          <w:sz w:val="20"/>
          <w:szCs w:val="20"/>
        </w:rPr>
        <w:t>,</w:t>
      </w:r>
      <w:r w:rsidRPr="0051372E">
        <w:rPr>
          <w:rFonts w:ascii="Century Gothic" w:hAnsi="Century Gothic"/>
          <w:sz w:val="20"/>
          <w:szCs w:val="20"/>
        </w:rPr>
        <w:t xml:space="preserve">) </w:t>
      </w:r>
      <w:r w:rsidRPr="00555DF6">
        <w:rPr>
          <w:rFonts w:ascii="Century Gothic" w:hAnsi="Century Gothic"/>
          <w:sz w:val="20"/>
          <w:szCs w:val="20"/>
        </w:rPr>
        <w:t xml:space="preserve">for Australia, </w:t>
      </w:r>
      <w:r>
        <w:rPr>
          <w:rFonts w:ascii="Century Gothic" w:hAnsi="Century Gothic"/>
          <w:sz w:val="20"/>
          <w:szCs w:val="20"/>
        </w:rPr>
        <w:t xml:space="preserve">in </w:t>
      </w:r>
      <w:r w:rsidRPr="00555DF6">
        <w:rPr>
          <w:rFonts w:ascii="Century Gothic" w:hAnsi="Century Gothic"/>
          <w:sz w:val="20"/>
          <w:szCs w:val="20"/>
        </w:rPr>
        <w:t xml:space="preserve">mathematics </w:t>
      </w:r>
      <w:r w:rsidR="00427C1C">
        <w:rPr>
          <w:rFonts w:ascii="Century Gothic" w:hAnsi="Century Gothic"/>
          <w:sz w:val="20"/>
          <w:szCs w:val="20"/>
        </w:rPr>
        <w:t xml:space="preserve">on average </w:t>
      </w:r>
      <w:r w:rsidRPr="00555DF6">
        <w:rPr>
          <w:rFonts w:ascii="Century Gothic" w:hAnsi="Century Gothic"/>
          <w:sz w:val="20"/>
          <w:szCs w:val="20"/>
        </w:rPr>
        <w:t xml:space="preserve">there was no significant gender difference </w:t>
      </w:r>
      <w:r w:rsidR="00427C1C">
        <w:rPr>
          <w:rFonts w:ascii="Century Gothic" w:hAnsi="Century Gothic"/>
          <w:sz w:val="20"/>
          <w:szCs w:val="20"/>
        </w:rPr>
        <w:t>at Y</w:t>
      </w:r>
      <w:r w:rsidR="00AF6D70">
        <w:rPr>
          <w:rFonts w:ascii="Century Gothic" w:hAnsi="Century Gothic"/>
          <w:sz w:val="20"/>
          <w:szCs w:val="20"/>
        </w:rPr>
        <w:t xml:space="preserve">ear 4 or Year 8 but in 2015 the difference between boys and girls at Year 4 in Victoria is </w:t>
      </w:r>
      <w:r w:rsidR="001A0065">
        <w:rPr>
          <w:rFonts w:ascii="Century Gothic" w:hAnsi="Century Gothic"/>
          <w:sz w:val="20"/>
          <w:szCs w:val="20"/>
        </w:rPr>
        <w:t xml:space="preserve">small but </w:t>
      </w:r>
      <w:r w:rsidR="00AF6D70">
        <w:rPr>
          <w:rFonts w:ascii="Century Gothic" w:hAnsi="Century Gothic"/>
          <w:sz w:val="20"/>
          <w:szCs w:val="20"/>
        </w:rPr>
        <w:t>significant and the widest of all jurisdictions</w:t>
      </w:r>
      <w:r w:rsidR="00B37FD5">
        <w:rPr>
          <w:rFonts w:ascii="Century Gothic" w:hAnsi="Century Gothic"/>
          <w:sz w:val="20"/>
          <w:szCs w:val="20"/>
        </w:rPr>
        <w:t xml:space="preserve"> (Thompson et al 2016</w:t>
      </w:r>
      <w:r w:rsidR="00D479C3">
        <w:rPr>
          <w:rFonts w:ascii="Century Gothic" w:hAnsi="Century Gothic"/>
          <w:sz w:val="20"/>
          <w:szCs w:val="20"/>
        </w:rPr>
        <w:t>b</w:t>
      </w:r>
      <w:r w:rsidR="00B37FD5">
        <w:rPr>
          <w:rFonts w:ascii="Century Gothic" w:hAnsi="Century Gothic"/>
          <w:sz w:val="20"/>
          <w:szCs w:val="20"/>
        </w:rPr>
        <w:t>)</w:t>
      </w:r>
      <w:r w:rsidR="00AF6D70">
        <w:rPr>
          <w:rFonts w:ascii="Century Gothic" w:hAnsi="Century Gothic"/>
          <w:sz w:val="20"/>
          <w:szCs w:val="20"/>
        </w:rPr>
        <w:t xml:space="preserve">. Performance at Year 8 remains as before with no significant difference between boys and girls. </w:t>
      </w:r>
      <w:r w:rsidRPr="00555DF6">
        <w:rPr>
          <w:rFonts w:ascii="Century Gothic" w:hAnsi="Century Gothic"/>
          <w:sz w:val="20"/>
          <w:szCs w:val="20"/>
        </w:rPr>
        <w:t xml:space="preserve"> </w:t>
      </w:r>
      <w:r w:rsidR="00AF6D70">
        <w:rPr>
          <w:rFonts w:ascii="Century Gothic" w:hAnsi="Century Gothic"/>
          <w:sz w:val="20"/>
          <w:szCs w:val="20"/>
        </w:rPr>
        <w:t xml:space="preserve"> </w:t>
      </w:r>
    </w:p>
    <w:p w:rsidR="00F906A2" w:rsidRDefault="00AF6D70" w:rsidP="0016175E">
      <w:pPr>
        <w:pStyle w:val="ListParagraph"/>
        <w:numPr>
          <w:ilvl w:val="0"/>
          <w:numId w:val="2"/>
        </w:numPr>
        <w:jc w:val="both"/>
        <w:rPr>
          <w:rFonts w:ascii="Century Gothic" w:hAnsi="Century Gothic"/>
          <w:sz w:val="20"/>
          <w:szCs w:val="20"/>
        </w:rPr>
      </w:pPr>
      <w:r>
        <w:rPr>
          <w:rFonts w:ascii="Century Gothic" w:hAnsi="Century Gothic"/>
          <w:sz w:val="20"/>
          <w:szCs w:val="20"/>
        </w:rPr>
        <w:t>More boys in TIMSS reach the High and Advanced benchmarks at Year 4</w:t>
      </w:r>
      <w:r w:rsidR="00613214">
        <w:rPr>
          <w:rFonts w:ascii="Century Gothic" w:hAnsi="Century Gothic"/>
          <w:sz w:val="20"/>
          <w:szCs w:val="20"/>
        </w:rPr>
        <w:t xml:space="preserve"> in 2015</w:t>
      </w:r>
      <w:r>
        <w:rPr>
          <w:rFonts w:ascii="Century Gothic" w:hAnsi="Century Gothic"/>
          <w:sz w:val="20"/>
          <w:szCs w:val="20"/>
        </w:rPr>
        <w:t xml:space="preserve">; there are no differences at Year 8.  </w:t>
      </w:r>
    </w:p>
    <w:p w:rsidR="0049243A" w:rsidRDefault="00F906A2" w:rsidP="0016175E">
      <w:pPr>
        <w:pStyle w:val="ListParagraph"/>
        <w:numPr>
          <w:ilvl w:val="0"/>
          <w:numId w:val="2"/>
        </w:numPr>
        <w:jc w:val="both"/>
        <w:rPr>
          <w:rFonts w:ascii="Century Gothic" w:hAnsi="Century Gothic"/>
          <w:sz w:val="20"/>
          <w:szCs w:val="20"/>
        </w:rPr>
      </w:pPr>
      <w:r>
        <w:rPr>
          <w:rFonts w:ascii="Century Gothic" w:hAnsi="Century Gothic"/>
          <w:sz w:val="20"/>
          <w:szCs w:val="20"/>
        </w:rPr>
        <w:t>In TIMSS, s</w:t>
      </w:r>
      <w:r w:rsidR="00555DF6" w:rsidRPr="00555DF6">
        <w:rPr>
          <w:rFonts w:ascii="Century Gothic" w:hAnsi="Century Gothic"/>
          <w:sz w:val="20"/>
          <w:szCs w:val="20"/>
        </w:rPr>
        <w:t xml:space="preserve">tudents who indicated that they liked reading and mathematics scored higher on the assessments than students who indicated they did not like the area. Students who felt confident in a study area also scored higher. The gender pattern was consistent with boys liking mathematics and feeling more confident and girls liking reading. </w:t>
      </w:r>
    </w:p>
    <w:p w:rsidR="00DB0324" w:rsidRDefault="00DB0324" w:rsidP="0016175E">
      <w:pPr>
        <w:jc w:val="both"/>
        <w:rPr>
          <w:rFonts w:ascii="Century Gothic" w:hAnsi="Century Gothic"/>
          <w:sz w:val="20"/>
          <w:szCs w:val="20"/>
        </w:rPr>
      </w:pPr>
      <w:r>
        <w:rPr>
          <w:rFonts w:ascii="Century Gothic" w:hAnsi="Century Gothic"/>
          <w:sz w:val="20"/>
          <w:szCs w:val="20"/>
        </w:rPr>
        <w:t xml:space="preserve">For both literacy and numeracy in Australia, achievement was found to be higher in a </w:t>
      </w:r>
      <w:r w:rsidRPr="00DB0324">
        <w:rPr>
          <w:rFonts w:ascii="Century Gothic" w:hAnsi="Century Gothic"/>
          <w:sz w:val="20"/>
          <w:szCs w:val="20"/>
        </w:rPr>
        <w:t>school cli</w:t>
      </w:r>
      <w:r>
        <w:rPr>
          <w:rFonts w:ascii="Century Gothic" w:hAnsi="Century Gothic"/>
          <w:sz w:val="20"/>
          <w:szCs w:val="20"/>
        </w:rPr>
        <w:t>mate where students liked their school and felt they belonged; were engaged during</w:t>
      </w:r>
      <w:r w:rsidR="00281380">
        <w:rPr>
          <w:rFonts w:ascii="Century Gothic" w:hAnsi="Century Gothic"/>
          <w:sz w:val="20"/>
          <w:szCs w:val="20"/>
        </w:rPr>
        <w:t xml:space="preserve"> lessons; felt they were safe; </w:t>
      </w:r>
      <w:r>
        <w:rPr>
          <w:rFonts w:ascii="Century Gothic" w:hAnsi="Century Gothic"/>
          <w:sz w:val="20"/>
          <w:szCs w:val="20"/>
        </w:rPr>
        <w:t xml:space="preserve">and were almost never bullied.   </w:t>
      </w:r>
    </w:p>
    <w:p w:rsidR="00DB0324" w:rsidRPr="0049243A" w:rsidRDefault="00842847" w:rsidP="0016175E">
      <w:pPr>
        <w:jc w:val="both"/>
        <w:rPr>
          <w:rFonts w:ascii="Century Gothic" w:hAnsi="Century Gothic"/>
          <w:sz w:val="20"/>
          <w:szCs w:val="20"/>
        </w:rPr>
      </w:pPr>
      <w:r>
        <w:rPr>
          <w:rFonts w:ascii="Century Gothic" w:hAnsi="Century Gothic"/>
          <w:sz w:val="20"/>
          <w:szCs w:val="20"/>
        </w:rPr>
        <w:t xml:space="preserve">An interesting observation is that </w:t>
      </w:r>
      <w:r w:rsidR="008A7117" w:rsidRPr="0049243A">
        <w:rPr>
          <w:rFonts w:ascii="Century Gothic" w:hAnsi="Century Gothic"/>
          <w:sz w:val="20"/>
          <w:szCs w:val="20"/>
        </w:rPr>
        <w:t xml:space="preserve">overall </w:t>
      </w:r>
      <w:r w:rsidR="006F07DF" w:rsidRPr="0049243A">
        <w:rPr>
          <w:rFonts w:ascii="Century Gothic" w:hAnsi="Century Gothic"/>
          <w:sz w:val="20"/>
          <w:szCs w:val="20"/>
        </w:rPr>
        <w:t xml:space="preserve">high performance </w:t>
      </w:r>
      <w:r>
        <w:rPr>
          <w:rFonts w:ascii="Century Gothic" w:hAnsi="Century Gothic"/>
          <w:sz w:val="20"/>
          <w:szCs w:val="20"/>
        </w:rPr>
        <w:t xml:space="preserve">by a country </w:t>
      </w:r>
      <w:r w:rsidR="0070254F">
        <w:rPr>
          <w:rFonts w:ascii="Century Gothic" w:hAnsi="Century Gothic"/>
          <w:sz w:val="20"/>
          <w:szCs w:val="20"/>
        </w:rPr>
        <w:t xml:space="preserve">in PISA </w:t>
      </w:r>
      <w:r w:rsidR="008A7117" w:rsidRPr="0049243A">
        <w:rPr>
          <w:rFonts w:ascii="Century Gothic" w:hAnsi="Century Gothic"/>
          <w:sz w:val="20"/>
          <w:szCs w:val="20"/>
        </w:rPr>
        <w:t>does not automatically mean there is a</w:t>
      </w:r>
      <w:r w:rsidR="00281380">
        <w:rPr>
          <w:rFonts w:ascii="Century Gothic" w:hAnsi="Century Gothic"/>
          <w:sz w:val="20"/>
          <w:szCs w:val="20"/>
        </w:rPr>
        <w:t xml:space="preserve"> </w:t>
      </w:r>
      <w:r w:rsidR="008A7117" w:rsidRPr="0049243A">
        <w:rPr>
          <w:rFonts w:ascii="Century Gothic" w:hAnsi="Century Gothic"/>
          <w:sz w:val="20"/>
          <w:szCs w:val="20"/>
        </w:rPr>
        <w:t xml:space="preserve">reduced gender gap. </w:t>
      </w:r>
      <w:r w:rsidR="0072373F" w:rsidRPr="0049243A">
        <w:rPr>
          <w:rFonts w:ascii="Century Gothic" w:hAnsi="Century Gothic"/>
          <w:sz w:val="20"/>
          <w:szCs w:val="20"/>
        </w:rPr>
        <w:t xml:space="preserve">For example, </w:t>
      </w:r>
      <w:r w:rsidR="0070254F">
        <w:rPr>
          <w:rFonts w:ascii="Century Gothic" w:hAnsi="Century Gothic"/>
          <w:sz w:val="20"/>
          <w:szCs w:val="20"/>
        </w:rPr>
        <w:t xml:space="preserve">Finland has </w:t>
      </w:r>
      <w:r w:rsidR="006F07DF" w:rsidRPr="0049243A">
        <w:rPr>
          <w:rFonts w:ascii="Century Gothic" w:hAnsi="Century Gothic"/>
          <w:sz w:val="20"/>
          <w:szCs w:val="20"/>
        </w:rPr>
        <w:t xml:space="preserve">high performance </w:t>
      </w:r>
      <w:r w:rsidR="0070254F">
        <w:rPr>
          <w:rFonts w:ascii="Century Gothic" w:hAnsi="Century Gothic"/>
          <w:sz w:val="20"/>
          <w:szCs w:val="20"/>
        </w:rPr>
        <w:t xml:space="preserve">overall </w:t>
      </w:r>
      <w:r w:rsidR="006F07DF" w:rsidRPr="0049243A">
        <w:rPr>
          <w:rFonts w:ascii="Century Gothic" w:hAnsi="Century Gothic"/>
          <w:sz w:val="20"/>
          <w:szCs w:val="20"/>
        </w:rPr>
        <w:t xml:space="preserve">but </w:t>
      </w:r>
      <w:r w:rsidR="0070254F">
        <w:rPr>
          <w:rFonts w:ascii="Century Gothic" w:hAnsi="Century Gothic"/>
          <w:sz w:val="20"/>
          <w:szCs w:val="20"/>
        </w:rPr>
        <w:t xml:space="preserve">one of the highest </w:t>
      </w:r>
      <w:r w:rsidR="006F07DF" w:rsidRPr="0049243A">
        <w:rPr>
          <w:rFonts w:ascii="Century Gothic" w:hAnsi="Century Gothic"/>
          <w:sz w:val="20"/>
          <w:szCs w:val="20"/>
        </w:rPr>
        <w:t>gend</w:t>
      </w:r>
      <w:r w:rsidR="00211CEF" w:rsidRPr="0049243A">
        <w:rPr>
          <w:rFonts w:ascii="Century Gothic" w:hAnsi="Century Gothic"/>
          <w:sz w:val="20"/>
          <w:szCs w:val="20"/>
        </w:rPr>
        <w:t>er gaps</w:t>
      </w:r>
      <w:r w:rsidR="0070254F">
        <w:rPr>
          <w:rFonts w:ascii="Century Gothic" w:hAnsi="Century Gothic"/>
          <w:sz w:val="20"/>
          <w:szCs w:val="20"/>
        </w:rPr>
        <w:t xml:space="preserve"> in literacy in favour of girls</w:t>
      </w:r>
      <w:r w:rsidR="00281380">
        <w:rPr>
          <w:rFonts w:ascii="Century Gothic" w:hAnsi="Century Gothic"/>
          <w:sz w:val="20"/>
          <w:szCs w:val="20"/>
        </w:rPr>
        <w:t xml:space="preserve"> and no statistically significant gap in mathematics</w:t>
      </w:r>
      <w:r w:rsidR="0070254F">
        <w:rPr>
          <w:rFonts w:ascii="Century Gothic" w:hAnsi="Century Gothic"/>
          <w:sz w:val="20"/>
          <w:szCs w:val="20"/>
        </w:rPr>
        <w:t>; Korea is a high performing country but the gender gap in mathematics is</w:t>
      </w:r>
      <w:r w:rsidR="00281380">
        <w:rPr>
          <w:rFonts w:ascii="Century Gothic" w:hAnsi="Century Gothic"/>
          <w:sz w:val="20"/>
          <w:szCs w:val="20"/>
        </w:rPr>
        <w:t xml:space="preserve"> larger than the OECD average in favour of boys and has one of the smallest</w:t>
      </w:r>
      <w:r w:rsidR="00281380" w:rsidRPr="00281380">
        <w:rPr>
          <w:rFonts w:ascii="Century Gothic" w:hAnsi="Century Gothic"/>
          <w:sz w:val="20"/>
          <w:szCs w:val="20"/>
        </w:rPr>
        <w:t xml:space="preserve"> </w:t>
      </w:r>
      <w:r w:rsidR="00281380">
        <w:rPr>
          <w:rFonts w:ascii="Century Gothic" w:hAnsi="Century Gothic"/>
          <w:sz w:val="20"/>
          <w:szCs w:val="20"/>
        </w:rPr>
        <w:t xml:space="preserve">gaps in literacy.  </w:t>
      </w:r>
      <w:r w:rsidR="0070254F">
        <w:rPr>
          <w:rFonts w:ascii="Century Gothic" w:hAnsi="Century Gothic"/>
          <w:sz w:val="20"/>
          <w:szCs w:val="20"/>
        </w:rPr>
        <w:t xml:space="preserve"> </w:t>
      </w:r>
      <w:r w:rsidR="00281380">
        <w:rPr>
          <w:rFonts w:ascii="Century Gothic" w:hAnsi="Century Gothic"/>
          <w:sz w:val="20"/>
          <w:szCs w:val="20"/>
        </w:rPr>
        <w:t>I</w:t>
      </w:r>
      <w:r w:rsidR="0072373F" w:rsidRPr="0049243A">
        <w:rPr>
          <w:rFonts w:ascii="Century Gothic" w:hAnsi="Century Gothic"/>
          <w:sz w:val="20"/>
          <w:szCs w:val="20"/>
        </w:rPr>
        <w:t>n the high performing locations of</w:t>
      </w:r>
      <w:r w:rsidR="00211CEF" w:rsidRPr="0049243A">
        <w:rPr>
          <w:rFonts w:ascii="Century Gothic" w:hAnsi="Century Gothic"/>
          <w:sz w:val="20"/>
          <w:szCs w:val="20"/>
        </w:rPr>
        <w:t xml:space="preserve"> Hong Kong, Singapore and Taipei g</w:t>
      </w:r>
      <w:r w:rsidR="00D9708D" w:rsidRPr="0049243A">
        <w:rPr>
          <w:rFonts w:ascii="Century Gothic" w:hAnsi="Century Gothic"/>
          <w:sz w:val="20"/>
          <w:szCs w:val="20"/>
        </w:rPr>
        <w:t>irls are on a par</w:t>
      </w:r>
      <w:r w:rsidR="00211CEF" w:rsidRPr="0049243A">
        <w:rPr>
          <w:rFonts w:ascii="Century Gothic" w:hAnsi="Century Gothic"/>
          <w:sz w:val="20"/>
          <w:szCs w:val="20"/>
        </w:rPr>
        <w:t xml:space="preserve"> with boys</w:t>
      </w:r>
      <w:r w:rsidR="00D9708D" w:rsidRPr="0049243A">
        <w:rPr>
          <w:rFonts w:ascii="Century Gothic" w:hAnsi="Century Gothic"/>
          <w:sz w:val="20"/>
          <w:szCs w:val="20"/>
        </w:rPr>
        <w:t xml:space="preserve"> in mathema</w:t>
      </w:r>
      <w:r w:rsidR="00211CEF" w:rsidRPr="0049243A">
        <w:rPr>
          <w:rFonts w:ascii="Century Gothic" w:hAnsi="Century Gothic"/>
          <w:sz w:val="20"/>
          <w:szCs w:val="20"/>
        </w:rPr>
        <w:t xml:space="preserve">tics and </w:t>
      </w:r>
      <w:r w:rsidR="00D9708D" w:rsidRPr="0049243A">
        <w:rPr>
          <w:rFonts w:ascii="Century Gothic" w:hAnsi="Century Gothic"/>
          <w:sz w:val="20"/>
          <w:szCs w:val="20"/>
        </w:rPr>
        <w:t xml:space="preserve">in reading </w:t>
      </w:r>
      <w:r w:rsidR="0072373F" w:rsidRPr="0049243A">
        <w:rPr>
          <w:rFonts w:ascii="Century Gothic" w:hAnsi="Century Gothic"/>
          <w:sz w:val="20"/>
          <w:szCs w:val="20"/>
        </w:rPr>
        <w:t xml:space="preserve">and </w:t>
      </w:r>
      <w:r w:rsidR="00504F91" w:rsidRPr="0049243A">
        <w:rPr>
          <w:rFonts w:ascii="Century Gothic" w:hAnsi="Century Gothic"/>
          <w:sz w:val="20"/>
          <w:szCs w:val="20"/>
        </w:rPr>
        <w:t>underperforming girls</w:t>
      </w:r>
      <w:r w:rsidR="00D9708D" w:rsidRPr="0049243A">
        <w:rPr>
          <w:rFonts w:ascii="Century Gothic" w:hAnsi="Century Gothic"/>
          <w:sz w:val="20"/>
          <w:szCs w:val="20"/>
        </w:rPr>
        <w:t xml:space="preserve"> tend to score m</w:t>
      </w:r>
      <w:r w:rsidR="0072373F" w:rsidRPr="0049243A">
        <w:rPr>
          <w:rFonts w:ascii="Century Gothic" w:hAnsi="Century Gothic"/>
          <w:sz w:val="20"/>
          <w:szCs w:val="20"/>
        </w:rPr>
        <w:t>uch higher than girls elsewhere</w:t>
      </w:r>
      <w:r w:rsidR="00D9708D" w:rsidRPr="0049243A">
        <w:rPr>
          <w:rFonts w:ascii="Century Gothic" w:hAnsi="Century Gothic"/>
          <w:sz w:val="20"/>
          <w:szCs w:val="20"/>
        </w:rPr>
        <w:t>.</w:t>
      </w:r>
      <w:r w:rsidR="00DB0324">
        <w:rPr>
          <w:rFonts w:ascii="Century Gothic" w:hAnsi="Century Gothic"/>
          <w:sz w:val="20"/>
          <w:szCs w:val="20"/>
        </w:rPr>
        <w:tab/>
      </w:r>
    </w:p>
    <w:p w:rsidR="006F07DF" w:rsidRPr="00AE51D3" w:rsidRDefault="00776E86" w:rsidP="006F07DF">
      <w:pPr>
        <w:rPr>
          <w:rFonts w:ascii="Century Gothic" w:hAnsi="Century Gothic"/>
          <w:b/>
          <w:bCs/>
          <w:iCs/>
          <w:color w:val="4F81BD" w:themeColor="accent1"/>
        </w:rPr>
      </w:pPr>
      <w:r>
        <w:rPr>
          <w:rStyle w:val="IntenseEmphasis"/>
          <w:rFonts w:ascii="Century Gothic" w:hAnsi="Century Gothic"/>
          <w:i w:val="0"/>
        </w:rPr>
        <w:t xml:space="preserve">1.3 </w:t>
      </w:r>
      <w:r w:rsidR="00AE51D3">
        <w:rPr>
          <w:rStyle w:val="IntenseEmphasis"/>
          <w:rFonts w:ascii="Century Gothic" w:hAnsi="Century Gothic"/>
          <w:i w:val="0"/>
        </w:rPr>
        <w:t>G</w:t>
      </w:r>
      <w:r w:rsidR="00EF2D6D">
        <w:rPr>
          <w:rStyle w:val="IntenseEmphasis"/>
          <w:rFonts w:ascii="Century Gothic" w:hAnsi="Century Gothic"/>
          <w:i w:val="0"/>
        </w:rPr>
        <w:t>i</w:t>
      </w:r>
      <w:r w:rsidR="00AE51D3">
        <w:rPr>
          <w:rStyle w:val="IntenseEmphasis"/>
          <w:rFonts w:ascii="Century Gothic" w:hAnsi="Century Gothic"/>
          <w:i w:val="0"/>
        </w:rPr>
        <w:t>rls and numeracy: Further perspective on the pattern of performance</w:t>
      </w:r>
    </w:p>
    <w:p w:rsidR="006F07DF" w:rsidRDefault="006F07DF" w:rsidP="00D54B9A">
      <w:pPr>
        <w:jc w:val="both"/>
        <w:rPr>
          <w:rFonts w:ascii="Century Gothic" w:hAnsi="Century Gothic"/>
          <w:sz w:val="20"/>
          <w:szCs w:val="20"/>
        </w:rPr>
      </w:pPr>
      <w:r>
        <w:rPr>
          <w:rFonts w:ascii="Century Gothic" w:hAnsi="Century Gothic"/>
          <w:sz w:val="20"/>
          <w:szCs w:val="20"/>
        </w:rPr>
        <w:t xml:space="preserve">A number of research studies have </w:t>
      </w:r>
      <w:r w:rsidR="005B6F2C">
        <w:rPr>
          <w:rFonts w:ascii="Century Gothic" w:hAnsi="Century Gothic"/>
          <w:sz w:val="20"/>
          <w:szCs w:val="20"/>
        </w:rPr>
        <w:t>examined international and local data</w:t>
      </w:r>
      <w:r w:rsidR="005801FE">
        <w:rPr>
          <w:rFonts w:ascii="Century Gothic" w:hAnsi="Century Gothic"/>
          <w:sz w:val="20"/>
          <w:szCs w:val="20"/>
        </w:rPr>
        <w:t xml:space="preserve">, including NAPLAN, </w:t>
      </w:r>
      <w:r w:rsidR="005B6F2C">
        <w:rPr>
          <w:rFonts w:ascii="Century Gothic" w:hAnsi="Century Gothic"/>
          <w:sz w:val="20"/>
          <w:szCs w:val="20"/>
        </w:rPr>
        <w:t xml:space="preserve"> to look more closely at </w:t>
      </w:r>
      <w:r>
        <w:rPr>
          <w:rFonts w:ascii="Century Gothic" w:hAnsi="Century Gothic"/>
          <w:sz w:val="20"/>
          <w:szCs w:val="20"/>
        </w:rPr>
        <w:t xml:space="preserve">the gaps </w:t>
      </w:r>
      <w:r w:rsidR="005B6F2C">
        <w:rPr>
          <w:rFonts w:ascii="Century Gothic" w:hAnsi="Century Gothic"/>
          <w:sz w:val="20"/>
          <w:szCs w:val="20"/>
        </w:rPr>
        <w:t xml:space="preserve">and associated factors </w:t>
      </w:r>
      <w:r>
        <w:rPr>
          <w:rFonts w:ascii="Century Gothic" w:hAnsi="Century Gothic"/>
          <w:sz w:val="20"/>
          <w:szCs w:val="20"/>
        </w:rPr>
        <w:t>between boys and girls in relation to numeracy and mathematics (e.g. Buckley, 2016</w:t>
      </w:r>
      <w:r w:rsidR="00E504E9">
        <w:rPr>
          <w:rFonts w:ascii="Century Gothic" w:hAnsi="Century Gothic"/>
          <w:sz w:val="20"/>
          <w:szCs w:val="20"/>
        </w:rPr>
        <w:t>;</w:t>
      </w:r>
      <w:r>
        <w:rPr>
          <w:rFonts w:ascii="Century Gothic" w:hAnsi="Century Gothic"/>
          <w:sz w:val="20"/>
          <w:szCs w:val="20"/>
        </w:rPr>
        <w:t xml:space="preserve"> </w:t>
      </w:r>
      <w:r w:rsidR="00E504E9" w:rsidRPr="00E504E9">
        <w:rPr>
          <w:rFonts w:ascii="Century Gothic" w:hAnsi="Century Gothic"/>
          <w:sz w:val="20"/>
          <w:szCs w:val="20"/>
        </w:rPr>
        <w:t xml:space="preserve">Forgasz </w:t>
      </w:r>
      <w:r w:rsidR="00FF4128">
        <w:rPr>
          <w:rFonts w:ascii="Century Gothic" w:hAnsi="Century Gothic"/>
          <w:sz w:val="20"/>
          <w:szCs w:val="20"/>
        </w:rPr>
        <w:t xml:space="preserve"> </w:t>
      </w:r>
      <w:r w:rsidR="00E504E9" w:rsidRPr="00E504E9">
        <w:rPr>
          <w:rFonts w:ascii="Century Gothic" w:hAnsi="Century Gothic"/>
          <w:sz w:val="20"/>
          <w:szCs w:val="20"/>
        </w:rPr>
        <w:t>2011</w:t>
      </w:r>
      <w:r w:rsidR="00431703">
        <w:rPr>
          <w:rFonts w:ascii="Century Gothic" w:hAnsi="Century Gothic"/>
          <w:sz w:val="20"/>
          <w:szCs w:val="20"/>
        </w:rPr>
        <w:t>;</w:t>
      </w:r>
      <w:r w:rsidR="005210D0">
        <w:rPr>
          <w:rFonts w:ascii="Century Gothic" w:hAnsi="Century Gothic"/>
          <w:sz w:val="20"/>
          <w:szCs w:val="20"/>
        </w:rPr>
        <w:t xml:space="preserve"> Hill </w:t>
      </w:r>
      <w:r w:rsidR="00B21E36">
        <w:rPr>
          <w:rFonts w:ascii="Century Gothic" w:hAnsi="Century Gothic"/>
          <w:sz w:val="20"/>
          <w:szCs w:val="20"/>
        </w:rPr>
        <w:t>2011</w:t>
      </w:r>
      <w:r w:rsidR="005210D0">
        <w:rPr>
          <w:rFonts w:ascii="Century Gothic" w:hAnsi="Century Gothic"/>
          <w:sz w:val="20"/>
          <w:szCs w:val="20"/>
        </w:rPr>
        <w:t xml:space="preserve">; </w:t>
      </w:r>
      <w:r w:rsidR="00431703">
        <w:rPr>
          <w:rFonts w:ascii="Century Gothic" w:hAnsi="Century Gothic"/>
          <w:sz w:val="20"/>
          <w:szCs w:val="20"/>
        </w:rPr>
        <w:t xml:space="preserve">Justman and Mendez 2016; </w:t>
      </w:r>
      <w:r>
        <w:rPr>
          <w:rFonts w:ascii="Century Gothic" w:hAnsi="Century Gothic"/>
          <w:sz w:val="20"/>
          <w:szCs w:val="20"/>
        </w:rPr>
        <w:t>Kane and Mertz 2012</w:t>
      </w:r>
      <w:r w:rsidR="00431703">
        <w:rPr>
          <w:rFonts w:ascii="Century Gothic" w:hAnsi="Century Gothic"/>
          <w:sz w:val="20"/>
          <w:szCs w:val="20"/>
        </w:rPr>
        <w:t>;</w:t>
      </w:r>
      <w:r w:rsidR="00D24ACD">
        <w:rPr>
          <w:rFonts w:ascii="Century Gothic" w:hAnsi="Century Gothic"/>
          <w:sz w:val="20"/>
          <w:szCs w:val="20"/>
        </w:rPr>
        <w:t xml:space="preserve"> </w:t>
      </w:r>
      <w:r w:rsidR="00BA2B3E">
        <w:rPr>
          <w:rFonts w:ascii="Century Gothic" w:hAnsi="Century Gothic"/>
          <w:sz w:val="20"/>
          <w:szCs w:val="20"/>
        </w:rPr>
        <w:t>Cobb-Clark and Moshion 2015;</w:t>
      </w:r>
      <w:r w:rsidR="00DC0B86">
        <w:rPr>
          <w:rFonts w:ascii="Century Gothic" w:hAnsi="Century Gothic"/>
          <w:sz w:val="20"/>
          <w:szCs w:val="20"/>
        </w:rPr>
        <w:t xml:space="preserve"> Ryan 2016</w:t>
      </w:r>
      <w:r>
        <w:rPr>
          <w:rFonts w:ascii="Century Gothic" w:hAnsi="Century Gothic"/>
          <w:sz w:val="20"/>
          <w:szCs w:val="20"/>
        </w:rPr>
        <w:t xml:space="preserve">). </w:t>
      </w:r>
    </w:p>
    <w:p w:rsidR="006F07DF" w:rsidRPr="00D96D59" w:rsidRDefault="006F07DF" w:rsidP="00D54B9A">
      <w:pPr>
        <w:jc w:val="both"/>
        <w:rPr>
          <w:rFonts w:ascii="Century Gothic" w:hAnsi="Century Gothic"/>
          <w:sz w:val="20"/>
          <w:szCs w:val="20"/>
        </w:rPr>
      </w:pPr>
      <w:r w:rsidRPr="00985D51">
        <w:rPr>
          <w:rFonts w:ascii="Century Gothic" w:hAnsi="Century Gothic"/>
          <w:sz w:val="20"/>
          <w:szCs w:val="20"/>
        </w:rPr>
        <w:t xml:space="preserve">Overall, </w:t>
      </w:r>
      <w:r>
        <w:rPr>
          <w:rFonts w:ascii="Century Gothic" w:hAnsi="Century Gothic"/>
          <w:sz w:val="20"/>
          <w:szCs w:val="20"/>
        </w:rPr>
        <w:t xml:space="preserve">these </w:t>
      </w:r>
      <w:r w:rsidRPr="00985D51">
        <w:rPr>
          <w:rFonts w:ascii="Century Gothic" w:hAnsi="Century Gothic"/>
          <w:sz w:val="20"/>
          <w:szCs w:val="20"/>
        </w:rPr>
        <w:t>studies suggest Australian female students ar</w:t>
      </w:r>
      <w:r w:rsidR="00697413">
        <w:rPr>
          <w:rFonts w:ascii="Century Gothic" w:hAnsi="Century Gothic"/>
          <w:sz w:val="20"/>
          <w:szCs w:val="20"/>
        </w:rPr>
        <w:t>e less engaged with mathematics;</w:t>
      </w:r>
      <w:r>
        <w:rPr>
          <w:rFonts w:ascii="Century Gothic" w:hAnsi="Century Gothic"/>
          <w:sz w:val="20"/>
          <w:szCs w:val="20"/>
        </w:rPr>
        <w:t xml:space="preserve"> </w:t>
      </w:r>
      <w:r w:rsidRPr="00985D51">
        <w:rPr>
          <w:rFonts w:ascii="Century Gothic" w:hAnsi="Century Gothic"/>
          <w:sz w:val="20"/>
          <w:szCs w:val="20"/>
        </w:rPr>
        <w:t>more likely to be ou</w:t>
      </w:r>
      <w:r w:rsidR="00697413">
        <w:rPr>
          <w:rFonts w:ascii="Century Gothic" w:hAnsi="Century Gothic"/>
          <w:sz w:val="20"/>
          <w:szCs w:val="20"/>
        </w:rPr>
        <w:t>tperformed by their male peers, particular</w:t>
      </w:r>
      <w:r w:rsidR="00E917DF">
        <w:rPr>
          <w:rFonts w:ascii="Century Gothic" w:hAnsi="Century Gothic"/>
          <w:sz w:val="20"/>
          <w:szCs w:val="20"/>
        </w:rPr>
        <w:t>ly in the high SES categories</w:t>
      </w:r>
      <w:r w:rsidR="005E1D36">
        <w:rPr>
          <w:rFonts w:ascii="Century Gothic" w:hAnsi="Century Gothic"/>
          <w:sz w:val="20"/>
          <w:szCs w:val="20"/>
        </w:rPr>
        <w:t xml:space="preserve"> and in the top bands of performance</w:t>
      </w:r>
      <w:r w:rsidR="00E917DF">
        <w:rPr>
          <w:rFonts w:ascii="Century Gothic" w:hAnsi="Century Gothic"/>
          <w:sz w:val="20"/>
          <w:szCs w:val="20"/>
        </w:rPr>
        <w:t>;</w:t>
      </w:r>
      <w:r>
        <w:rPr>
          <w:rFonts w:ascii="Century Gothic" w:hAnsi="Century Gothic"/>
          <w:sz w:val="20"/>
          <w:szCs w:val="20"/>
        </w:rPr>
        <w:t xml:space="preserve"> less likely to pursue </w:t>
      </w:r>
      <w:r w:rsidR="00697413">
        <w:rPr>
          <w:rFonts w:ascii="Century Gothic" w:hAnsi="Century Gothic"/>
          <w:sz w:val="20"/>
          <w:szCs w:val="20"/>
        </w:rPr>
        <w:t>senior studies in mathematics;</w:t>
      </w:r>
      <w:r>
        <w:rPr>
          <w:rFonts w:ascii="Century Gothic" w:hAnsi="Century Gothic"/>
          <w:sz w:val="20"/>
          <w:szCs w:val="20"/>
        </w:rPr>
        <w:t xml:space="preserve"> and </w:t>
      </w:r>
      <w:r w:rsidRPr="00985D51">
        <w:rPr>
          <w:rFonts w:ascii="Century Gothic" w:hAnsi="Century Gothic"/>
          <w:sz w:val="20"/>
          <w:szCs w:val="20"/>
        </w:rPr>
        <w:t xml:space="preserve">less likely to choose career pathways that involve mathematics and </w:t>
      </w:r>
      <w:r>
        <w:rPr>
          <w:rFonts w:ascii="Century Gothic" w:hAnsi="Century Gothic"/>
          <w:sz w:val="20"/>
          <w:szCs w:val="20"/>
        </w:rPr>
        <w:t>science.</w:t>
      </w:r>
      <w:r w:rsidR="005B6F2C">
        <w:rPr>
          <w:rFonts w:ascii="Century Gothic" w:hAnsi="Century Gothic"/>
          <w:sz w:val="20"/>
          <w:szCs w:val="20"/>
        </w:rPr>
        <w:t xml:space="preserve"> But, the </w:t>
      </w:r>
      <w:r w:rsidR="00AB6F50">
        <w:rPr>
          <w:rFonts w:ascii="Century Gothic" w:hAnsi="Century Gothic"/>
          <w:sz w:val="20"/>
          <w:szCs w:val="20"/>
        </w:rPr>
        <w:t xml:space="preserve">accounts of performance levels and analysis of explanations (see next section) </w:t>
      </w:r>
      <w:r w:rsidR="005B6F2C">
        <w:rPr>
          <w:rFonts w:ascii="Century Gothic" w:hAnsi="Century Gothic"/>
          <w:sz w:val="20"/>
          <w:szCs w:val="20"/>
        </w:rPr>
        <w:t xml:space="preserve">are contested among teachers and researchers </w:t>
      </w:r>
      <w:r w:rsidR="00FB35B1">
        <w:rPr>
          <w:rFonts w:ascii="Century Gothic" w:hAnsi="Century Gothic"/>
          <w:sz w:val="20"/>
          <w:szCs w:val="20"/>
        </w:rPr>
        <w:t>(</w:t>
      </w:r>
      <w:r w:rsidR="005B6F2C">
        <w:rPr>
          <w:rFonts w:ascii="Century Gothic" w:hAnsi="Century Gothic"/>
          <w:sz w:val="20"/>
          <w:szCs w:val="20"/>
        </w:rPr>
        <w:t xml:space="preserve">Broadley </w:t>
      </w:r>
      <w:r w:rsidR="00FB35B1">
        <w:rPr>
          <w:rFonts w:ascii="Century Gothic" w:hAnsi="Century Gothic"/>
          <w:sz w:val="20"/>
          <w:szCs w:val="20"/>
        </w:rPr>
        <w:t>2016).</w:t>
      </w:r>
    </w:p>
    <w:p w:rsidR="006F07DF" w:rsidRPr="004E5687" w:rsidRDefault="006F07DF" w:rsidP="00D54B9A">
      <w:pPr>
        <w:jc w:val="both"/>
        <w:rPr>
          <w:rFonts w:ascii="Century Gothic" w:hAnsi="Century Gothic"/>
          <w:sz w:val="20"/>
          <w:szCs w:val="20"/>
        </w:rPr>
      </w:pPr>
      <w:r>
        <w:rPr>
          <w:rFonts w:ascii="Century Gothic" w:hAnsi="Century Gothic"/>
          <w:sz w:val="20"/>
          <w:szCs w:val="20"/>
        </w:rPr>
        <w:t xml:space="preserve">Findings and observations include the following. </w:t>
      </w:r>
    </w:p>
    <w:p w:rsidR="006F07DF" w:rsidRDefault="006F07DF" w:rsidP="0016175E">
      <w:pPr>
        <w:pStyle w:val="ListParagraph"/>
        <w:numPr>
          <w:ilvl w:val="0"/>
          <w:numId w:val="2"/>
        </w:numPr>
        <w:jc w:val="both"/>
        <w:rPr>
          <w:rFonts w:ascii="Century Gothic" w:hAnsi="Century Gothic"/>
          <w:sz w:val="20"/>
          <w:szCs w:val="20"/>
        </w:rPr>
      </w:pPr>
      <w:r>
        <w:rPr>
          <w:rFonts w:ascii="Century Gothic" w:hAnsi="Century Gothic"/>
          <w:sz w:val="20"/>
          <w:szCs w:val="20"/>
        </w:rPr>
        <w:t>There is a c</w:t>
      </w:r>
      <w:r w:rsidRPr="00E30C44">
        <w:rPr>
          <w:rFonts w:ascii="Century Gothic" w:hAnsi="Century Gothic"/>
          <w:sz w:val="20"/>
          <w:szCs w:val="20"/>
        </w:rPr>
        <w:t xml:space="preserve">onsistent </w:t>
      </w:r>
      <w:r w:rsidR="00287DE1">
        <w:rPr>
          <w:rFonts w:ascii="Century Gothic" w:hAnsi="Century Gothic"/>
          <w:sz w:val="20"/>
          <w:szCs w:val="20"/>
        </w:rPr>
        <w:t>pattern since 2008</w:t>
      </w:r>
      <w:r w:rsidRPr="00E30C44">
        <w:rPr>
          <w:rFonts w:ascii="Century Gothic" w:hAnsi="Century Gothic"/>
          <w:sz w:val="20"/>
          <w:szCs w:val="20"/>
        </w:rPr>
        <w:t xml:space="preserve"> of males outperforming females </w:t>
      </w:r>
      <w:r w:rsidR="005E1D36">
        <w:rPr>
          <w:rFonts w:ascii="Century Gothic" w:hAnsi="Century Gothic"/>
          <w:sz w:val="20"/>
          <w:szCs w:val="20"/>
        </w:rPr>
        <w:t xml:space="preserve">in the top bands of </w:t>
      </w:r>
      <w:r w:rsidR="00287DE1">
        <w:rPr>
          <w:rFonts w:ascii="Century Gothic" w:hAnsi="Century Gothic"/>
          <w:sz w:val="20"/>
          <w:szCs w:val="20"/>
        </w:rPr>
        <w:t xml:space="preserve">NAPLAN </w:t>
      </w:r>
      <w:r>
        <w:rPr>
          <w:rFonts w:ascii="Century Gothic" w:hAnsi="Century Gothic"/>
          <w:sz w:val="20"/>
          <w:szCs w:val="20"/>
        </w:rPr>
        <w:t>numeracy tests</w:t>
      </w:r>
      <w:r w:rsidR="00977C51">
        <w:rPr>
          <w:rFonts w:ascii="Century Gothic" w:hAnsi="Century Gothic"/>
          <w:sz w:val="20"/>
          <w:szCs w:val="20"/>
        </w:rPr>
        <w:t xml:space="preserve"> </w:t>
      </w:r>
      <w:r w:rsidR="00287DE1">
        <w:rPr>
          <w:rFonts w:ascii="Century Gothic" w:hAnsi="Century Gothic"/>
          <w:sz w:val="20"/>
          <w:szCs w:val="20"/>
        </w:rPr>
        <w:t xml:space="preserve">that are conducted </w:t>
      </w:r>
      <w:r w:rsidR="00977C51">
        <w:rPr>
          <w:rFonts w:ascii="Century Gothic" w:hAnsi="Century Gothic"/>
          <w:sz w:val="20"/>
          <w:szCs w:val="20"/>
        </w:rPr>
        <w:t>at years 3, 5, 7, and 9</w:t>
      </w:r>
      <w:r>
        <w:rPr>
          <w:rFonts w:ascii="Century Gothic" w:hAnsi="Century Gothic"/>
          <w:sz w:val="20"/>
          <w:szCs w:val="20"/>
        </w:rPr>
        <w:t>.</w:t>
      </w:r>
      <w:r w:rsidR="005B6F2C">
        <w:rPr>
          <w:rFonts w:ascii="Century Gothic" w:hAnsi="Century Gothic"/>
          <w:sz w:val="20"/>
          <w:szCs w:val="20"/>
        </w:rPr>
        <w:t xml:space="preserve"> (</w:t>
      </w:r>
      <w:r w:rsidR="005E1D36">
        <w:rPr>
          <w:rFonts w:ascii="Century Gothic" w:hAnsi="Century Gothic"/>
          <w:sz w:val="20"/>
          <w:szCs w:val="20"/>
        </w:rPr>
        <w:t xml:space="preserve">The proportion of girls at or above the national minimum standard is higher than boys.)  </w:t>
      </w:r>
    </w:p>
    <w:p w:rsidR="006F07DF" w:rsidRDefault="006F07DF" w:rsidP="0016175E">
      <w:pPr>
        <w:pStyle w:val="ListParagraph"/>
        <w:numPr>
          <w:ilvl w:val="0"/>
          <w:numId w:val="2"/>
        </w:numPr>
        <w:jc w:val="both"/>
        <w:rPr>
          <w:rFonts w:ascii="Century Gothic" w:hAnsi="Century Gothic"/>
          <w:sz w:val="20"/>
          <w:szCs w:val="20"/>
        </w:rPr>
      </w:pPr>
      <w:r>
        <w:rPr>
          <w:rFonts w:ascii="Century Gothic" w:hAnsi="Century Gothic"/>
          <w:sz w:val="20"/>
          <w:szCs w:val="20"/>
        </w:rPr>
        <w:t xml:space="preserve">In </w:t>
      </w:r>
      <w:r w:rsidRPr="00E30C44">
        <w:rPr>
          <w:rFonts w:ascii="Century Gothic" w:hAnsi="Century Gothic"/>
          <w:sz w:val="20"/>
          <w:szCs w:val="20"/>
        </w:rPr>
        <w:t xml:space="preserve">male and female performance on each </w:t>
      </w:r>
      <w:r>
        <w:rPr>
          <w:rFonts w:ascii="Century Gothic" w:hAnsi="Century Gothic"/>
          <w:sz w:val="20"/>
          <w:szCs w:val="20"/>
        </w:rPr>
        <w:t xml:space="preserve">NAPLAN </w:t>
      </w:r>
      <w:r w:rsidRPr="00E30C44">
        <w:rPr>
          <w:rFonts w:ascii="Century Gothic" w:hAnsi="Century Gothic"/>
          <w:sz w:val="20"/>
          <w:szCs w:val="20"/>
        </w:rPr>
        <w:t>item</w:t>
      </w:r>
      <w:r>
        <w:rPr>
          <w:rFonts w:ascii="Century Gothic" w:hAnsi="Century Gothic"/>
          <w:sz w:val="20"/>
          <w:szCs w:val="20"/>
        </w:rPr>
        <w:t xml:space="preserve"> </w:t>
      </w:r>
      <w:r w:rsidRPr="00E30C44">
        <w:rPr>
          <w:rFonts w:ascii="Century Gothic" w:hAnsi="Century Gothic"/>
          <w:sz w:val="20"/>
          <w:szCs w:val="20"/>
        </w:rPr>
        <w:t>there are no questions on which 10 per cent or more females than males have correct answers, but there are many questions on which 10 per cent or more males than f</w:t>
      </w:r>
      <w:r>
        <w:rPr>
          <w:rFonts w:ascii="Century Gothic" w:hAnsi="Century Gothic"/>
          <w:sz w:val="20"/>
          <w:szCs w:val="20"/>
        </w:rPr>
        <w:t>emales give the right responses</w:t>
      </w:r>
      <w:r w:rsidR="00A01E3C">
        <w:rPr>
          <w:rFonts w:ascii="Century Gothic" w:hAnsi="Century Gothic"/>
          <w:sz w:val="20"/>
          <w:szCs w:val="20"/>
        </w:rPr>
        <w:t>.</w:t>
      </w:r>
      <w:r>
        <w:rPr>
          <w:rFonts w:ascii="Century Gothic" w:hAnsi="Century Gothic"/>
          <w:sz w:val="20"/>
          <w:szCs w:val="20"/>
        </w:rPr>
        <w:t xml:space="preserve"> </w:t>
      </w:r>
    </w:p>
    <w:p w:rsidR="006F07DF" w:rsidRPr="00936D28" w:rsidRDefault="006F07DF" w:rsidP="0016175E">
      <w:pPr>
        <w:pStyle w:val="ListParagraph"/>
        <w:numPr>
          <w:ilvl w:val="0"/>
          <w:numId w:val="2"/>
        </w:numPr>
        <w:jc w:val="both"/>
        <w:rPr>
          <w:rFonts w:ascii="Century Gothic" w:hAnsi="Century Gothic"/>
          <w:sz w:val="20"/>
          <w:szCs w:val="20"/>
        </w:rPr>
      </w:pPr>
      <w:r>
        <w:rPr>
          <w:rFonts w:ascii="Century Gothic" w:hAnsi="Century Gothic"/>
          <w:sz w:val="20"/>
          <w:szCs w:val="20"/>
        </w:rPr>
        <w:t>There is a c</w:t>
      </w:r>
      <w:r w:rsidRPr="00936D28">
        <w:rPr>
          <w:rFonts w:ascii="Century Gothic" w:hAnsi="Century Gothic"/>
          <w:sz w:val="20"/>
          <w:szCs w:val="20"/>
        </w:rPr>
        <w:t>ontinuing decline in students studying mathematics and sci</w:t>
      </w:r>
      <w:r>
        <w:rPr>
          <w:rFonts w:ascii="Century Gothic" w:hAnsi="Century Gothic"/>
          <w:sz w:val="20"/>
          <w:szCs w:val="20"/>
        </w:rPr>
        <w:t xml:space="preserve">ence at senior secondary level </w:t>
      </w:r>
      <w:r w:rsidRPr="00936D28">
        <w:rPr>
          <w:rFonts w:ascii="Century Gothic" w:hAnsi="Century Gothic"/>
          <w:sz w:val="20"/>
          <w:szCs w:val="20"/>
        </w:rPr>
        <w:t>and the decline for females is greater t</w:t>
      </w:r>
      <w:r w:rsidR="00287DE1">
        <w:rPr>
          <w:rFonts w:ascii="Century Gothic" w:hAnsi="Century Gothic"/>
          <w:sz w:val="20"/>
          <w:szCs w:val="20"/>
        </w:rPr>
        <w:t xml:space="preserve">han for males </w:t>
      </w:r>
    </w:p>
    <w:p w:rsidR="00A01E3C" w:rsidRPr="00985D51" w:rsidRDefault="00A01E3C" w:rsidP="0016175E">
      <w:pPr>
        <w:pStyle w:val="ListParagraph"/>
        <w:numPr>
          <w:ilvl w:val="0"/>
          <w:numId w:val="2"/>
        </w:numPr>
        <w:jc w:val="both"/>
        <w:rPr>
          <w:rFonts w:ascii="Century Gothic" w:hAnsi="Century Gothic"/>
          <w:sz w:val="20"/>
          <w:szCs w:val="20"/>
        </w:rPr>
      </w:pPr>
      <w:r>
        <w:rPr>
          <w:rFonts w:ascii="Century Gothic" w:hAnsi="Century Gothic"/>
          <w:sz w:val="20"/>
          <w:szCs w:val="20"/>
        </w:rPr>
        <w:t xml:space="preserve">Even for those girls where achievement levels in mathematics are the same for boys, girls do not choose senior studies in mathematics at the same rate as boys.  </w:t>
      </w:r>
    </w:p>
    <w:p w:rsidR="00697413" w:rsidRDefault="00287DE1" w:rsidP="0016175E">
      <w:pPr>
        <w:pStyle w:val="ListParagraph"/>
        <w:numPr>
          <w:ilvl w:val="0"/>
          <w:numId w:val="2"/>
        </w:numPr>
        <w:jc w:val="both"/>
        <w:rPr>
          <w:rFonts w:ascii="Century Gothic" w:hAnsi="Century Gothic"/>
          <w:sz w:val="20"/>
          <w:szCs w:val="20"/>
        </w:rPr>
      </w:pPr>
      <w:r w:rsidRPr="00697413">
        <w:rPr>
          <w:rFonts w:ascii="Century Gothic" w:hAnsi="Century Gothic"/>
          <w:sz w:val="20"/>
          <w:szCs w:val="20"/>
        </w:rPr>
        <w:t>There are</w:t>
      </w:r>
      <w:r w:rsidR="006F07DF" w:rsidRPr="00697413">
        <w:rPr>
          <w:rFonts w:ascii="Century Gothic" w:hAnsi="Century Gothic"/>
          <w:sz w:val="20"/>
          <w:szCs w:val="20"/>
        </w:rPr>
        <w:t xml:space="preserve"> </w:t>
      </w:r>
      <w:r w:rsidR="00BA2B3E" w:rsidRPr="00697413">
        <w:rPr>
          <w:rFonts w:ascii="Century Gothic" w:hAnsi="Century Gothic"/>
          <w:sz w:val="20"/>
          <w:szCs w:val="20"/>
        </w:rPr>
        <w:t xml:space="preserve">slight </w:t>
      </w:r>
      <w:r w:rsidR="006F07DF" w:rsidRPr="00697413">
        <w:rPr>
          <w:rFonts w:ascii="Century Gothic" w:hAnsi="Century Gothic"/>
          <w:sz w:val="20"/>
          <w:szCs w:val="20"/>
        </w:rPr>
        <w:t xml:space="preserve">gender differences in mathematics </w:t>
      </w:r>
      <w:r w:rsidR="00BA2B3E" w:rsidRPr="00697413">
        <w:rPr>
          <w:rFonts w:ascii="Century Gothic" w:hAnsi="Century Gothic"/>
          <w:sz w:val="20"/>
          <w:szCs w:val="20"/>
        </w:rPr>
        <w:t>at commen</w:t>
      </w:r>
      <w:r w:rsidR="00770DC7">
        <w:rPr>
          <w:rFonts w:ascii="Century Gothic" w:hAnsi="Century Gothic"/>
          <w:sz w:val="20"/>
          <w:szCs w:val="20"/>
        </w:rPr>
        <w:t xml:space="preserve">cement of school and at Year 3 – </w:t>
      </w:r>
      <w:r w:rsidR="00BA2B3E" w:rsidRPr="00697413">
        <w:rPr>
          <w:rFonts w:ascii="Century Gothic" w:hAnsi="Century Gothic"/>
          <w:sz w:val="20"/>
          <w:szCs w:val="20"/>
        </w:rPr>
        <w:t>where bo</w:t>
      </w:r>
      <w:r w:rsidR="00697413" w:rsidRPr="00697413">
        <w:rPr>
          <w:rFonts w:ascii="Century Gothic" w:hAnsi="Century Gothic"/>
          <w:sz w:val="20"/>
          <w:szCs w:val="20"/>
        </w:rPr>
        <w:t>ys of a higher SES outperform h</w:t>
      </w:r>
      <w:r w:rsidR="00BA2B3E" w:rsidRPr="00697413">
        <w:rPr>
          <w:rFonts w:ascii="Century Gothic" w:hAnsi="Century Gothic"/>
          <w:sz w:val="20"/>
          <w:szCs w:val="20"/>
        </w:rPr>
        <w:t>igh SES girls</w:t>
      </w:r>
      <w:r w:rsidR="00770DC7">
        <w:rPr>
          <w:rFonts w:ascii="Century Gothic" w:hAnsi="Century Gothic"/>
          <w:sz w:val="20"/>
          <w:szCs w:val="20"/>
        </w:rPr>
        <w:t xml:space="preserve"> – but the gender</w:t>
      </w:r>
      <w:r w:rsidR="006F07DF" w:rsidRPr="00697413">
        <w:rPr>
          <w:rFonts w:ascii="Century Gothic" w:hAnsi="Century Gothic"/>
          <w:sz w:val="20"/>
          <w:szCs w:val="20"/>
        </w:rPr>
        <w:t xml:space="preserve"> gap </w:t>
      </w:r>
      <w:r w:rsidRPr="00697413">
        <w:rPr>
          <w:rFonts w:ascii="Century Gothic" w:hAnsi="Century Gothic"/>
          <w:sz w:val="20"/>
          <w:szCs w:val="20"/>
        </w:rPr>
        <w:t xml:space="preserve">becomes </w:t>
      </w:r>
      <w:r w:rsidR="00770DC7">
        <w:rPr>
          <w:rFonts w:ascii="Century Gothic" w:hAnsi="Century Gothic"/>
          <w:sz w:val="20"/>
          <w:szCs w:val="20"/>
        </w:rPr>
        <w:t xml:space="preserve">more </w:t>
      </w:r>
      <w:r w:rsidRPr="00697413">
        <w:rPr>
          <w:rFonts w:ascii="Century Gothic" w:hAnsi="Century Gothic"/>
          <w:sz w:val="20"/>
          <w:szCs w:val="20"/>
        </w:rPr>
        <w:t xml:space="preserve">evident </w:t>
      </w:r>
      <w:r w:rsidR="00697413" w:rsidRPr="00697413">
        <w:rPr>
          <w:rFonts w:ascii="Century Gothic" w:hAnsi="Century Gothic"/>
          <w:sz w:val="20"/>
          <w:szCs w:val="20"/>
        </w:rPr>
        <w:t xml:space="preserve">by </w:t>
      </w:r>
      <w:r w:rsidR="00DC0B86">
        <w:rPr>
          <w:rFonts w:ascii="Century Gothic" w:hAnsi="Century Gothic"/>
          <w:sz w:val="20"/>
          <w:szCs w:val="20"/>
        </w:rPr>
        <w:t xml:space="preserve">Year </w:t>
      </w:r>
      <w:r w:rsidR="00697413" w:rsidRPr="00697413">
        <w:rPr>
          <w:rFonts w:ascii="Century Gothic" w:hAnsi="Century Gothic"/>
          <w:sz w:val="20"/>
          <w:szCs w:val="20"/>
        </w:rPr>
        <w:t>8 and beyond</w:t>
      </w:r>
      <w:r w:rsidR="00697413">
        <w:rPr>
          <w:rFonts w:ascii="Century Gothic" w:hAnsi="Century Gothic"/>
          <w:sz w:val="20"/>
          <w:szCs w:val="20"/>
        </w:rPr>
        <w:t>.</w:t>
      </w:r>
    </w:p>
    <w:p w:rsidR="00F37A92" w:rsidRPr="00F37A92" w:rsidRDefault="006F07DF" w:rsidP="00F37A92">
      <w:pPr>
        <w:jc w:val="both"/>
        <w:rPr>
          <w:rFonts w:ascii="Century Gothic" w:hAnsi="Century Gothic"/>
          <w:sz w:val="20"/>
          <w:szCs w:val="20"/>
        </w:rPr>
      </w:pPr>
      <w:r w:rsidRPr="00F37A92">
        <w:rPr>
          <w:rFonts w:ascii="Century Gothic" w:hAnsi="Century Gothic"/>
          <w:sz w:val="20"/>
          <w:szCs w:val="20"/>
        </w:rPr>
        <w:t>Considering PISA and NAPLAN</w:t>
      </w:r>
      <w:r w:rsidR="00FF4128" w:rsidRPr="00F37A92">
        <w:rPr>
          <w:rFonts w:ascii="Century Gothic" w:hAnsi="Century Gothic"/>
          <w:sz w:val="20"/>
          <w:szCs w:val="20"/>
        </w:rPr>
        <w:t xml:space="preserve">, </w:t>
      </w:r>
      <w:r w:rsidRPr="00F37A92">
        <w:rPr>
          <w:rFonts w:ascii="Century Gothic" w:hAnsi="Century Gothic"/>
          <w:sz w:val="20"/>
          <w:szCs w:val="20"/>
        </w:rPr>
        <w:t xml:space="preserve">the achievement results for Australian students reveal that the gender gap </w:t>
      </w:r>
      <w:r w:rsidR="00287DE1" w:rsidRPr="00F37A92">
        <w:rPr>
          <w:rFonts w:ascii="Century Gothic" w:hAnsi="Century Gothic"/>
          <w:sz w:val="20"/>
          <w:szCs w:val="20"/>
        </w:rPr>
        <w:t xml:space="preserve">for mathematics </w:t>
      </w:r>
      <w:r w:rsidRPr="00F37A92">
        <w:rPr>
          <w:rFonts w:ascii="Century Gothic" w:hAnsi="Century Gothic"/>
          <w:sz w:val="20"/>
          <w:szCs w:val="20"/>
        </w:rPr>
        <w:t xml:space="preserve">has gradually increased over time in favour of males. </w:t>
      </w:r>
      <w:r w:rsidR="00F37A92" w:rsidRPr="00F37A92">
        <w:rPr>
          <w:rFonts w:ascii="Century Gothic" w:hAnsi="Century Gothic"/>
          <w:sz w:val="20"/>
          <w:szCs w:val="20"/>
        </w:rPr>
        <w:t xml:space="preserve">Trends in International Mathematics and Science Study (TIMSS) 2011 find however that that there is no significant </w:t>
      </w:r>
      <w:r w:rsidR="003827E8">
        <w:rPr>
          <w:rFonts w:ascii="Century Gothic" w:hAnsi="Century Gothic"/>
          <w:sz w:val="20"/>
          <w:szCs w:val="20"/>
        </w:rPr>
        <w:t xml:space="preserve">gender </w:t>
      </w:r>
      <w:r w:rsidR="00F37A92" w:rsidRPr="00F37A92">
        <w:rPr>
          <w:rFonts w:ascii="Century Gothic" w:hAnsi="Century Gothic"/>
          <w:sz w:val="20"/>
          <w:szCs w:val="20"/>
        </w:rPr>
        <w:t xml:space="preserve">difference at either Year 4 or Year 8.  </w:t>
      </w:r>
    </w:p>
    <w:p w:rsidR="00364AFD" w:rsidRPr="00F37A92" w:rsidRDefault="006F07DF" w:rsidP="00F37A92">
      <w:pPr>
        <w:jc w:val="both"/>
        <w:rPr>
          <w:rStyle w:val="IntenseEmphasis"/>
          <w:rFonts w:ascii="Century Gothic" w:hAnsi="Century Gothic"/>
          <w:b w:val="0"/>
          <w:bCs w:val="0"/>
          <w:i w:val="0"/>
          <w:iCs w:val="0"/>
          <w:color w:val="auto"/>
          <w:sz w:val="20"/>
          <w:szCs w:val="20"/>
        </w:rPr>
      </w:pPr>
      <w:r w:rsidRPr="00F37A92">
        <w:rPr>
          <w:rFonts w:ascii="Century Gothic" w:hAnsi="Century Gothic"/>
          <w:sz w:val="20"/>
          <w:szCs w:val="20"/>
        </w:rPr>
        <w:t>Most studies make the important point that gender alone is not the only factor associated with the observed differences in mathematics perform</w:t>
      </w:r>
      <w:r w:rsidR="00697413" w:rsidRPr="00F37A92">
        <w:rPr>
          <w:rFonts w:ascii="Century Gothic" w:hAnsi="Century Gothic"/>
          <w:sz w:val="20"/>
          <w:szCs w:val="20"/>
        </w:rPr>
        <w:t xml:space="preserve">ance. Socio-economic background in particular, along with </w:t>
      </w:r>
      <w:r w:rsidRPr="00F37A92">
        <w:rPr>
          <w:rFonts w:ascii="Century Gothic" w:hAnsi="Century Gothic"/>
          <w:sz w:val="20"/>
          <w:szCs w:val="20"/>
        </w:rPr>
        <w:t xml:space="preserve"> geographic location, ethnicity, Indigeneity and societal expectations are contributing fa</w:t>
      </w:r>
      <w:r w:rsidR="00AE50A1" w:rsidRPr="00F37A92">
        <w:rPr>
          <w:rFonts w:ascii="Century Gothic" w:hAnsi="Century Gothic"/>
          <w:sz w:val="20"/>
          <w:szCs w:val="20"/>
        </w:rPr>
        <w:t>ctors that interact with gender and may be of greater influence in different contexts.</w:t>
      </w:r>
    </w:p>
    <w:p w:rsidR="00EF2D6D" w:rsidRDefault="00776E86" w:rsidP="006F07DF">
      <w:pPr>
        <w:rPr>
          <w:rStyle w:val="IntenseEmphasis"/>
          <w:rFonts w:ascii="Century Gothic" w:hAnsi="Century Gothic"/>
          <w:i w:val="0"/>
        </w:rPr>
      </w:pPr>
      <w:r>
        <w:rPr>
          <w:rStyle w:val="IntenseEmphasis"/>
          <w:rFonts w:ascii="Century Gothic" w:hAnsi="Century Gothic"/>
          <w:i w:val="0"/>
        </w:rPr>
        <w:t xml:space="preserve">1.4 </w:t>
      </w:r>
      <w:r w:rsidR="00EF2D6D">
        <w:rPr>
          <w:rStyle w:val="IntenseEmphasis"/>
          <w:rFonts w:ascii="Century Gothic" w:hAnsi="Century Gothic"/>
          <w:i w:val="0"/>
        </w:rPr>
        <w:t xml:space="preserve">Boys and literacy: </w:t>
      </w:r>
      <w:r w:rsidR="006F07DF">
        <w:rPr>
          <w:rStyle w:val="IntenseEmphasis"/>
          <w:rFonts w:ascii="Century Gothic" w:hAnsi="Century Gothic"/>
          <w:i w:val="0"/>
        </w:rPr>
        <w:t>Further perspective</w:t>
      </w:r>
      <w:r w:rsidR="00EF2D6D">
        <w:rPr>
          <w:rStyle w:val="IntenseEmphasis"/>
          <w:rFonts w:ascii="Century Gothic" w:hAnsi="Century Gothic"/>
          <w:i w:val="0"/>
        </w:rPr>
        <w:t xml:space="preserve"> on the pattern of performance</w:t>
      </w:r>
    </w:p>
    <w:p w:rsidR="006F07DF" w:rsidRPr="00FF4128" w:rsidRDefault="006F07DF" w:rsidP="00D54B9A">
      <w:pPr>
        <w:jc w:val="both"/>
        <w:rPr>
          <w:rFonts w:ascii="Century Gothic" w:hAnsi="Century Gothic"/>
          <w:sz w:val="20"/>
          <w:szCs w:val="20"/>
        </w:rPr>
      </w:pPr>
      <w:r w:rsidRPr="00FF4128">
        <w:rPr>
          <w:rStyle w:val="IntenseEmphasis"/>
          <w:rFonts w:ascii="Century Gothic" w:hAnsi="Century Gothic"/>
          <w:b w:val="0"/>
          <w:i w:val="0"/>
          <w:color w:val="auto"/>
          <w:sz w:val="20"/>
          <w:szCs w:val="20"/>
        </w:rPr>
        <w:t>Other studies elaborate on the extent of difference bet</w:t>
      </w:r>
      <w:r w:rsidR="00FF4128">
        <w:rPr>
          <w:rStyle w:val="IntenseEmphasis"/>
          <w:rFonts w:ascii="Century Gothic" w:hAnsi="Century Gothic"/>
          <w:b w:val="0"/>
          <w:i w:val="0"/>
          <w:color w:val="auto"/>
          <w:sz w:val="20"/>
          <w:szCs w:val="20"/>
        </w:rPr>
        <w:t>ween boys and girls in literacy</w:t>
      </w:r>
      <w:r w:rsidRPr="00FF4128">
        <w:rPr>
          <w:rStyle w:val="IntenseEmphasis"/>
          <w:rFonts w:ascii="Century Gothic" w:hAnsi="Century Gothic"/>
          <w:b w:val="0"/>
          <w:i w:val="0"/>
          <w:color w:val="auto"/>
          <w:sz w:val="20"/>
          <w:szCs w:val="20"/>
        </w:rPr>
        <w:t xml:space="preserve"> </w:t>
      </w:r>
      <w:r w:rsidR="00FF4128">
        <w:rPr>
          <w:rFonts w:ascii="Century Gothic" w:hAnsi="Century Gothic"/>
          <w:sz w:val="20"/>
          <w:szCs w:val="20"/>
        </w:rPr>
        <w:t xml:space="preserve">(e.g. Alloway et al 2002; Collins, Kenway and </w:t>
      </w:r>
      <w:r w:rsidRPr="00FF4128">
        <w:rPr>
          <w:rFonts w:ascii="Century Gothic" w:hAnsi="Century Gothic"/>
          <w:sz w:val="20"/>
          <w:szCs w:val="20"/>
        </w:rPr>
        <w:t>McLeo</w:t>
      </w:r>
      <w:r w:rsidR="00FF4128">
        <w:rPr>
          <w:rFonts w:ascii="Century Gothic" w:hAnsi="Century Gothic"/>
          <w:sz w:val="20"/>
          <w:szCs w:val="20"/>
        </w:rPr>
        <w:t>d 2000; OECD 2015</w:t>
      </w:r>
      <w:r w:rsidR="00F939B4">
        <w:rPr>
          <w:rFonts w:ascii="Century Gothic" w:hAnsi="Century Gothic"/>
          <w:sz w:val="20"/>
          <w:szCs w:val="20"/>
        </w:rPr>
        <w:t>; Cobb-Clark and Moshion 2015</w:t>
      </w:r>
      <w:r w:rsidR="00FF4128">
        <w:rPr>
          <w:rFonts w:ascii="Century Gothic" w:hAnsi="Century Gothic"/>
          <w:sz w:val="20"/>
          <w:szCs w:val="20"/>
        </w:rPr>
        <w:t>).</w:t>
      </w:r>
    </w:p>
    <w:p w:rsidR="006F07DF" w:rsidRPr="00267DFE" w:rsidRDefault="006F07DF" w:rsidP="0016175E">
      <w:pPr>
        <w:pStyle w:val="ListParagraph"/>
        <w:numPr>
          <w:ilvl w:val="0"/>
          <w:numId w:val="2"/>
        </w:numPr>
        <w:jc w:val="both"/>
        <w:rPr>
          <w:rFonts w:ascii="Century Gothic" w:hAnsi="Century Gothic"/>
          <w:sz w:val="20"/>
          <w:szCs w:val="20"/>
        </w:rPr>
      </w:pPr>
      <w:r w:rsidRPr="00D96D59">
        <w:rPr>
          <w:rFonts w:ascii="Century Gothic" w:hAnsi="Century Gothic"/>
          <w:sz w:val="20"/>
          <w:szCs w:val="20"/>
        </w:rPr>
        <w:t xml:space="preserve">Many studies in OECD countries report </w:t>
      </w:r>
      <w:r w:rsidR="00287DE1">
        <w:rPr>
          <w:rFonts w:ascii="Century Gothic" w:hAnsi="Century Gothic"/>
          <w:sz w:val="20"/>
          <w:szCs w:val="20"/>
        </w:rPr>
        <w:t>that</w:t>
      </w:r>
      <w:r w:rsidRPr="00D96D59">
        <w:rPr>
          <w:rFonts w:ascii="Century Gothic" w:hAnsi="Century Gothic"/>
          <w:sz w:val="20"/>
          <w:szCs w:val="20"/>
        </w:rPr>
        <w:t xml:space="preserve"> girls </w:t>
      </w:r>
      <w:r w:rsidR="00287DE1">
        <w:rPr>
          <w:rFonts w:ascii="Century Gothic" w:hAnsi="Century Gothic"/>
          <w:sz w:val="20"/>
          <w:szCs w:val="20"/>
        </w:rPr>
        <w:t xml:space="preserve">perform better than </w:t>
      </w:r>
      <w:r>
        <w:rPr>
          <w:rFonts w:ascii="Century Gothic" w:hAnsi="Century Gothic"/>
          <w:sz w:val="20"/>
          <w:szCs w:val="20"/>
        </w:rPr>
        <w:t xml:space="preserve">boys on some tests of literacy. </w:t>
      </w:r>
      <w:r w:rsidRPr="00267DFE">
        <w:rPr>
          <w:rFonts w:ascii="Century Gothic" w:hAnsi="Century Gothic"/>
          <w:sz w:val="20"/>
          <w:szCs w:val="20"/>
        </w:rPr>
        <w:t>While boys and girls tend to perform relatively evenly at the top of the performance range, boys</w:t>
      </w:r>
      <w:r w:rsidR="00287DE1">
        <w:rPr>
          <w:rFonts w:ascii="Century Gothic" w:hAnsi="Century Gothic"/>
          <w:sz w:val="20"/>
          <w:szCs w:val="20"/>
        </w:rPr>
        <w:t>’ results</w:t>
      </w:r>
      <w:r w:rsidRPr="00267DFE">
        <w:rPr>
          <w:rFonts w:ascii="Century Gothic" w:hAnsi="Century Gothic"/>
          <w:sz w:val="20"/>
          <w:szCs w:val="20"/>
        </w:rPr>
        <w:t xml:space="preserve"> are more likely to </w:t>
      </w:r>
      <w:r w:rsidR="00287DE1">
        <w:rPr>
          <w:rFonts w:ascii="Century Gothic" w:hAnsi="Century Gothic"/>
          <w:sz w:val="20"/>
          <w:szCs w:val="20"/>
        </w:rPr>
        <w:t xml:space="preserve">be </w:t>
      </w:r>
      <w:r w:rsidRPr="00267DFE">
        <w:rPr>
          <w:rFonts w:ascii="Century Gothic" w:hAnsi="Century Gothic"/>
          <w:sz w:val="20"/>
          <w:szCs w:val="20"/>
        </w:rPr>
        <w:t>spread across the performance range and to cluster more at the bottom, while girls</w:t>
      </w:r>
      <w:r w:rsidR="00287DE1">
        <w:rPr>
          <w:rFonts w:ascii="Century Gothic" w:hAnsi="Century Gothic"/>
          <w:sz w:val="20"/>
          <w:szCs w:val="20"/>
        </w:rPr>
        <w:t>’ scores</w:t>
      </w:r>
      <w:r w:rsidRPr="00267DFE">
        <w:rPr>
          <w:rFonts w:ascii="Century Gothic" w:hAnsi="Century Gothic"/>
          <w:sz w:val="20"/>
          <w:szCs w:val="20"/>
        </w:rPr>
        <w:t xml:space="preserve"> are more likely to cluster closer to the mean</w:t>
      </w:r>
      <w:r w:rsidR="00031279">
        <w:rPr>
          <w:rFonts w:ascii="Century Gothic" w:hAnsi="Century Gothic"/>
          <w:sz w:val="20"/>
          <w:szCs w:val="20"/>
        </w:rPr>
        <w:t>.</w:t>
      </w:r>
    </w:p>
    <w:p w:rsidR="00D41388" w:rsidRPr="00D41388" w:rsidRDefault="006F07DF" w:rsidP="0016175E">
      <w:pPr>
        <w:pStyle w:val="ListParagraph"/>
        <w:numPr>
          <w:ilvl w:val="0"/>
          <w:numId w:val="2"/>
        </w:numPr>
        <w:jc w:val="both"/>
        <w:rPr>
          <w:rFonts w:ascii="Century Gothic" w:hAnsi="Century Gothic"/>
          <w:sz w:val="20"/>
          <w:szCs w:val="20"/>
        </w:rPr>
      </w:pPr>
      <w:r w:rsidRPr="00D41388">
        <w:rPr>
          <w:rFonts w:ascii="Century Gothic" w:hAnsi="Century Gothic"/>
          <w:sz w:val="20"/>
          <w:szCs w:val="20"/>
        </w:rPr>
        <w:t xml:space="preserve">Australian </w:t>
      </w:r>
      <w:r w:rsidR="00287DE1" w:rsidRPr="00D41388">
        <w:rPr>
          <w:rFonts w:ascii="Century Gothic" w:hAnsi="Century Gothic"/>
          <w:sz w:val="20"/>
          <w:szCs w:val="20"/>
        </w:rPr>
        <w:t xml:space="preserve">achievement </w:t>
      </w:r>
      <w:r w:rsidRPr="00D41388">
        <w:rPr>
          <w:rFonts w:ascii="Century Gothic" w:hAnsi="Century Gothic"/>
          <w:sz w:val="20"/>
          <w:szCs w:val="20"/>
        </w:rPr>
        <w:t xml:space="preserve">data </w:t>
      </w:r>
      <w:r w:rsidR="00D41388" w:rsidRPr="00D41388">
        <w:rPr>
          <w:rFonts w:ascii="Century Gothic" w:hAnsi="Century Gothic"/>
          <w:sz w:val="20"/>
          <w:szCs w:val="20"/>
        </w:rPr>
        <w:t>reveal</w:t>
      </w:r>
      <w:r w:rsidR="00287DE1" w:rsidRPr="00D41388">
        <w:rPr>
          <w:rFonts w:ascii="Century Gothic" w:hAnsi="Century Gothic"/>
          <w:sz w:val="20"/>
          <w:szCs w:val="20"/>
        </w:rPr>
        <w:t xml:space="preserve"> that</w:t>
      </w:r>
      <w:r w:rsidRPr="00D41388">
        <w:rPr>
          <w:rFonts w:ascii="Century Gothic" w:hAnsi="Century Gothic"/>
          <w:sz w:val="20"/>
          <w:szCs w:val="20"/>
        </w:rPr>
        <w:t xml:space="preserve"> gender differences in favour of girls in litera</w:t>
      </w:r>
      <w:r w:rsidR="00287DE1" w:rsidRPr="00D41388">
        <w:rPr>
          <w:rFonts w:ascii="Century Gothic" w:hAnsi="Century Gothic"/>
          <w:sz w:val="20"/>
          <w:szCs w:val="20"/>
        </w:rPr>
        <w:t xml:space="preserve">cy achievement are greater for </w:t>
      </w:r>
      <w:r w:rsidRPr="00D41388">
        <w:rPr>
          <w:rFonts w:ascii="Century Gothic" w:hAnsi="Century Gothic"/>
          <w:sz w:val="20"/>
          <w:szCs w:val="20"/>
        </w:rPr>
        <w:t>the expressive modes of literacy (writing and speaking) than for the receptive modes (reading, listening and viewing)</w:t>
      </w:r>
      <w:r w:rsidR="00D41388">
        <w:rPr>
          <w:rFonts w:ascii="Century Gothic" w:hAnsi="Century Gothic"/>
          <w:color w:val="FF0000"/>
          <w:sz w:val="20"/>
          <w:szCs w:val="20"/>
        </w:rPr>
        <w:t>.</w:t>
      </w:r>
    </w:p>
    <w:p w:rsidR="006025CD" w:rsidRDefault="006F07DF" w:rsidP="0016175E">
      <w:pPr>
        <w:pStyle w:val="ListParagraph"/>
        <w:numPr>
          <w:ilvl w:val="0"/>
          <w:numId w:val="2"/>
        </w:numPr>
        <w:jc w:val="both"/>
        <w:rPr>
          <w:rFonts w:ascii="Century Gothic" w:hAnsi="Century Gothic"/>
          <w:sz w:val="20"/>
          <w:szCs w:val="20"/>
        </w:rPr>
      </w:pPr>
      <w:r w:rsidRPr="00D41388">
        <w:rPr>
          <w:rFonts w:ascii="Century Gothic" w:hAnsi="Century Gothic"/>
          <w:sz w:val="20"/>
          <w:szCs w:val="20"/>
        </w:rPr>
        <w:t xml:space="preserve">The greatest gender difference occurs in writing and the least for viewing. </w:t>
      </w:r>
    </w:p>
    <w:p w:rsidR="006025CD" w:rsidRPr="00E30C44" w:rsidRDefault="006025CD" w:rsidP="0016175E">
      <w:pPr>
        <w:pStyle w:val="ListParagraph"/>
        <w:numPr>
          <w:ilvl w:val="0"/>
          <w:numId w:val="2"/>
        </w:numPr>
        <w:jc w:val="both"/>
        <w:rPr>
          <w:rFonts w:ascii="Century Gothic" w:hAnsi="Century Gothic"/>
          <w:sz w:val="20"/>
          <w:szCs w:val="20"/>
        </w:rPr>
      </w:pPr>
      <w:r>
        <w:rPr>
          <w:rFonts w:ascii="Century Gothic" w:hAnsi="Century Gothic"/>
          <w:sz w:val="20"/>
          <w:szCs w:val="20"/>
        </w:rPr>
        <w:t>Even at</w:t>
      </w:r>
      <w:r w:rsidR="00B92340">
        <w:rPr>
          <w:rFonts w:ascii="Century Gothic" w:hAnsi="Century Gothic"/>
          <w:sz w:val="20"/>
          <w:szCs w:val="20"/>
        </w:rPr>
        <w:t xml:space="preserve"> Year 3 girls in low and middle</w:t>
      </w:r>
      <w:r>
        <w:rPr>
          <w:rFonts w:ascii="Century Gothic" w:hAnsi="Century Gothic"/>
          <w:sz w:val="20"/>
          <w:szCs w:val="20"/>
        </w:rPr>
        <w:t xml:space="preserve"> SES families have an advantage in reading over boys – the gap in one study translates to three months disadvantage for boys. But there is no gap in reading among advantaged children at this level. </w:t>
      </w:r>
    </w:p>
    <w:p w:rsidR="006F07DF" w:rsidRPr="00D41388" w:rsidRDefault="006F07DF" w:rsidP="0016175E">
      <w:pPr>
        <w:pStyle w:val="ListParagraph"/>
        <w:numPr>
          <w:ilvl w:val="0"/>
          <w:numId w:val="2"/>
        </w:numPr>
        <w:jc w:val="both"/>
        <w:rPr>
          <w:rFonts w:ascii="Century Gothic" w:hAnsi="Century Gothic"/>
          <w:sz w:val="20"/>
          <w:szCs w:val="20"/>
        </w:rPr>
      </w:pPr>
      <w:r w:rsidRPr="00D41388">
        <w:rPr>
          <w:rFonts w:ascii="Century Gothic" w:hAnsi="Century Gothic"/>
          <w:sz w:val="20"/>
          <w:szCs w:val="20"/>
        </w:rPr>
        <w:t>This gender difference in achievement does not widen significa</w:t>
      </w:r>
      <w:r w:rsidR="00D54B9A">
        <w:rPr>
          <w:rFonts w:ascii="Century Gothic" w:hAnsi="Century Gothic"/>
          <w:sz w:val="20"/>
          <w:szCs w:val="20"/>
        </w:rPr>
        <w:t>ntly between Year 3 and Year 5 and between Year 5 and Year</w:t>
      </w:r>
      <w:r w:rsidR="00D54B9A" w:rsidRPr="00D54B9A">
        <w:rPr>
          <w:rFonts w:ascii="Century Gothic" w:hAnsi="Century Gothic"/>
          <w:sz w:val="20"/>
          <w:szCs w:val="20"/>
        </w:rPr>
        <w:t xml:space="preserve"> 7</w:t>
      </w:r>
      <w:r w:rsidR="00A01E3C" w:rsidRPr="00D54B9A">
        <w:rPr>
          <w:rFonts w:ascii="Century Gothic" w:hAnsi="Century Gothic"/>
          <w:sz w:val="20"/>
          <w:szCs w:val="20"/>
        </w:rPr>
        <w:t>.</w:t>
      </w:r>
      <w:r w:rsidR="006025CD" w:rsidRPr="00D54B9A">
        <w:rPr>
          <w:rFonts w:ascii="Century Gothic" w:hAnsi="Century Gothic"/>
          <w:sz w:val="20"/>
          <w:szCs w:val="20"/>
        </w:rPr>
        <w:t xml:space="preserve"> </w:t>
      </w:r>
    </w:p>
    <w:p w:rsidR="006F07DF" w:rsidRDefault="006F07DF" w:rsidP="0016175E">
      <w:pPr>
        <w:jc w:val="both"/>
        <w:rPr>
          <w:rFonts w:ascii="Century Gothic" w:hAnsi="Century Gothic"/>
          <w:sz w:val="20"/>
          <w:szCs w:val="20"/>
        </w:rPr>
      </w:pPr>
      <w:r>
        <w:rPr>
          <w:rFonts w:ascii="Century Gothic" w:hAnsi="Century Gothic"/>
          <w:sz w:val="20"/>
          <w:szCs w:val="20"/>
        </w:rPr>
        <w:t xml:space="preserve">Again, socio-economic status has an impact </w:t>
      </w:r>
      <w:r w:rsidR="00287DE1">
        <w:rPr>
          <w:rFonts w:ascii="Century Gothic" w:hAnsi="Century Gothic"/>
          <w:sz w:val="20"/>
          <w:szCs w:val="20"/>
        </w:rPr>
        <w:t xml:space="preserve">on </w:t>
      </w:r>
      <w:r>
        <w:rPr>
          <w:rFonts w:ascii="Century Gothic" w:hAnsi="Century Gothic"/>
          <w:sz w:val="20"/>
          <w:szCs w:val="20"/>
        </w:rPr>
        <w:t>the</w:t>
      </w:r>
      <w:r w:rsidRPr="00790B76">
        <w:rPr>
          <w:rFonts w:ascii="Century Gothic" w:hAnsi="Century Gothic"/>
          <w:sz w:val="20"/>
          <w:szCs w:val="20"/>
        </w:rPr>
        <w:t xml:space="preserve"> differences </w:t>
      </w:r>
      <w:r w:rsidR="00287DE1">
        <w:rPr>
          <w:rFonts w:ascii="Century Gothic" w:hAnsi="Century Gothic"/>
          <w:sz w:val="20"/>
          <w:szCs w:val="20"/>
        </w:rPr>
        <w:t xml:space="preserve">in literacy achievement </w:t>
      </w:r>
      <w:r w:rsidRPr="00790B76">
        <w:rPr>
          <w:rFonts w:ascii="Century Gothic" w:hAnsi="Century Gothic"/>
          <w:sz w:val="20"/>
          <w:szCs w:val="20"/>
        </w:rPr>
        <w:t>betwe</w:t>
      </w:r>
      <w:r w:rsidR="00287DE1">
        <w:rPr>
          <w:rFonts w:ascii="Century Gothic" w:hAnsi="Century Gothic"/>
          <w:sz w:val="20"/>
          <w:szCs w:val="20"/>
        </w:rPr>
        <w:t xml:space="preserve">en boys and girls as the differences in </w:t>
      </w:r>
      <w:r w:rsidRPr="00790B76">
        <w:rPr>
          <w:rFonts w:ascii="Century Gothic" w:hAnsi="Century Gothic"/>
          <w:sz w:val="20"/>
          <w:szCs w:val="20"/>
        </w:rPr>
        <w:t xml:space="preserve">achievement </w:t>
      </w:r>
      <w:r w:rsidR="00287DE1">
        <w:rPr>
          <w:rFonts w:ascii="Century Gothic" w:hAnsi="Century Gothic"/>
          <w:sz w:val="20"/>
          <w:szCs w:val="20"/>
        </w:rPr>
        <w:t>are</w:t>
      </w:r>
      <w:r>
        <w:rPr>
          <w:rFonts w:ascii="Century Gothic" w:hAnsi="Century Gothic"/>
          <w:sz w:val="20"/>
          <w:szCs w:val="20"/>
        </w:rPr>
        <w:t xml:space="preserve"> </w:t>
      </w:r>
      <w:r w:rsidRPr="00790B76">
        <w:rPr>
          <w:rFonts w:ascii="Century Gothic" w:hAnsi="Century Gothic"/>
          <w:sz w:val="20"/>
          <w:szCs w:val="20"/>
        </w:rPr>
        <w:t xml:space="preserve">greater among students from low socioeconomic backgrounds than among students from other socioeconomic groups. </w:t>
      </w:r>
    </w:p>
    <w:p w:rsidR="006F07DF" w:rsidRPr="003734B2" w:rsidRDefault="00776E86" w:rsidP="006F07DF">
      <w:pPr>
        <w:pStyle w:val="Heading2"/>
        <w:rPr>
          <w:rFonts w:ascii="Century Gothic" w:hAnsi="Century Gothic"/>
        </w:rPr>
      </w:pPr>
      <w:bookmarkStart w:id="20" w:name="_Toc469259446"/>
      <w:r>
        <w:rPr>
          <w:rFonts w:ascii="Century Gothic" w:hAnsi="Century Gothic"/>
        </w:rPr>
        <w:t xml:space="preserve">2. </w:t>
      </w:r>
      <w:r w:rsidR="006F07DF" w:rsidRPr="003734B2">
        <w:rPr>
          <w:rFonts w:ascii="Century Gothic" w:hAnsi="Century Gothic"/>
        </w:rPr>
        <w:t>Explanations of gender differences</w:t>
      </w:r>
      <w:bookmarkEnd w:id="20"/>
    </w:p>
    <w:p w:rsidR="002309B9" w:rsidRDefault="00FF3D3A" w:rsidP="00FF3D3A">
      <w:pPr>
        <w:jc w:val="both"/>
        <w:rPr>
          <w:sz w:val="20"/>
          <w:szCs w:val="20"/>
        </w:rPr>
      </w:pPr>
      <w:r w:rsidRPr="00A608D1">
        <w:rPr>
          <w:sz w:val="20"/>
          <w:szCs w:val="20"/>
        </w:rPr>
        <w:t>The findings from the literature about why there are gender differences in lea</w:t>
      </w:r>
      <w:r w:rsidR="003D383D">
        <w:rPr>
          <w:sz w:val="20"/>
          <w:szCs w:val="20"/>
        </w:rPr>
        <w:t xml:space="preserve">rning are complex and diverse. </w:t>
      </w:r>
      <w:r w:rsidR="008A6704">
        <w:rPr>
          <w:sz w:val="20"/>
          <w:szCs w:val="20"/>
        </w:rPr>
        <w:t xml:space="preserve">Most studies arrive at the conclusion that the inconsistencies in the patterns of achievement between boys and girls across different contexts make it unlikely that one unified theory will ever provide a compelling explanation of the overall relationship between gender and achievement (Cobb-Clark and Moshion 2015). </w:t>
      </w:r>
    </w:p>
    <w:p w:rsidR="008A6704" w:rsidRDefault="002309B9" w:rsidP="00FF3D3A">
      <w:pPr>
        <w:jc w:val="both"/>
        <w:rPr>
          <w:sz w:val="20"/>
          <w:szCs w:val="20"/>
        </w:rPr>
      </w:pPr>
      <w:r>
        <w:rPr>
          <w:sz w:val="20"/>
          <w:szCs w:val="20"/>
        </w:rPr>
        <w:t>The OECD (2015) concluded from th</w:t>
      </w:r>
      <w:r w:rsidR="003D1785">
        <w:rPr>
          <w:sz w:val="20"/>
          <w:szCs w:val="20"/>
        </w:rPr>
        <w:t xml:space="preserve">eir analysis of PISA 2012 that </w:t>
      </w:r>
      <w:r>
        <w:rPr>
          <w:sz w:val="20"/>
          <w:szCs w:val="20"/>
        </w:rPr>
        <w:t xml:space="preserve">the evidence is clear that gender disparities in performance do not stem from </w:t>
      </w:r>
      <w:r w:rsidR="003D1785">
        <w:rPr>
          <w:sz w:val="20"/>
          <w:szCs w:val="20"/>
        </w:rPr>
        <w:t>innate</w:t>
      </w:r>
      <w:r>
        <w:rPr>
          <w:sz w:val="20"/>
          <w:szCs w:val="20"/>
        </w:rPr>
        <w:t xml:space="preserve"> differences in aptitude but rather from students</w:t>
      </w:r>
      <w:r w:rsidR="003D1785">
        <w:rPr>
          <w:sz w:val="20"/>
          <w:szCs w:val="20"/>
        </w:rPr>
        <w:t>’</w:t>
      </w:r>
      <w:r>
        <w:rPr>
          <w:sz w:val="20"/>
          <w:szCs w:val="20"/>
        </w:rPr>
        <w:t xml:space="preserve"> attitudes to lear</w:t>
      </w:r>
      <w:r w:rsidR="003D1785">
        <w:rPr>
          <w:sz w:val="20"/>
          <w:szCs w:val="20"/>
        </w:rPr>
        <w:t xml:space="preserve">ning, their behaviours for learning, how they spend their leisure time and the confidence they have in their abilities as students. </w:t>
      </w:r>
      <w:r>
        <w:rPr>
          <w:sz w:val="20"/>
          <w:szCs w:val="20"/>
        </w:rPr>
        <w:t xml:space="preserve"> </w:t>
      </w:r>
      <w:r w:rsidR="008A6704">
        <w:rPr>
          <w:sz w:val="20"/>
          <w:szCs w:val="20"/>
        </w:rPr>
        <w:t xml:space="preserve">   </w:t>
      </w:r>
    </w:p>
    <w:p w:rsidR="003D383D" w:rsidRPr="008A6704" w:rsidRDefault="006F07DF" w:rsidP="00FF3D3A">
      <w:pPr>
        <w:jc w:val="both"/>
        <w:rPr>
          <w:sz w:val="20"/>
          <w:szCs w:val="20"/>
        </w:rPr>
      </w:pPr>
      <w:r w:rsidRPr="00A324DA">
        <w:rPr>
          <w:sz w:val="20"/>
          <w:szCs w:val="20"/>
        </w:rPr>
        <w:t xml:space="preserve">Explanations of gender differences </w:t>
      </w:r>
      <w:r>
        <w:rPr>
          <w:sz w:val="20"/>
          <w:szCs w:val="20"/>
        </w:rPr>
        <w:t xml:space="preserve">span a range of disciplines, reflecting the wide </w:t>
      </w:r>
      <w:r w:rsidR="00287DE1">
        <w:rPr>
          <w:sz w:val="20"/>
          <w:szCs w:val="20"/>
        </w:rPr>
        <w:t>interest in the community as well as academia</w:t>
      </w:r>
      <w:r>
        <w:rPr>
          <w:sz w:val="20"/>
          <w:szCs w:val="20"/>
        </w:rPr>
        <w:t xml:space="preserve"> in understanding gender inequity and building strategies that combat gender inequities. </w:t>
      </w:r>
      <w:r w:rsidR="008A6704">
        <w:rPr>
          <w:sz w:val="20"/>
          <w:szCs w:val="20"/>
        </w:rPr>
        <w:t>T</w:t>
      </w:r>
      <w:r>
        <w:rPr>
          <w:sz w:val="20"/>
          <w:szCs w:val="20"/>
        </w:rPr>
        <w:t>heories draw on psychology, neuroscience,</w:t>
      </w:r>
      <w:r w:rsidR="003D383D">
        <w:rPr>
          <w:rStyle w:val="FootnoteReference"/>
          <w:sz w:val="20"/>
          <w:szCs w:val="20"/>
        </w:rPr>
        <w:footnoteReference w:id="2"/>
      </w:r>
      <w:r>
        <w:rPr>
          <w:sz w:val="20"/>
          <w:szCs w:val="20"/>
        </w:rPr>
        <w:t xml:space="preserve"> </w:t>
      </w:r>
      <w:r w:rsidR="00A608D1">
        <w:rPr>
          <w:sz w:val="20"/>
          <w:szCs w:val="20"/>
        </w:rPr>
        <w:t xml:space="preserve">sociology, </w:t>
      </w:r>
      <w:r>
        <w:rPr>
          <w:sz w:val="20"/>
          <w:szCs w:val="20"/>
        </w:rPr>
        <w:t>cultural theory and education</w:t>
      </w:r>
      <w:r w:rsidR="00FF4128">
        <w:rPr>
          <w:sz w:val="20"/>
          <w:szCs w:val="20"/>
        </w:rPr>
        <w:t xml:space="preserve"> (Buckley 2016)</w:t>
      </w:r>
      <w:r w:rsidR="008A6704">
        <w:rPr>
          <w:sz w:val="20"/>
          <w:szCs w:val="20"/>
        </w:rPr>
        <w:t>.</w:t>
      </w:r>
      <w:r w:rsidR="00D24ACD">
        <w:rPr>
          <w:sz w:val="20"/>
          <w:szCs w:val="20"/>
        </w:rPr>
        <w:t xml:space="preserve"> </w:t>
      </w:r>
      <w:r w:rsidR="008A6704" w:rsidRPr="008A6704">
        <w:rPr>
          <w:sz w:val="20"/>
          <w:szCs w:val="20"/>
        </w:rPr>
        <w:t xml:space="preserve">There are also analyses of the nature of gender differences </w:t>
      </w:r>
      <w:r w:rsidR="008A6704">
        <w:rPr>
          <w:sz w:val="20"/>
          <w:szCs w:val="20"/>
        </w:rPr>
        <w:t>t</w:t>
      </w:r>
      <w:r w:rsidR="008A6704" w:rsidRPr="008A6704">
        <w:rPr>
          <w:sz w:val="20"/>
          <w:szCs w:val="20"/>
        </w:rPr>
        <w:t>hat use econometric modelling</w:t>
      </w:r>
      <w:r w:rsidR="008A6704">
        <w:rPr>
          <w:sz w:val="20"/>
          <w:szCs w:val="20"/>
        </w:rPr>
        <w:t xml:space="preserve"> of the data from achievement tests and surveys of contextual characteristics. </w:t>
      </w:r>
      <w:r w:rsidR="00504F91">
        <w:rPr>
          <w:sz w:val="20"/>
          <w:szCs w:val="20"/>
        </w:rPr>
        <w:t xml:space="preserve">While perspectives from these disciplines are important, </w:t>
      </w:r>
      <w:r w:rsidR="00C43955">
        <w:rPr>
          <w:sz w:val="20"/>
          <w:szCs w:val="20"/>
        </w:rPr>
        <w:t xml:space="preserve">the </w:t>
      </w:r>
      <w:r>
        <w:rPr>
          <w:sz w:val="20"/>
          <w:szCs w:val="20"/>
        </w:rPr>
        <w:t>main ca</w:t>
      </w:r>
      <w:r w:rsidR="00D24ACD">
        <w:rPr>
          <w:sz w:val="20"/>
          <w:szCs w:val="20"/>
        </w:rPr>
        <w:t>tegory</w:t>
      </w:r>
      <w:r w:rsidR="00A608D1">
        <w:rPr>
          <w:sz w:val="20"/>
          <w:szCs w:val="20"/>
        </w:rPr>
        <w:t xml:space="preserve"> that this </w:t>
      </w:r>
      <w:r w:rsidR="00504F91">
        <w:rPr>
          <w:sz w:val="20"/>
          <w:szCs w:val="20"/>
        </w:rPr>
        <w:t xml:space="preserve">overview </w:t>
      </w:r>
      <w:r w:rsidR="00A608D1">
        <w:rPr>
          <w:sz w:val="20"/>
          <w:szCs w:val="20"/>
        </w:rPr>
        <w:t>draws from</w:t>
      </w:r>
      <w:r w:rsidR="00504F91" w:rsidRPr="00504F91">
        <w:rPr>
          <w:sz w:val="20"/>
          <w:szCs w:val="20"/>
        </w:rPr>
        <w:t xml:space="preserve"> </w:t>
      </w:r>
      <w:r w:rsidR="00504F91">
        <w:rPr>
          <w:sz w:val="20"/>
          <w:szCs w:val="20"/>
        </w:rPr>
        <w:t xml:space="preserve">is educational </w:t>
      </w:r>
      <w:r w:rsidR="00D24ACD">
        <w:rPr>
          <w:sz w:val="20"/>
          <w:szCs w:val="20"/>
        </w:rPr>
        <w:t xml:space="preserve">research – </w:t>
      </w:r>
      <w:r w:rsidR="0033532D">
        <w:rPr>
          <w:sz w:val="20"/>
          <w:szCs w:val="20"/>
        </w:rPr>
        <w:t>which in turn frequently draws</w:t>
      </w:r>
      <w:r w:rsidR="00504F91">
        <w:rPr>
          <w:sz w:val="20"/>
          <w:szCs w:val="20"/>
        </w:rPr>
        <w:t xml:space="preserve"> on </w:t>
      </w:r>
      <w:r w:rsidR="008A6704">
        <w:rPr>
          <w:sz w:val="20"/>
          <w:szCs w:val="20"/>
        </w:rPr>
        <w:t xml:space="preserve">econometric modelling, </w:t>
      </w:r>
      <w:r w:rsidR="00DC0B86">
        <w:rPr>
          <w:sz w:val="20"/>
          <w:szCs w:val="20"/>
        </w:rPr>
        <w:t>d</w:t>
      </w:r>
      <w:r w:rsidR="00504F91">
        <w:rPr>
          <w:sz w:val="20"/>
          <w:szCs w:val="20"/>
        </w:rPr>
        <w:t xml:space="preserve">evelopmental psychology </w:t>
      </w:r>
      <w:r w:rsidR="00EF4D65">
        <w:rPr>
          <w:sz w:val="20"/>
          <w:szCs w:val="20"/>
        </w:rPr>
        <w:t xml:space="preserve">and </w:t>
      </w:r>
      <w:r w:rsidR="00504F91">
        <w:rPr>
          <w:sz w:val="20"/>
          <w:szCs w:val="20"/>
        </w:rPr>
        <w:t xml:space="preserve">social theory </w:t>
      </w:r>
      <w:r w:rsidR="00725FE9">
        <w:rPr>
          <w:sz w:val="20"/>
          <w:szCs w:val="20"/>
        </w:rPr>
        <w:t xml:space="preserve">and </w:t>
      </w:r>
      <w:r w:rsidR="00504F91">
        <w:rPr>
          <w:sz w:val="20"/>
          <w:szCs w:val="20"/>
        </w:rPr>
        <w:t>cultural studies when seeking explanations of ‘unobserved factors’ or the like</w:t>
      </w:r>
      <w:r w:rsidR="0033532D">
        <w:rPr>
          <w:sz w:val="20"/>
          <w:szCs w:val="20"/>
        </w:rPr>
        <w:t xml:space="preserve"> </w:t>
      </w:r>
      <w:r w:rsidR="003D383D">
        <w:rPr>
          <w:sz w:val="20"/>
          <w:szCs w:val="20"/>
        </w:rPr>
        <w:t>that explain</w:t>
      </w:r>
      <w:r w:rsidR="0033532D">
        <w:rPr>
          <w:sz w:val="20"/>
          <w:szCs w:val="20"/>
        </w:rPr>
        <w:t xml:space="preserve"> gender gaps.</w:t>
      </w:r>
    </w:p>
    <w:p w:rsidR="00A608D1" w:rsidRDefault="003D383D" w:rsidP="00FF3D3A">
      <w:pPr>
        <w:jc w:val="both"/>
        <w:rPr>
          <w:sz w:val="20"/>
          <w:szCs w:val="20"/>
        </w:rPr>
      </w:pPr>
      <w:r>
        <w:rPr>
          <w:sz w:val="20"/>
          <w:szCs w:val="20"/>
        </w:rPr>
        <w:t>The f</w:t>
      </w:r>
      <w:r w:rsidR="006F07DF">
        <w:rPr>
          <w:sz w:val="20"/>
          <w:szCs w:val="20"/>
        </w:rPr>
        <w:t xml:space="preserve">indings </w:t>
      </w:r>
      <w:r w:rsidR="0033532D">
        <w:rPr>
          <w:sz w:val="20"/>
          <w:szCs w:val="20"/>
        </w:rPr>
        <w:t xml:space="preserve">summarised </w:t>
      </w:r>
      <w:r w:rsidR="006F07DF">
        <w:rPr>
          <w:sz w:val="20"/>
          <w:szCs w:val="20"/>
        </w:rPr>
        <w:t xml:space="preserve">below are grouped into three </w:t>
      </w:r>
      <w:r w:rsidR="0033532D">
        <w:rPr>
          <w:sz w:val="20"/>
          <w:szCs w:val="20"/>
        </w:rPr>
        <w:t xml:space="preserve">broad </w:t>
      </w:r>
      <w:r w:rsidR="006F07DF">
        <w:rPr>
          <w:sz w:val="20"/>
          <w:szCs w:val="20"/>
        </w:rPr>
        <w:t>categories</w:t>
      </w:r>
      <w:r w:rsidR="00BE7BF4">
        <w:rPr>
          <w:sz w:val="20"/>
          <w:szCs w:val="20"/>
        </w:rPr>
        <w:t xml:space="preserve">: </w:t>
      </w:r>
    </w:p>
    <w:p w:rsidR="00A608D1" w:rsidRDefault="0033532D" w:rsidP="00FF3D3A">
      <w:pPr>
        <w:pStyle w:val="ListParagraph"/>
        <w:numPr>
          <w:ilvl w:val="0"/>
          <w:numId w:val="11"/>
        </w:numPr>
        <w:jc w:val="both"/>
        <w:rPr>
          <w:sz w:val="20"/>
          <w:szCs w:val="20"/>
        </w:rPr>
      </w:pPr>
      <w:r w:rsidRPr="0033532D">
        <w:rPr>
          <w:i/>
          <w:sz w:val="20"/>
          <w:szCs w:val="20"/>
        </w:rPr>
        <w:t>Attitudes and behaviours</w:t>
      </w:r>
      <w:r>
        <w:rPr>
          <w:sz w:val="20"/>
          <w:szCs w:val="20"/>
        </w:rPr>
        <w:t xml:space="preserve">: </w:t>
      </w:r>
      <w:r w:rsidR="00BE7BF4" w:rsidRPr="00A608D1">
        <w:rPr>
          <w:sz w:val="20"/>
          <w:szCs w:val="20"/>
        </w:rPr>
        <w:t>findings of</w:t>
      </w:r>
      <w:r w:rsidR="00A608D1" w:rsidRPr="00A608D1">
        <w:rPr>
          <w:sz w:val="20"/>
          <w:szCs w:val="20"/>
        </w:rPr>
        <w:t xml:space="preserve"> </w:t>
      </w:r>
      <w:r w:rsidR="006F07DF" w:rsidRPr="00A608D1">
        <w:rPr>
          <w:sz w:val="20"/>
          <w:szCs w:val="20"/>
        </w:rPr>
        <w:t>similarities and differences in boys</w:t>
      </w:r>
      <w:r w:rsidR="00A608D1">
        <w:rPr>
          <w:sz w:val="20"/>
          <w:szCs w:val="20"/>
        </w:rPr>
        <w:t>’</w:t>
      </w:r>
      <w:r w:rsidR="006F07DF" w:rsidRPr="00A608D1">
        <w:rPr>
          <w:sz w:val="20"/>
          <w:szCs w:val="20"/>
        </w:rPr>
        <w:t xml:space="preserve"> and gir</w:t>
      </w:r>
      <w:r w:rsidR="00A608D1">
        <w:rPr>
          <w:sz w:val="20"/>
          <w:szCs w:val="20"/>
        </w:rPr>
        <w:t>ls’</w:t>
      </w:r>
      <w:r w:rsidR="006F07DF" w:rsidRPr="00A608D1">
        <w:rPr>
          <w:sz w:val="20"/>
          <w:szCs w:val="20"/>
        </w:rPr>
        <w:t xml:space="preserve"> attitudes and behaviours with respect to literacy and numeracy; </w:t>
      </w:r>
    </w:p>
    <w:p w:rsidR="00A608D1" w:rsidRDefault="0033532D" w:rsidP="00FF3D3A">
      <w:pPr>
        <w:pStyle w:val="ListParagraph"/>
        <w:numPr>
          <w:ilvl w:val="0"/>
          <w:numId w:val="11"/>
        </w:numPr>
        <w:jc w:val="both"/>
        <w:rPr>
          <w:sz w:val="20"/>
          <w:szCs w:val="20"/>
        </w:rPr>
      </w:pPr>
      <w:r w:rsidRPr="0033532D">
        <w:rPr>
          <w:i/>
          <w:sz w:val="20"/>
          <w:szCs w:val="20"/>
        </w:rPr>
        <w:t xml:space="preserve">Intrinsic </w:t>
      </w:r>
      <w:r w:rsidR="00DC0B86">
        <w:rPr>
          <w:i/>
          <w:sz w:val="20"/>
          <w:szCs w:val="20"/>
        </w:rPr>
        <w:t xml:space="preserve">and extrinsic </w:t>
      </w:r>
      <w:r w:rsidRPr="0033532D">
        <w:rPr>
          <w:i/>
          <w:sz w:val="20"/>
          <w:szCs w:val="20"/>
        </w:rPr>
        <w:t>value</w:t>
      </w:r>
      <w:r>
        <w:rPr>
          <w:sz w:val="20"/>
          <w:szCs w:val="20"/>
        </w:rPr>
        <w:t xml:space="preserve">: </w:t>
      </w:r>
      <w:r w:rsidR="00BE7BF4" w:rsidRPr="00A608D1">
        <w:rPr>
          <w:sz w:val="20"/>
          <w:szCs w:val="20"/>
        </w:rPr>
        <w:t>findings about gender differences in recognising the</w:t>
      </w:r>
      <w:r w:rsidR="006F07DF" w:rsidRPr="00A608D1">
        <w:rPr>
          <w:sz w:val="20"/>
          <w:szCs w:val="20"/>
        </w:rPr>
        <w:t xml:space="preserve"> </w:t>
      </w:r>
      <w:r w:rsidR="00DC0B86">
        <w:rPr>
          <w:sz w:val="20"/>
          <w:szCs w:val="20"/>
        </w:rPr>
        <w:t xml:space="preserve">inherent </w:t>
      </w:r>
      <w:r w:rsidR="006F07DF" w:rsidRPr="00A608D1">
        <w:rPr>
          <w:sz w:val="20"/>
          <w:szCs w:val="20"/>
        </w:rPr>
        <w:t>value</w:t>
      </w:r>
      <w:r w:rsidR="00DC0B86">
        <w:rPr>
          <w:sz w:val="20"/>
          <w:szCs w:val="20"/>
        </w:rPr>
        <w:t xml:space="preserve"> and enjoyment</w:t>
      </w:r>
      <w:r w:rsidR="006F07DF" w:rsidRPr="00A608D1">
        <w:rPr>
          <w:sz w:val="20"/>
          <w:szCs w:val="20"/>
        </w:rPr>
        <w:t xml:space="preserve"> to be gained from literacy and numeracy</w:t>
      </w:r>
      <w:r w:rsidR="00DC0B86">
        <w:rPr>
          <w:sz w:val="20"/>
          <w:szCs w:val="20"/>
        </w:rPr>
        <w:t xml:space="preserve"> and the value for later life and employment</w:t>
      </w:r>
      <w:r w:rsidR="006F07DF" w:rsidRPr="00A608D1">
        <w:rPr>
          <w:sz w:val="20"/>
          <w:szCs w:val="20"/>
        </w:rPr>
        <w:t xml:space="preserve">; and </w:t>
      </w:r>
    </w:p>
    <w:p w:rsidR="00A608D1" w:rsidRDefault="0033532D" w:rsidP="00FF3D3A">
      <w:pPr>
        <w:pStyle w:val="ListParagraph"/>
        <w:numPr>
          <w:ilvl w:val="0"/>
          <w:numId w:val="11"/>
        </w:numPr>
        <w:jc w:val="both"/>
        <w:rPr>
          <w:sz w:val="20"/>
          <w:szCs w:val="20"/>
        </w:rPr>
      </w:pPr>
      <w:r w:rsidRPr="0033532D">
        <w:rPr>
          <w:i/>
          <w:sz w:val="20"/>
          <w:szCs w:val="20"/>
        </w:rPr>
        <w:t>Engagement in learning</w:t>
      </w:r>
      <w:r>
        <w:rPr>
          <w:sz w:val="20"/>
          <w:szCs w:val="20"/>
        </w:rPr>
        <w:t xml:space="preserve">: </w:t>
      </w:r>
      <w:r w:rsidR="00BE7BF4" w:rsidRPr="00A608D1">
        <w:rPr>
          <w:sz w:val="20"/>
          <w:szCs w:val="20"/>
        </w:rPr>
        <w:t>findings about gender differences in</w:t>
      </w:r>
      <w:r w:rsidR="006F07DF" w:rsidRPr="00A608D1">
        <w:rPr>
          <w:sz w:val="20"/>
          <w:szCs w:val="20"/>
        </w:rPr>
        <w:t xml:space="preserve"> engagement with learning. </w:t>
      </w:r>
    </w:p>
    <w:p w:rsidR="006F07DF" w:rsidRPr="00A608D1" w:rsidRDefault="006F07DF" w:rsidP="00FF3D3A">
      <w:pPr>
        <w:jc w:val="both"/>
        <w:rPr>
          <w:sz w:val="20"/>
          <w:szCs w:val="20"/>
        </w:rPr>
      </w:pPr>
      <w:r w:rsidRPr="00A608D1">
        <w:rPr>
          <w:sz w:val="20"/>
          <w:szCs w:val="20"/>
        </w:rPr>
        <w:t xml:space="preserve">(All findings are for Australian students, except where otherwise indicated.)    </w:t>
      </w:r>
    </w:p>
    <w:p w:rsidR="006F07DF" w:rsidRDefault="00776E86" w:rsidP="00FF3D3A">
      <w:pPr>
        <w:pStyle w:val="Heading3"/>
        <w:jc w:val="both"/>
      </w:pPr>
      <w:bookmarkStart w:id="21" w:name="_Toc469259447"/>
      <w:r>
        <w:rPr>
          <w:rFonts w:ascii="Century Gothic" w:hAnsi="Century Gothic"/>
        </w:rPr>
        <w:t xml:space="preserve">2.1 </w:t>
      </w:r>
      <w:r w:rsidR="006F07DF" w:rsidRPr="00DE5A4D">
        <w:rPr>
          <w:rFonts w:ascii="Century Gothic" w:hAnsi="Century Gothic"/>
        </w:rPr>
        <w:t>Attitudes and behaviours</w:t>
      </w:r>
      <w:bookmarkEnd w:id="21"/>
      <w:r w:rsidR="006F07DF" w:rsidRPr="00DE5A4D">
        <w:rPr>
          <w:rFonts w:ascii="Century Gothic" w:hAnsi="Century Gothic"/>
        </w:rPr>
        <w:t xml:space="preserve"> </w:t>
      </w:r>
    </w:p>
    <w:p w:rsidR="006F07DF" w:rsidRDefault="006F07DF" w:rsidP="00FF3D3A">
      <w:pPr>
        <w:jc w:val="both"/>
        <w:rPr>
          <w:sz w:val="20"/>
          <w:szCs w:val="20"/>
        </w:rPr>
      </w:pPr>
      <w:r w:rsidRPr="00DF0BA5">
        <w:rPr>
          <w:sz w:val="20"/>
          <w:szCs w:val="20"/>
        </w:rPr>
        <w:t xml:space="preserve">A substantial body of work </w:t>
      </w:r>
      <w:r w:rsidR="00BE7BF4">
        <w:rPr>
          <w:sz w:val="20"/>
          <w:szCs w:val="20"/>
        </w:rPr>
        <w:t>concludes that</w:t>
      </w:r>
      <w:r w:rsidRPr="00DF0BA5">
        <w:rPr>
          <w:sz w:val="20"/>
          <w:szCs w:val="20"/>
        </w:rPr>
        <w:t xml:space="preserve"> gender differences in performance relate closely to differences in attitudes and behaviours for boys and girls in relation to literacy and </w:t>
      </w:r>
      <w:r>
        <w:rPr>
          <w:sz w:val="20"/>
          <w:szCs w:val="20"/>
        </w:rPr>
        <w:t>numeracy</w:t>
      </w:r>
      <w:r w:rsidR="00BE7BF4">
        <w:rPr>
          <w:sz w:val="20"/>
          <w:szCs w:val="20"/>
        </w:rPr>
        <w:t xml:space="preserve">. </w:t>
      </w:r>
      <w:r>
        <w:rPr>
          <w:sz w:val="20"/>
          <w:szCs w:val="20"/>
        </w:rPr>
        <w:t xml:space="preserve"> </w:t>
      </w:r>
      <w:r w:rsidR="00BE7BF4">
        <w:rPr>
          <w:sz w:val="20"/>
          <w:szCs w:val="20"/>
        </w:rPr>
        <w:t>(</w:t>
      </w:r>
      <w:r>
        <w:rPr>
          <w:sz w:val="20"/>
          <w:szCs w:val="20"/>
        </w:rPr>
        <w:t xml:space="preserve">Alloway et al 2002; </w:t>
      </w:r>
      <w:r w:rsidR="00D41388">
        <w:rPr>
          <w:rFonts w:ascii="Century Gothic" w:hAnsi="Century Gothic"/>
          <w:sz w:val="20"/>
          <w:szCs w:val="20"/>
        </w:rPr>
        <w:t xml:space="preserve">Justman and Mendez 2016; </w:t>
      </w:r>
      <w:r w:rsidR="00283EED">
        <w:rPr>
          <w:rFonts w:ascii="Century Gothic" w:hAnsi="Century Gothic"/>
          <w:sz w:val="20"/>
          <w:szCs w:val="20"/>
        </w:rPr>
        <w:t xml:space="preserve">McPhan et al 2006; </w:t>
      </w:r>
      <w:r w:rsidR="00955F9D" w:rsidRPr="000A5406">
        <w:rPr>
          <w:sz w:val="20"/>
          <w:szCs w:val="20"/>
        </w:rPr>
        <w:t>Munns et al 2006</w:t>
      </w:r>
      <w:r w:rsidR="00955F9D">
        <w:rPr>
          <w:sz w:val="20"/>
          <w:szCs w:val="20"/>
        </w:rPr>
        <w:t xml:space="preserve">; </w:t>
      </w:r>
      <w:r w:rsidRPr="00DF0BA5">
        <w:rPr>
          <w:sz w:val="20"/>
          <w:szCs w:val="20"/>
        </w:rPr>
        <w:t xml:space="preserve">OECD 2012; </w:t>
      </w:r>
      <w:r w:rsidR="00283EED">
        <w:rPr>
          <w:sz w:val="20"/>
          <w:szCs w:val="20"/>
        </w:rPr>
        <w:t xml:space="preserve">Watt 2004; </w:t>
      </w:r>
      <w:r w:rsidRPr="00DF0BA5">
        <w:rPr>
          <w:sz w:val="20"/>
          <w:szCs w:val="20"/>
        </w:rPr>
        <w:t>Watt 2006; Watt et al 2012; Yeung and Curwood 2015</w:t>
      </w:r>
      <w:r>
        <w:rPr>
          <w:sz w:val="20"/>
          <w:szCs w:val="20"/>
        </w:rPr>
        <w:t>; Fredericks and Eccles 2002</w:t>
      </w:r>
      <w:r w:rsidR="00AB284F">
        <w:rPr>
          <w:sz w:val="20"/>
          <w:szCs w:val="20"/>
        </w:rPr>
        <w:t>; OECD 2015; Ryan 2016; and C</w:t>
      </w:r>
      <w:r w:rsidR="00DC0B86">
        <w:rPr>
          <w:sz w:val="20"/>
          <w:szCs w:val="20"/>
        </w:rPr>
        <w:t xml:space="preserve">obb-Clark and Moschion 2015). </w:t>
      </w:r>
      <w:r>
        <w:rPr>
          <w:sz w:val="20"/>
          <w:szCs w:val="20"/>
        </w:rPr>
        <w:t>There is broad consistency in the</w:t>
      </w:r>
      <w:r w:rsidR="00BE7BF4">
        <w:rPr>
          <w:sz w:val="20"/>
          <w:szCs w:val="20"/>
        </w:rPr>
        <w:t>se</w:t>
      </w:r>
      <w:r>
        <w:rPr>
          <w:sz w:val="20"/>
          <w:szCs w:val="20"/>
        </w:rPr>
        <w:t xml:space="preserve"> findings</w:t>
      </w:r>
      <w:r w:rsidR="00BE7BF4">
        <w:rPr>
          <w:sz w:val="20"/>
          <w:szCs w:val="20"/>
        </w:rPr>
        <w:t>.</w:t>
      </w:r>
      <w:r>
        <w:rPr>
          <w:sz w:val="20"/>
          <w:szCs w:val="20"/>
        </w:rPr>
        <w:t xml:space="preserve"> </w:t>
      </w:r>
    </w:p>
    <w:p w:rsidR="008A7117" w:rsidRDefault="008A7117" w:rsidP="00364AFD">
      <w:pPr>
        <w:pStyle w:val="Heading4"/>
      </w:pPr>
      <w:bookmarkStart w:id="22" w:name="_Toc463183798"/>
      <w:bookmarkStart w:id="23" w:name="_Toc466730279"/>
      <w:r>
        <w:t>Literacy</w:t>
      </w:r>
      <w:bookmarkEnd w:id="22"/>
      <w:bookmarkEnd w:id="23"/>
    </w:p>
    <w:p w:rsidR="006F07DF" w:rsidRPr="000A4759" w:rsidRDefault="006F07DF" w:rsidP="00FF3D3A">
      <w:pPr>
        <w:jc w:val="both"/>
        <w:rPr>
          <w:rStyle w:val="IntenseEmphasis"/>
          <w:b w:val="0"/>
          <w:bCs w:val="0"/>
          <w:i w:val="0"/>
          <w:iCs w:val="0"/>
          <w:sz w:val="20"/>
          <w:szCs w:val="20"/>
        </w:rPr>
      </w:pPr>
      <w:r>
        <w:rPr>
          <w:sz w:val="20"/>
          <w:szCs w:val="20"/>
        </w:rPr>
        <w:t xml:space="preserve">The main explanations </w:t>
      </w:r>
      <w:r w:rsidRPr="00C00B31">
        <w:rPr>
          <w:sz w:val="20"/>
          <w:szCs w:val="20"/>
        </w:rPr>
        <w:t>of</w:t>
      </w:r>
      <w:r>
        <w:rPr>
          <w:sz w:val="20"/>
          <w:szCs w:val="20"/>
        </w:rPr>
        <w:t xml:space="preserve"> boys and girls different attitudes to literacy include</w:t>
      </w:r>
      <w:r w:rsidR="00BE7BF4">
        <w:rPr>
          <w:sz w:val="20"/>
          <w:szCs w:val="20"/>
        </w:rPr>
        <w:t xml:space="preserve"> </w:t>
      </w:r>
      <w:r w:rsidR="00D93DFC">
        <w:rPr>
          <w:sz w:val="20"/>
          <w:szCs w:val="20"/>
        </w:rPr>
        <w:t>the following.</w:t>
      </w:r>
      <w:r w:rsidRPr="00E930B6">
        <w:rPr>
          <w:rStyle w:val="IntenseEmphasis"/>
        </w:rPr>
        <w:t xml:space="preserve"> </w:t>
      </w:r>
    </w:p>
    <w:p w:rsidR="00C50E43" w:rsidRDefault="00D93DFC" w:rsidP="0016175E">
      <w:pPr>
        <w:pStyle w:val="ListParagraph"/>
        <w:numPr>
          <w:ilvl w:val="0"/>
          <w:numId w:val="3"/>
        </w:numPr>
        <w:jc w:val="both"/>
        <w:rPr>
          <w:sz w:val="20"/>
          <w:szCs w:val="20"/>
        </w:rPr>
      </w:pPr>
      <w:r>
        <w:rPr>
          <w:sz w:val="20"/>
          <w:szCs w:val="20"/>
        </w:rPr>
        <w:t>G</w:t>
      </w:r>
      <w:r w:rsidR="00DC0B86">
        <w:rPr>
          <w:sz w:val="20"/>
          <w:szCs w:val="20"/>
        </w:rPr>
        <w:t xml:space="preserve">irls in large part start out more advanced and score higher on Year 3 reading tests because they are more ready for school and have better developed literacy skills from early </w:t>
      </w:r>
      <w:r w:rsidR="00007A1C">
        <w:rPr>
          <w:sz w:val="20"/>
          <w:szCs w:val="20"/>
        </w:rPr>
        <w:t>childhood education experiences</w:t>
      </w:r>
      <w:r w:rsidR="00DC0B86">
        <w:rPr>
          <w:sz w:val="20"/>
          <w:szCs w:val="20"/>
        </w:rPr>
        <w:t xml:space="preserve">  </w:t>
      </w:r>
    </w:p>
    <w:p w:rsidR="00DC0B86" w:rsidRDefault="00D93DFC" w:rsidP="0016175E">
      <w:pPr>
        <w:pStyle w:val="ListParagraph"/>
        <w:numPr>
          <w:ilvl w:val="0"/>
          <w:numId w:val="3"/>
        </w:numPr>
        <w:jc w:val="both"/>
        <w:rPr>
          <w:sz w:val="20"/>
          <w:szCs w:val="20"/>
        </w:rPr>
      </w:pPr>
      <w:r>
        <w:rPr>
          <w:sz w:val="20"/>
          <w:szCs w:val="20"/>
        </w:rPr>
        <w:t>B</w:t>
      </w:r>
      <w:r w:rsidR="00C50E43">
        <w:rPr>
          <w:sz w:val="20"/>
          <w:szCs w:val="20"/>
        </w:rPr>
        <w:t xml:space="preserve">oys underperformance at Year 3 is linked to the fact that they have </w:t>
      </w:r>
      <w:r w:rsidR="00E26C4D">
        <w:rPr>
          <w:sz w:val="20"/>
          <w:szCs w:val="20"/>
        </w:rPr>
        <w:t xml:space="preserve">fewer </w:t>
      </w:r>
      <w:r w:rsidR="00C50E43">
        <w:rPr>
          <w:sz w:val="20"/>
          <w:szCs w:val="20"/>
        </w:rPr>
        <w:t>of the attributes and experiences asso</w:t>
      </w:r>
      <w:r w:rsidR="00007A1C">
        <w:rPr>
          <w:sz w:val="20"/>
          <w:szCs w:val="20"/>
        </w:rPr>
        <w:t>ciated with reading achievement</w:t>
      </w:r>
      <w:r w:rsidR="00C50E43">
        <w:rPr>
          <w:sz w:val="20"/>
          <w:szCs w:val="20"/>
        </w:rPr>
        <w:t xml:space="preserve"> </w:t>
      </w:r>
    </w:p>
    <w:p w:rsidR="008F283E" w:rsidRDefault="00D93DFC" w:rsidP="0016175E">
      <w:pPr>
        <w:pStyle w:val="ListParagraph"/>
        <w:numPr>
          <w:ilvl w:val="0"/>
          <w:numId w:val="3"/>
        </w:numPr>
        <w:jc w:val="both"/>
        <w:rPr>
          <w:sz w:val="20"/>
          <w:szCs w:val="20"/>
        </w:rPr>
      </w:pPr>
      <w:r>
        <w:rPr>
          <w:sz w:val="20"/>
          <w:szCs w:val="20"/>
        </w:rPr>
        <w:t>T</w:t>
      </w:r>
      <w:r w:rsidR="00C50E43">
        <w:rPr>
          <w:sz w:val="20"/>
          <w:szCs w:val="20"/>
        </w:rPr>
        <w:t xml:space="preserve">hroughout the age range </w:t>
      </w:r>
      <w:r w:rsidR="00BE7BF4">
        <w:rPr>
          <w:sz w:val="20"/>
          <w:szCs w:val="20"/>
        </w:rPr>
        <w:t>g</w:t>
      </w:r>
      <w:r w:rsidR="006F07DF" w:rsidRPr="00DE5A4D">
        <w:rPr>
          <w:sz w:val="20"/>
          <w:szCs w:val="20"/>
        </w:rPr>
        <w:t>irls are more likely to enjoy reading and read more co</w:t>
      </w:r>
      <w:r w:rsidR="00A608D1">
        <w:rPr>
          <w:sz w:val="20"/>
          <w:szCs w:val="20"/>
        </w:rPr>
        <w:t>mplex fiction and non- fiction</w:t>
      </w:r>
    </w:p>
    <w:p w:rsidR="008F283E" w:rsidRDefault="00D93DFC" w:rsidP="0016175E">
      <w:pPr>
        <w:pStyle w:val="ListParagraph"/>
        <w:numPr>
          <w:ilvl w:val="0"/>
          <w:numId w:val="3"/>
        </w:numPr>
        <w:jc w:val="both"/>
        <w:rPr>
          <w:sz w:val="20"/>
          <w:szCs w:val="20"/>
        </w:rPr>
      </w:pPr>
      <w:r>
        <w:rPr>
          <w:sz w:val="20"/>
          <w:szCs w:val="20"/>
        </w:rPr>
        <w:t>B</w:t>
      </w:r>
      <w:r w:rsidR="006F07DF" w:rsidRPr="00DE5A4D">
        <w:rPr>
          <w:sz w:val="20"/>
          <w:szCs w:val="20"/>
        </w:rPr>
        <w:t>oys are less likely to enjoy and value reading</w:t>
      </w:r>
      <w:r w:rsidR="008F283E">
        <w:rPr>
          <w:sz w:val="20"/>
          <w:szCs w:val="20"/>
        </w:rPr>
        <w:t xml:space="preserve"> and are more likely to</w:t>
      </w:r>
      <w:r w:rsidR="006F07DF" w:rsidRPr="00DE5A4D">
        <w:rPr>
          <w:sz w:val="20"/>
          <w:szCs w:val="20"/>
        </w:rPr>
        <w:t xml:space="preserve"> read </w:t>
      </w:r>
      <w:r w:rsidR="008F283E">
        <w:rPr>
          <w:sz w:val="20"/>
          <w:szCs w:val="20"/>
        </w:rPr>
        <w:t>within a</w:t>
      </w:r>
      <w:r w:rsidR="006F07DF" w:rsidRPr="00DE5A4D">
        <w:rPr>
          <w:sz w:val="20"/>
          <w:szCs w:val="20"/>
        </w:rPr>
        <w:t xml:space="preserve"> restricted range </w:t>
      </w:r>
      <w:r w:rsidR="008F283E">
        <w:rPr>
          <w:sz w:val="20"/>
          <w:szCs w:val="20"/>
        </w:rPr>
        <w:t>(</w:t>
      </w:r>
      <w:r w:rsidR="006F07DF" w:rsidRPr="00DE5A4D">
        <w:rPr>
          <w:sz w:val="20"/>
          <w:szCs w:val="20"/>
        </w:rPr>
        <w:t>e.g. comics</w:t>
      </w:r>
      <w:r w:rsidR="008F283E">
        <w:rPr>
          <w:sz w:val="20"/>
          <w:szCs w:val="20"/>
        </w:rPr>
        <w:t>)</w:t>
      </w:r>
      <w:r w:rsidR="006F07DF" w:rsidRPr="00DE5A4D">
        <w:rPr>
          <w:sz w:val="20"/>
          <w:szCs w:val="20"/>
        </w:rPr>
        <w:t xml:space="preserve"> </w:t>
      </w:r>
    </w:p>
    <w:p w:rsidR="008F283E" w:rsidRDefault="00D93DFC" w:rsidP="0016175E">
      <w:pPr>
        <w:pStyle w:val="ListParagraph"/>
        <w:numPr>
          <w:ilvl w:val="0"/>
          <w:numId w:val="3"/>
        </w:numPr>
        <w:jc w:val="both"/>
        <w:rPr>
          <w:sz w:val="20"/>
          <w:szCs w:val="20"/>
        </w:rPr>
      </w:pPr>
      <w:r>
        <w:rPr>
          <w:sz w:val="20"/>
          <w:szCs w:val="20"/>
        </w:rPr>
        <w:t>B</w:t>
      </w:r>
      <w:r w:rsidR="008F283E">
        <w:rPr>
          <w:sz w:val="20"/>
          <w:szCs w:val="20"/>
        </w:rPr>
        <w:t>oys</w:t>
      </w:r>
      <w:r w:rsidR="006F07DF" w:rsidRPr="00DE5A4D">
        <w:rPr>
          <w:sz w:val="20"/>
          <w:szCs w:val="20"/>
        </w:rPr>
        <w:t xml:space="preserve"> </w:t>
      </w:r>
      <w:r w:rsidR="00007A1C">
        <w:rPr>
          <w:sz w:val="20"/>
          <w:szCs w:val="20"/>
        </w:rPr>
        <w:t>tend</w:t>
      </w:r>
      <w:r w:rsidR="006F07DF" w:rsidRPr="00DE5A4D">
        <w:rPr>
          <w:sz w:val="20"/>
          <w:szCs w:val="20"/>
        </w:rPr>
        <w:t xml:space="preserve"> not </w:t>
      </w:r>
      <w:r w:rsidR="00007A1C">
        <w:rPr>
          <w:sz w:val="20"/>
          <w:szCs w:val="20"/>
        </w:rPr>
        <w:t xml:space="preserve">to </w:t>
      </w:r>
      <w:r w:rsidR="006F07DF" w:rsidRPr="00DE5A4D">
        <w:rPr>
          <w:sz w:val="20"/>
          <w:szCs w:val="20"/>
        </w:rPr>
        <w:t>see t</w:t>
      </w:r>
      <w:r w:rsidR="008F283E">
        <w:rPr>
          <w:sz w:val="20"/>
          <w:szCs w:val="20"/>
        </w:rPr>
        <w:t>hemselves as confident readers</w:t>
      </w:r>
      <w:r w:rsidR="006F07DF" w:rsidRPr="00DE5A4D">
        <w:rPr>
          <w:sz w:val="20"/>
          <w:szCs w:val="20"/>
        </w:rPr>
        <w:t xml:space="preserve"> </w:t>
      </w:r>
    </w:p>
    <w:p w:rsidR="006F07DF" w:rsidRDefault="00D93DFC" w:rsidP="00FF3D3A">
      <w:pPr>
        <w:pStyle w:val="ListParagraph"/>
        <w:numPr>
          <w:ilvl w:val="0"/>
          <w:numId w:val="3"/>
        </w:numPr>
        <w:jc w:val="both"/>
        <w:rPr>
          <w:sz w:val="20"/>
          <w:szCs w:val="20"/>
        </w:rPr>
      </w:pPr>
      <w:r>
        <w:rPr>
          <w:sz w:val="20"/>
          <w:szCs w:val="20"/>
        </w:rPr>
        <w:t>B</w:t>
      </w:r>
      <w:r w:rsidR="006F07DF" w:rsidRPr="00DE5A4D">
        <w:rPr>
          <w:sz w:val="20"/>
          <w:szCs w:val="20"/>
        </w:rPr>
        <w:t xml:space="preserve">oys </w:t>
      </w:r>
      <w:r w:rsidR="00007A1C">
        <w:rPr>
          <w:sz w:val="20"/>
          <w:szCs w:val="20"/>
        </w:rPr>
        <w:t xml:space="preserve">tend to </w:t>
      </w:r>
      <w:r w:rsidR="006F07DF" w:rsidRPr="00DE5A4D">
        <w:rPr>
          <w:sz w:val="20"/>
          <w:szCs w:val="20"/>
        </w:rPr>
        <w:t>enjoy digital reading material</w:t>
      </w:r>
      <w:r w:rsidR="006F07DF">
        <w:rPr>
          <w:sz w:val="20"/>
          <w:szCs w:val="20"/>
        </w:rPr>
        <w:t xml:space="preserve"> and </w:t>
      </w:r>
      <w:r w:rsidR="008F283E">
        <w:rPr>
          <w:sz w:val="20"/>
          <w:szCs w:val="20"/>
        </w:rPr>
        <w:t xml:space="preserve">this may encourage </w:t>
      </w:r>
      <w:r w:rsidR="006F07DF">
        <w:rPr>
          <w:sz w:val="20"/>
          <w:szCs w:val="20"/>
        </w:rPr>
        <w:t xml:space="preserve">a more positive attitude to reading and writing </w:t>
      </w:r>
      <w:r w:rsidR="008F283E">
        <w:rPr>
          <w:sz w:val="20"/>
          <w:szCs w:val="20"/>
        </w:rPr>
        <w:t>(this is a recent line of enquiry so these conclusions are somewhat tentative)</w:t>
      </w:r>
    </w:p>
    <w:p w:rsidR="006F07DF" w:rsidRPr="002D0268" w:rsidRDefault="00D93DFC" w:rsidP="00FF3D3A">
      <w:pPr>
        <w:pStyle w:val="ListParagraph"/>
        <w:numPr>
          <w:ilvl w:val="0"/>
          <w:numId w:val="3"/>
        </w:numPr>
        <w:jc w:val="both"/>
        <w:rPr>
          <w:sz w:val="20"/>
          <w:szCs w:val="20"/>
        </w:rPr>
      </w:pPr>
      <w:r>
        <w:rPr>
          <w:sz w:val="20"/>
          <w:szCs w:val="20"/>
        </w:rPr>
        <w:t>T</w:t>
      </w:r>
      <w:r w:rsidR="006F07DF" w:rsidRPr="00DE5A4D">
        <w:rPr>
          <w:sz w:val="20"/>
          <w:szCs w:val="20"/>
        </w:rPr>
        <w:t>eenagers whose parents read to them when they started primary s</w:t>
      </w:r>
      <w:r w:rsidR="006F07DF">
        <w:rPr>
          <w:sz w:val="20"/>
          <w:szCs w:val="20"/>
        </w:rPr>
        <w:t xml:space="preserve">chool tend to read better than </w:t>
      </w:r>
      <w:r w:rsidR="006F07DF" w:rsidRPr="00DE5A4D">
        <w:rPr>
          <w:sz w:val="20"/>
          <w:szCs w:val="20"/>
        </w:rPr>
        <w:t>their peers whose parents did not read to them</w:t>
      </w:r>
      <w:r w:rsidR="008F283E">
        <w:rPr>
          <w:sz w:val="20"/>
          <w:szCs w:val="20"/>
        </w:rPr>
        <w:t xml:space="preserve"> (but this finding is challenged by other</w:t>
      </w:r>
      <w:r w:rsidR="006F07DF" w:rsidRPr="002D0268">
        <w:rPr>
          <w:sz w:val="20"/>
          <w:szCs w:val="20"/>
        </w:rPr>
        <w:t xml:space="preserve"> studies </w:t>
      </w:r>
      <w:r w:rsidR="008F283E">
        <w:rPr>
          <w:sz w:val="20"/>
          <w:szCs w:val="20"/>
        </w:rPr>
        <w:t xml:space="preserve">that </w:t>
      </w:r>
      <w:r w:rsidR="006F07DF" w:rsidRPr="002D0268">
        <w:rPr>
          <w:sz w:val="20"/>
          <w:szCs w:val="20"/>
        </w:rPr>
        <w:t>show no overall significant differences in parental support for reading between boys and girls</w:t>
      </w:r>
      <w:r w:rsidR="008F283E">
        <w:rPr>
          <w:sz w:val="20"/>
          <w:szCs w:val="20"/>
        </w:rPr>
        <w:t>)</w:t>
      </w:r>
    </w:p>
    <w:p w:rsidR="008A7117" w:rsidRDefault="00D93DFC" w:rsidP="00FF3D3A">
      <w:pPr>
        <w:jc w:val="both"/>
        <w:rPr>
          <w:sz w:val="20"/>
          <w:szCs w:val="20"/>
        </w:rPr>
      </w:pPr>
      <w:r w:rsidRPr="00D93DFC">
        <w:rPr>
          <w:sz w:val="20"/>
          <w:szCs w:val="20"/>
        </w:rPr>
        <w:t>I</w:t>
      </w:r>
      <w:r w:rsidR="006F07DF" w:rsidRPr="00D93DFC">
        <w:rPr>
          <w:sz w:val="20"/>
          <w:szCs w:val="20"/>
        </w:rPr>
        <w:t xml:space="preserve">n general, much of boys’ literacy performance </w:t>
      </w:r>
      <w:r w:rsidR="008F283E" w:rsidRPr="00D93DFC">
        <w:rPr>
          <w:sz w:val="20"/>
          <w:szCs w:val="20"/>
        </w:rPr>
        <w:t xml:space="preserve">is </w:t>
      </w:r>
      <w:r>
        <w:rPr>
          <w:sz w:val="20"/>
          <w:szCs w:val="20"/>
        </w:rPr>
        <w:t xml:space="preserve">seen as </w:t>
      </w:r>
      <w:r w:rsidR="008F283E" w:rsidRPr="00D93DFC">
        <w:rPr>
          <w:sz w:val="20"/>
          <w:szCs w:val="20"/>
        </w:rPr>
        <w:t xml:space="preserve">related </w:t>
      </w:r>
      <w:r w:rsidR="006F07DF" w:rsidRPr="00D93DFC">
        <w:rPr>
          <w:sz w:val="20"/>
          <w:szCs w:val="20"/>
        </w:rPr>
        <w:t>to the condi</w:t>
      </w:r>
      <w:r>
        <w:rPr>
          <w:sz w:val="20"/>
          <w:szCs w:val="20"/>
        </w:rPr>
        <w:t xml:space="preserve">tions at home and out of school. </w:t>
      </w:r>
      <w:r w:rsidR="00C50E43" w:rsidRPr="00D93DFC">
        <w:rPr>
          <w:sz w:val="20"/>
          <w:szCs w:val="20"/>
        </w:rPr>
        <w:t>Parents</w:t>
      </w:r>
      <w:r w:rsidR="00AB284F" w:rsidRPr="00D93DFC">
        <w:rPr>
          <w:sz w:val="20"/>
          <w:szCs w:val="20"/>
        </w:rPr>
        <w:t xml:space="preserve"> of lower and middle range SES </w:t>
      </w:r>
      <w:r w:rsidR="00C50E43" w:rsidRPr="00D93DFC">
        <w:rPr>
          <w:sz w:val="20"/>
          <w:szCs w:val="20"/>
        </w:rPr>
        <w:t xml:space="preserve">tend to see boys as having </w:t>
      </w:r>
      <w:r w:rsidR="006F07DF" w:rsidRPr="00D93DFC">
        <w:rPr>
          <w:sz w:val="20"/>
          <w:szCs w:val="20"/>
        </w:rPr>
        <w:t xml:space="preserve">lower self-esteem, higher </w:t>
      </w:r>
      <w:r w:rsidR="00C50E43" w:rsidRPr="00D93DFC">
        <w:rPr>
          <w:sz w:val="20"/>
          <w:szCs w:val="20"/>
        </w:rPr>
        <w:t>emotional and behavioural problems and greater competitiveness which can contribute to boys</w:t>
      </w:r>
      <w:r w:rsidR="00F32B65" w:rsidRPr="00D93DFC">
        <w:rPr>
          <w:sz w:val="20"/>
          <w:szCs w:val="20"/>
        </w:rPr>
        <w:t>’</w:t>
      </w:r>
      <w:r w:rsidR="00C50E43" w:rsidRPr="00D93DFC">
        <w:rPr>
          <w:sz w:val="20"/>
          <w:szCs w:val="20"/>
        </w:rPr>
        <w:t xml:space="preserve"> underperformance. </w:t>
      </w:r>
      <w:r w:rsidR="006F07DF" w:rsidRPr="00D93DFC">
        <w:rPr>
          <w:sz w:val="20"/>
          <w:szCs w:val="20"/>
        </w:rPr>
        <w:t xml:space="preserve">   </w:t>
      </w:r>
    </w:p>
    <w:p w:rsidR="008A7117" w:rsidRDefault="008A7117" w:rsidP="00364AFD">
      <w:pPr>
        <w:pStyle w:val="Heading4"/>
      </w:pPr>
      <w:bookmarkStart w:id="24" w:name="_Toc463183799"/>
      <w:bookmarkStart w:id="25" w:name="_Toc466730280"/>
      <w:r>
        <w:t>Numeracy</w:t>
      </w:r>
      <w:bookmarkEnd w:id="24"/>
      <w:bookmarkEnd w:id="25"/>
    </w:p>
    <w:p w:rsidR="006F07DF" w:rsidRPr="000A4759" w:rsidRDefault="006F07DF" w:rsidP="00FF3D3A">
      <w:pPr>
        <w:jc w:val="both"/>
        <w:rPr>
          <w:sz w:val="20"/>
          <w:szCs w:val="20"/>
        </w:rPr>
      </w:pPr>
      <w:r>
        <w:rPr>
          <w:sz w:val="20"/>
          <w:szCs w:val="20"/>
        </w:rPr>
        <w:t xml:space="preserve">The main explanations </w:t>
      </w:r>
      <w:r w:rsidR="008F283E">
        <w:rPr>
          <w:sz w:val="20"/>
          <w:szCs w:val="20"/>
        </w:rPr>
        <w:t>for</w:t>
      </w:r>
      <w:r>
        <w:rPr>
          <w:sz w:val="20"/>
          <w:szCs w:val="20"/>
        </w:rPr>
        <w:t xml:space="preserve"> boys</w:t>
      </w:r>
      <w:r w:rsidR="008F283E">
        <w:rPr>
          <w:sz w:val="20"/>
          <w:szCs w:val="20"/>
        </w:rPr>
        <w:t>’</w:t>
      </w:r>
      <w:r>
        <w:rPr>
          <w:sz w:val="20"/>
          <w:szCs w:val="20"/>
        </w:rPr>
        <w:t xml:space="preserve"> and girls</w:t>
      </w:r>
      <w:r w:rsidR="008F283E">
        <w:rPr>
          <w:sz w:val="20"/>
          <w:szCs w:val="20"/>
        </w:rPr>
        <w:t>’</w:t>
      </w:r>
      <w:r>
        <w:rPr>
          <w:sz w:val="20"/>
          <w:szCs w:val="20"/>
        </w:rPr>
        <w:t xml:space="preserve"> different attitudes to mathematics </w:t>
      </w:r>
      <w:r w:rsidR="00D93DFC">
        <w:rPr>
          <w:sz w:val="20"/>
          <w:szCs w:val="20"/>
        </w:rPr>
        <w:t>are</w:t>
      </w:r>
      <w:r w:rsidR="008F283E">
        <w:rPr>
          <w:sz w:val="20"/>
          <w:szCs w:val="20"/>
        </w:rPr>
        <w:t xml:space="preserve"> that:</w:t>
      </w:r>
      <w:r w:rsidRPr="00E930B6">
        <w:rPr>
          <w:rStyle w:val="IntenseEmphasis"/>
        </w:rPr>
        <w:t xml:space="preserve"> </w:t>
      </w:r>
    </w:p>
    <w:p w:rsidR="008F283E" w:rsidRDefault="006F07DF" w:rsidP="00FF3D3A">
      <w:pPr>
        <w:pStyle w:val="ListParagraph"/>
        <w:numPr>
          <w:ilvl w:val="0"/>
          <w:numId w:val="3"/>
        </w:numPr>
        <w:jc w:val="both"/>
        <w:rPr>
          <w:sz w:val="20"/>
          <w:szCs w:val="20"/>
        </w:rPr>
      </w:pPr>
      <w:r w:rsidRPr="00A608D1">
        <w:rPr>
          <w:sz w:val="20"/>
          <w:szCs w:val="20"/>
        </w:rPr>
        <w:t xml:space="preserve">girls </w:t>
      </w:r>
      <w:r w:rsidR="00007A1C">
        <w:rPr>
          <w:sz w:val="20"/>
          <w:szCs w:val="20"/>
        </w:rPr>
        <w:t xml:space="preserve">tend to </w:t>
      </w:r>
      <w:r w:rsidRPr="00A608D1">
        <w:rPr>
          <w:sz w:val="20"/>
          <w:szCs w:val="20"/>
        </w:rPr>
        <w:t xml:space="preserve">rate their own ability </w:t>
      </w:r>
      <w:r w:rsidR="008F283E" w:rsidRPr="00A608D1">
        <w:rPr>
          <w:sz w:val="20"/>
          <w:szCs w:val="20"/>
        </w:rPr>
        <w:t xml:space="preserve">in mathematics </w:t>
      </w:r>
      <w:r w:rsidRPr="00A608D1">
        <w:rPr>
          <w:sz w:val="20"/>
          <w:szCs w:val="20"/>
        </w:rPr>
        <w:t xml:space="preserve">as lower than boys as early as the first year of primary school – even when their performance is equal </w:t>
      </w:r>
    </w:p>
    <w:p w:rsidR="00861B32" w:rsidRPr="00A608D1" w:rsidRDefault="00861B32" w:rsidP="00FF3D3A">
      <w:pPr>
        <w:pStyle w:val="ListParagraph"/>
        <w:numPr>
          <w:ilvl w:val="0"/>
          <w:numId w:val="3"/>
        </w:numPr>
        <w:jc w:val="both"/>
        <w:rPr>
          <w:sz w:val="20"/>
          <w:szCs w:val="20"/>
        </w:rPr>
      </w:pPr>
      <w:r>
        <w:rPr>
          <w:sz w:val="20"/>
          <w:szCs w:val="20"/>
        </w:rPr>
        <w:t>small differences in attitudes between boys and girls at Year 4 open up to a large gap by Year 8 where the girls become more cautious and l</w:t>
      </w:r>
      <w:r w:rsidR="00FC103F">
        <w:rPr>
          <w:sz w:val="20"/>
          <w:szCs w:val="20"/>
        </w:rPr>
        <w:t>ess confident and differences ar</w:t>
      </w:r>
      <w:r>
        <w:rPr>
          <w:sz w:val="20"/>
          <w:szCs w:val="20"/>
        </w:rPr>
        <w:t xml:space="preserve">e apparent across the distribution of social background, </w:t>
      </w:r>
      <w:r w:rsidR="004E2DC5">
        <w:rPr>
          <w:sz w:val="20"/>
          <w:szCs w:val="20"/>
        </w:rPr>
        <w:t xml:space="preserve">levels of achievement, </w:t>
      </w:r>
      <w:r>
        <w:rPr>
          <w:sz w:val="20"/>
          <w:szCs w:val="20"/>
        </w:rPr>
        <w:t>demographic charact</w:t>
      </w:r>
      <w:r w:rsidR="00FC103F">
        <w:rPr>
          <w:sz w:val="20"/>
          <w:szCs w:val="20"/>
        </w:rPr>
        <w:t>eristics and gender of teachers</w:t>
      </w:r>
      <w:r>
        <w:rPr>
          <w:sz w:val="20"/>
          <w:szCs w:val="20"/>
        </w:rPr>
        <w:t xml:space="preserve"> </w:t>
      </w:r>
    </w:p>
    <w:p w:rsidR="008F283E" w:rsidRPr="008F283E" w:rsidRDefault="008F283E" w:rsidP="00FF3D3A">
      <w:pPr>
        <w:pStyle w:val="ListParagraph"/>
        <w:numPr>
          <w:ilvl w:val="0"/>
          <w:numId w:val="3"/>
        </w:numPr>
        <w:jc w:val="both"/>
        <w:rPr>
          <w:sz w:val="20"/>
          <w:szCs w:val="20"/>
        </w:rPr>
      </w:pPr>
      <w:r w:rsidRPr="008F283E">
        <w:rPr>
          <w:sz w:val="20"/>
          <w:szCs w:val="20"/>
        </w:rPr>
        <w:t>g</w:t>
      </w:r>
      <w:r w:rsidR="006F07DF" w:rsidRPr="008F283E">
        <w:rPr>
          <w:sz w:val="20"/>
          <w:szCs w:val="20"/>
        </w:rPr>
        <w:t xml:space="preserve">irls tend to base their judgement of their ability (even when it is high) on objective indicators </w:t>
      </w:r>
      <w:r w:rsidRPr="008F283E">
        <w:rPr>
          <w:sz w:val="20"/>
          <w:szCs w:val="20"/>
        </w:rPr>
        <w:t>(</w:t>
      </w:r>
      <w:r w:rsidR="006F07DF" w:rsidRPr="008F283E">
        <w:rPr>
          <w:sz w:val="20"/>
          <w:szCs w:val="20"/>
        </w:rPr>
        <w:t>e.g. high marks</w:t>
      </w:r>
      <w:r w:rsidRPr="008F283E">
        <w:rPr>
          <w:sz w:val="20"/>
          <w:szCs w:val="20"/>
        </w:rPr>
        <w:t>)</w:t>
      </w:r>
      <w:r w:rsidR="006F07DF" w:rsidRPr="008F283E">
        <w:rPr>
          <w:sz w:val="20"/>
          <w:szCs w:val="20"/>
        </w:rPr>
        <w:t xml:space="preserve"> whereas boys attribute their confidence (even when low performing) to more subjective stimuli </w:t>
      </w:r>
      <w:r w:rsidRPr="008F283E">
        <w:rPr>
          <w:sz w:val="20"/>
          <w:szCs w:val="20"/>
        </w:rPr>
        <w:t>(</w:t>
      </w:r>
      <w:r w:rsidR="006F07DF" w:rsidRPr="008F283E">
        <w:rPr>
          <w:sz w:val="20"/>
          <w:szCs w:val="20"/>
        </w:rPr>
        <w:t>e.g. teacher encouragement</w:t>
      </w:r>
      <w:r w:rsidRPr="008F283E">
        <w:rPr>
          <w:sz w:val="20"/>
          <w:szCs w:val="20"/>
        </w:rPr>
        <w:t xml:space="preserve">) </w:t>
      </w:r>
    </w:p>
    <w:p w:rsidR="006F07DF" w:rsidRDefault="006F07DF" w:rsidP="00FF3D3A">
      <w:pPr>
        <w:pStyle w:val="ListParagraph"/>
        <w:numPr>
          <w:ilvl w:val="0"/>
          <w:numId w:val="3"/>
        </w:numPr>
        <w:jc w:val="both"/>
        <w:rPr>
          <w:sz w:val="20"/>
          <w:szCs w:val="20"/>
        </w:rPr>
      </w:pPr>
      <w:r w:rsidRPr="000A5406">
        <w:rPr>
          <w:sz w:val="20"/>
          <w:szCs w:val="20"/>
        </w:rPr>
        <w:t>girls’ view of whether they are talented or not declines t</w:t>
      </w:r>
      <w:r w:rsidR="008F283E">
        <w:rPr>
          <w:sz w:val="20"/>
          <w:szCs w:val="20"/>
        </w:rPr>
        <w:t xml:space="preserve">hrough secondary school, while </w:t>
      </w:r>
      <w:r w:rsidRPr="000A5406">
        <w:rPr>
          <w:sz w:val="20"/>
          <w:szCs w:val="20"/>
        </w:rPr>
        <w:t xml:space="preserve">boys maintain consistently higher perceptions </w:t>
      </w:r>
      <w:r w:rsidR="008F283E">
        <w:rPr>
          <w:sz w:val="20"/>
          <w:szCs w:val="20"/>
        </w:rPr>
        <w:t xml:space="preserve">of their talent </w:t>
      </w:r>
      <w:r w:rsidRPr="000A5406">
        <w:rPr>
          <w:sz w:val="20"/>
          <w:szCs w:val="20"/>
        </w:rPr>
        <w:t>t</w:t>
      </w:r>
      <w:r w:rsidR="00E26C4D">
        <w:rPr>
          <w:sz w:val="20"/>
          <w:szCs w:val="20"/>
        </w:rPr>
        <w:t>han girls throughout Y</w:t>
      </w:r>
      <w:r>
        <w:rPr>
          <w:sz w:val="20"/>
          <w:szCs w:val="20"/>
        </w:rPr>
        <w:t>ears 7-</w:t>
      </w:r>
      <w:r w:rsidRPr="000A5406">
        <w:rPr>
          <w:sz w:val="20"/>
          <w:szCs w:val="20"/>
        </w:rPr>
        <w:t>11</w:t>
      </w:r>
      <w:r w:rsidR="00A608D1">
        <w:rPr>
          <w:sz w:val="20"/>
          <w:szCs w:val="20"/>
        </w:rPr>
        <w:t>.</w:t>
      </w:r>
    </w:p>
    <w:p w:rsidR="00861B32" w:rsidRPr="00007A1C" w:rsidRDefault="00861B32" w:rsidP="00D54B9A">
      <w:pPr>
        <w:jc w:val="both"/>
        <w:rPr>
          <w:sz w:val="20"/>
          <w:szCs w:val="20"/>
        </w:rPr>
      </w:pPr>
      <w:r w:rsidRPr="00007A1C">
        <w:rPr>
          <w:sz w:val="20"/>
          <w:szCs w:val="20"/>
        </w:rPr>
        <w:t xml:space="preserve">One study using the Australian data from </w:t>
      </w:r>
      <w:r w:rsidR="006E53C8" w:rsidRPr="00007A1C">
        <w:rPr>
          <w:sz w:val="20"/>
          <w:szCs w:val="20"/>
        </w:rPr>
        <w:t xml:space="preserve">2011 </w:t>
      </w:r>
      <w:r w:rsidRPr="00007A1C">
        <w:rPr>
          <w:sz w:val="20"/>
          <w:szCs w:val="20"/>
        </w:rPr>
        <w:t xml:space="preserve">Trends in International Mathematics and Science Study (TIMSS) </w:t>
      </w:r>
      <w:r w:rsidR="00D810C1">
        <w:rPr>
          <w:sz w:val="20"/>
          <w:szCs w:val="20"/>
        </w:rPr>
        <w:t xml:space="preserve">(Ryan 2016) </w:t>
      </w:r>
      <w:r w:rsidRPr="00007A1C">
        <w:rPr>
          <w:sz w:val="20"/>
          <w:szCs w:val="20"/>
        </w:rPr>
        <w:t xml:space="preserve">identified that girls in single sex </w:t>
      </w:r>
      <w:r w:rsidR="00007A1C">
        <w:rPr>
          <w:sz w:val="20"/>
          <w:szCs w:val="20"/>
        </w:rPr>
        <w:t xml:space="preserve">arrangements generally </w:t>
      </w:r>
      <w:r w:rsidRPr="00007A1C">
        <w:rPr>
          <w:sz w:val="20"/>
          <w:szCs w:val="20"/>
        </w:rPr>
        <w:t xml:space="preserve">like mathematics and are as confident about their ability as </w:t>
      </w:r>
      <w:r w:rsidR="006E53C8" w:rsidRPr="00007A1C">
        <w:rPr>
          <w:sz w:val="20"/>
          <w:szCs w:val="20"/>
        </w:rPr>
        <w:t xml:space="preserve">are </w:t>
      </w:r>
      <w:r w:rsidRPr="00007A1C">
        <w:rPr>
          <w:sz w:val="20"/>
          <w:szCs w:val="20"/>
        </w:rPr>
        <w:t xml:space="preserve">boys in single sex schools. </w:t>
      </w:r>
    </w:p>
    <w:p w:rsidR="00DF73BD" w:rsidRPr="00DF73BD" w:rsidRDefault="00DF73BD" w:rsidP="00D54B9A">
      <w:pPr>
        <w:jc w:val="both"/>
        <w:rPr>
          <w:rFonts w:ascii="Century Gothic" w:hAnsi="Century Gothic"/>
          <w:sz w:val="20"/>
          <w:szCs w:val="20"/>
        </w:rPr>
      </w:pPr>
      <w:r w:rsidRPr="00DF73BD">
        <w:rPr>
          <w:rFonts w:ascii="Century Gothic" w:hAnsi="Century Gothic"/>
          <w:sz w:val="20"/>
          <w:szCs w:val="20"/>
        </w:rPr>
        <w:t xml:space="preserve">A </w:t>
      </w:r>
      <w:r w:rsidR="00D41388">
        <w:rPr>
          <w:rFonts w:ascii="Century Gothic" w:hAnsi="Century Gothic"/>
          <w:sz w:val="20"/>
          <w:szCs w:val="20"/>
        </w:rPr>
        <w:t xml:space="preserve">large scale </w:t>
      </w:r>
      <w:r w:rsidRPr="00DF73BD">
        <w:rPr>
          <w:rFonts w:ascii="Century Gothic" w:hAnsi="Century Gothic"/>
          <w:sz w:val="20"/>
          <w:szCs w:val="20"/>
        </w:rPr>
        <w:t xml:space="preserve">longitudinal Victorian study </w:t>
      </w:r>
      <w:r w:rsidR="00D93DFC">
        <w:rPr>
          <w:rFonts w:ascii="Century Gothic" w:hAnsi="Century Gothic"/>
          <w:sz w:val="20"/>
          <w:szCs w:val="20"/>
        </w:rPr>
        <w:t>(</w:t>
      </w:r>
      <w:r w:rsidR="00BF0A1F">
        <w:rPr>
          <w:rFonts w:ascii="Century Gothic" w:hAnsi="Century Gothic"/>
          <w:sz w:val="20"/>
          <w:szCs w:val="20"/>
        </w:rPr>
        <w:t xml:space="preserve">Justman and Mendez 2016) </w:t>
      </w:r>
      <w:r w:rsidR="00D41388">
        <w:rPr>
          <w:rFonts w:ascii="Century Gothic" w:hAnsi="Century Gothic"/>
          <w:sz w:val="20"/>
          <w:szCs w:val="20"/>
        </w:rPr>
        <w:t xml:space="preserve">found that </w:t>
      </w:r>
      <w:r w:rsidRPr="00DF73BD">
        <w:rPr>
          <w:rFonts w:ascii="Century Gothic" w:hAnsi="Century Gothic"/>
          <w:sz w:val="20"/>
          <w:szCs w:val="20"/>
        </w:rPr>
        <w:t>student choice or ‘gender streaming’ into mathematics, technology and science subjects at the senior levels is not driven by prior achievement in mathematics</w:t>
      </w:r>
      <w:r>
        <w:rPr>
          <w:rFonts w:ascii="Century Gothic" w:hAnsi="Century Gothic"/>
          <w:sz w:val="20"/>
          <w:szCs w:val="20"/>
        </w:rPr>
        <w:t xml:space="preserve"> </w:t>
      </w:r>
      <w:r w:rsidR="00D41388">
        <w:rPr>
          <w:rFonts w:ascii="Century Gothic" w:hAnsi="Century Gothic"/>
          <w:sz w:val="20"/>
          <w:szCs w:val="20"/>
        </w:rPr>
        <w:t xml:space="preserve">but by other factors- such as social norms or school practices.  </w:t>
      </w:r>
      <w:r w:rsidRPr="00DF73BD">
        <w:rPr>
          <w:rFonts w:ascii="Century Gothic" w:hAnsi="Century Gothic"/>
          <w:sz w:val="20"/>
          <w:szCs w:val="20"/>
        </w:rPr>
        <w:t xml:space="preserve">  </w:t>
      </w:r>
    </w:p>
    <w:p w:rsidR="006F07DF" w:rsidRPr="005C6B7B" w:rsidRDefault="006F07DF" w:rsidP="00D54B9A">
      <w:pPr>
        <w:jc w:val="both"/>
        <w:rPr>
          <w:sz w:val="20"/>
          <w:szCs w:val="20"/>
        </w:rPr>
      </w:pPr>
      <w:r w:rsidRPr="000A5406">
        <w:rPr>
          <w:sz w:val="20"/>
          <w:szCs w:val="20"/>
        </w:rPr>
        <w:t xml:space="preserve">Overall, it appears that development trajectories over secondary school retain the broad pattern that is apparent </w:t>
      </w:r>
      <w:r w:rsidR="00A608D1">
        <w:rPr>
          <w:sz w:val="20"/>
          <w:szCs w:val="20"/>
        </w:rPr>
        <w:t>at Y</w:t>
      </w:r>
      <w:r>
        <w:rPr>
          <w:sz w:val="20"/>
          <w:szCs w:val="20"/>
        </w:rPr>
        <w:t xml:space="preserve">ear 7, which </w:t>
      </w:r>
      <w:r w:rsidR="00BB3CB7">
        <w:rPr>
          <w:sz w:val="20"/>
          <w:szCs w:val="20"/>
        </w:rPr>
        <w:t>suggests</w:t>
      </w:r>
      <w:r w:rsidRPr="000A5406">
        <w:rPr>
          <w:sz w:val="20"/>
          <w:szCs w:val="20"/>
        </w:rPr>
        <w:t xml:space="preserve"> that the point of divergence for boys’ and girls’ perceptions of </w:t>
      </w:r>
      <w:r w:rsidR="00BB3CB7">
        <w:rPr>
          <w:sz w:val="20"/>
          <w:szCs w:val="20"/>
        </w:rPr>
        <w:t xml:space="preserve">their capability to perform well in </w:t>
      </w:r>
      <w:r w:rsidRPr="000A5406">
        <w:rPr>
          <w:sz w:val="20"/>
          <w:szCs w:val="20"/>
        </w:rPr>
        <w:t xml:space="preserve">both mathematics and English </w:t>
      </w:r>
      <w:r w:rsidR="00BB3CB7">
        <w:rPr>
          <w:sz w:val="20"/>
          <w:szCs w:val="20"/>
        </w:rPr>
        <w:t>commences</w:t>
      </w:r>
      <w:r w:rsidRPr="000A5406">
        <w:rPr>
          <w:sz w:val="20"/>
          <w:szCs w:val="20"/>
        </w:rPr>
        <w:t xml:space="preserve"> at an earlier age.</w:t>
      </w:r>
    </w:p>
    <w:p w:rsidR="006F07DF" w:rsidRDefault="00776E86" w:rsidP="00D54B9A">
      <w:pPr>
        <w:pStyle w:val="Heading3"/>
        <w:jc w:val="both"/>
        <w:rPr>
          <w:rFonts w:ascii="Century Gothic" w:hAnsi="Century Gothic"/>
        </w:rPr>
      </w:pPr>
      <w:bookmarkStart w:id="26" w:name="_Toc469259448"/>
      <w:r>
        <w:rPr>
          <w:rFonts w:ascii="Century Gothic" w:hAnsi="Century Gothic"/>
        </w:rPr>
        <w:t xml:space="preserve">2.2 </w:t>
      </w:r>
      <w:r w:rsidR="006F07DF">
        <w:rPr>
          <w:rFonts w:ascii="Century Gothic" w:hAnsi="Century Gothic"/>
        </w:rPr>
        <w:t>Perception of value</w:t>
      </w:r>
      <w:bookmarkEnd w:id="26"/>
      <w:r w:rsidR="006F07DF">
        <w:rPr>
          <w:rFonts w:ascii="Century Gothic" w:hAnsi="Century Gothic"/>
        </w:rPr>
        <w:t xml:space="preserve"> </w:t>
      </w:r>
    </w:p>
    <w:p w:rsidR="006F07DF" w:rsidRPr="000A5406" w:rsidRDefault="006F07DF" w:rsidP="00D54B9A">
      <w:pPr>
        <w:jc w:val="both"/>
        <w:rPr>
          <w:rFonts w:ascii="Century Gothic" w:hAnsi="Century Gothic" w:cs="AdvPalR"/>
          <w:sz w:val="20"/>
          <w:szCs w:val="20"/>
        </w:rPr>
      </w:pPr>
      <w:r w:rsidRPr="000A5406">
        <w:rPr>
          <w:rFonts w:ascii="Century Gothic" w:hAnsi="Century Gothic"/>
          <w:sz w:val="20"/>
          <w:szCs w:val="20"/>
        </w:rPr>
        <w:t>The extent that boys and girls see intrinsic value and long term utility of their studies</w:t>
      </w:r>
      <w:r>
        <w:rPr>
          <w:rFonts w:ascii="Century Gothic" w:hAnsi="Century Gothic"/>
          <w:sz w:val="20"/>
          <w:szCs w:val="20"/>
        </w:rPr>
        <w:t xml:space="preserve"> is a</w:t>
      </w:r>
      <w:r w:rsidRPr="000A5406">
        <w:rPr>
          <w:rFonts w:ascii="Century Gothic" w:hAnsi="Century Gothic"/>
          <w:sz w:val="20"/>
          <w:szCs w:val="20"/>
        </w:rPr>
        <w:t>n important factor in explaining gender differences in performance accord</w:t>
      </w:r>
      <w:r w:rsidR="00A608D1">
        <w:rPr>
          <w:rFonts w:ascii="Century Gothic" w:hAnsi="Century Gothic"/>
          <w:sz w:val="20"/>
          <w:szCs w:val="20"/>
        </w:rPr>
        <w:t xml:space="preserve">ing to conclusions from large scale research </w:t>
      </w:r>
      <w:r w:rsidR="001C617D">
        <w:rPr>
          <w:rFonts w:ascii="Century Gothic" w:hAnsi="Century Gothic"/>
          <w:sz w:val="20"/>
          <w:szCs w:val="20"/>
        </w:rPr>
        <w:t xml:space="preserve">– noting that these findings need to take account of the complex interplay between various cultural, socio-economic and institutional factors in gender differences </w:t>
      </w:r>
      <w:r w:rsidRPr="000A5406">
        <w:rPr>
          <w:rFonts w:ascii="Century Gothic" w:hAnsi="Century Gothic"/>
          <w:sz w:val="20"/>
          <w:szCs w:val="20"/>
        </w:rPr>
        <w:t>(Watt 2004; Eccles and Wigfield 2000</w:t>
      </w:r>
      <w:r w:rsidR="00DE5A99">
        <w:rPr>
          <w:rFonts w:ascii="Century Gothic" w:hAnsi="Century Gothic"/>
          <w:sz w:val="20"/>
          <w:szCs w:val="20"/>
        </w:rPr>
        <w:t>; Watson et al 2010</w:t>
      </w:r>
      <w:r w:rsidR="00AB284F">
        <w:rPr>
          <w:rFonts w:ascii="Century Gothic" w:hAnsi="Century Gothic"/>
          <w:sz w:val="20"/>
          <w:szCs w:val="20"/>
        </w:rPr>
        <w:t>; Rapoport and T</w:t>
      </w:r>
      <w:r w:rsidR="003D1785">
        <w:rPr>
          <w:rFonts w:ascii="Century Gothic" w:hAnsi="Century Gothic"/>
          <w:sz w:val="20"/>
          <w:szCs w:val="20"/>
        </w:rPr>
        <w:t>hibout 2016)</w:t>
      </w:r>
      <w:r w:rsidR="00A608D1">
        <w:rPr>
          <w:rFonts w:ascii="Century Gothic" w:hAnsi="Century Gothic" w:cs="AdvPalR"/>
          <w:sz w:val="20"/>
          <w:szCs w:val="20"/>
        </w:rPr>
        <w:t>.</w:t>
      </w:r>
    </w:p>
    <w:p w:rsidR="006F07DF" w:rsidRPr="000A5406" w:rsidRDefault="00A12AB6" w:rsidP="008A7117">
      <w:pPr>
        <w:pStyle w:val="Heading4"/>
      </w:pPr>
      <w:r>
        <w:t xml:space="preserve">Numeracy </w:t>
      </w:r>
    </w:p>
    <w:p w:rsidR="006E53C8" w:rsidRDefault="006F07DF" w:rsidP="00FF3D3A">
      <w:pPr>
        <w:pStyle w:val="ListParagraph"/>
        <w:numPr>
          <w:ilvl w:val="0"/>
          <w:numId w:val="4"/>
        </w:numPr>
        <w:jc w:val="both"/>
        <w:rPr>
          <w:rFonts w:ascii="Century Gothic" w:hAnsi="Century Gothic"/>
          <w:sz w:val="20"/>
          <w:szCs w:val="20"/>
        </w:rPr>
      </w:pPr>
      <w:r w:rsidRPr="000A5406">
        <w:rPr>
          <w:rFonts w:ascii="Century Gothic" w:hAnsi="Century Gothic"/>
          <w:sz w:val="20"/>
          <w:szCs w:val="20"/>
        </w:rPr>
        <w:t xml:space="preserve">Intrinsic value </w:t>
      </w:r>
      <w:r>
        <w:rPr>
          <w:rFonts w:ascii="Century Gothic" w:hAnsi="Century Gothic"/>
          <w:sz w:val="20"/>
          <w:szCs w:val="20"/>
        </w:rPr>
        <w:t xml:space="preserve">(I like </w:t>
      </w:r>
      <w:r w:rsidR="00A608D1">
        <w:rPr>
          <w:rFonts w:ascii="Century Gothic" w:hAnsi="Century Gothic"/>
          <w:sz w:val="20"/>
          <w:szCs w:val="20"/>
        </w:rPr>
        <w:t xml:space="preserve">doing </w:t>
      </w:r>
      <w:r>
        <w:rPr>
          <w:rFonts w:ascii="Century Gothic" w:hAnsi="Century Gothic"/>
          <w:sz w:val="20"/>
          <w:szCs w:val="20"/>
        </w:rPr>
        <w:t xml:space="preserve">this) </w:t>
      </w:r>
      <w:r w:rsidRPr="000A5406">
        <w:rPr>
          <w:rFonts w:ascii="Century Gothic" w:hAnsi="Century Gothic"/>
          <w:sz w:val="20"/>
          <w:szCs w:val="20"/>
        </w:rPr>
        <w:t>for math</w:t>
      </w:r>
      <w:r w:rsidR="00A608D1">
        <w:rPr>
          <w:rFonts w:ascii="Century Gothic" w:hAnsi="Century Gothic"/>
          <w:sz w:val="20"/>
          <w:szCs w:val="20"/>
        </w:rPr>
        <w:t>ematics was characteris</w:t>
      </w:r>
      <w:r w:rsidRPr="000A5406">
        <w:rPr>
          <w:rFonts w:ascii="Century Gothic" w:hAnsi="Century Gothic"/>
          <w:sz w:val="20"/>
          <w:szCs w:val="20"/>
        </w:rPr>
        <w:t>ed by a consistent gender difference favouring boys</w:t>
      </w:r>
      <w:r w:rsidR="006E53C8">
        <w:rPr>
          <w:rFonts w:ascii="Century Gothic" w:hAnsi="Century Gothic"/>
          <w:sz w:val="20"/>
          <w:szCs w:val="20"/>
        </w:rPr>
        <w:t>.</w:t>
      </w:r>
      <w:r>
        <w:rPr>
          <w:rFonts w:ascii="Century Gothic" w:hAnsi="Century Gothic"/>
          <w:sz w:val="20"/>
          <w:szCs w:val="20"/>
        </w:rPr>
        <w:t xml:space="preserve"> </w:t>
      </w:r>
    </w:p>
    <w:p w:rsidR="006E53C8" w:rsidRDefault="006F07DF" w:rsidP="00FF3D3A">
      <w:pPr>
        <w:pStyle w:val="ListParagraph"/>
        <w:numPr>
          <w:ilvl w:val="0"/>
          <w:numId w:val="4"/>
        </w:numPr>
        <w:jc w:val="both"/>
        <w:rPr>
          <w:rFonts w:ascii="Century Gothic" w:hAnsi="Century Gothic"/>
          <w:sz w:val="20"/>
          <w:szCs w:val="20"/>
        </w:rPr>
      </w:pPr>
      <w:r w:rsidRPr="006E53C8">
        <w:rPr>
          <w:rFonts w:ascii="Century Gothic" w:hAnsi="Century Gothic"/>
          <w:sz w:val="20"/>
          <w:szCs w:val="20"/>
        </w:rPr>
        <w:t xml:space="preserve">Australian adolescent girls </w:t>
      </w:r>
      <w:r w:rsidR="006E53C8" w:rsidRPr="006E53C8">
        <w:rPr>
          <w:rFonts w:ascii="Century Gothic" w:hAnsi="Century Gothic"/>
          <w:sz w:val="20"/>
          <w:szCs w:val="20"/>
        </w:rPr>
        <w:t xml:space="preserve">(in PISA) </w:t>
      </w:r>
      <w:r w:rsidRPr="006E53C8">
        <w:rPr>
          <w:rFonts w:ascii="Century Gothic" w:hAnsi="Century Gothic"/>
          <w:sz w:val="20"/>
          <w:szCs w:val="20"/>
        </w:rPr>
        <w:t>ap</w:t>
      </w:r>
      <w:r w:rsidR="00A608D1" w:rsidRPr="006E53C8">
        <w:rPr>
          <w:rFonts w:ascii="Century Gothic" w:hAnsi="Century Gothic"/>
          <w:sz w:val="20"/>
          <w:szCs w:val="20"/>
        </w:rPr>
        <w:t xml:space="preserve">pear to perceive significantly </w:t>
      </w:r>
      <w:r w:rsidR="007C05F0" w:rsidRPr="006E53C8">
        <w:rPr>
          <w:rFonts w:ascii="Century Gothic" w:hAnsi="Century Gothic"/>
          <w:sz w:val="20"/>
          <w:szCs w:val="20"/>
        </w:rPr>
        <w:t xml:space="preserve">lower levels </w:t>
      </w:r>
      <w:r w:rsidRPr="006E53C8">
        <w:rPr>
          <w:rFonts w:ascii="Century Gothic" w:hAnsi="Century Gothic"/>
          <w:sz w:val="20"/>
          <w:szCs w:val="20"/>
        </w:rPr>
        <w:t>of intrinsic value for mathematics</w:t>
      </w:r>
      <w:r w:rsidR="006E53C8" w:rsidRPr="006E53C8">
        <w:rPr>
          <w:rFonts w:ascii="Century Gothic" w:hAnsi="Century Gothic"/>
          <w:sz w:val="20"/>
          <w:szCs w:val="20"/>
        </w:rPr>
        <w:t xml:space="preserve"> and </w:t>
      </w:r>
      <w:r w:rsidR="006E53C8">
        <w:rPr>
          <w:rFonts w:ascii="Century Gothic" w:hAnsi="Century Gothic"/>
          <w:sz w:val="20"/>
          <w:szCs w:val="20"/>
        </w:rPr>
        <w:t xml:space="preserve">consistently </w:t>
      </w:r>
      <w:r w:rsidR="006E53C8" w:rsidRPr="006E53C8">
        <w:rPr>
          <w:rFonts w:ascii="Century Gothic" w:hAnsi="Century Gothic"/>
          <w:sz w:val="20"/>
          <w:szCs w:val="20"/>
        </w:rPr>
        <w:t xml:space="preserve">responded </w:t>
      </w:r>
      <w:r w:rsidR="006E53C8">
        <w:rPr>
          <w:rFonts w:ascii="Century Gothic" w:hAnsi="Century Gothic"/>
          <w:sz w:val="20"/>
          <w:szCs w:val="20"/>
        </w:rPr>
        <w:t xml:space="preserve">more negatively  to prompts referring to intrinsic value and motivation. </w:t>
      </w:r>
    </w:p>
    <w:p w:rsidR="006F07DF" w:rsidRPr="006E53C8" w:rsidRDefault="006F07DF" w:rsidP="00FF3D3A">
      <w:pPr>
        <w:pStyle w:val="ListParagraph"/>
        <w:numPr>
          <w:ilvl w:val="0"/>
          <w:numId w:val="4"/>
        </w:numPr>
        <w:jc w:val="both"/>
        <w:rPr>
          <w:rFonts w:ascii="Century Gothic" w:hAnsi="Century Gothic"/>
          <w:sz w:val="20"/>
          <w:szCs w:val="20"/>
        </w:rPr>
      </w:pPr>
      <w:r w:rsidRPr="006E53C8">
        <w:rPr>
          <w:rFonts w:ascii="Century Gothic" w:hAnsi="Century Gothic"/>
          <w:sz w:val="20"/>
          <w:szCs w:val="20"/>
        </w:rPr>
        <w:t xml:space="preserve">For all students, intrinsic value declined through junior </w:t>
      </w:r>
      <w:r w:rsidR="00A608D1" w:rsidRPr="006E53C8">
        <w:rPr>
          <w:rFonts w:ascii="Century Gothic" w:hAnsi="Century Gothic"/>
          <w:sz w:val="20"/>
          <w:szCs w:val="20"/>
        </w:rPr>
        <w:t xml:space="preserve">secondary </w:t>
      </w:r>
      <w:r w:rsidRPr="006E53C8">
        <w:rPr>
          <w:rFonts w:ascii="Century Gothic" w:hAnsi="Century Gothic"/>
          <w:sz w:val="20"/>
          <w:szCs w:val="20"/>
        </w:rPr>
        <w:t>and plateaued in senior years.</w:t>
      </w:r>
    </w:p>
    <w:p w:rsidR="006F07DF" w:rsidRDefault="00A608D1" w:rsidP="00FF3D3A">
      <w:pPr>
        <w:pStyle w:val="ListParagraph"/>
        <w:numPr>
          <w:ilvl w:val="0"/>
          <w:numId w:val="4"/>
        </w:numPr>
        <w:jc w:val="both"/>
        <w:rPr>
          <w:rFonts w:ascii="Century Gothic" w:hAnsi="Century Gothic"/>
          <w:sz w:val="20"/>
          <w:szCs w:val="20"/>
        </w:rPr>
      </w:pPr>
      <w:r>
        <w:rPr>
          <w:rFonts w:ascii="Century Gothic" w:hAnsi="Century Gothic"/>
          <w:sz w:val="20"/>
          <w:szCs w:val="20"/>
        </w:rPr>
        <w:t>Mathematics</w:t>
      </w:r>
      <w:r w:rsidR="006F07DF" w:rsidRPr="000A5406">
        <w:rPr>
          <w:rFonts w:ascii="Century Gothic" w:hAnsi="Century Gothic"/>
          <w:sz w:val="20"/>
          <w:szCs w:val="20"/>
        </w:rPr>
        <w:t xml:space="preserve"> utility </w:t>
      </w:r>
      <w:r w:rsidR="006F07DF">
        <w:rPr>
          <w:rFonts w:ascii="Century Gothic" w:hAnsi="Century Gothic"/>
          <w:sz w:val="20"/>
          <w:szCs w:val="20"/>
        </w:rPr>
        <w:t xml:space="preserve">(do I need it?) </w:t>
      </w:r>
      <w:r w:rsidR="006F07DF" w:rsidRPr="000A5406">
        <w:rPr>
          <w:rFonts w:ascii="Century Gothic" w:hAnsi="Century Gothic"/>
          <w:sz w:val="20"/>
          <w:szCs w:val="20"/>
        </w:rPr>
        <w:t>however, was not seen differently by boys or girls</w:t>
      </w:r>
      <w:r w:rsidR="006F07DF">
        <w:rPr>
          <w:rFonts w:ascii="Century Gothic" w:hAnsi="Century Gothic"/>
          <w:sz w:val="20"/>
          <w:szCs w:val="20"/>
        </w:rPr>
        <w:t xml:space="preserve"> (</w:t>
      </w:r>
      <w:r w:rsidR="006F07DF" w:rsidRPr="000A5406">
        <w:rPr>
          <w:rFonts w:ascii="Century Gothic" w:hAnsi="Century Gothic"/>
          <w:sz w:val="20"/>
          <w:szCs w:val="20"/>
        </w:rPr>
        <w:t>possibly in response to the extensive communication on the need for mathematics) but their perception</w:t>
      </w:r>
      <w:r w:rsidR="006F07DF">
        <w:rPr>
          <w:rFonts w:ascii="Century Gothic" w:hAnsi="Century Gothic"/>
          <w:sz w:val="20"/>
          <w:szCs w:val="20"/>
        </w:rPr>
        <w:t xml:space="preserve"> of usefulness </w:t>
      </w:r>
      <w:r w:rsidR="006F07DF" w:rsidRPr="000A5406">
        <w:rPr>
          <w:rFonts w:ascii="Century Gothic" w:hAnsi="Century Gothic"/>
          <w:sz w:val="20"/>
          <w:szCs w:val="20"/>
        </w:rPr>
        <w:t xml:space="preserve">did decline through secondary school. </w:t>
      </w:r>
    </w:p>
    <w:p w:rsidR="002309B9" w:rsidRPr="000A5406" w:rsidRDefault="002309B9" w:rsidP="00FF3D3A">
      <w:pPr>
        <w:pStyle w:val="ListParagraph"/>
        <w:numPr>
          <w:ilvl w:val="0"/>
          <w:numId w:val="4"/>
        </w:numPr>
        <w:jc w:val="both"/>
        <w:rPr>
          <w:rFonts w:ascii="Century Gothic" w:hAnsi="Century Gothic"/>
          <w:sz w:val="20"/>
          <w:szCs w:val="20"/>
        </w:rPr>
      </w:pPr>
      <w:r>
        <w:rPr>
          <w:rFonts w:ascii="Century Gothic" w:hAnsi="Century Gothic"/>
          <w:sz w:val="20"/>
          <w:szCs w:val="20"/>
        </w:rPr>
        <w:t>An international pattern is that girls choose educational pathwa</w:t>
      </w:r>
      <w:r w:rsidR="00FC103F">
        <w:rPr>
          <w:rFonts w:ascii="Century Gothic" w:hAnsi="Century Gothic"/>
          <w:sz w:val="20"/>
          <w:szCs w:val="20"/>
        </w:rPr>
        <w:t>ys leading to careers with lesse</w:t>
      </w:r>
      <w:r>
        <w:rPr>
          <w:rFonts w:ascii="Century Gothic" w:hAnsi="Century Gothic"/>
          <w:sz w:val="20"/>
          <w:szCs w:val="20"/>
        </w:rPr>
        <w:t xml:space="preserve">r status and reward and that girls value their achievement differently to boys when choosing their study pathways. </w:t>
      </w:r>
    </w:p>
    <w:p w:rsidR="006F07DF" w:rsidRPr="00A608D1" w:rsidRDefault="00A12AB6" w:rsidP="008A7117">
      <w:pPr>
        <w:pStyle w:val="Heading4"/>
      </w:pPr>
      <w:r>
        <w:t>Li</w:t>
      </w:r>
      <w:r w:rsidR="006F07DF" w:rsidRPr="00A608D1">
        <w:t xml:space="preserve">teracy </w:t>
      </w:r>
    </w:p>
    <w:p w:rsidR="006F07DF" w:rsidRPr="000A5406" w:rsidRDefault="006F07DF" w:rsidP="00FF3D3A">
      <w:pPr>
        <w:pStyle w:val="ListParagraph"/>
        <w:numPr>
          <w:ilvl w:val="0"/>
          <w:numId w:val="5"/>
        </w:numPr>
        <w:jc w:val="both"/>
        <w:rPr>
          <w:sz w:val="20"/>
          <w:szCs w:val="20"/>
        </w:rPr>
      </w:pPr>
      <w:r w:rsidRPr="000A5406">
        <w:rPr>
          <w:sz w:val="20"/>
          <w:szCs w:val="20"/>
        </w:rPr>
        <w:t>Girls saw significantly greater i</w:t>
      </w:r>
      <w:r w:rsidR="00FC103F">
        <w:rPr>
          <w:sz w:val="20"/>
          <w:szCs w:val="20"/>
        </w:rPr>
        <w:t xml:space="preserve">ntrinsic value and utility for </w:t>
      </w:r>
      <w:r w:rsidRPr="000A5406">
        <w:rPr>
          <w:sz w:val="20"/>
          <w:szCs w:val="20"/>
        </w:rPr>
        <w:t xml:space="preserve">English than boys throughout secondary schooling </w:t>
      </w:r>
    </w:p>
    <w:p w:rsidR="006F07DF" w:rsidRPr="00BB3CB7" w:rsidRDefault="006F07DF" w:rsidP="00FF3D3A">
      <w:pPr>
        <w:pStyle w:val="ListParagraph"/>
        <w:numPr>
          <w:ilvl w:val="0"/>
          <w:numId w:val="4"/>
        </w:numPr>
        <w:jc w:val="both"/>
        <w:rPr>
          <w:sz w:val="20"/>
          <w:szCs w:val="20"/>
        </w:rPr>
      </w:pPr>
      <w:r w:rsidRPr="000A5406">
        <w:rPr>
          <w:sz w:val="20"/>
          <w:szCs w:val="20"/>
        </w:rPr>
        <w:t>However, for both boys and girls the perception of the intrinsic value of E</w:t>
      </w:r>
      <w:r w:rsidR="00E26C4D">
        <w:rPr>
          <w:sz w:val="20"/>
          <w:szCs w:val="20"/>
        </w:rPr>
        <w:t>nglish declined over secondary Y</w:t>
      </w:r>
      <w:r w:rsidRPr="000A5406">
        <w:rPr>
          <w:sz w:val="20"/>
          <w:szCs w:val="20"/>
        </w:rPr>
        <w:t xml:space="preserve">ears 7-11, showed some recovery in the later years but did not come back to the initial </w:t>
      </w:r>
      <w:r w:rsidR="00E26C4D">
        <w:rPr>
          <w:sz w:val="20"/>
          <w:szCs w:val="20"/>
        </w:rPr>
        <w:t>Year</w:t>
      </w:r>
      <w:r w:rsidRPr="000A5406">
        <w:rPr>
          <w:sz w:val="20"/>
          <w:szCs w:val="20"/>
        </w:rPr>
        <w:t xml:space="preserve"> 7 levels.</w:t>
      </w:r>
    </w:p>
    <w:p w:rsidR="006F07DF" w:rsidRDefault="00776E86" w:rsidP="00FF3D3A">
      <w:pPr>
        <w:pStyle w:val="Heading3"/>
        <w:jc w:val="both"/>
        <w:rPr>
          <w:rFonts w:ascii="Century Gothic" w:hAnsi="Century Gothic"/>
        </w:rPr>
      </w:pPr>
      <w:bookmarkStart w:id="27" w:name="_Toc469259449"/>
      <w:r>
        <w:rPr>
          <w:rFonts w:ascii="Century Gothic" w:hAnsi="Century Gothic"/>
        </w:rPr>
        <w:t xml:space="preserve">2.3 </w:t>
      </w:r>
      <w:r w:rsidR="006F07DF" w:rsidRPr="00E36098">
        <w:rPr>
          <w:rFonts w:ascii="Century Gothic" w:hAnsi="Century Gothic"/>
        </w:rPr>
        <w:t>Engagement with learning</w:t>
      </w:r>
      <w:bookmarkEnd w:id="27"/>
      <w:r w:rsidR="006F07DF" w:rsidRPr="00E36098">
        <w:rPr>
          <w:rFonts w:ascii="Century Gothic" w:hAnsi="Century Gothic"/>
        </w:rPr>
        <w:t xml:space="preserve"> </w:t>
      </w:r>
    </w:p>
    <w:p w:rsidR="006F07DF" w:rsidRPr="000A5406" w:rsidRDefault="006F07DF" w:rsidP="00FF3D3A">
      <w:pPr>
        <w:jc w:val="both"/>
        <w:rPr>
          <w:sz w:val="20"/>
          <w:szCs w:val="20"/>
        </w:rPr>
      </w:pPr>
      <w:r w:rsidRPr="000A5406">
        <w:rPr>
          <w:sz w:val="20"/>
          <w:szCs w:val="20"/>
        </w:rPr>
        <w:t>Numerous studies have examine</w:t>
      </w:r>
      <w:r>
        <w:rPr>
          <w:sz w:val="20"/>
          <w:szCs w:val="20"/>
        </w:rPr>
        <w:t>d</w:t>
      </w:r>
      <w:r w:rsidRPr="000A5406">
        <w:rPr>
          <w:sz w:val="20"/>
          <w:szCs w:val="20"/>
        </w:rPr>
        <w:t xml:space="preserve"> the extent to which the dynamics of teaching and learning in classrooms </w:t>
      </w:r>
      <w:r>
        <w:rPr>
          <w:sz w:val="20"/>
          <w:szCs w:val="20"/>
        </w:rPr>
        <w:t xml:space="preserve">and schools </w:t>
      </w:r>
      <w:r w:rsidRPr="000A5406">
        <w:rPr>
          <w:sz w:val="20"/>
          <w:szCs w:val="20"/>
        </w:rPr>
        <w:t xml:space="preserve">and the practices of teachers can explain gender </w:t>
      </w:r>
      <w:r>
        <w:rPr>
          <w:sz w:val="20"/>
          <w:szCs w:val="20"/>
        </w:rPr>
        <w:t xml:space="preserve">learning </w:t>
      </w:r>
      <w:r w:rsidRPr="000A5406">
        <w:rPr>
          <w:sz w:val="20"/>
          <w:szCs w:val="20"/>
        </w:rPr>
        <w:t xml:space="preserve">differences in general and specifically </w:t>
      </w:r>
      <w:r>
        <w:rPr>
          <w:sz w:val="20"/>
          <w:szCs w:val="20"/>
        </w:rPr>
        <w:t xml:space="preserve">the </w:t>
      </w:r>
      <w:r w:rsidRPr="000A5406">
        <w:rPr>
          <w:sz w:val="20"/>
          <w:szCs w:val="20"/>
        </w:rPr>
        <w:t>differences in in literacy and numeracy</w:t>
      </w:r>
      <w:r>
        <w:rPr>
          <w:sz w:val="20"/>
          <w:szCs w:val="20"/>
        </w:rPr>
        <w:t xml:space="preserve"> performance. </w:t>
      </w:r>
      <w:r w:rsidR="005963F3">
        <w:rPr>
          <w:sz w:val="20"/>
          <w:szCs w:val="20"/>
        </w:rPr>
        <w:t xml:space="preserve">Engagement is an ambiguous term and researchers have </w:t>
      </w:r>
      <w:r w:rsidR="006B414E">
        <w:rPr>
          <w:sz w:val="20"/>
          <w:szCs w:val="20"/>
        </w:rPr>
        <w:t>different</w:t>
      </w:r>
      <w:r w:rsidR="005963F3">
        <w:rPr>
          <w:sz w:val="20"/>
          <w:szCs w:val="20"/>
        </w:rPr>
        <w:t xml:space="preserve"> emphases </w:t>
      </w:r>
      <w:r w:rsidR="00F54463">
        <w:rPr>
          <w:sz w:val="20"/>
          <w:szCs w:val="20"/>
        </w:rPr>
        <w:t>– a student’s psychological investment in their own learning, their participation in learning and their sense of belonging and relationship to the teacher (AITSL 2013). Overall</w:t>
      </w:r>
      <w:r>
        <w:rPr>
          <w:sz w:val="20"/>
          <w:szCs w:val="20"/>
        </w:rPr>
        <w:t xml:space="preserve"> research</w:t>
      </w:r>
      <w:r w:rsidR="00F54463">
        <w:rPr>
          <w:sz w:val="20"/>
          <w:szCs w:val="20"/>
        </w:rPr>
        <w:t>ers</w:t>
      </w:r>
      <w:r w:rsidRPr="000A5406">
        <w:rPr>
          <w:sz w:val="20"/>
          <w:szCs w:val="20"/>
        </w:rPr>
        <w:t xml:space="preserve"> </w:t>
      </w:r>
      <w:r>
        <w:rPr>
          <w:sz w:val="20"/>
          <w:szCs w:val="20"/>
        </w:rPr>
        <w:t xml:space="preserve">typically </w:t>
      </w:r>
      <w:r w:rsidRPr="00C212E9">
        <w:rPr>
          <w:sz w:val="20"/>
          <w:szCs w:val="20"/>
        </w:rPr>
        <w:t xml:space="preserve">used </w:t>
      </w:r>
      <w:r w:rsidR="00F54463">
        <w:rPr>
          <w:sz w:val="20"/>
          <w:szCs w:val="20"/>
        </w:rPr>
        <w:t xml:space="preserve">‘engagement’ </w:t>
      </w:r>
      <w:r w:rsidRPr="00C212E9">
        <w:rPr>
          <w:sz w:val="20"/>
          <w:szCs w:val="20"/>
        </w:rPr>
        <w:t xml:space="preserve">to describe students’ motivated involvement with </w:t>
      </w:r>
      <w:r>
        <w:rPr>
          <w:sz w:val="20"/>
          <w:szCs w:val="20"/>
        </w:rPr>
        <w:t xml:space="preserve">all or a part of schooling </w:t>
      </w:r>
      <w:r w:rsidRPr="00C212E9">
        <w:rPr>
          <w:sz w:val="20"/>
          <w:szCs w:val="20"/>
        </w:rPr>
        <w:t>particularly in r</w:t>
      </w:r>
      <w:r w:rsidR="005F70E1">
        <w:rPr>
          <w:sz w:val="20"/>
          <w:szCs w:val="20"/>
        </w:rPr>
        <w:t>elation to motivational beliefs</w:t>
      </w:r>
      <w:r w:rsidRPr="00C212E9">
        <w:rPr>
          <w:sz w:val="20"/>
          <w:szCs w:val="20"/>
        </w:rPr>
        <w:t xml:space="preserve"> </w:t>
      </w:r>
      <w:r w:rsidRPr="000A5406">
        <w:rPr>
          <w:sz w:val="20"/>
          <w:szCs w:val="20"/>
        </w:rPr>
        <w:t>(</w:t>
      </w:r>
      <w:r>
        <w:rPr>
          <w:sz w:val="20"/>
          <w:szCs w:val="20"/>
        </w:rPr>
        <w:t xml:space="preserve">Buckley 2016: </w:t>
      </w:r>
      <w:r w:rsidR="00BB3CB7">
        <w:rPr>
          <w:sz w:val="20"/>
          <w:szCs w:val="20"/>
        </w:rPr>
        <w:t xml:space="preserve">Trent and Slade </w:t>
      </w:r>
      <w:r w:rsidRPr="000A5406">
        <w:rPr>
          <w:sz w:val="20"/>
          <w:szCs w:val="20"/>
        </w:rPr>
        <w:t xml:space="preserve">2001; Munns et al 2006; Martin 2002; </w:t>
      </w:r>
      <w:r>
        <w:rPr>
          <w:sz w:val="20"/>
          <w:szCs w:val="20"/>
        </w:rPr>
        <w:t>Alloway et al 2002; Creswell et al 2002</w:t>
      </w:r>
      <w:r w:rsidR="00BB3CB7">
        <w:rPr>
          <w:sz w:val="20"/>
          <w:szCs w:val="20"/>
        </w:rPr>
        <w:t>)</w:t>
      </w:r>
      <w:r w:rsidR="005F70E1">
        <w:rPr>
          <w:sz w:val="20"/>
          <w:szCs w:val="20"/>
        </w:rPr>
        <w:t>.</w:t>
      </w:r>
      <w:r>
        <w:rPr>
          <w:sz w:val="20"/>
          <w:szCs w:val="20"/>
        </w:rPr>
        <w:t xml:space="preserve"> </w:t>
      </w:r>
    </w:p>
    <w:p w:rsidR="008A7117" w:rsidRDefault="00A12AB6" w:rsidP="008A7117">
      <w:pPr>
        <w:pStyle w:val="Heading4"/>
      </w:pPr>
      <w:r>
        <w:t>For m</w:t>
      </w:r>
      <w:r w:rsidR="008A7117">
        <w:t xml:space="preserve">athematics </w:t>
      </w:r>
    </w:p>
    <w:p w:rsidR="006F07DF" w:rsidRDefault="006F07DF" w:rsidP="00FF3D3A">
      <w:pPr>
        <w:jc w:val="both"/>
        <w:rPr>
          <w:sz w:val="20"/>
          <w:szCs w:val="20"/>
        </w:rPr>
      </w:pPr>
      <w:r>
        <w:rPr>
          <w:sz w:val="20"/>
          <w:szCs w:val="20"/>
        </w:rPr>
        <w:t>K</w:t>
      </w:r>
      <w:r w:rsidRPr="000A5406">
        <w:rPr>
          <w:sz w:val="20"/>
          <w:szCs w:val="20"/>
        </w:rPr>
        <w:t xml:space="preserve">ey findings </w:t>
      </w:r>
      <w:r>
        <w:rPr>
          <w:sz w:val="20"/>
          <w:szCs w:val="20"/>
        </w:rPr>
        <w:t>for mathematics</w:t>
      </w:r>
      <w:r w:rsidR="00BB3CB7">
        <w:rPr>
          <w:sz w:val="20"/>
          <w:szCs w:val="20"/>
        </w:rPr>
        <w:t xml:space="preserve"> include that</w:t>
      </w:r>
      <w:r w:rsidRPr="000A5406">
        <w:rPr>
          <w:sz w:val="20"/>
          <w:szCs w:val="20"/>
        </w:rPr>
        <w:t xml:space="preserve">: </w:t>
      </w:r>
    </w:p>
    <w:p w:rsidR="006F07DF" w:rsidRDefault="00BB3CB7" w:rsidP="00FF3D3A">
      <w:pPr>
        <w:pStyle w:val="ListParagraph"/>
        <w:numPr>
          <w:ilvl w:val="0"/>
          <w:numId w:val="4"/>
        </w:numPr>
        <w:jc w:val="both"/>
        <w:rPr>
          <w:sz w:val="20"/>
          <w:szCs w:val="20"/>
        </w:rPr>
      </w:pPr>
      <w:r>
        <w:rPr>
          <w:sz w:val="20"/>
          <w:szCs w:val="20"/>
        </w:rPr>
        <w:t>girls</w:t>
      </w:r>
      <w:r w:rsidR="006F07DF">
        <w:rPr>
          <w:sz w:val="20"/>
          <w:szCs w:val="20"/>
        </w:rPr>
        <w:t xml:space="preserve"> are less engaged with mathematics </w:t>
      </w:r>
      <w:r w:rsidR="0099482E">
        <w:rPr>
          <w:sz w:val="20"/>
          <w:szCs w:val="20"/>
        </w:rPr>
        <w:t>and more fearful of the subject</w:t>
      </w:r>
    </w:p>
    <w:p w:rsidR="006F07DF" w:rsidRDefault="00BB3CB7" w:rsidP="00FF3D3A">
      <w:pPr>
        <w:pStyle w:val="ListParagraph"/>
        <w:numPr>
          <w:ilvl w:val="0"/>
          <w:numId w:val="4"/>
        </w:numPr>
        <w:jc w:val="both"/>
        <w:rPr>
          <w:sz w:val="20"/>
          <w:szCs w:val="20"/>
        </w:rPr>
      </w:pPr>
      <w:r>
        <w:rPr>
          <w:sz w:val="20"/>
          <w:szCs w:val="20"/>
        </w:rPr>
        <w:t>g</w:t>
      </w:r>
      <w:r w:rsidR="006F07DF" w:rsidRPr="00442D20">
        <w:rPr>
          <w:sz w:val="20"/>
          <w:szCs w:val="20"/>
        </w:rPr>
        <w:t xml:space="preserve">irls perceive mathematics </w:t>
      </w:r>
      <w:r>
        <w:rPr>
          <w:sz w:val="20"/>
          <w:szCs w:val="20"/>
        </w:rPr>
        <w:t>to be</w:t>
      </w:r>
      <w:r w:rsidR="006F07DF" w:rsidRPr="00442D20">
        <w:rPr>
          <w:sz w:val="20"/>
          <w:szCs w:val="20"/>
        </w:rPr>
        <w:t xml:space="preserve"> more difficult than </w:t>
      </w:r>
      <w:r>
        <w:rPr>
          <w:sz w:val="20"/>
          <w:szCs w:val="20"/>
        </w:rPr>
        <w:t>do</w:t>
      </w:r>
      <w:r w:rsidR="006F07DF" w:rsidRPr="00442D20">
        <w:rPr>
          <w:sz w:val="20"/>
          <w:szCs w:val="20"/>
        </w:rPr>
        <w:t xml:space="preserve"> boys through most of secondary school , although they </w:t>
      </w:r>
      <w:r>
        <w:rPr>
          <w:sz w:val="20"/>
          <w:szCs w:val="20"/>
        </w:rPr>
        <w:t>have</w:t>
      </w:r>
      <w:r w:rsidR="006F07DF" w:rsidRPr="00442D20">
        <w:rPr>
          <w:sz w:val="20"/>
          <w:szCs w:val="20"/>
        </w:rPr>
        <w:t xml:space="preserve"> more or less simila</w:t>
      </w:r>
      <w:r w:rsidR="006E53C8">
        <w:rPr>
          <w:sz w:val="20"/>
          <w:szCs w:val="20"/>
        </w:rPr>
        <w:t>r perceptions of difficulty in Y</w:t>
      </w:r>
      <w:r w:rsidR="006F07DF" w:rsidRPr="00442D20">
        <w:rPr>
          <w:sz w:val="20"/>
          <w:szCs w:val="20"/>
        </w:rPr>
        <w:t xml:space="preserve">ear 7 and at the end of </w:t>
      </w:r>
      <w:r w:rsidR="006F07DF">
        <w:rPr>
          <w:sz w:val="20"/>
          <w:szCs w:val="20"/>
        </w:rPr>
        <w:t>Y</w:t>
      </w:r>
      <w:r w:rsidR="006F07DF" w:rsidRPr="00442D20">
        <w:rPr>
          <w:sz w:val="20"/>
          <w:szCs w:val="20"/>
        </w:rPr>
        <w:t xml:space="preserve">ear 11 </w:t>
      </w:r>
    </w:p>
    <w:p w:rsidR="006F07DF" w:rsidRDefault="00BB3CB7" w:rsidP="00FF3D3A">
      <w:pPr>
        <w:pStyle w:val="ListParagraph"/>
        <w:numPr>
          <w:ilvl w:val="0"/>
          <w:numId w:val="4"/>
        </w:numPr>
        <w:jc w:val="both"/>
        <w:rPr>
          <w:sz w:val="20"/>
          <w:szCs w:val="20"/>
        </w:rPr>
      </w:pPr>
      <w:r>
        <w:rPr>
          <w:sz w:val="20"/>
          <w:szCs w:val="20"/>
        </w:rPr>
        <w:t>g</w:t>
      </w:r>
      <w:r w:rsidR="006F07DF" w:rsidRPr="00C212E9">
        <w:rPr>
          <w:sz w:val="20"/>
          <w:szCs w:val="20"/>
        </w:rPr>
        <w:t>ender differences in confidence extend beyond self-efficacy</w:t>
      </w:r>
      <w:r>
        <w:rPr>
          <w:sz w:val="20"/>
          <w:szCs w:val="20"/>
        </w:rPr>
        <w:t xml:space="preserve"> (</w:t>
      </w:r>
      <w:r w:rsidR="006F07DF">
        <w:rPr>
          <w:sz w:val="20"/>
          <w:szCs w:val="20"/>
        </w:rPr>
        <w:t xml:space="preserve">e.g. confidence that I can solve a problem) </w:t>
      </w:r>
      <w:r w:rsidR="006F07DF" w:rsidRPr="00C212E9">
        <w:rPr>
          <w:sz w:val="20"/>
          <w:szCs w:val="20"/>
        </w:rPr>
        <w:t>to more general competence beliefs</w:t>
      </w:r>
      <w:r w:rsidR="006F07DF">
        <w:rPr>
          <w:sz w:val="20"/>
          <w:szCs w:val="20"/>
        </w:rPr>
        <w:t xml:space="preserve"> ( e.g. I am generally good at this)</w:t>
      </w:r>
      <w:r>
        <w:rPr>
          <w:sz w:val="20"/>
          <w:szCs w:val="20"/>
        </w:rPr>
        <w:t xml:space="preserve">, with girls </w:t>
      </w:r>
      <w:r w:rsidR="006F07DF" w:rsidRPr="00C212E9">
        <w:rPr>
          <w:sz w:val="20"/>
          <w:szCs w:val="20"/>
        </w:rPr>
        <w:t>tending to perceiv</w:t>
      </w:r>
      <w:r w:rsidR="006F07DF">
        <w:rPr>
          <w:sz w:val="20"/>
          <w:szCs w:val="20"/>
        </w:rPr>
        <w:t xml:space="preserve">e their general ability levels </w:t>
      </w:r>
      <w:r w:rsidR="006F07DF" w:rsidRPr="00C212E9">
        <w:rPr>
          <w:sz w:val="20"/>
          <w:szCs w:val="20"/>
        </w:rPr>
        <w:t xml:space="preserve">more negatively than </w:t>
      </w:r>
      <w:r>
        <w:rPr>
          <w:sz w:val="20"/>
          <w:szCs w:val="20"/>
        </w:rPr>
        <w:t>boys</w:t>
      </w:r>
      <w:r w:rsidR="006F07DF" w:rsidRPr="00C212E9">
        <w:rPr>
          <w:sz w:val="20"/>
          <w:szCs w:val="20"/>
        </w:rPr>
        <w:t xml:space="preserve"> </w:t>
      </w:r>
    </w:p>
    <w:p w:rsidR="00A12AB6" w:rsidRPr="00386890" w:rsidRDefault="00BB3CB7" w:rsidP="008A7117">
      <w:pPr>
        <w:pStyle w:val="ListParagraph"/>
        <w:numPr>
          <w:ilvl w:val="0"/>
          <w:numId w:val="4"/>
        </w:numPr>
        <w:jc w:val="both"/>
        <w:rPr>
          <w:sz w:val="20"/>
          <w:szCs w:val="20"/>
        </w:rPr>
      </w:pPr>
      <w:r>
        <w:rPr>
          <w:sz w:val="20"/>
          <w:szCs w:val="20"/>
        </w:rPr>
        <w:t xml:space="preserve">the choice to study higher level </w:t>
      </w:r>
      <w:r w:rsidR="005D1769">
        <w:rPr>
          <w:sz w:val="20"/>
          <w:szCs w:val="20"/>
        </w:rPr>
        <w:t>mathematics is</w:t>
      </w:r>
      <w:r>
        <w:rPr>
          <w:sz w:val="20"/>
          <w:szCs w:val="20"/>
        </w:rPr>
        <w:t xml:space="preserve"> significantly influenced by the level of </w:t>
      </w:r>
      <w:r w:rsidR="006F07DF">
        <w:rPr>
          <w:sz w:val="20"/>
          <w:szCs w:val="20"/>
        </w:rPr>
        <w:t>engagement and success in</w:t>
      </w:r>
      <w:r>
        <w:rPr>
          <w:sz w:val="20"/>
          <w:szCs w:val="20"/>
        </w:rPr>
        <w:t xml:space="preserve"> junior mathematics classrooms </w:t>
      </w:r>
      <w:r w:rsidR="006F07DF">
        <w:rPr>
          <w:sz w:val="20"/>
          <w:szCs w:val="20"/>
        </w:rPr>
        <w:t>and the associated perceptions of ability</w:t>
      </w:r>
      <w:r>
        <w:rPr>
          <w:sz w:val="20"/>
          <w:szCs w:val="20"/>
        </w:rPr>
        <w:t xml:space="preserve"> by</w:t>
      </w:r>
      <w:r w:rsidR="006F07DF">
        <w:rPr>
          <w:sz w:val="20"/>
          <w:szCs w:val="20"/>
        </w:rPr>
        <w:t xml:space="preserve"> </w:t>
      </w:r>
      <w:r>
        <w:rPr>
          <w:sz w:val="20"/>
          <w:szCs w:val="20"/>
        </w:rPr>
        <w:t>boys and girls</w:t>
      </w:r>
      <w:r w:rsidR="007C05F0">
        <w:rPr>
          <w:sz w:val="20"/>
          <w:szCs w:val="20"/>
        </w:rPr>
        <w:t>.</w:t>
      </w:r>
    </w:p>
    <w:p w:rsidR="008A7117" w:rsidRDefault="00A12AB6" w:rsidP="008A7117">
      <w:pPr>
        <w:pStyle w:val="Heading4"/>
      </w:pPr>
      <w:r>
        <w:t>For li</w:t>
      </w:r>
      <w:r w:rsidR="008A7117">
        <w:t xml:space="preserve">teracy </w:t>
      </w:r>
    </w:p>
    <w:p w:rsidR="006F07DF" w:rsidRPr="00953083" w:rsidRDefault="006F07DF" w:rsidP="00FF3D3A">
      <w:pPr>
        <w:jc w:val="both"/>
        <w:rPr>
          <w:sz w:val="20"/>
          <w:szCs w:val="20"/>
        </w:rPr>
      </w:pPr>
      <w:r w:rsidRPr="00953083">
        <w:rPr>
          <w:sz w:val="20"/>
          <w:szCs w:val="20"/>
        </w:rPr>
        <w:t xml:space="preserve">Key findings for literacy </w:t>
      </w:r>
      <w:r w:rsidR="00BB3CB7">
        <w:rPr>
          <w:sz w:val="20"/>
          <w:szCs w:val="20"/>
        </w:rPr>
        <w:t xml:space="preserve">include that: </w:t>
      </w:r>
    </w:p>
    <w:p w:rsidR="006F07DF" w:rsidRDefault="00BB3CB7" w:rsidP="00FF3D3A">
      <w:pPr>
        <w:pStyle w:val="ListParagraph"/>
        <w:numPr>
          <w:ilvl w:val="0"/>
          <w:numId w:val="4"/>
        </w:numPr>
        <w:jc w:val="both"/>
        <w:rPr>
          <w:sz w:val="20"/>
          <w:szCs w:val="20"/>
        </w:rPr>
      </w:pPr>
      <w:r>
        <w:rPr>
          <w:sz w:val="20"/>
          <w:szCs w:val="20"/>
        </w:rPr>
        <w:t>a lack of engagement for many boys has come about because l</w:t>
      </w:r>
      <w:r w:rsidR="006F07DF" w:rsidRPr="000A5406">
        <w:rPr>
          <w:sz w:val="20"/>
          <w:szCs w:val="20"/>
        </w:rPr>
        <w:t xml:space="preserve">iteracy has become synonymous with schooling </w:t>
      </w:r>
      <w:r>
        <w:rPr>
          <w:sz w:val="20"/>
          <w:szCs w:val="20"/>
        </w:rPr>
        <w:t>and literacy is something that many of them are not good at and see little merit in</w:t>
      </w:r>
    </w:p>
    <w:p w:rsidR="0099482E" w:rsidRPr="0099482E" w:rsidRDefault="006F07DF" w:rsidP="00FF3D3A">
      <w:pPr>
        <w:pStyle w:val="ListParagraph"/>
        <w:numPr>
          <w:ilvl w:val="0"/>
          <w:numId w:val="4"/>
        </w:numPr>
        <w:jc w:val="both"/>
        <w:rPr>
          <w:sz w:val="20"/>
          <w:szCs w:val="20"/>
        </w:rPr>
      </w:pPr>
      <w:r w:rsidRPr="000A5406">
        <w:rPr>
          <w:sz w:val="20"/>
          <w:szCs w:val="20"/>
        </w:rPr>
        <w:t>boys consistently report poor engagement with schooling</w:t>
      </w:r>
      <w:r w:rsidR="00FC103F">
        <w:rPr>
          <w:sz w:val="20"/>
          <w:szCs w:val="20"/>
        </w:rPr>
        <w:t>,</w:t>
      </w:r>
      <w:r w:rsidR="00BB3CB7">
        <w:rPr>
          <w:sz w:val="20"/>
          <w:szCs w:val="20"/>
        </w:rPr>
        <w:t xml:space="preserve"> </w:t>
      </w:r>
      <w:r w:rsidR="00FC103F">
        <w:rPr>
          <w:sz w:val="20"/>
          <w:szCs w:val="20"/>
        </w:rPr>
        <w:t xml:space="preserve">perhaps due to </w:t>
      </w:r>
      <w:r w:rsidR="00FF4128">
        <w:rPr>
          <w:sz w:val="20"/>
          <w:szCs w:val="20"/>
        </w:rPr>
        <w:t>their</w:t>
      </w:r>
      <w:r w:rsidRPr="000A5406">
        <w:rPr>
          <w:sz w:val="20"/>
          <w:szCs w:val="20"/>
        </w:rPr>
        <w:t xml:space="preserve"> inability to have meaningful input into </w:t>
      </w:r>
      <w:r w:rsidR="00FC103F">
        <w:rPr>
          <w:sz w:val="20"/>
          <w:szCs w:val="20"/>
        </w:rPr>
        <w:t xml:space="preserve">their </w:t>
      </w:r>
      <w:r w:rsidRPr="000A5406">
        <w:rPr>
          <w:sz w:val="20"/>
          <w:szCs w:val="20"/>
        </w:rPr>
        <w:t>learning</w:t>
      </w:r>
      <w:r w:rsidR="00FC103F">
        <w:rPr>
          <w:sz w:val="20"/>
          <w:szCs w:val="20"/>
        </w:rPr>
        <w:t>, and this</w:t>
      </w:r>
      <w:r w:rsidRPr="000A5406">
        <w:rPr>
          <w:sz w:val="20"/>
          <w:szCs w:val="20"/>
        </w:rPr>
        <w:t xml:space="preserve"> ha</w:t>
      </w:r>
      <w:r w:rsidR="0099482E">
        <w:rPr>
          <w:sz w:val="20"/>
          <w:szCs w:val="20"/>
        </w:rPr>
        <w:t>s</w:t>
      </w:r>
      <w:r w:rsidRPr="000A5406">
        <w:rPr>
          <w:sz w:val="20"/>
          <w:szCs w:val="20"/>
        </w:rPr>
        <w:t xml:space="preserve"> led to sch</w:t>
      </w:r>
      <w:r>
        <w:rPr>
          <w:sz w:val="20"/>
          <w:szCs w:val="20"/>
        </w:rPr>
        <w:t>o</w:t>
      </w:r>
      <w:r w:rsidR="0099482E">
        <w:rPr>
          <w:sz w:val="20"/>
          <w:szCs w:val="20"/>
        </w:rPr>
        <w:t>ol not being relevant for them</w:t>
      </w:r>
    </w:p>
    <w:p w:rsidR="006F07DF" w:rsidRDefault="006F07DF" w:rsidP="00FF3D3A">
      <w:pPr>
        <w:pStyle w:val="ListParagraph"/>
        <w:numPr>
          <w:ilvl w:val="0"/>
          <w:numId w:val="4"/>
        </w:numPr>
        <w:autoSpaceDE w:val="0"/>
        <w:autoSpaceDN w:val="0"/>
        <w:adjustRightInd w:val="0"/>
        <w:spacing w:after="0" w:line="240" w:lineRule="auto"/>
        <w:jc w:val="both"/>
        <w:rPr>
          <w:sz w:val="20"/>
          <w:szCs w:val="20"/>
        </w:rPr>
      </w:pPr>
      <w:r>
        <w:rPr>
          <w:sz w:val="20"/>
          <w:szCs w:val="20"/>
        </w:rPr>
        <w:t xml:space="preserve">boys are engaged by </w:t>
      </w:r>
      <w:r w:rsidRPr="000056AC">
        <w:rPr>
          <w:sz w:val="20"/>
          <w:szCs w:val="20"/>
        </w:rPr>
        <w:t>tasks emphasising visual, logical and analytical approaches, but these</w:t>
      </w:r>
      <w:r>
        <w:rPr>
          <w:sz w:val="20"/>
          <w:szCs w:val="20"/>
        </w:rPr>
        <w:t xml:space="preserve"> </w:t>
      </w:r>
      <w:r w:rsidR="0099482E">
        <w:rPr>
          <w:sz w:val="20"/>
          <w:szCs w:val="20"/>
        </w:rPr>
        <w:t>a</w:t>
      </w:r>
      <w:r w:rsidRPr="000056AC">
        <w:rPr>
          <w:sz w:val="20"/>
          <w:szCs w:val="20"/>
        </w:rPr>
        <w:t xml:space="preserve">re not </w:t>
      </w:r>
      <w:r>
        <w:rPr>
          <w:sz w:val="20"/>
          <w:szCs w:val="20"/>
        </w:rPr>
        <w:t xml:space="preserve">in general adequately </w:t>
      </w:r>
      <w:r w:rsidRPr="000056AC">
        <w:rPr>
          <w:sz w:val="20"/>
          <w:szCs w:val="20"/>
        </w:rPr>
        <w:t>catered for by existing curricula and pedagogies.</w:t>
      </w:r>
    </w:p>
    <w:p w:rsidR="006F07DF" w:rsidRPr="007C05F0" w:rsidRDefault="0099482E" w:rsidP="00FF3D3A">
      <w:pPr>
        <w:pStyle w:val="ListParagraph"/>
        <w:numPr>
          <w:ilvl w:val="0"/>
          <w:numId w:val="4"/>
        </w:numPr>
        <w:autoSpaceDE w:val="0"/>
        <w:autoSpaceDN w:val="0"/>
        <w:adjustRightInd w:val="0"/>
        <w:spacing w:after="0" w:line="240" w:lineRule="auto"/>
        <w:jc w:val="both"/>
        <w:rPr>
          <w:sz w:val="20"/>
          <w:szCs w:val="20"/>
        </w:rPr>
      </w:pPr>
      <w:r>
        <w:rPr>
          <w:sz w:val="20"/>
          <w:szCs w:val="20"/>
        </w:rPr>
        <w:t>b</w:t>
      </w:r>
      <w:r w:rsidR="006F07DF" w:rsidRPr="000056AC">
        <w:rPr>
          <w:sz w:val="20"/>
          <w:szCs w:val="20"/>
        </w:rPr>
        <w:t>oys’ disengagement</w:t>
      </w:r>
      <w:r w:rsidR="006F07DF">
        <w:rPr>
          <w:sz w:val="20"/>
          <w:szCs w:val="20"/>
        </w:rPr>
        <w:t xml:space="preserve"> </w:t>
      </w:r>
      <w:r w:rsidR="006F07DF" w:rsidRPr="000056AC">
        <w:rPr>
          <w:sz w:val="20"/>
          <w:szCs w:val="20"/>
        </w:rPr>
        <w:t xml:space="preserve">from their schooling </w:t>
      </w:r>
      <w:r>
        <w:rPr>
          <w:sz w:val="20"/>
          <w:szCs w:val="20"/>
        </w:rPr>
        <w:t>i</w:t>
      </w:r>
      <w:r w:rsidR="006F07DF" w:rsidRPr="000056AC">
        <w:rPr>
          <w:sz w:val="20"/>
          <w:szCs w:val="20"/>
        </w:rPr>
        <w:t xml:space="preserve">s </w:t>
      </w:r>
      <w:r w:rsidR="00FC103F">
        <w:rPr>
          <w:sz w:val="20"/>
          <w:szCs w:val="20"/>
        </w:rPr>
        <w:t>placing</w:t>
      </w:r>
      <w:r w:rsidR="006F07DF" w:rsidRPr="000056AC">
        <w:rPr>
          <w:sz w:val="20"/>
          <w:szCs w:val="20"/>
        </w:rPr>
        <w:t xml:space="preserve"> them at risk of becoming behaviour problems. The early years </w:t>
      </w:r>
      <w:r w:rsidR="00FC103F">
        <w:rPr>
          <w:sz w:val="20"/>
          <w:szCs w:val="20"/>
        </w:rPr>
        <w:t xml:space="preserve">are </w:t>
      </w:r>
      <w:r w:rsidR="006F07DF" w:rsidRPr="000056AC">
        <w:rPr>
          <w:sz w:val="20"/>
          <w:szCs w:val="20"/>
        </w:rPr>
        <w:t>seen to be particularly risky</w:t>
      </w:r>
      <w:r w:rsidR="006F07DF">
        <w:rPr>
          <w:sz w:val="20"/>
          <w:szCs w:val="20"/>
        </w:rPr>
        <w:t xml:space="preserve"> </w:t>
      </w:r>
      <w:r w:rsidR="00FC103F">
        <w:rPr>
          <w:sz w:val="20"/>
          <w:szCs w:val="20"/>
        </w:rPr>
        <w:t>for those boys who do</w:t>
      </w:r>
      <w:r w:rsidR="006F07DF" w:rsidRPr="000056AC">
        <w:rPr>
          <w:sz w:val="20"/>
          <w:szCs w:val="20"/>
        </w:rPr>
        <w:t xml:space="preserve"> not find positive </w:t>
      </w:r>
      <w:r w:rsidR="006F07DF">
        <w:rPr>
          <w:sz w:val="20"/>
          <w:szCs w:val="20"/>
        </w:rPr>
        <w:t xml:space="preserve">and engaging </w:t>
      </w:r>
      <w:r w:rsidR="006F07DF" w:rsidRPr="000056AC">
        <w:rPr>
          <w:sz w:val="20"/>
          <w:szCs w:val="20"/>
        </w:rPr>
        <w:t>experiences in their schooling.</w:t>
      </w:r>
    </w:p>
    <w:p w:rsidR="006F07DF" w:rsidRPr="003734B2" w:rsidRDefault="00776E86" w:rsidP="00FF3D3A">
      <w:pPr>
        <w:pStyle w:val="Heading2"/>
        <w:jc w:val="both"/>
        <w:rPr>
          <w:rFonts w:ascii="Century Gothic" w:hAnsi="Century Gothic"/>
        </w:rPr>
      </w:pPr>
      <w:bookmarkStart w:id="28" w:name="_Toc469259450"/>
      <w:r>
        <w:rPr>
          <w:rFonts w:ascii="Century Gothic" w:hAnsi="Century Gothic"/>
        </w:rPr>
        <w:t xml:space="preserve">3. </w:t>
      </w:r>
      <w:r w:rsidR="006F07DF">
        <w:rPr>
          <w:rFonts w:ascii="Century Gothic" w:hAnsi="Century Gothic"/>
        </w:rPr>
        <w:t>Effective strategies</w:t>
      </w:r>
      <w:bookmarkEnd w:id="28"/>
      <w:r w:rsidR="006F07DF">
        <w:rPr>
          <w:rFonts w:ascii="Century Gothic" w:hAnsi="Century Gothic"/>
        </w:rPr>
        <w:t xml:space="preserve"> </w:t>
      </w:r>
    </w:p>
    <w:p w:rsidR="00784069" w:rsidRPr="00784069" w:rsidRDefault="00784069" w:rsidP="00FF3D3A">
      <w:pPr>
        <w:jc w:val="both"/>
        <w:rPr>
          <w:sz w:val="20"/>
          <w:szCs w:val="20"/>
        </w:rPr>
      </w:pPr>
      <w:r w:rsidRPr="00784069">
        <w:rPr>
          <w:sz w:val="20"/>
          <w:szCs w:val="20"/>
        </w:rPr>
        <w:t>T</w:t>
      </w:r>
      <w:r w:rsidR="006F07DF" w:rsidRPr="00784069">
        <w:rPr>
          <w:sz w:val="20"/>
          <w:szCs w:val="20"/>
        </w:rPr>
        <w:t xml:space="preserve">he </w:t>
      </w:r>
      <w:r w:rsidRPr="00784069">
        <w:rPr>
          <w:sz w:val="20"/>
          <w:szCs w:val="20"/>
        </w:rPr>
        <w:t xml:space="preserve">school </w:t>
      </w:r>
      <w:r w:rsidR="006F07DF" w:rsidRPr="00784069">
        <w:rPr>
          <w:sz w:val="20"/>
          <w:szCs w:val="20"/>
        </w:rPr>
        <w:t>factors impacting on girls’ and boys’ literacy and numeracy performance</w:t>
      </w:r>
      <w:r w:rsidRPr="00784069">
        <w:rPr>
          <w:sz w:val="20"/>
          <w:szCs w:val="20"/>
        </w:rPr>
        <w:t xml:space="preserve"> are </w:t>
      </w:r>
      <w:r w:rsidR="006F07DF" w:rsidRPr="00784069">
        <w:rPr>
          <w:sz w:val="20"/>
          <w:szCs w:val="20"/>
        </w:rPr>
        <w:t>typically characterised as multi-faceted and complex</w:t>
      </w:r>
      <w:r w:rsidRPr="00784069">
        <w:rPr>
          <w:sz w:val="20"/>
          <w:szCs w:val="20"/>
        </w:rPr>
        <w:t xml:space="preserve">. </w:t>
      </w:r>
    </w:p>
    <w:p w:rsidR="006F07DF" w:rsidRPr="00784069" w:rsidRDefault="00784069" w:rsidP="00FF3D3A">
      <w:pPr>
        <w:jc w:val="both"/>
        <w:rPr>
          <w:sz w:val="20"/>
          <w:szCs w:val="20"/>
        </w:rPr>
      </w:pPr>
      <w:r w:rsidRPr="00784069">
        <w:rPr>
          <w:sz w:val="20"/>
          <w:szCs w:val="20"/>
        </w:rPr>
        <w:t>It is no surprise then that t</w:t>
      </w:r>
      <w:r w:rsidR="006F07DF" w:rsidRPr="00784069">
        <w:rPr>
          <w:sz w:val="20"/>
          <w:szCs w:val="20"/>
        </w:rPr>
        <w:t xml:space="preserve">he strength of the evidence base for recommended </w:t>
      </w:r>
      <w:r w:rsidR="007C05F0" w:rsidRPr="00784069">
        <w:rPr>
          <w:sz w:val="20"/>
          <w:szCs w:val="20"/>
        </w:rPr>
        <w:t xml:space="preserve">or proven </w:t>
      </w:r>
      <w:r w:rsidR="006F07DF" w:rsidRPr="00784069">
        <w:rPr>
          <w:sz w:val="20"/>
          <w:szCs w:val="20"/>
        </w:rPr>
        <w:t>education strategies is variable</w:t>
      </w:r>
      <w:r w:rsidR="007C05F0" w:rsidRPr="00784069">
        <w:rPr>
          <w:sz w:val="20"/>
          <w:szCs w:val="20"/>
        </w:rPr>
        <w:t>.</w:t>
      </w:r>
      <w:r w:rsidR="006F07DF" w:rsidRPr="00784069">
        <w:rPr>
          <w:sz w:val="20"/>
          <w:szCs w:val="20"/>
        </w:rPr>
        <w:t xml:space="preserve"> </w:t>
      </w:r>
      <w:r w:rsidR="007C05F0" w:rsidRPr="00784069">
        <w:rPr>
          <w:sz w:val="20"/>
          <w:szCs w:val="20"/>
        </w:rPr>
        <w:t>A</w:t>
      </w:r>
      <w:r w:rsidR="006F07DF" w:rsidRPr="00784069">
        <w:rPr>
          <w:sz w:val="20"/>
          <w:szCs w:val="20"/>
        </w:rPr>
        <w:t xml:space="preserve"> major meta-analysis in the US of strategies for improving girls’ engagement and performance in mathematics conclud</w:t>
      </w:r>
      <w:r w:rsidR="007C05F0" w:rsidRPr="00784069">
        <w:rPr>
          <w:sz w:val="20"/>
          <w:szCs w:val="20"/>
        </w:rPr>
        <w:t>ed</w:t>
      </w:r>
      <w:r w:rsidR="006F07DF" w:rsidRPr="00784069">
        <w:rPr>
          <w:sz w:val="20"/>
          <w:szCs w:val="20"/>
        </w:rPr>
        <w:t xml:space="preserve"> that empirically tested strategies are </w:t>
      </w:r>
      <w:r w:rsidR="0085601F" w:rsidRPr="00784069">
        <w:rPr>
          <w:sz w:val="20"/>
          <w:szCs w:val="20"/>
        </w:rPr>
        <w:t xml:space="preserve">only </w:t>
      </w:r>
      <w:r w:rsidR="006F07DF" w:rsidRPr="00784069">
        <w:rPr>
          <w:sz w:val="20"/>
          <w:szCs w:val="20"/>
        </w:rPr>
        <w:t>moderate to weak in the strength of their evidence</w:t>
      </w:r>
      <w:r w:rsidR="007C05F0" w:rsidRPr="00784069">
        <w:rPr>
          <w:sz w:val="20"/>
          <w:szCs w:val="20"/>
        </w:rPr>
        <w:t xml:space="preserve"> with no evidence available of strongly recommended strategies </w:t>
      </w:r>
      <w:r w:rsidR="006F07DF" w:rsidRPr="00784069">
        <w:rPr>
          <w:sz w:val="20"/>
          <w:szCs w:val="20"/>
        </w:rPr>
        <w:t xml:space="preserve">(Halpern et al 2007). </w:t>
      </w:r>
      <w:r w:rsidR="0099482E" w:rsidRPr="00784069">
        <w:rPr>
          <w:sz w:val="20"/>
          <w:szCs w:val="20"/>
        </w:rPr>
        <w:t xml:space="preserve"> </w:t>
      </w:r>
      <w:r w:rsidR="006F07DF" w:rsidRPr="00784069">
        <w:rPr>
          <w:sz w:val="20"/>
          <w:szCs w:val="20"/>
        </w:rPr>
        <w:t>Similarly, a</w:t>
      </w:r>
      <w:r w:rsidR="0085601F" w:rsidRPr="00784069">
        <w:rPr>
          <w:sz w:val="20"/>
          <w:szCs w:val="20"/>
        </w:rPr>
        <w:t xml:space="preserve"> major Australian </w:t>
      </w:r>
      <w:r w:rsidR="006F07DF" w:rsidRPr="00784069">
        <w:rPr>
          <w:sz w:val="20"/>
          <w:szCs w:val="20"/>
        </w:rPr>
        <w:t xml:space="preserve">study of strategies for boys and literacy concluded that efforts have often been piecemeal (House of Representatives 2002) and </w:t>
      </w:r>
      <w:r w:rsidR="0099482E" w:rsidRPr="00784069">
        <w:rPr>
          <w:sz w:val="20"/>
          <w:szCs w:val="20"/>
        </w:rPr>
        <w:t xml:space="preserve">that a </w:t>
      </w:r>
      <w:r w:rsidR="006F07DF" w:rsidRPr="00784069">
        <w:rPr>
          <w:sz w:val="20"/>
          <w:szCs w:val="20"/>
        </w:rPr>
        <w:t xml:space="preserve">multilayered repertoire of practice </w:t>
      </w:r>
      <w:r w:rsidR="0099482E" w:rsidRPr="00784069">
        <w:rPr>
          <w:sz w:val="20"/>
          <w:szCs w:val="20"/>
        </w:rPr>
        <w:t>is required in order to work</w:t>
      </w:r>
      <w:r w:rsidR="006F07DF" w:rsidRPr="00784069">
        <w:rPr>
          <w:sz w:val="20"/>
          <w:szCs w:val="20"/>
        </w:rPr>
        <w:t xml:space="preserve"> through the complexity </w:t>
      </w:r>
      <w:r w:rsidR="0085601F" w:rsidRPr="00784069">
        <w:rPr>
          <w:sz w:val="20"/>
          <w:szCs w:val="20"/>
        </w:rPr>
        <w:t>of the problem</w:t>
      </w:r>
      <w:r w:rsidR="0099482E" w:rsidRPr="00784069">
        <w:rPr>
          <w:sz w:val="20"/>
          <w:szCs w:val="20"/>
        </w:rPr>
        <w:t xml:space="preserve"> </w:t>
      </w:r>
      <w:r w:rsidR="006F07DF" w:rsidRPr="00784069">
        <w:rPr>
          <w:sz w:val="20"/>
          <w:szCs w:val="20"/>
        </w:rPr>
        <w:t>(Alloway et al 2002)</w:t>
      </w:r>
      <w:r w:rsidR="0085601F" w:rsidRPr="00784069">
        <w:rPr>
          <w:sz w:val="20"/>
          <w:szCs w:val="20"/>
        </w:rPr>
        <w:t>.</w:t>
      </w:r>
      <w:r w:rsidR="006F07DF" w:rsidRPr="00784069">
        <w:rPr>
          <w:sz w:val="20"/>
          <w:szCs w:val="20"/>
        </w:rPr>
        <w:t xml:space="preserve">   </w:t>
      </w:r>
    </w:p>
    <w:p w:rsidR="00784069" w:rsidRPr="00784069" w:rsidRDefault="00784069" w:rsidP="00784069">
      <w:pPr>
        <w:jc w:val="both"/>
        <w:rPr>
          <w:sz w:val="20"/>
          <w:szCs w:val="20"/>
        </w:rPr>
      </w:pPr>
      <w:r w:rsidRPr="00784069">
        <w:rPr>
          <w:sz w:val="20"/>
          <w:szCs w:val="20"/>
        </w:rPr>
        <w:t xml:space="preserve">The evidence consistently refers to the role of family and the wider social context in shaping attitudes and behaviours to school and learning. However, the focus of </w:t>
      </w:r>
      <w:r w:rsidR="00171A52">
        <w:rPr>
          <w:sz w:val="20"/>
          <w:szCs w:val="20"/>
        </w:rPr>
        <w:t xml:space="preserve">practical </w:t>
      </w:r>
      <w:r w:rsidRPr="00784069">
        <w:rPr>
          <w:sz w:val="20"/>
          <w:szCs w:val="20"/>
        </w:rPr>
        <w:t xml:space="preserve">strategies to address gender gaps are directed more to school or classroom level changes and how teachers should take a student’s background into account than on tackling cultural factors directly. Parent </w:t>
      </w:r>
      <w:r w:rsidR="00D93DFC">
        <w:rPr>
          <w:sz w:val="20"/>
          <w:szCs w:val="20"/>
        </w:rPr>
        <w:t xml:space="preserve">and community relations are </w:t>
      </w:r>
      <w:r w:rsidRPr="00784069">
        <w:rPr>
          <w:sz w:val="20"/>
          <w:szCs w:val="20"/>
        </w:rPr>
        <w:t xml:space="preserve">a component of the NSW strategy for boys and girls </w:t>
      </w:r>
      <w:r w:rsidR="00D93DFC">
        <w:rPr>
          <w:sz w:val="20"/>
          <w:szCs w:val="20"/>
        </w:rPr>
        <w:t>with</w:t>
      </w:r>
      <w:r w:rsidRPr="00784069">
        <w:rPr>
          <w:sz w:val="20"/>
          <w:szCs w:val="20"/>
        </w:rPr>
        <w:t xml:space="preserve"> the advice more in terms of building parent and school collaboration than in guiding specific parent-related strategies (NSW 2008)</w:t>
      </w:r>
      <w:r w:rsidR="00D93DFC">
        <w:rPr>
          <w:sz w:val="20"/>
          <w:szCs w:val="20"/>
        </w:rPr>
        <w:t>.</w:t>
      </w:r>
      <w:r w:rsidRPr="00784069">
        <w:rPr>
          <w:sz w:val="20"/>
          <w:szCs w:val="20"/>
        </w:rPr>
        <w:t xml:space="preserve">  </w:t>
      </w:r>
    </w:p>
    <w:p w:rsidR="006F07DF" w:rsidRPr="00784069" w:rsidRDefault="006F07DF" w:rsidP="00FF3D3A">
      <w:pPr>
        <w:jc w:val="both"/>
        <w:rPr>
          <w:sz w:val="20"/>
          <w:szCs w:val="20"/>
        </w:rPr>
      </w:pPr>
      <w:r w:rsidRPr="00784069">
        <w:rPr>
          <w:sz w:val="20"/>
          <w:szCs w:val="20"/>
        </w:rPr>
        <w:t xml:space="preserve">As it currently stands, the core </w:t>
      </w:r>
      <w:r w:rsidR="00784069" w:rsidRPr="00784069">
        <w:rPr>
          <w:sz w:val="20"/>
          <w:szCs w:val="20"/>
        </w:rPr>
        <w:t xml:space="preserve">recommended </w:t>
      </w:r>
      <w:r w:rsidRPr="00784069">
        <w:rPr>
          <w:sz w:val="20"/>
          <w:szCs w:val="20"/>
        </w:rPr>
        <w:t xml:space="preserve">strategies for addressing gender differences in mathematics and literacy mostly focus on what is generally seen as high quality teaching that attends to the </w:t>
      </w:r>
      <w:r w:rsidR="0099482E" w:rsidRPr="00784069">
        <w:rPr>
          <w:sz w:val="20"/>
          <w:szCs w:val="20"/>
        </w:rPr>
        <w:t xml:space="preserve">individual </w:t>
      </w:r>
      <w:r w:rsidRPr="00784069">
        <w:rPr>
          <w:sz w:val="20"/>
          <w:szCs w:val="20"/>
        </w:rPr>
        <w:t xml:space="preserve">learning and social needs of students through an orderly, supportive and stimulating learning environment. As one English researcher stated </w:t>
      </w:r>
    </w:p>
    <w:p w:rsidR="006F07DF" w:rsidRPr="00784069" w:rsidRDefault="006F07DF" w:rsidP="00FF3D3A">
      <w:pPr>
        <w:ind w:left="720"/>
        <w:jc w:val="both"/>
        <w:rPr>
          <w:sz w:val="20"/>
          <w:szCs w:val="20"/>
        </w:rPr>
      </w:pPr>
      <w:r w:rsidRPr="00784069">
        <w:rPr>
          <w:i/>
          <w:sz w:val="20"/>
          <w:szCs w:val="20"/>
        </w:rPr>
        <w:t>As the project progressed the issue for teache</w:t>
      </w:r>
      <w:r w:rsidR="002E6898">
        <w:rPr>
          <w:i/>
          <w:sz w:val="20"/>
          <w:szCs w:val="20"/>
        </w:rPr>
        <w:t>r</w:t>
      </w:r>
      <w:r w:rsidRPr="00784069">
        <w:rPr>
          <w:i/>
          <w:sz w:val="20"/>
          <w:szCs w:val="20"/>
        </w:rPr>
        <w:t>s became less about gender than about how to be most effective in teaching literacy. Teacher practice therefore became central – rather than unpac</w:t>
      </w:r>
      <w:r w:rsidR="0085601F" w:rsidRPr="00784069">
        <w:rPr>
          <w:i/>
          <w:sz w:val="20"/>
          <w:szCs w:val="20"/>
        </w:rPr>
        <w:t>king the details of difference</w:t>
      </w:r>
      <w:r w:rsidRPr="00784069">
        <w:rPr>
          <w:i/>
          <w:sz w:val="20"/>
          <w:szCs w:val="20"/>
        </w:rPr>
        <w:t xml:space="preserve"> </w:t>
      </w:r>
      <w:r w:rsidRPr="00784069">
        <w:rPr>
          <w:sz w:val="20"/>
          <w:szCs w:val="20"/>
        </w:rPr>
        <w:t>(Maynard 2002)</w:t>
      </w:r>
      <w:r w:rsidR="0085601F" w:rsidRPr="00784069">
        <w:rPr>
          <w:sz w:val="20"/>
          <w:szCs w:val="20"/>
        </w:rPr>
        <w:t>.</w:t>
      </w:r>
      <w:r w:rsidRPr="00784069">
        <w:rPr>
          <w:sz w:val="20"/>
          <w:szCs w:val="20"/>
        </w:rPr>
        <w:t xml:space="preserve"> </w:t>
      </w:r>
    </w:p>
    <w:p w:rsidR="006F07DF" w:rsidRPr="00784069" w:rsidRDefault="006F07DF" w:rsidP="00FF3D3A">
      <w:pPr>
        <w:jc w:val="both"/>
        <w:rPr>
          <w:i/>
          <w:sz w:val="20"/>
          <w:szCs w:val="20"/>
        </w:rPr>
      </w:pPr>
      <w:r w:rsidRPr="00784069">
        <w:rPr>
          <w:sz w:val="20"/>
          <w:szCs w:val="20"/>
        </w:rPr>
        <w:t>The summary</w:t>
      </w:r>
      <w:r w:rsidR="0099482E" w:rsidRPr="00784069">
        <w:rPr>
          <w:sz w:val="20"/>
          <w:szCs w:val="20"/>
        </w:rPr>
        <w:t xml:space="preserve"> </w:t>
      </w:r>
      <w:r w:rsidRPr="00784069">
        <w:rPr>
          <w:sz w:val="20"/>
          <w:szCs w:val="20"/>
        </w:rPr>
        <w:t xml:space="preserve">of strategies </w:t>
      </w:r>
      <w:r w:rsidR="00784069" w:rsidRPr="00784069">
        <w:rPr>
          <w:sz w:val="20"/>
          <w:szCs w:val="20"/>
        </w:rPr>
        <w:t xml:space="preserve">below </w:t>
      </w:r>
      <w:r w:rsidR="0099482E" w:rsidRPr="00784069">
        <w:rPr>
          <w:sz w:val="20"/>
          <w:szCs w:val="20"/>
        </w:rPr>
        <w:t xml:space="preserve">for addressing gender gaps </w:t>
      </w:r>
      <w:r w:rsidRPr="00784069">
        <w:rPr>
          <w:sz w:val="20"/>
          <w:szCs w:val="20"/>
        </w:rPr>
        <w:t xml:space="preserve">combines well </w:t>
      </w:r>
      <w:r w:rsidR="0099482E" w:rsidRPr="00784069">
        <w:rPr>
          <w:sz w:val="20"/>
          <w:szCs w:val="20"/>
        </w:rPr>
        <w:t xml:space="preserve">researched and </w:t>
      </w:r>
      <w:r w:rsidRPr="00784069">
        <w:rPr>
          <w:sz w:val="20"/>
          <w:szCs w:val="20"/>
        </w:rPr>
        <w:t xml:space="preserve">endorsed strategies for high quality teaching with more specific advice for meeting the needs of students to acquire adequate and higher levels of literacy and numeracy. The summary </w:t>
      </w:r>
      <w:r w:rsidR="0099482E" w:rsidRPr="00784069">
        <w:rPr>
          <w:sz w:val="20"/>
          <w:szCs w:val="20"/>
        </w:rPr>
        <w:t>is structured by the following factors:</w:t>
      </w:r>
      <w:r w:rsidRPr="00784069">
        <w:rPr>
          <w:sz w:val="20"/>
          <w:szCs w:val="20"/>
        </w:rPr>
        <w:t xml:space="preserve">  insights into attitudes and behaviour; </w:t>
      </w:r>
      <w:r w:rsidR="0099482E" w:rsidRPr="00784069">
        <w:rPr>
          <w:sz w:val="20"/>
          <w:szCs w:val="20"/>
        </w:rPr>
        <w:t xml:space="preserve">the </w:t>
      </w:r>
      <w:r w:rsidRPr="00784069">
        <w:rPr>
          <w:sz w:val="20"/>
          <w:szCs w:val="20"/>
        </w:rPr>
        <w:t>sense of value in succeeding in English and mathematics</w:t>
      </w:r>
      <w:r w:rsidR="0099482E" w:rsidRPr="00784069">
        <w:rPr>
          <w:sz w:val="20"/>
          <w:szCs w:val="20"/>
        </w:rPr>
        <w:t>;</w:t>
      </w:r>
      <w:r w:rsidRPr="00784069">
        <w:rPr>
          <w:sz w:val="20"/>
          <w:szCs w:val="20"/>
        </w:rPr>
        <w:t xml:space="preserve"> and lea</w:t>
      </w:r>
      <w:r w:rsidR="00FC103F">
        <w:rPr>
          <w:sz w:val="20"/>
          <w:szCs w:val="20"/>
        </w:rPr>
        <w:t>r</w:t>
      </w:r>
      <w:r w:rsidRPr="00784069">
        <w:rPr>
          <w:sz w:val="20"/>
          <w:szCs w:val="20"/>
        </w:rPr>
        <w:t>ning engagement in school and in English and mathematics.  The strategies mostly address th</w:t>
      </w:r>
      <w:r w:rsidR="0099482E" w:rsidRPr="00784069">
        <w:rPr>
          <w:sz w:val="20"/>
          <w:szCs w:val="20"/>
        </w:rPr>
        <w:t xml:space="preserve">e combination of these factors however </w:t>
      </w:r>
      <w:r w:rsidRPr="00784069">
        <w:rPr>
          <w:sz w:val="20"/>
          <w:szCs w:val="20"/>
        </w:rPr>
        <w:t xml:space="preserve">where </w:t>
      </w:r>
      <w:r w:rsidR="0099482E" w:rsidRPr="00784069">
        <w:rPr>
          <w:sz w:val="20"/>
          <w:szCs w:val="20"/>
        </w:rPr>
        <w:t>some strategies</w:t>
      </w:r>
      <w:r w:rsidRPr="00784069">
        <w:rPr>
          <w:sz w:val="20"/>
          <w:szCs w:val="20"/>
        </w:rPr>
        <w:t xml:space="preserve"> </w:t>
      </w:r>
      <w:r w:rsidR="0099482E" w:rsidRPr="00784069">
        <w:rPr>
          <w:sz w:val="20"/>
          <w:szCs w:val="20"/>
        </w:rPr>
        <w:t>have</w:t>
      </w:r>
      <w:r w:rsidRPr="00784069">
        <w:rPr>
          <w:sz w:val="20"/>
          <w:szCs w:val="20"/>
        </w:rPr>
        <w:t xml:space="preserve"> a specific intent</w:t>
      </w:r>
      <w:r w:rsidR="0099482E" w:rsidRPr="00784069">
        <w:rPr>
          <w:sz w:val="20"/>
          <w:szCs w:val="20"/>
        </w:rPr>
        <w:t xml:space="preserve"> this is indicated</w:t>
      </w:r>
      <w:r w:rsidRPr="00784069">
        <w:rPr>
          <w:sz w:val="20"/>
          <w:szCs w:val="20"/>
        </w:rPr>
        <w:t xml:space="preserve">. </w:t>
      </w:r>
    </w:p>
    <w:p w:rsidR="00A12AB6" w:rsidRPr="00A12AB6" w:rsidRDefault="007C05F0" w:rsidP="00A12AB6">
      <w:pPr>
        <w:pStyle w:val="Heading3"/>
        <w:jc w:val="both"/>
        <w:rPr>
          <w:rFonts w:ascii="Century Gothic" w:hAnsi="Century Gothic"/>
        </w:rPr>
      </w:pPr>
      <w:bookmarkStart w:id="29" w:name="_Toc469259451"/>
      <w:r>
        <w:rPr>
          <w:rFonts w:ascii="Century Gothic" w:hAnsi="Century Gothic"/>
        </w:rPr>
        <w:t>3.1</w:t>
      </w:r>
      <w:r w:rsidR="00776E86">
        <w:rPr>
          <w:rFonts w:ascii="Century Gothic" w:hAnsi="Century Gothic"/>
        </w:rPr>
        <w:t xml:space="preserve"> </w:t>
      </w:r>
      <w:r w:rsidR="006F07DF" w:rsidRPr="00DE5A4D">
        <w:rPr>
          <w:rFonts w:ascii="Century Gothic" w:hAnsi="Century Gothic"/>
        </w:rPr>
        <w:t>Attitudes and behaviours</w:t>
      </w:r>
      <w:bookmarkEnd w:id="29"/>
      <w:r w:rsidR="006F07DF" w:rsidRPr="00DE5A4D">
        <w:rPr>
          <w:rFonts w:ascii="Century Gothic" w:hAnsi="Century Gothic"/>
        </w:rPr>
        <w:t xml:space="preserve"> </w:t>
      </w:r>
    </w:p>
    <w:p w:rsidR="00A12AB6" w:rsidRPr="00A12AB6" w:rsidRDefault="006F07DF" w:rsidP="00A12AB6">
      <w:pPr>
        <w:pStyle w:val="Heading4"/>
      </w:pPr>
      <w:r w:rsidRPr="00A12AB6">
        <w:t xml:space="preserve">For girls and </w:t>
      </w:r>
      <w:r w:rsidR="00A12AB6">
        <w:t xml:space="preserve">mathematics </w:t>
      </w:r>
    </w:p>
    <w:p w:rsidR="006F07DF" w:rsidRPr="0084632A" w:rsidRDefault="00A12AB6" w:rsidP="00A12AB6">
      <w:pPr>
        <w:spacing w:after="0"/>
        <w:jc w:val="both"/>
        <w:rPr>
          <w:sz w:val="20"/>
          <w:szCs w:val="20"/>
        </w:rPr>
      </w:pPr>
      <w:r>
        <w:rPr>
          <w:sz w:val="20"/>
          <w:szCs w:val="20"/>
        </w:rPr>
        <w:t>T</w:t>
      </w:r>
      <w:r w:rsidR="00FC1262" w:rsidRPr="0084632A">
        <w:rPr>
          <w:sz w:val="20"/>
          <w:szCs w:val="20"/>
        </w:rPr>
        <w:t>he gap in outcomes could be tackled by</w:t>
      </w:r>
      <w:r w:rsidR="007C05F0" w:rsidRPr="0084632A">
        <w:rPr>
          <w:sz w:val="20"/>
          <w:szCs w:val="20"/>
        </w:rPr>
        <w:t xml:space="preserve"> the following (Buckley 2016; Halpern et al 2007; Watt </w:t>
      </w:r>
      <w:r w:rsidR="00FC103F">
        <w:rPr>
          <w:sz w:val="20"/>
          <w:szCs w:val="20"/>
        </w:rPr>
        <w:t xml:space="preserve">et al </w:t>
      </w:r>
      <w:r w:rsidR="007C05F0" w:rsidRPr="0084632A">
        <w:rPr>
          <w:sz w:val="20"/>
          <w:szCs w:val="20"/>
        </w:rPr>
        <w:t>2012</w:t>
      </w:r>
      <w:r w:rsidR="00BE38EE" w:rsidRPr="0084632A">
        <w:rPr>
          <w:sz w:val="20"/>
          <w:szCs w:val="20"/>
        </w:rPr>
        <w:t>)</w:t>
      </w:r>
      <w:r w:rsidR="0084632A">
        <w:rPr>
          <w:sz w:val="20"/>
          <w:szCs w:val="20"/>
        </w:rPr>
        <w:t>.</w:t>
      </w:r>
    </w:p>
    <w:p w:rsidR="0099482E" w:rsidRPr="007C05F0" w:rsidRDefault="00D93DFC" w:rsidP="007C05F0">
      <w:pPr>
        <w:pStyle w:val="ListParagraph"/>
        <w:numPr>
          <w:ilvl w:val="0"/>
          <w:numId w:val="6"/>
        </w:numPr>
        <w:jc w:val="both"/>
        <w:rPr>
          <w:sz w:val="20"/>
          <w:szCs w:val="20"/>
        </w:rPr>
      </w:pPr>
      <w:r>
        <w:rPr>
          <w:sz w:val="20"/>
          <w:szCs w:val="20"/>
        </w:rPr>
        <w:t>P</w:t>
      </w:r>
      <w:r w:rsidR="006F07DF" w:rsidRPr="00143DAD">
        <w:rPr>
          <w:sz w:val="20"/>
          <w:szCs w:val="20"/>
        </w:rPr>
        <w:t xml:space="preserve">rograms that </w:t>
      </w:r>
      <w:r w:rsidR="00FC103F">
        <w:rPr>
          <w:sz w:val="20"/>
          <w:szCs w:val="20"/>
        </w:rPr>
        <w:t xml:space="preserve">provide more opportunities for </w:t>
      </w:r>
      <w:r w:rsidR="006F07DF" w:rsidRPr="00143DAD">
        <w:rPr>
          <w:sz w:val="20"/>
          <w:szCs w:val="20"/>
        </w:rPr>
        <w:t xml:space="preserve">struggling female students to practice their mathematical skills </w:t>
      </w:r>
      <w:r w:rsidR="002E6898">
        <w:rPr>
          <w:sz w:val="20"/>
          <w:szCs w:val="20"/>
        </w:rPr>
        <w:t xml:space="preserve">and develop ‘maths literacy’ </w:t>
      </w:r>
    </w:p>
    <w:p w:rsidR="006F07DF" w:rsidRPr="00143DAD" w:rsidRDefault="00D93DFC" w:rsidP="00FF3D3A">
      <w:pPr>
        <w:pStyle w:val="ListParagraph"/>
        <w:numPr>
          <w:ilvl w:val="0"/>
          <w:numId w:val="6"/>
        </w:numPr>
        <w:jc w:val="both"/>
        <w:rPr>
          <w:sz w:val="20"/>
          <w:szCs w:val="20"/>
        </w:rPr>
      </w:pPr>
      <w:r>
        <w:rPr>
          <w:sz w:val="20"/>
          <w:szCs w:val="20"/>
        </w:rPr>
        <w:t>I</w:t>
      </w:r>
      <w:r w:rsidR="006F07DF" w:rsidRPr="00143DAD">
        <w:rPr>
          <w:sz w:val="20"/>
          <w:szCs w:val="20"/>
        </w:rPr>
        <w:t xml:space="preserve">nitiatives that challenge negative gender stereotypes, beliefs about fixed </w:t>
      </w:r>
      <w:r w:rsidR="00FC1262">
        <w:rPr>
          <w:sz w:val="20"/>
          <w:szCs w:val="20"/>
        </w:rPr>
        <w:t>ability and feelings of anxiety</w:t>
      </w:r>
      <w:r w:rsidR="006F07DF" w:rsidRPr="00143DAD">
        <w:rPr>
          <w:sz w:val="20"/>
          <w:szCs w:val="20"/>
        </w:rPr>
        <w:t xml:space="preserve"> </w:t>
      </w:r>
    </w:p>
    <w:p w:rsidR="00FC103F" w:rsidRPr="00FC103F" w:rsidRDefault="00D93DFC" w:rsidP="00FF3D3A">
      <w:pPr>
        <w:pStyle w:val="ListParagraph"/>
        <w:numPr>
          <w:ilvl w:val="0"/>
          <w:numId w:val="6"/>
        </w:numPr>
        <w:jc w:val="both"/>
        <w:rPr>
          <w:b/>
          <w:sz w:val="20"/>
          <w:szCs w:val="20"/>
        </w:rPr>
      </w:pPr>
      <w:r>
        <w:rPr>
          <w:sz w:val="20"/>
          <w:szCs w:val="20"/>
        </w:rPr>
        <w:t>T</w:t>
      </w:r>
      <w:r w:rsidR="006F07DF" w:rsidRPr="007C05F0">
        <w:rPr>
          <w:sz w:val="20"/>
          <w:szCs w:val="20"/>
        </w:rPr>
        <w:t>eachers explicitly teach</w:t>
      </w:r>
      <w:r w:rsidR="00FC1262" w:rsidRPr="007C05F0">
        <w:rPr>
          <w:sz w:val="20"/>
          <w:szCs w:val="20"/>
        </w:rPr>
        <w:t>ing</w:t>
      </w:r>
      <w:r w:rsidR="006F07DF" w:rsidRPr="007C05F0">
        <w:rPr>
          <w:sz w:val="20"/>
          <w:szCs w:val="20"/>
        </w:rPr>
        <w:t xml:space="preserve"> students that academic abilities are expandable and improvable </w:t>
      </w:r>
      <w:r w:rsidR="00FC1262" w:rsidRPr="007C05F0">
        <w:rPr>
          <w:sz w:val="20"/>
          <w:szCs w:val="20"/>
        </w:rPr>
        <w:t>as this is likely to</w:t>
      </w:r>
      <w:r w:rsidR="006F07DF" w:rsidRPr="007C05F0">
        <w:rPr>
          <w:sz w:val="20"/>
          <w:szCs w:val="20"/>
        </w:rPr>
        <w:t xml:space="preserve"> enhance girls’ beliefs about their abilities </w:t>
      </w:r>
    </w:p>
    <w:p w:rsidR="006F07DF" w:rsidRPr="007C05F0" w:rsidRDefault="00D93DFC" w:rsidP="00FF3D3A">
      <w:pPr>
        <w:pStyle w:val="ListParagraph"/>
        <w:numPr>
          <w:ilvl w:val="0"/>
          <w:numId w:val="6"/>
        </w:numPr>
        <w:jc w:val="both"/>
        <w:rPr>
          <w:b/>
          <w:sz w:val="20"/>
          <w:szCs w:val="20"/>
        </w:rPr>
      </w:pPr>
      <w:r>
        <w:rPr>
          <w:sz w:val="20"/>
          <w:szCs w:val="20"/>
        </w:rPr>
        <w:t>P</w:t>
      </w:r>
      <w:r w:rsidR="006F07DF" w:rsidRPr="007C05F0">
        <w:rPr>
          <w:sz w:val="20"/>
          <w:szCs w:val="20"/>
        </w:rPr>
        <w:t>rovid</w:t>
      </w:r>
      <w:r w:rsidR="00FC1262" w:rsidRPr="007C05F0">
        <w:rPr>
          <w:sz w:val="20"/>
          <w:szCs w:val="20"/>
        </w:rPr>
        <w:t>ing</w:t>
      </w:r>
      <w:r w:rsidR="006F07DF" w:rsidRPr="007C05F0">
        <w:rPr>
          <w:sz w:val="20"/>
          <w:szCs w:val="20"/>
        </w:rPr>
        <w:t xml:space="preserve"> more objective indicators of high-achieving girls' abilities, so that they base their talent perceptions on non-affective and non-subjective information </w:t>
      </w:r>
    </w:p>
    <w:p w:rsidR="006F07DF" w:rsidRPr="0085601F" w:rsidRDefault="00D93DFC" w:rsidP="00FF3D3A">
      <w:pPr>
        <w:pStyle w:val="ListParagraph"/>
        <w:numPr>
          <w:ilvl w:val="0"/>
          <w:numId w:val="6"/>
        </w:numPr>
        <w:jc w:val="both"/>
        <w:rPr>
          <w:b/>
          <w:sz w:val="20"/>
          <w:szCs w:val="20"/>
        </w:rPr>
      </w:pPr>
      <w:r>
        <w:rPr>
          <w:sz w:val="20"/>
          <w:szCs w:val="20"/>
        </w:rPr>
        <w:t>S</w:t>
      </w:r>
      <w:r w:rsidR="00FC1262" w:rsidRPr="0085601F">
        <w:rPr>
          <w:sz w:val="20"/>
          <w:szCs w:val="20"/>
        </w:rPr>
        <w:t>upporting girls to be more</w:t>
      </w:r>
      <w:r w:rsidR="006F07DF" w:rsidRPr="0085601F">
        <w:rPr>
          <w:sz w:val="20"/>
          <w:szCs w:val="20"/>
        </w:rPr>
        <w:t xml:space="preserve"> aware of contextual pressures and </w:t>
      </w:r>
      <w:r w:rsidR="00FC1262" w:rsidRPr="0085601F">
        <w:rPr>
          <w:sz w:val="20"/>
          <w:szCs w:val="20"/>
        </w:rPr>
        <w:t>assisting them to</w:t>
      </w:r>
      <w:r w:rsidR="006F07DF" w:rsidRPr="0085601F">
        <w:rPr>
          <w:sz w:val="20"/>
          <w:szCs w:val="20"/>
        </w:rPr>
        <w:t xml:space="preserve"> de</w:t>
      </w:r>
      <w:r w:rsidR="00FC1262" w:rsidRPr="0085601F">
        <w:rPr>
          <w:sz w:val="20"/>
          <w:szCs w:val="20"/>
        </w:rPr>
        <w:t>velop ego-protective strategies</w:t>
      </w:r>
      <w:r w:rsidR="00386890">
        <w:rPr>
          <w:sz w:val="20"/>
          <w:szCs w:val="20"/>
        </w:rPr>
        <w:t>.</w:t>
      </w:r>
      <w:r w:rsidR="006F07DF" w:rsidRPr="0085601F">
        <w:rPr>
          <w:sz w:val="20"/>
          <w:szCs w:val="20"/>
        </w:rPr>
        <w:t xml:space="preserve"> </w:t>
      </w:r>
    </w:p>
    <w:p w:rsidR="00A12AB6" w:rsidRDefault="006F07DF" w:rsidP="00A12AB6">
      <w:pPr>
        <w:pStyle w:val="Heading4"/>
      </w:pPr>
      <w:r w:rsidRPr="00BE38EE">
        <w:t>For boys and literacy</w:t>
      </w:r>
      <w:r w:rsidR="00FC1262" w:rsidRPr="00BE38EE">
        <w:t xml:space="preserve"> </w:t>
      </w:r>
    </w:p>
    <w:p w:rsidR="006F07DF" w:rsidRDefault="00A12AB6" w:rsidP="00FF3D3A">
      <w:pPr>
        <w:jc w:val="both"/>
        <w:rPr>
          <w:sz w:val="20"/>
          <w:szCs w:val="20"/>
        </w:rPr>
      </w:pPr>
      <w:r>
        <w:rPr>
          <w:sz w:val="20"/>
          <w:szCs w:val="20"/>
        </w:rPr>
        <w:t>T</w:t>
      </w:r>
      <w:r w:rsidR="00FC1262" w:rsidRPr="00BE38EE">
        <w:rPr>
          <w:sz w:val="20"/>
          <w:szCs w:val="20"/>
        </w:rPr>
        <w:t>he gap in outcomes could be tackled by</w:t>
      </w:r>
      <w:r w:rsidR="00BE38EE" w:rsidRPr="00BE38EE">
        <w:rPr>
          <w:sz w:val="20"/>
          <w:szCs w:val="20"/>
        </w:rPr>
        <w:t xml:space="preserve"> </w:t>
      </w:r>
      <w:r>
        <w:rPr>
          <w:sz w:val="20"/>
          <w:szCs w:val="20"/>
        </w:rPr>
        <w:t xml:space="preserve">the following </w:t>
      </w:r>
      <w:r w:rsidR="00BE38EE" w:rsidRPr="00BE38EE">
        <w:rPr>
          <w:sz w:val="20"/>
          <w:szCs w:val="20"/>
        </w:rPr>
        <w:t>(Alloway et al 2002; House of Representatives 2002;</w:t>
      </w:r>
      <w:r w:rsidR="00BE38EE">
        <w:rPr>
          <w:sz w:val="20"/>
          <w:szCs w:val="20"/>
        </w:rPr>
        <w:t xml:space="preserve"> </w:t>
      </w:r>
      <w:r w:rsidR="008009A2">
        <w:rPr>
          <w:sz w:val="20"/>
          <w:szCs w:val="20"/>
        </w:rPr>
        <w:t>Carroll and Benman</w:t>
      </w:r>
      <w:r w:rsidR="00BE38EE" w:rsidRPr="00BE38EE">
        <w:rPr>
          <w:sz w:val="20"/>
          <w:szCs w:val="20"/>
        </w:rPr>
        <w:t xml:space="preserve"> 2015).  </w:t>
      </w:r>
    </w:p>
    <w:p w:rsidR="00FC103F" w:rsidRDefault="00D93DFC" w:rsidP="00FF3D3A">
      <w:pPr>
        <w:pStyle w:val="ListParagraph"/>
        <w:numPr>
          <w:ilvl w:val="0"/>
          <w:numId w:val="8"/>
        </w:numPr>
        <w:jc w:val="both"/>
        <w:rPr>
          <w:sz w:val="20"/>
          <w:szCs w:val="20"/>
        </w:rPr>
      </w:pPr>
      <w:r>
        <w:rPr>
          <w:sz w:val="20"/>
          <w:szCs w:val="20"/>
        </w:rPr>
        <w:t>A</w:t>
      </w:r>
      <w:r w:rsidR="006F07DF" w:rsidRPr="00BE38EE">
        <w:rPr>
          <w:sz w:val="20"/>
          <w:szCs w:val="20"/>
        </w:rPr>
        <w:t xml:space="preserve">cknowledging and exploring the different social and cultural backgrounds that boys bring to literacy classrooms through examining the ways that understandings about masculinity may influence boys’ behaviour and learning in literacy </w:t>
      </w:r>
    </w:p>
    <w:p w:rsidR="0085601F" w:rsidRPr="00BE38EE" w:rsidRDefault="00D93DFC" w:rsidP="00FF3D3A">
      <w:pPr>
        <w:pStyle w:val="ListParagraph"/>
        <w:numPr>
          <w:ilvl w:val="0"/>
          <w:numId w:val="8"/>
        </w:numPr>
        <w:jc w:val="both"/>
        <w:rPr>
          <w:sz w:val="20"/>
          <w:szCs w:val="20"/>
        </w:rPr>
      </w:pPr>
      <w:r>
        <w:rPr>
          <w:sz w:val="20"/>
          <w:szCs w:val="20"/>
        </w:rPr>
        <w:t>P</w:t>
      </w:r>
      <w:r w:rsidR="006F07DF" w:rsidRPr="00BE38EE">
        <w:rPr>
          <w:sz w:val="20"/>
          <w:szCs w:val="20"/>
        </w:rPr>
        <w:t>roviding regular opportunities for boys to experience success and to develop a positive self-belief</w:t>
      </w:r>
      <w:r w:rsidR="00BE38EE">
        <w:rPr>
          <w:sz w:val="20"/>
          <w:szCs w:val="20"/>
        </w:rPr>
        <w:t xml:space="preserve"> </w:t>
      </w:r>
      <w:r w:rsidR="0085601F" w:rsidRPr="00BE38EE">
        <w:rPr>
          <w:sz w:val="20"/>
          <w:szCs w:val="20"/>
        </w:rPr>
        <w:t xml:space="preserve"> </w:t>
      </w:r>
    </w:p>
    <w:p w:rsidR="006F07DF" w:rsidRPr="0085601F" w:rsidRDefault="00D93DFC" w:rsidP="00FF3D3A">
      <w:pPr>
        <w:pStyle w:val="ListParagraph"/>
        <w:numPr>
          <w:ilvl w:val="0"/>
          <w:numId w:val="8"/>
        </w:numPr>
        <w:jc w:val="both"/>
        <w:rPr>
          <w:sz w:val="20"/>
          <w:szCs w:val="20"/>
        </w:rPr>
      </w:pPr>
      <w:r>
        <w:rPr>
          <w:sz w:val="20"/>
          <w:szCs w:val="20"/>
        </w:rPr>
        <w:t>E</w:t>
      </w:r>
      <w:r w:rsidR="006F07DF" w:rsidRPr="0085601F">
        <w:rPr>
          <w:sz w:val="20"/>
          <w:szCs w:val="20"/>
        </w:rPr>
        <w:t xml:space="preserve">xpanding boys’ views of success to include outcomes such as </w:t>
      </w:r>
      <w:r w:rsidR="00FC103F">
        <w:rPr>
          <w:sz w:val="20"/>
          <w:szCs w:val="20"/>
        </w:rPr>
        <w:t>‘</w:t>
      </w:r>
      <w:r w:rsidR="006F07DF" w:rsidRPr="0085601F">
        <w:rPr>
          <w:sz w:val="20"/>
          <w:szCs w:val="20"/>
        </w:rPr>
        <w:t>personal bests</w:t>
      </w:r>
      <w:r w:rsidR="00FC103F">
        <w:rPr>
          <w:sz w:val="20"/>
          <w:szCs w:val="20"/>
        </w:rPr>
        <w:t>’</w:t>
      </w:r>
      <w:r w:rsidR="006F07DF" w:rsidRPr="0085601F">
        <w:rPr>
          <w:sz w:val="20"/>
          <w:szCs w:val="20"/>
        </w:rPr>
        <w:t xml:space="preserve"> and improvement</w:t>
      </w:r>
      <w:r w:rsidR="0085601F">
        <w:rPr>
          <w:sz w:val="20"/>
          <w:szCs w:val="20"/>
        </w:rPr>
        <w:t xml:space="preserve"> </w:t>
      </w:r>
    </w:p>
    <w:p w:rsidR="006F07DF" w:rsidRPr="00804E94" w:rsidRDefault="00D93DFC" w:rsidP="00804E94">
      <w:pPr>
        <w:pStyle w:val="ListParagraph"/>
        <w:numPr>
          <w:ilvl w:val="0"/>
          <w:numId w:val="8"/>
        </w:numPr>
        <w:jc w:val="both"/>
        <w:rPr>
          <w:sz w:val="20"/>
          <w:szCs w:val="20"/>
        </w:rPr>
      </w:pPr>
      <w:r>
        <w:rPr>
          <w:sz w:val="20"/>
          <w:szCs w:val="20"/>
        </w:rPr>
        <w:t>E</w:t>
      </w:r>
      <w:r w:rsidR="006F07DF">
        <w:rPr>
          <w:sz w:val="20"/>
          <w:szCs w:val="20"/>
        </w:rPr>
        <w:t xml:space="preserve">ngaging boy’s interest in acquiring literacy skills </w:t>
      </w:r>
      <w:r w:rsidR="00FC1262">
        <w:rPr>
          <w:sz w:val="20"/>
          <w:szCs w:val="20"/>
        </w:rPr>
        <w:t>by engaging them in</w:t>
      </w:r>
      <w:r w:rsidR="006F07DF">
        <w:rPr>
          <w:sz w:val="20"/>
          <w:szCs w:val="20"/>
        </w:rPr>
        <w:t xml:space="preserve"> gaming practices and social engagement mechanisms – games require strong levels of literacy to succeed and require use of narrative, perseverance and logical thinking</w:t>
      </w:r>
      <w:r w:rsidR="00FC103F">
        <w:rPr>
          <w:sz w:val="20"/>
          <w:szCs w:val="20"/>
        </w:rPr>
        <w:t>.</w:t>
      </w:r>
      <w:r w:rsidR="006F07DF">
        <w:rPr>
          <w:sz w:val="20"/>
          <w:szCs w:val="20"/>
        </w:rPr>
        <w:t xml:space="preserve"> </w:t>
      </w:r>
    </w:p>
    <w:p w:rsidR="006F07DF" w:rsidRDefault="00776E86" w:rsidP="00FF3D3A">
      <w:pPr>
        <w:pStyle w:val="Heading3"/>
        <w:jc w:val="both"/>
        <w:rPr>
          <w:rFonts w:ascii="Century Gothic" w:hAnsi="Century Gothic"/>
        </w:rPr>
      </w:pPr>
      <w:bookmarkStart w:id="30" w:name="_Toc469259452"/>
      <w:r>
        <w:rPr>
          <w:rFonts w:ascii="Century Gothic" w:hAnsi="Century Gothic"/>
        </w:rPr>
        <w:t xml:space="preserve">3.2 </w:t>
      </w:r>
      <w:r w:rsidR="006F07DF">
        <w:rPr>
          <w:rFonts w:ascii="Century Gothic" w:hAnsi="Century Gothic"/>
        </w:rPr>
        <w:t>Perception of value</w:t>
      </w:r>
      <w:bookmarkEnd w:id="30"/>
      <w:r w:rsidR="006F07DF">
        <w:rPr>
          <w:rFonts w:ascii="Century Gothic" w:hAnsi="Century Gothic"/>
        </w:rPr>
        <w:t xml:space="preserve"> </w:t>
      </w:r>
    </w:p>
    <w:p w:rsidR="00A12AB6" w:rsidRDefault="006F07DF" w:rsidP="00A12AB6">
      <w:pPr>
        <w:pStyle w:val="Heading4"/>
      </w:pPr>
      <w:r w:rsidRPr="0084632A">
        <w:t xml:space="preserve">For girls and </w:t>
      </w:r>
      <w:r w:rsidR="00A12AB6">
        <w:t xml:space="preserve">mathematics </w:t>
      </w:r>
    </w:p>
    <w:p w:rsidR="006F07DF" w:rsidRPr="0084632A" w:rsidRDefault="00A12AB6" w:rsidP="00FF3D3A">
      <w:pPr>
        <w:jc w:val="both"/>
        <w:rPr>
          <w:sz w:val="20"/>
          <w:szCs w:val="20"/>
        </w:rPr>
      </w:pPr>
      <w:r>
        <w:rPr>
          <w:sz w:val="20"/>
          <w:szCs w:val="20"/>
        </w:rPr>
        <w:t>T</w:t>
      </w:r>
      <w:r w:rsidR="00FC1262" w:rsidRPr="0084632A">
        <w:rPr>
          <w:sz w:val="20"/>
          <w:szCs w:val="20"/>
        </w:rPr>
        <w:t>he gap in outcomes could be tackled by</w:t>
      </w:r>
      <w:r w:rsidR="0084632A" w:rsidRPr="0084632A">
        <w:rPr>
          <w:sz w:val="20"/>
          <w:szCs w:val="20"/>
        </w:rPr>
        <w:t xml:space="preserve"> </w:t>
      </w:r>
      <w:r w:rsidR="00D93DFC">
        <w:rPr>
          <w:sz w:val="20"/>
          <w:szCs w:val="20"/>
        </w:rPr>
        <w:t xml:space="preserve">the following </w:t>
      </w:r>
      <w:r w:rsidR="00BE38EE" w:rsidRPr="0084632A">
        <w:rPr>
          <w:sz w:val="20"/>
          <w:szCs w:val="20"/>
        </w:rPr>
        <w:t>(Buckley 2016; Halpern et al 2007).</w:t>
      </w:r>
    </w:p>
    <w:p w:rsidR="00FC1262" w:rsidRDefault="00D93DFC" w:rsidP="00594C6A">
      <w:pPr>
        <w:pStyle w:val="ListParagraph"/>
        <w:numPr>
          <w:ilvl w:val="0"/>
          <w:numId w:val="7"/>
        </w:numPr>
        <w:jc w:val="both"/>
        <w:rPr>
          <w:sz w:val="20"/>
          <w:szCs w:val="20"/>
        </w:rPr>
      </w:pPr>
      <w:r>
        <w:rPr>
          <w:sz w:val="20"/>
          <w:szCs w:val="20"/>
        </w:rPr>
        <w:t>A</w:t>
      </w:r>
      <w:r w:rsidR="00FC1262">
        <w:rPr>
          <w:sz w:val="20"/>
          <w:szCs w:val="20"/>
        </w:rPr>
        <w:t>dopting strategies that</w:t>
      </w:r>
      <w:r w:rsidR="006F07DF">
        <w:rPr>
          <w:sz w:val="20"/>
          <w:szCs w:val="20"/>
        </w:rPr>
        <w:t xml:space="preserve"> </w:t>
      </w:r>
      <w:r w:rsidR="006F07DF" w:rsidRPr="00002A87">
        <w:rPr>
          <w:sz w:val="20"/>
          <w:szCs w:val="20"/>
        </w:rPr>
        <w:t xml:space="preserve">increase students’ interest, enjoyment </w:t>
      </w:r>
      <w:r w:rsidR="00D73B2C">
        <w:rPr>
          <w:sz w:val="20"/>
          <w:szCs w:val="20"/>
        </w:rPr>
        <w:t xml:space="preserve">and </w:t>
      </w:r>
      <w:r w:rsidR="006F07DF" w:rsidRPr="00002A87">
        <w:rPr>
          <w:sz w:val="20"/>
          <w:szCs w:val="20"/>
        </w:rPr>
        <w:t>perceptions of their competence in mathemat</w:t>
      </w:r>
      <w:r w:rsidR="00FC1262">
        <w:rPr>
          <w:sz w:val="20"/>
          <w:szCs w:val="20"/>
        </w:rPr>
        <w:t>ics</w:t>
      </w:r>
    </w:p>
    <w:p w:rsidR="006F07DF" w:rsidRPr="00002A87" w:rsidRDefault="00D93DFC" w:rsidP="00594C6A">
      <w:pPr>
        <w:pStyle w:val="ListParagraph"/>
        <w:numPr>
          <w:ilvl w:val="0"/>
          <w:numId w:val="7"/>
        </w:numPr>
        <w:jc w:val="both"/>
        <w:rPr>
          <w:sz w:val="20"/>
          <w:szCs w:val="20"/>
        </w:rPr>
      </w:pPr>
      <w:r>
        <w:rPr>
          <w:sz w:val="20"/>
          <w:szCs w:val="20"/>
        </w:rPr>
        <w:t>P</w:t>
      </w:r>
      <w:r w:rsidR="006F07DF" w:rsidRPr="00002A87">
        <w:rPr>
          <w:sz w:val="20"/>
          <w:szCs w:val="20"/>
        </w:rPr>
        <w:t>romot</w:t>
      </w:r>
      <w:r w:rsidR="00FC1262">
        <w:rPr>
          <w:sz w:val="20"/>
          <w:szCs w:val="20"/>
        </w:rPr>
        <w:t>ing</w:t>
      </w:r>
      <w:r w:rsidR="006F07DF" w:rsidRPr="00002A87">
        <w:rPr>
          <w:sz w:val="20"/>
          <w:szCs w:val="20"/>
        </w:rPr>
        <w:t xml:space="preserve"> the value of mathematics for future educational and career aspirations </w:t>
      </w:r>
    </w:p>
    <w:p w:rsidR="006F07DF" w:rsidRPr="00002A87" w:rsidRDefault="00D93DFC" w:rsidP="00594C6A">
      <w:pPr>
        <w:pStyle w:val="ListParagraph"/>
        <w:numPr>
          <w:ilvl w:val="0"/>
          <w:numId w:val="7"/>
        </w:numPr>
        <w:jc w:val="both"/>
        <w:rPr>
          <w:sz w:val="20"/>
          <w:szCs w:val="20"/>
        </w:rPr>
      </w:pPr>
      <w:r>
        <w:rPr>
          <w:sz w:val="20"/>
          <w:szCs w:val="20"/>
        </w:rPr>
        <w:t>E</w:t>
      </w:r>
      <w:r w:rsidR="006F07DF" w:rsidRPr="00002A87">
        <w:rPr>
          <w:sz w:val="20"/>
          <w:szCs w:val="20"/>
        </w:rPr>
        <w:t>xplicitly teach</w:t>
      </w:r>
      <w:r w:rsidR="00FC1262">
        <w:rPr>
          <w:sz w:val="20"/>
          <w:szCs w:val="20"/>
        </w:rPr>
        <w:t>ing</w:t>
      </w:r>
      <w:r w:rsidR="006F07DF" w:rsidRPr="00002A87">
        <w:rPr>
          <w:sz w:val="20"/>
          <w:szCs w:val="20"/>
        </w:rPr>
        <w:t xml:space="preserve"> students that academic abilitie</w:t>
      </w:r>
      <w:r w:rsidR="00D73B2C">
        <w:rPr>
          <w:sz w:val="20"/>
          <w:szCs w:val="20"/>
        </w:rPr>
        <w:t>s are expandable and improvable.</w:t>
      </w:r>
    </w:p>
    <w:p w:rsidR="00A12AB6" w:rsidRPr="00A12AB6" w:rsidRDefault="006F07DF" w:rsidP="00A12AB6">
      <w:pPr>
        <w:pStyle w:val="Heading4"/>
      </w:pPr>
      <w:r w:rsidRPr="00A12AB6">
        <w:t xml:space="preserve">For boys and literacy </w:t>
      </w:r>
    </w:p>
    <w:p w:rsidR="006F07DF" w:rsidRPr="008029AD" w:rsidRDefault="00A12AB6" w:rsidP="00594C6A">
      <w:pPr>
        <w:jc w:val="both"/>
        <w:rPr>
          <w:sz w:val="20"/>
          <w:szCs w:val="20"/>
        </w:rPr>
      </w:pPr>
      <w:r>
        <w:rPr>
          <w:sz w:val="20"/>
          <w:szCs w:val="20"/>
        </w:rPr>
        <w:t>T</w:t>
      </w:r>
      <w:r w:rsidR="00FC1262">
        <w:rPr>
          <w:sz w:val="20"/>
          <w:szCs w:val="20"/>
        </w:rPr>
        <w:t>he gap in outcomes could be tackled by</w:t>
      </w:r>
      <w:r w:rsidR="00AB284F">
        <w:rPr>
          <w:sz w:val="20"/>
          <w:szCs w:val="20"/>
        </w:rPr>
        <w:t xml:space="preserve"> </w:t>
      </w:r>
      <w:r w:rsidR="00D73B2C">
        <w:rPr>
          <w:sz w:val="20"/>
          <w:szCs w:val="20"/>
        </w:rPr>
        <w:t>(Alloway et al 2002</w:t>
      </w:r>
      <w:r w:rsidR="00F32B65">
        <w:rPr>
          <w:sz w:val="20"/>
          <w:szCs w:val="20"/>
        </w:rPr>
        <w:t>)</w:t>
      </w:r>
      <w:r w:rsidR="00FC1262">
        <w:rPr>
          <w:sz w:val="20"/>
          <w:szCs w:val="20"/>
        </w:rPr>
        <w:t>:</w:t>
      </w:r>
    </w:p>
    <w:p w:rsidR="006F07DF" w:rsidRPr="00FC1262" w:rsidRDefault="00FC1262" w:rsidP="00594C6A">
      <w:pPr>
        <w:pStyle w:val="ListParagraph"/>
        <w:numPr>
          <w:ilvl w:val="0"/>
          <w:numId w:val="7"/>
        </w:numPr>
        <w:jc w:val="both"/>
        <w:rPr>
          <w:sz w:val="20"/>
          <w:szCs w:val="20"/>
        </w:rPr>
      </w:pPr>
      <w:r w:rsidRPr="00CD4B73">
        <w:rPr>
          <w:sz w:val="20"/>
          <w:szCs w:val="20"/>
        </w:rPr>
        <w:t>ensuring all boys gain mastery of content through the provision of explicit teaching</w:t>
      </w:r>
      <w:r>
        <w:rPr>
          <w:sz w:val="20"/>
          <w:szCs w:val="20"/>
        </w:rPr>
        <w:t>,</w:t>
      </w:r>
      <w:r w:rsidRPr="00CD4B73">
        <w:rPr>
          <w:sz w:val="20"/>
          <w:szCs w:val="20"/>
        </w:rPr>
        <w:t xml:space="preserve"> and clarifi</w:t>
      </w:r>
      <w:r>
        <w:rPr>
          <w:sz w:val="20"/>
          <w:szCs w:val="20"/>
        </w:rPr>
        <w:t xml:space="preserve">cation of student understanding </w:t>
      </w:r>
    </w:p>
    <w:p w:rsidR="006F07DF" w:rsidRDefault="00776E86" w:rsidP="00FF3D3A">
      <w:pPr>
        <w:pStyle w:val="Heading3"/>
        <w:jc w:val="both"/>
        <w:rPr>
          <w:rFonts w:ascii="Century Gothic" w:hAnsi="Century Gothic"/>
        </w:rPr>
      </w:pPr>
      <w:bookmarkStart w:id="31" w:name="_Toc469259453"/>
      <w:r>
        <w:rPr>
          <w:rFonts w:ascii="Century Gothic" w:hAnsi="Century Gothic"/>
        </w:rPr>
        <w:t xml:space="preserve">3.3 </w:t>
      </w:r>
      <w:r w:rsidR="006F07DF" w:rsidRPr="00E36098">
        <w:rPr>
          <w:rFonts w:ascii="Century Gothic" w:hAnsi="Century Gothic"/>
        </w:rPr>
        <w:t>Engagement with learning</w:t>
      </w:r>
      <w:bookmarkEnd w:id="31"/>
      <w:r w:rsidR="006F07DF" w:rsidRPr="00E36098">
        <w:rPr>
          <w:rFonts w:ascii="Century Gothic" w:hAnsi="Century Gothic"/>
        </w:rPr>
        <w:t xml:space="preserve"> </w:t>
      </w:r>
    </w:p>
    <w:p w:rsidR="00A12AB6" w:rsidRDefault="00171A52" w:rsidP="00FF3D3A">
      <w:pPr>
        <w:jc w:val="both"/>
        <w:rPr>
          <w:sz w:val="20"/>
          <w:szCs w:val="20"/>
        </w:rPr>
      </w:pPr>
      <w:r>
        <w:rPr>
          <w:sz w:val="20"/>
          <w:szCs w:val="20"/>
        </w:rPr>
        <w:t>The OECD (2015) identified a range of factors that link what happens in the classroom to the gender gap</w:t>
      </w:r>
      <w:r w:rsidR="00D93DFC">
        <w:rPr>
          <w:sz w:val="20"/>
          <w:szCs w:val="20"/>
        </w:rPr>
        <w:t>s</w:t>
      </w:r>
      <w:r>
        <w:rPr>
          <w:sz w:val="20"/>
          <w:szCs w:val="20"/>
        </w:rPr>
        <w:t xml:space="preserve"> in achievement for mathematics and literacy. </w:t>
      </w:r>
    </w:p>
    <w:p w:rsidR="00D303D8" w:rsidRPr="00D303D8" w:rsidRDefault="00A12AB6" w:rsidP="00D303D8">
      <w:pPr>
        <w:pStyle w:val="Heading4"/>
      </w:pPr>
      <w:r>
        <w:t>F</w:t>
      </w:r>
      <w:r w:rsidR="00D303D8" w:rsidRPr="00D303D8">
        <w:t xml:space="preserve">or girls and mathematics </w:t>
      </w:r>
    </w:p>
    <w:p w:rsidR="00CB5627" w:rsidRDefault="00CB5627" w:rsidP="00FF3D3A">
      <w:pPr>
        <w:jc w:val="both"/>
        <w:rPr>
          <w:sz w:val="20"/>
          <w:szCs w:val="20"/>
        </w:rPr>
      </w:pPr>
      <w:r>
        <w:rPr>
          <w:sz w:val="20"/>
          <w:szCs w:val="20"/>
        </w:rPr>
        <w:t>For mathematics</w:t>
      </w:r>
      <w:r w:rsidR="00D93DFC">
        <w:rPr>
          <w:sz w:val="20"/>
          <w:szCs w:val="20"/>
        </w:rPr>
        <w:t>,</w:t>
      </w:r>
      <w:r>
        <w:rPr>
          <w:sz w:val="20"/>
          <w:szCs w:val="20"/>
        </w:rPr>
        <w:t xml:space="preserve"> a series of actions were identified as strongly linked with achieve</w:t>
      </w:r>
      <w:r w:rsidR="00C55366">
        <w:rPr>
          <w:sz w:val="20"/>
          <w:szCs w:val="20"/>
        </w:rPr>
        <w:t>ment in most countries.</w:t>
      </w:r>
      <w:r>
        <w:rPr>
          <w:sz w:val="20"/>
          <w:szCs w:val="20"/>
        </w:rPr>
        <w:t xml:space="preserve"> </w:t>
      </w:r>
      <w:r w:rsidR="00C55366">
        <w:rPr>
          <w:sz w:val="20"/>
          <w:szCs w:val="20"/>
        </w:rPr>
        <w:t>T</w:t>
      </w:r>
      <w:r>
        <w:rPr>
          <w:sz w:val="20"/>
          <w:szCs w:val="20"/>
        </w:rPr>
        <w:t>hey included actions such as the teacher ask</w:t>
      </w:r>
      <w:r w:rsidR="003C7256">
        <w:rPr>
          <w:sz w:val="20"/>
          <w:szCs w:val="20"/>
        </w:rPr>
        <w:t>ing</w:t>
      </w:r>
      <w:r>
        <w:rPr>
          <w:sz w:val="20"/>
          <w:szCs w:val="20"/>
        </w:rPr>
        <w:t xml:space="preserve"> questions that make students reflect o</w:t>
      </w:r>
      <w:r w:rsidR="003C7256">
        <w:rPr>
          <w:sz w:val="20"/>
          <w:szCs w:val="20"/>
        </w:rPr>
        <w:t>n the problem; the teacher giving</w:t>
      </w:r>
      <w:r>
        <w:rPr>
          <w:sz w:val="20"/>
          <w:szCs w:val="20"/>
        </w:rPr>
        <w:t xml:space="preserve"> extended time to think through complex problems; and questions are posed in different contexts.  These actions were linked with better performance in mathematics in general and with greater improvements in girls’ achievements </w:t>
      </w:r>
      <w:r w:rsidR="00C55366">
        <w:rPr>
          <w:sz w:val="20"/>
          <w:szCs w:val="20"/>
        </w:rPr>
        <w:t xml:space="preserve">compared to boys </w:t>
      </w:r>
      <w:r>
        <w:rPr>
          <w:sz w:val="20"/>
          <w:szCs w:val="20"/>
        </w:rPr>
        <w:t xml:space="preserve">in a number of countries </w:t>
      </w:r>
      <w:r w:rsidR="003C7256">
        <w:rPr>
          <w:sz w:val="20"/>
          <w:szCs w:val="20"/>
        </w:rPr>
        <w:t>(</w:t>
      </w:r>
      <w:r>
        <w:rPr>
          <w:sz w:val="20"/>
          <w:szCs w:val="20"/>
        </w:rPr>
        <w:t>e.g. Germany and Poland</w:t>
      </w:r>
      <w:r w:rsidR="003C7256">
        <w:rPr>
          <w:sz w:val="20"/>
          <w:szCs w:val="20"/>
        </w:rPr>
        <w:t>)</w:t>
      </w:r>
      <w:r>
        <w:rPr>
          <w:sz w:val="20"/>
          <w:szCs w:val="20"/>
        </w:rPr>
        <w:t>.</w:t>
      </w:r>
    </w:p>
    <w:p w:rsidR="00171A52" w:rsidRDefault="00CB5627" w:rsidP="00FF3D3A">
      <w:pPr>
        <w:jc w:val="both"/>
        <w:rPr>
          <w:sz w:val="20"/>
          <w:szCs w:val="20"/>
        </w:rPr>
      </w:pPr>
      <w:r>
        <w:rPr>
          <w:sz w:val="20"/>
          <w:szCs w:val="20"/>
        </w:rPr>
        <w:t>Teachers</w:t>
      </w:r>
      <w:r w:rsidR="003C7256">
        <w:rPr>
          <w:sz w:val="20"/>
          <w:szCs w:val="20"/>
        </w:rPr>
        <w:t>’</w:t>
      </w:r>
      <w:r>
        <w:rPr>
          <w:sz w:val="20"/>
          <w:szCs w:val="20"/>
        </w:rPr>
        <w:t xml:space="preserve"> practices to stimulate improved </w:t>
      </w:r>
      <w:r w:rsidR="00C55366">
        <w:rPr>
          <w:sz w:val="20"/>
          <w:szCs w:val="20"/>
        </w:rPr>
        <w:t xml:space="preserve">enjoyment and </w:t>
      </w:r>
      <w:r>
        <w:rPr>
          <w:sz w:val="20"/>
          <w:szCs w:val="20"/>
        </w:rPr>
        <w:t>performance in reading</w:t>
      </w:r>
      <w:r w:rsidR="00C55366">
        <w:rPr>
          <w:sz w:val="20"/>
          <w:szCs w:val="20"/>
        </w:rPr>
        <w:t xml:space="preserve"> included actions such as asking students the meaning of a text; asking questions that challenge; encouraging</w:t>
      </w:r>
      <w:r w:rsidR="003C7256">
        <w:rPr>
          <w:sz w:val="20"/>
          <w:szCs w:val="20"/>
        </w:rPr>
        <w:t xml:space="preserve"> students to express an opinion and helping them relate </w:t>
      </w:r>
      <w:r w:rsidR="00C55366">
        <w:rPr>
          <w:sz w:val="20"/>
          <w:szCs w:val="20"/>
        </w:rPr>
        <w:t xml:space="preserve">reading to their own lives. These practices were linked with improved performance in literacy in </w:t>
      </w:r>
      <w:r w:rsidR="003C7256">
        <w:rPr>
          <w:sz w:val="20"/>
          <w:szCs w:val="20"/>
        </w:rPr>
        <w:t xml:space="preserve">forty two </w:t>
      </w:r>
      <w:r w:rsidR="00C55366">
        <w:rPr>
          <w:sz w:val="20"/>
          <w:szCs w:val="20"/>
        </w:rPr>
        <w:t xml:space="preserve">countries with girls benefitting as well as boys.  </w:t>
      </w:r>
      <w:r>
        <w:rPr>
          <w:sz w:val="20"/>
          <w:szCs w:val="20"/>
        </w:rPr>
        <w:t xml:space="preserve">     </w:t>
      </w:r>
    </w:p>
    <w:p w:rsidR="006F07DF" w:rsidRPr="00CD4B73" w:rsidRDefault="00C55366" w:rsidP="00FF3D3A">
      <w:pPr>
        <w:jc w:val="both"/>
        <w:rPr>
          <w:sz w:val="20"/>
          <w:szCs w:val="20"/>
        </w:rPr>
      </w:pPr>
      <w:r>
        <w:rPr>
          <w:sz w:val="20"/>
          <w:szCs w:val="20"/>
        </w:rPr>
        <w:t xml:space="preserve">Other studies </w:t>
      </w:r>
      <w:r w:rsidR="003C7256">
        <w:rPr>
          <w:sz w:val="20"/>
          <w:szCs w:val="20"/>
        </w:rPr>
        <w:t xml:space="preserve">(Halpern et al 2007) </w:t>
      </w:r>
      <w:r>
        <w:rPr>
          <w:sz w:val="20"/>
          <w:szCs w:val="20"/>
        </w:rPr>
        <w:t xml:space="preserve">provide advice for program content as well as classroom practices. </w:t>
      </w:r>
      <w:r w:rsidR="006F07DF" w:rsidRPr="00CD4B73">
        <w:rPr>
          <w:sz w:val="20"/>
          <w:szCs w:val="20"/>
        </w:rPr>
        <w:t xml:space="preserve">For girls and numeracy </w:t>
      </w:r>
      <w:r w:rsidR="00FC1262">
        <w:rPr>
          <w:sz w:val="20"/>
          <w:szCs w:val="20"/>
        </w:rPr>
        <w:t>the gap in outcomes could be tackled by</w:t>
      </w:r>
      <w:r w:rsidR="003C7256">
        <w:rPr>
          <w:sz w:val="20"/>
          <w:szCs w:val="20"/>
        </w:rPr>
        <w:t>:</w:t>
      </w:r>
      <w:r w:rsidR="00BE38EE">
        <w:rPr>
          <w:sz w:val="20"/>
          <w:szCs w:val="20"/>
        </w:rPr>
        <w:t xml:space="preserve"> </w:t>
      </w:r>
    </w:p>
    <w:p w:rsidR="006F07DF" w:rsidRPr="00042CCB" w:rsidRDefault="006F07DF" w:rsidP="00FF3D3A">
      <w:pPr>
        <w:pStyle w:val="ListParagraph"/>
        <w:numPr>
          <w:ilvl w:val="0"/>
          <w:numId w:val="6"/>
        </w:numPr>
        <w:jc w:val="both"/>
        <w:rPr>
          <w:sz w:val="20"/>
          <w:szCs w:val="20"/>
        </w:rPr>
      </w:pPr>
      <w:r w:rsidRPr="00042CCB">
        <w:rPr>
          <w:sz w:val="20"/>
          <w:szCs w:val="20"/>
        </w:rPr>
        <w:t>provid</w:t>
      </w:r>
      <w:r w:rsidR="00FC1262">
        <w:rPr>
          <w:sz w:val="20"/>
          <w:szCs w:val="20"/>
        </w:rPr>
        <w:t>ing</w:t>
      </w:r>
      <w:r w:rsidRPr="00042CCB">
        <w:rPr>
          <w:sz w:val="20"/>
          <w:szCs w:val="20"/>
        </w:rPr>
        <w:t xml:space="preserve"> opportunities for </w:t>
      </w:r>
      <w:r w:rsidR="003C7256">
        <w:rPr>
          <w:sz w:val="20"/>
          <w:szCs w:val="20"/>
        </w:rPr>
        <w:t>girls</w:t>
      </w:r>
      <w:r w:rsidRPr="00042CCB">
        <w:rPr>
          <w:sz w:val="20"/>
          <w:szCs w:val="20"/>
        </w:rPr>
        <w:t xml:space="preserve"> to eng</w:t>
      </w:r>
      <w:r>
        <w:rPr>
          <w:sz w:val="20"/>
          <w:szCs w:val="20"/>
        </w:rPr>
        <w:t xml:space="preserve">age in spatial skills training </w:t>
      </w:r>
      <w:r w:rsidR="003C7256">
        <w:rPr>
          <w:sz w:val="20"/>
          <w:szCs w:val="20"/>
        </w:rPr>
        <w:t xml:space="preserve">by teaching </w:t>
      </w:r>
      <w:r>
        <w:rPr>
          <w:sz w:val="20"/>
          <w:szCs w:val="20"/>
        </w:rPr>
        <w:t xml:space="preserve"> </w:t>
      </w:r>
      <w:r w:rsidRPr="00042CCB">
        <w:rPr>
          <w:sz w:val="20"/>
          <w:szCs w:val="20"/>
        </w:rPr>
        <w:t>students to mentally image and draw spatial displays in response to m</w:t>
      </w:r>
      <w:r>
        <w:rPr>
          <w:sz w:val="20"/>
          <w:szCs w:val="20"/>
        </w:rPr>
        <w:t>a</w:t>
      </w:r>
      <w:r w:rsidR="003C7256">
        <w:rPr>
          <w:sz w:val="20"/>
          <w:szCs w:val="20"/>
        </w:rPr>
        <w:t>thematics and science problems and requiring</w:t>
      </w:r>
      <w:r w:rsidRPr="00042CCB">
        <w:rPr>
          <w:sz w:val="20"/>
          <w:szCs w:val="20"/>
        </w:rPr>
        <w:t xml:space="preserve"> students to answer mathematics problems using both verbal </w:t>
      </w:r>
      <w:r>
        <w:rPr>
          <w:sz w:val="20"/>
          <w:szCs w:val="20"/>
        </w:rPr>
        <w:t xml:space="preserve">responses and </w:t>
      </w:r>
      <w:r w:rsidR="00BE38EE">
        <w:rPr>
          <w:sz w:val="20"/>
          <w:szCs w:val="20"/>
        </w:rPr>
        <w:t xml:space="preserve">spatial displays </w:t>
      </w:r>
      <w:r w:rsidRPr="00042CCB">
        <w:rPr>
          <w:sz w:val="20"/>
          <w:szCs w:val="20"/>
        </w:rPr>
        <w:t xml:space="preserve"> </w:t>
      </w:r>
    </w:p>
    <w:p w:rsidR="00F271BE" w:rsidRDefault="006F07DF" w:rsidP="00F271BE">
      <w:pPr>
        <w:pStyle w:val="ListParagraph"/>
        <w:numPr>
          <w:ilvl w:val="0"/>
          <w:numId w:val="6"/>
        </w:numPr>
        <w:jc w:val="both"/>
        <w:rPr>
          <w:sz w:val="20"/>
          <w:szCs w:val="20"/>
        </w:rPr>
      </w:pPr>
      <w:r w:rsidRPr="00042CCB">
        <w:rPr>
          <w:sz w:val="20"/>
          <w:szCs w:val="20"/>
        </w:rPr>
        <w:t>provid</w:t>
      </w:r>
      <w:r w:rsidR="00FC1262">
        <w:rPr>
          <w:sz w:val="20"/>
          <w:szCs w:val="20"/>
        </w:rPr>
        <w:t>ing</w:t>
      </w:r>
      <w:r w:rsidRPr="00042CCB">
        <w:rPr>
          <w:sz w:val="20"/>
          <w:szCs w:val="20"/>
        </w:rPr>
        <w:t xml:space="preserve"> </w:t>
      </w:r>
      <w:r w:rsidR="003C7256">
        <w:rPr>
          <w:sz w:val="20"/>
          <w:szCs w:val="20"/>
        </w:rPr>
        <w:t>girls</w:t>
      </w:r>
      <w:r w:rsidRPr="00042CCB">
        <w:rPr>
          <w:sz w:val="20"/>
          <w:szCs w:val="20"/>
        </w:rPr>
        <w:t xml:space="preserve"> with prescriptive, informational feedback regarding their performance - focusing on strategies, effort, and the process of learning. </w:t>
      </w:r>
      <w:r w:rsidR="00FC1262">
        <w:rPr>
          <w:sz w:val="20"/>
          <w:szCs w:val="20"/>
        </w:rPr>
        <w:t>(</w:t>
      </w:r>
      <w:r w:rsidRPr="00042CCB">
        <w:rPr>
          <w:sz w:val="20"/>
          <w:szCs w:val="20"/>
        </w:rPr>
        <w:t xml:space="preserve">Such feedback enhances </w:t>
      </w:r>
      <w:r w:rsidR="003C7256">
        <w:rPr>
          <w:sz w:val="20"/>
          <w:szCs w:val="20"/>
        </w:rPr>
        <w:t xml:space="preserve">girls’ </w:t>
      </w:r>
      <w:r w:rsidRPr="00042CCB">
        <w:rPr>
          <w:sz w:val="20"/>
          <w:szCs w:val="20"/>
        </w:rPr>
        <w:t>beliefs about their abilities, typically improves persistence, and improves performance on tasks.</w:t>
      </w:r>
      <w:r w:rsidR="00FC1262">
        <w:rPr>
          <w:sz w:val="20"/>
          <w:szCs w:val="20"/>
        </w:rPr>
        <w:t>)</w:t>
      </w:r>
      <w:r w:rsidRPr="00042CCB">
        <w:rPr>
          <w:sz w:val="20"/>
          <w:szCs w:val="20"/>
        </w:rPr>
        <w:t xml:space="preserve">  </w:t>
      </w:r>
    </w:p>
    <w:p w:rsidR="00F271BE" w:rsidRPr="00F271BE" w:rsidRDefault="00F271BE" w:rsidP="00F271BE">
      <w:pPr>
        <w:jc w:val="both"/>
        <w:rPr>
          <w:sz w:val="20"/>
          <w:szCs w:val="20"/>
        </w:rPr>
      </w:pPr>
      <w:r w:rsidRPr="00F271BE">
        <w:rPr>
          <w:rFonts w:ascii="Century Gothic" w:hAnsi="Century Gothic"/>
          <w:sz w:val="20"/>
          <w:szCs w:val="20"/>
        </w:rPr>
        <w:t xml:space="preserve">The question of the effects of single sex classes or schools for girls so as to improve outcomes has been extensively debated and research continues to show possible positive effects but when socio-economic issues are taken into account the differences vanish. </w:t>
      </w:r>
    </w:p>
    <w:p w:rsidR="00F271BE" w:rsidRPr="00F271BE" w:rsidRDefault="00696C62" w:rsidP="00F271BE">
      <w:pPr>
        <w:spacing w:after="120"/>
        <w:jc w:val="both"/>
        <w:rPr>
          <w:rFonts w:ascii="Century Gothic" w:hAnsi="Century Gothic"/>
          <w:sz w:val="20"/>
          <w:szCs w:val="20"/>
        </w:rPr>
      </w:pPr>
      <w:r>
        <w:rPr>
          <w:rFonts w:ascii="Century Gothic" w:hAnsi="Century Gothic"/>
          <w:sz w:val="20"/>
          <w:szCs w:val="20"/>
        </w:rPr>
        <w:t>On the positive side, a</w:t>
      </w:r>
      <w:r w:rsidR="00F271BE" w:rsidRPr="00F271BE">
        <w:rPr>
          <w:rFonts w:ascii="Century Gothic" w:hAnsi="Century Gothic"/>
          <w:sz w:val="20"/>
          <w:szCs w:val="20"/>
        </w:rPr>
        <w:t xml:space="preserve"> NSW study (Centre for Education Statistics and Evaluation 2014) of factors in value adding to a student’s performance identified some positive effects of single sex-schooling for girls in NSW government system with the effect more noticeable at the senior level of secondary school. As previously mentioned</w:t>
      </w:r>
      <w:r>
        <w:rPr>
          <w:rFonts w:ascii="Century Gothic" w:hAnsi="Century Gothic"/>
          <w:sz w:val="20"/>
          <w:szCs w:val="20"/>
        </w:rPr>
        <w:t>,</w:t>
      </w:r>
      <w:r w:rsidR="00F271BE" w:rsidRPr="00F271BE">
        <w:rPr>
          <w:rFonts w:ascii="Century Gothic" w:hAnsi="Century Gothic"/>
          <w:sz w:val="20"/>
          <w:szCs w:val="20"/>
        </w:rPr>
        <w:t xml:space="preserve"> a study using the Australian data from 2011 TIMSS (Ryan 2016) identified that girls in single sex arrangements generally like mathematics and are as confident about their ability as are boys in single sex schools. </w:t>
      </w:r>
    </w:p>
    <w:p w:rsidR="00F271BE" w:rsidRPr="00F271BE" w:rsidRDefault="00F271BE" w:rsidP="00F271BE">
      <w:pPr>
        <w:spacing w:after="120"/>
        <w:jc w:val="both"/>
        <w:rPr>
          <w:rFonts w:ascii="Century Gothic" w:hAnsi="Century Gothic"/>
          <w:sz w:val="20"/>
          <w:szCs w:val="20"/>
        </w:rPr>
      </w:pPr>
      <w:r w:rsidRPr="00F271BE">
        <w:rPr>
          <w:rFonts w:ascii="Century Gothic" w:hAnsi="Century Gothic"/>
          <w:sz w:val="20"/>
          <w:szCs w:val="20"/>
        </w:rPr>
        <w:t xml:space="preserve">On the other hand, </w:t>
      </w:r>
      <w:r w:rsidR="00696C62">
        <w:rPr>
          <w:rFonts w:ascii="Century Gothic" w:hAnsi="Century Gothic"/>
          <w:sz w:val="20"/>
          <w:szCs w:val="20"/>
        </w:rPr>
        <w:t xml:space="preserve">while </w:t>
      </w:r>
      <w:r w:rsidRPr="00F271BE">
        <w:rPr>
          <w:rFonts w:ascii="Century Gothic" w:hAnsi="Century Gothic"/>
          <w:sz w:val="20"/>
          <w:szCs w:val="20"/>
        </w:rPr>
        <w:t>OECD analysis of 2006 PISA data did find significant differences between the performances of students in Australian single-sex and co-ed schools</w:t>
      </w:r>
      <w:r w:rsidR="00696C62">
        <w:rPr>
          <w:rFonts w:ascii="Century Gothic" w:hAnsi="Century Gothic"/>
          <w:sz w:val="20"/>
          <w:szCs w:val="20"/>
        </w:rPr>
        <w:t>, they</w:t>
      </w:r>
      <w:r w:rsidRPr="00F271BE">
        <w:rPr>
          <w:rFonts w:ascii="Century Gothic" w:hAnsi="Century Gothic"/>
          <w:sz w:val="20"/>
          <w:szCs w:val="20"/>
        </w:rPr>
        <w:t xml:space="preserve"> </w:t>
      </w:r>
      <w:r w:rsidR="00696C62">
        <w:rPr>
          <w:rFonts w:ascii="Century Gothic" w:hAnsi="Century Gothic"/>
          <w:sz w:val="20"/>
          <w:szCs w:val="20"/>
        </w:rPr>
        <w:t xml:space="preserve">also </w:t>
      </w:r>
      <w:r w:rsidRPr="00F271BE">
        <w:rPr>
          <w:rFonts w:ascii="Century Gothic" w:hAnsi="Century Gothic"/>
          <w:sz w:val="20"/>
          <w:szCs w:val="20"/>
        </w:rPr>
        <w:t>found that the gains made by single-sex schools were all but wiped out after socio-economic factors were taken into account. </w:t>
      </w:r>
    </w:p>
    <w:p w:rsidR="00A12AB6" w:rsidRPr="00110554" w:rsidRDefault="00F271BE" w:rsidP="00110554">
      <w:pPr>
        <w:spacing w:after="120"/>
        <w:jc w:val="both"/>
        <w:rPr>
          <w:rFonts w:ascii="Century Gothic" w:hAnsi="Century Gothic"/>
          <w:color w:val="FF0000"/>
          <w:sz w:val="20"/>
          <w:szCs w:val="20"/>
        </w:rPr>
      </w:pPr>
      <w:r w:rsidRPr="00380CA5">
        <w:rPr>
          <w:rFonts w:ascii="Century Gothic" w:hAnsi="Century Gothic"/>
          <w:sz w:val="20"/>
          <w:szCs w:val="20"/>
        </w:rPr>
        <w:t xml:space="preserve">Similarly, large scale studies in the United States (Halpern et al 2007, Pahlke 2014) found that any advantages for girls from single sex classes are trivial and, in many cases, non-existent. </w:t>
      </w:r>
      <w:r w:rsidR="00696C62">
        <w:rPr>
          <w:rFonts w:ascii="Century Gothic" w:hAnsi="Century Gothic"/>
          <w:sz w:val="20"/>
          <w:szCs w:val="20"/>
        </w:rPr>
        <w:t>They argue that whe</w:t>
      </w:r>
      <w:r w:rsidR="00130C1A">
        <w:rPr>
          <w:rFonts w:ascii="Century Gothic" w:hAnsi="Century Gothic"/>
          <w:sz w:val="20"/>
          <w:szCs w:val="20"/>
        </w:rPr>
        <w:t xml:space="preserve">re girls in single-sex schools </w:t>
      </w:r>
      <w:r w:rsidR="00696C62">
        <w:rPr>
          <w:rFonts w:ascii="Century Gothic" w:hAnsi="Century Gothic"/>
          <w:sz w:val="20"/>
          <w:szCs w:val="20"/>
        </w:rPr>
        <w:t xml:space="preserve">perform well it is because the schools are good schools in their own right, not that it is because they are single-sex. </w:t>
      </w:r>
    </w:p>
    <w:p w:rsidR="00A12AB6" w:rsidRPr="00A12AB6" w:rsidRDefault="00A12AB6" w:rsidP="00A12AB6">
      <w:pPr>
        <w:pStyle w:val="Heading4"/>
      </w:pPr>
      <w:r w:rsidRPr="00A12AB6">
        <w:t xml:space="preserve">For boys and literacy </w:t>
      </w:r>
    </w:p>
    <w:p w:rsidR="006F07DF" w:rsidRPr="00CD4B73" w:rsidRDefault="006F07DF" w:rsidP="00FF3D3A">
      <w:pPr>
        <w:jc w:val="both"/>
        <w:rPr>
          <w:sz w:val="20"/>
          <w:szCs w:val="20"/>
        </w:rPr>
      </w:pPr>
      <w:r w:rsidRPr="00BE38EE">
        <w:rPr>
          <w:sz w:val="20"/>
          <w:szCs w:val="20"/>
        </w:rPr>
        <w:t xml:space="preserve">For boys and literacy </w:t>
      </w:r>
      <w:r w:rsidR="00FC1262" w:rsidRPr="00BE38EE">
        <w:rPr>
          <w:sz w:val="20"/>
          <w:szCs w:val="20"/>
        </w:rPr>
        <w:t>the gap in outcomes could be tackled by</w:t>
      </w:r>
      <w:r w:rsidR="00BE38EE" w:rsidRPr="00BE38EE">
        <w:rPr>
          <w:sz w:val="20"/>
          <w:szCs w:val="20"/>
        </w:rPr>
        <w:t xml:space="preserve"> </w:t>
      </w:r>
      <w:r w:rsidR="00696C62">
        <w:rPr>
          <w:sz w:val="20"/>
          <w:szCs w:val="20"/>
        </w:rPr>
        <w:t xml:space="preserve">a range of teaching techniques </w:t>
      </w:r>
      <w:r w:rsidR="00BE38EE" w:rsidRPr="00BE38EE">
        <w:rPr>
          <w:sz w:val="20"/>
          <w:szCs w:val="20"/>
        </w:rPr>
        <w:t>(</w:t>
      </w:r>
      <w:r w:rsidR="00955F9D">
        <w:rPr>
          <w:sz w:val="20"/>
          <w:szCs w:val="20"/>
        </w:rPr>
        <w:t xml:space="preserve">Alloway et al 2002; </w:t>
      </w:r>
      <w:r w:rsidR="0084632A">
        <w:rPr>
          <w:sz w:val="20"/>
          <w:szCs w:val="20"/>
        </w:rPr>
        <w:t xml:space="preserve">Lingard 2002; Martin 2002; </w:t>
      </w:r>
      <w:r w:rsidR="00955F9D">
        <w:rPr>
          <w:sz w:val="20"/>
          <w:szCs w:val="20"/>
        </w:rPr>
        <w:t xml:space="preserve">Munns et al 2006; </w:t>
      </w:r>
      <w:r w:rsidR="00955F9D" w:rsidRPr="00BE38EE">
        <w:rPr>
          <w:sz w:val="20"/>
          <w:szCs w:val="20"/>
        </w:rPr>
        <w:t>Trent and Slade 2001</w:t>
      </w:r>
      <w:r w:rsidR="008009A2">
        <w:rPr>
          <w:sz w:val="20"/>
          <w:szCs w:val="20"/>
        </w:rPr>
        <w:t xml:space="preserve">; </w:t>
      </w:r>
      <w:r w:rsidR="00283EED" w:rsidRPr="00784069">
        <w:rPr>
          <w:rFonts w:ascii="Century Gothic" w:hAnsi="Century Gothic"/>
          <w:sz w:val="20"/>
          <w:szCs w:val="20"/>
        </w:rPr>
        <w:t>Wo</w:t>
      </w:r>
      <w:r w:rsidR="00283EED">
        <w:rPr>
          <w:rFonts w:ascii="Century Gothic" w:hAnsi="Century Gothic"/>
          <w:sz w:val="20"/>
          <w:szCs w:val="20"/>
        </w:rPr>
        <w:t xml:space="preserve">olcott Research 2001; </w:t>
      </w:r>
      <w:r w:rsidR="008009A2">
        <w:rPr>
          <w:sz w:val="20"/>
          <w:szCs w:val="20"/>
        </w:rPr>
        <w:t>Yeung and Curwood 2015)</w:t>
      </w:r>
      <w:r w:rsidR="00696C62">
        <w:rPr>
          <w:sz w:val="20"/>
          <w:szCs w:val="20"/>
        </w:rPr>
        <w:t>.</w:t>
      </w:r>
    </w:p>
    <w:p w:rsidR="00716131" w:rsidRPr="00BE38EE" w:rsidRDefault="00696C62" w:rsidP="00FF3D3A">
      <w:pPr>
        <w:pStyle w:val="ListParagraph"/>
        <w:numPr>
          <w:ilvl w:val="0"/>
          <w:numId w:val="6"/>
        </w:numPr>
        <w:jc w:val="both"/>
        <w:rPr>
          <w:sz w:val="20"/>
          <w:szCs w:val="20"/>
        </w:rPr>
      </w:pPr>
      <w:r>
        <w:rPr>
          <w:sz w:val="20"/>
          <w:szCs w:val="20"/>
        </w:rPr>
        <w:t>M</w:t>
      </w:r>
      <w:r w:rsidR="006F07DF" w:rsidRPr="00BE38EE">
        <w:rPr>
          <w:sz w:val="20"/>
          <w:szCs w:val="20"/>
        </w:rPr>
        <w:t>ak</w:t>
      </w:r>
      <w:r w:rsidR="00FC1262" w:rsidRPr="00BE38EE">
        <w:rPr>
          <w:sz w:val="20"/>
          <w:szCs w:val="20"/>
        </w:rPr>
        <w:t>ing</w:t>
      </w:r>
      <w:r w:rsidR="006F07DF" w:rsidRPr="00BE38EE">
        <w:rPr>
          <w:sz w:val="20"/>
          <w:szCs w:val="20"/>
        </w:rPr>
        <w:t xml:space="preserve"> pedagogy in schools more intellectually demanding </w:t>
      </w:r>
      <w:r w:rsidR="00130C1A">
        <w:rPr>
          <w:sz w:val="20"/>
          <w:szCs w:val="20"/>
        </w:rPr>
        <w:t xml:space="preserve">and </w:t>
      </w:r>
      <w:r w:rsidR="006F07DF" w:rsidRPr="00BE38EE">
        <w:rPr>
          <w:sz w:val="20"/>
          <w:szCs w:val="20"/>
        </w:rPr>
        <w:t xml:space="preserve">more connected to the </w:t>
      </w:r>
      <w:r w:rsidR="003C7256">
        <w:rPr>
          <w:sz w:val="20"/>
          <w:szCs w:val="20"/>
        </w:rPr>
        <w:t>boys’</w:t>
      </w:r>
      <w:r w:rsidR="006F07DF" w:rsidRPr="00BE38EE">
        <w:rPr>
          <w:sz w:val="20"/>
          <w:szCs w:val="20"/>
        </w:rPr>
        <w:t xml:space="preserve"> lives and the world beyond the classroom</w:t>
      </w:r>
      <w:r w:rsidR="00130C1A">
        <w:rPr>
          <w:sz w:val="20"/>
          <w:szCs w:val="20"/>
        </w:rPr>
        <w:t>; and</w:t>
      </w:r>
      <w:r w:rsidR="006F07DF" w:rsidRPr="00BE38EE">
        <w:rPr>
          <w:sz w:val="20"/>
          <w:szCs w:val="20"/>
        </w:rPr>
        <w:t xml:space="preserve"> genuinely listening to boys’ opinions and concerns</w:t>
      </w:r>
      <w:r w:rsidR="00716131" w:rsidRPr="00BE38EE">
        <w:rPr>
          <w:sz w:val="20"/>
          <w:szCs w:val="20"/>
        </w:rPr>
        <w:t xml:space="preserve"> </w:t>
      </w:r>
    </w:p>
    <w:p w:rsidR="000550AB" w:rsidRDefault="00696C62" w:rsidP="00FF3D3A">
      <w:pPr>
        <w:pStyle w:val="ListParagraph"/>
        <w:numPr>
          <w:ilvl w:val="0"/>
          <w:numId w:val="6"/>
        </w:numPr>
        <w:jc w:val="both"/>
        <w:rPr>
          <w:sz w:val="20"/>
          <w:szCs w:val="20"/>
        </w:rPr>
      </w:pPr>
      <w:r>
        <w:rPr>
          <w:sz w:val="20"/>
          <w:szCs w:val="20"/>
        </w:rPr>
        <w:t>E</w:t>
      </w:r>
      <w:r w:rsidR="006F07DF" w:rsidRPr="000550AB">
        <w:rPr>
          <w:sz w:val="20"/>
          <w:szCs w:val="20"/>
        </w:rPr>
        <w:t>mphasising the relevance of learning and its connection to the outside world</w:t>
      </w:r>
      <w:r w:rsidR="00716131" w:rsidRPr="000550AB">
        <w:rPr>
          <w:sz w:val="20"/>
          <w:szCs w:val="20"/>
        </w:rPr>
        <w:t xml:space="preserve"> </w:t>
      </w:r>
    </w:p>
    <w:p w:rsidR="006F07DF" w:rsidRPr="000550AB" w:rsidRDefault="00696C62" w:rsidP="00FF3D3A">
      <w:pPr>
        <w:pStyle w:val="ListParagraph"/>
        <w:numPr>
          <w:ilvl w:val="0"/>
          <w:numId w:val="6"/>
        </w:numPr>
        <w:jc w:val="both"/>
        <w:rPr>
          <w:sz w:val="20"/>
          <w:szCs w:val="20"/>
        </w:rPr>
      </w:pPr>
      <w:r>
        <w:rPr>
          <w:sz w:val="20"/>
          <w:szCs w:val="20"/>
        </w:rPr>
        <w:t>M</w:t>
      </w:r>
      <w:r w:rsidR="006F07DF" w:rsidRPr="000550AB">
        <w:rPr>
          <w:sz w:val="20"/>
          <w:szCs w:val="20"/>
        </w:rPr>
        <w:t xml:space="preserve">odelling the behaviours expected of boys, such as </w:t>
      </w:r>
      <w:r w:rsidR="000550AB">
        <w:rPr>
          <w:sz w:val="20"/>
          <w:szCs w:val="20"/>
        </w:rPr>
        <w:t>fairness and respect</w:t>
      </w:r>
    </w:p>
    <w:p w:rsidR="00716131" w:rsidRDefault="00696C62" w:rsidP="00FF3D3A">
      <w:pPr>
        <w:pStyle w:val="ListParagraph"/>
        <w:numPr>
          <w:ilvl w:val="0"/>
          <w:numId w:val="6"/>
        </w:numPr>
        <w:jc w:val="both"/>
        <w:rPr>
          <w:sz w:val="20"/>
          <w:szCs w:val="20"/>
        </w:rPr>
      </w:pPr>
      <w:r>
        <w:rPr>
          <w:sz w:val="20"/>
          <w:szCs w:val="20"/>
        </w:rPr>
        <w:t>P</w:t>
      </w:r>
      <w:r w:rsidR="006F07DF">
        <w:rPr>
          <w:sz w:val="20"/>
          <w:szCs w:val="20"/>
        </w:rPr>
        <w:t>ersonalising</w:t>
      </w:r>
      <w:r w:rsidR="006F07DF" w:rsidRPr="00CD4B73">
        <w:rPr>
          <w:sz w:val="20"/>
          <w:szCs w:val="20"/>
        </w:rPr>
        <w:t xml:space="preserve"> tasks so that challenges match boys’ capacities such as  incorporating practical or ‘hands-on’ activities into lessons</w:t>
      </w:r>
      <w:r w:rsidR="00716131">
        <w:rPr>
          <w:sz w:val="20"/>
          <w:szCs w:val="20"/>
        </w:rPr>
        <w:t xml:space="preserve"> </w:t>
      </w:r>
    </w:p>
    <w:p w:rsidR="00716131" w:rsidRDefault="00696C62" w:rsidP="00FF3D3A">
      <w:pPr>
        <w:pStyle w:val="ListParagraph"/>
        <w:numPr>
          <w:ilvl w:val="0"/>
          <w:numId w:val="6"/>
        </w:numPr>
        <w:jc w:val="both"/>
        <w:rPr>
          <w:sz w:val="20"/>
          <w:szCs w:val="20"/>
        </w:rPr>
      </w:pPr>
      <w:r>
        <w:rPr>
          <w:sz w:val="20"/>
          <w:szCs w:val="20"/>
        </w:rPr>
        <w:t>P</w:t>
      </w:r>
      <w:r w:rsidR="006F07DF" w:rsidRPr="00CD4B73">
        <w:rPr>
          <w:sz w:val="20"/>
          <w:szCs w:val="20"/>
        </w:rPr>
        <w:t>roviding regular opportunities for boys to experience success</w:t>
      </w:r>
      <w:r w:rsidR="006F07DF">
        <w:rPr>
          <w:sz w:val="20"/>
          <w:szCs w:val="20"/>
        </w:rPr>
        <w:t xml:space="preserve"> and to develop a positive self- belief</w:t>
      </w:r>
    </w:p>
    <w:p w:rsidR="00716131" w:rsidRDefault="00696C62" w:rsidP="00FF3D3A">
      <w:pPr>
        <w:pStyle w:val="ListParagraph"/>
        <w:numPr>
          <w:ilvl w:val="0"/>
          <w:numId w:val="6"/>
        </w:numPr>
        <w:jc w:val="both"/>
        <w:rPr>
          <w:sz w:val="20"/>
          <w:szCs w:val="20"/>
        </w:rPr>
      </w:pPr>
      <w:r>
        <w:rPr>
          <w:sz w:val="20"/>
          <w:szCs w:val="20"/>
        </w:rPr>
        <w:t>E</w:t>
      </w:r>
      <w:r w:rsidR="006F07DF" w:rsidRPr="00CD4B73">
        <w:rPr>
          <w:sz w:val="20"/>
          <w:szCs w:val="20"/>
        </w:rPr>
        <w:t>xpanding boys’ views of success to include outcomes such as pe</w:t>
      </w:r>
      <w:r w:rsidR="006F07DF">
        <w:rPr>
          <w:sz w:val="20"/>
          <w:szCs w:val="20"/>
        </w:rPr>
        <w:t xml:space="preserve">rsonal bests and improvement </w:t>
      </w:r>
    </w:p>
    <w:p w:rsidR="00716131" w:rsidRDefault="00696C62" w:rsidP="00FF3D3A">
      <w:pPr>
        <w:pStyle w:val="ListParagraph"/>
        <w:numPr>
          <w:ilvl w:val="0"/>
          <w:numId w:val="6"/>
        </w:numPr>
        <w:jc w:val="both"/>
        <w:rPr>
          <w:sz w:val="20"/>
          <w:szCs w:val="20"/>
        </w:rPr>
      </w:pPr>
      <w:r>
        <w:rPr>
          <w:sz w:val="20"/>
          <w:szCs w:val="20"/>
        </w:rPr>
        <w:t>P</w:t>
      </w:r>
      <w:r w:rsidR="00716131" w:rsidRPr="00716131">
        <w:rPr>
          <w:sz w:val="20"/>
          <w:szCs w:val="20"/>
        </w:rPr>
        <w:t>roviding active</w:t>
      </w:r>
      <w:r w:rsidR="006F07DF" w:rsidRPr="00716131">
        <w:rPr>
          <w:sz w:val="20"/>
          <w:szCs w:val="20"/>
        </w:rPr>
        <w:t xml:space="preserve"> and purposeful engagement strategies in classrooms  </w:t>
      </w:r>
    </w:p>
    <w:p w:rsidR="00716131" w:rsidRDefault="00716131" w:rsidP="00FF3D3A">
      <w:pPr>
        <w:pStyle w:val="ListParagraph"/>
        <w:numPr>
          <w:ilvl w:val="0"/>
          <w:numId w:val="6"/>
        </w:numPr>
        <w:jc w:val="both"/>
        <w:rPr>
          <w:sz w:val="20"/>
          <w:szCs w:val="20"/>
        </w:rPr>
      </w:pPr>
      <w:r>
        <w:rPr>
          <w:sz w:val="20"/>
          <w:szCs w:val="20"/>
        </w:rPr>
        <w:t>e</w:t>
      </w:r>
      <w:r w:rsidR="006F07DF" w:rsidRPr="00716131">
        <w:rPr>
          <w:sz w:val="20"/>
          <w:szCs w:val="20"/>
        </w:rPr>
        <w:t>xpand</w:t>
      </w:r>
      <w:r w:rsidRPr="00716131">
        <w:rPr>
          <w:sz w:val="20"/>
          <w:szCs w:val="20"/>
        </w:rPr>
        <w:t>ing</w:t>
      </w:r>
      <w:r w:rsidR="006F07DF" w:rsidRPr="00716131">
        <w:rPr>
          <w:sz w:val="20"/>
          <w:szCs w:val="20"/>
        </w:rPr>
        <w:t xml:space="preserve"> </w:t>
      </w:r>
      <w:r w:rsidRPr="00716131">
        <w:rPr>
          <w:sz w:val="20"/>
          <w:szCs w:val="20"/>
        </w:rPr>
        <w:t>boys’</w:t>
      </w:r>
      <w:r w:rsidR="006F07DF" w:rsidRPr="00716131">
        <w:rPr>
          <w:sz w:val="20"/>
          <w:szCs w:val="20"/>
        </w:rPr>
        <w:t xml:space="preserve"> repertoire for understanding self, relating to others, engaging with cultures</w:t>
      </w:r>
      <w:r>
        <w:rPr>
          <w:sz w:val="20"/>
          <w:szCs w:val="20"/>
        </w:rPr>
        <w:t xml:space="preserve"> </w:t>
      </w:r>
    </w:p>
    <w:p w:rsidR="00716131" w:rsidRDefault="00716131" w:rsidP="00FF3D3A">
      <w:pPr>
        <w:pStyle w:val="ListParagraph"/>
        <w:numPr>
          <w:ilvl w:val="0"/>
          <w:numId w:val="6"/>
        </w:numPr>
        <w:jc w:val="both"/>
        <w:rPr>
          <w:sz w:val="20"/>
          <w:szCs w:val="20"/>
        </w:rPr>
      </w:pPr>
      <w:r>
        <w:rPr>
          <w:sz w:val="20"/>
          <w:szCs w:val="20"/>
        </w:rPr>
        <w:t xml:space="preserve">providing more </w:t>
      </w:r>
      <w:r w:rsidR="006F07DF" w:rsidRPr="00716131">
        <w:rPr>
          <w:sz w:val="20"/>
          <w:szCs w:val="20"/>
        </w:rPr>
        <w:t>hands on- self-directed activities</w:t>
      </w:r>
      <w:r>
        <w:rPr>
          <w:sz w:val="20"/>
          <w:szCs w:val="20"/>
        </w:rPr>
        <w:t xml:space="preserve"> </w:t>
      </w:r>
      <w:r w:rsidR="006F07DF" w:rsidRPr="00716131">
        <w:rPr>
          <w:sz w:val="20"/>
          <w:szCs w:val="20"/>
        </w:rPr>
        <w:t>involving personal choice</w:t>
      </w:r>
    </w:p>
    <w:p w:rsidR="00716131" w:rsidRDefault="00696C62" w:rsidP="00FF3D3A">
      <w:pPr>
        <w:pStyle w:val="ListParagraph"/>
        <w:numPr>
          <w:ilvl w:val="0"/>
          <w:numId w:val="6"/>
        </w:numPr>
        <w:jc w:val="both"/>
        <w:rPr>
          <w:sz w:val="20"/>
          <w:szCs w:val="20"/>
        </w:rPr>
      </w:pPr>
      <w:r>
        <w:rPr>
          <w:sz w:val="20"/>
          <w:szCs w:val="20"/>
        </w:rPr>
        <w:t>E</w:t>
      </w:r>
      <w:r w:rsidR="00716131" w:rsidRPr="00716131">
        <w:rPr>
          <w:sz w:val="20"/>
          <w:szCs w:val="20"/>
        </w:rPr>
        <w:t>stablishing d</w:t>
      </w:r>
      <w:r w:rsidR="006F07DF" w:rsidRPr="00716131">
        <w:rPr>
          <w:sz w:val="20"/>
          <w:szCs w:val="20"/>
        </w:rPr>
        <w:t>ifferent</w:t>
      </w:r>
      <w:r w:rsidR="00716131">
        <w:rPr>
          <w:sz w:val="20"/>
          <w:szCs w:val="20"/>
        </w:rPr>
        <w:t xml:space="preserve"> agency an</w:t>
      </w:r>
      <w:r w:rsidR="000550AB">
        <w:rPr>
          <w:sz w:val="20"/>
          <w:szCs w:val="20"/>
        </w:rPr>
        <w:t xml:space="preserve">d power in classrooms </w:t>
      </w:r>
    </w:p>
    <w:p w:rsidR="006F07DF" w:rsidRDefault="00696C62" w:rsidP="00FF3D3A">
      <w:pPr>
        <w:pStyle w:val="ListParagraph"/>
        <w:numPr>
          <w:ilvl w:val="0"/>
          <w:numId w:val="6"/>
        </w:numPr>
        <w:jc w:val="both"/>
        <w:rPr>
          <w:sz w:val="20"/>
          <w:szCs w:val="20"/>
        </w:rPr>
      </w:pPr>
      <w:r>
        <w:rPr>
          <w:sz w:val="20"/>
          <w:szCs w:val="20"/>
        </w:rPr>
        <w:t>P</w:t>
      </w:r>
      <w:r w:rsidR="00716131">
        <w:rPr>
          <w:sz w:val="20"/>
          <w:szCs w:val="20"/>
        </w:rPr>
        <w:t>roviding boys with greater access to m</w:t>
      </w:r>
      <w:r w:rsidR="006F07DF" w:rsidRPr="00716131">
        <w:rPr>
          <w:sz w:val="20"/>
          <w:szCs w:val="20"/>
        </w:rPr>
        <w:t>aterials from different sites and modes – multi-modal texts</w:t>
      </w:r>
      <w:r w:rsidR="00716131">
        <w:rPr>
          <w:sz w:val="20"/>
          <w:szCs w:val="20"/>
        </w:rPr>
        <w:t xml:space="preserve"> </w:t>
      </w:r>
    </w:p>
    <w:p w:rsidR="00A12AB6" w:rsidRDefault="00A12AB6" w:rsidP="00A12AB6">
      <w:pPr>
        <w:pStyle w:val="Heading4"/>
      </w:pPr>
      <w:r>
        <w:t xml:space="preserve">Group based solutions versus highly effective teaching for all </w:t>
      </w:r>
    </w:p>
    <w:p w:rsidR="00130C1A" w:rsidRPr="00130C1A" w:rsidRDefault="00357A29" w:rsidP="00130C1A">
      <w:pPr>
        <w:jc w:val="both"/>
        <w:rPr>
          <w:sz w:val="20"/>
          <w:szCs w:val="20"/>
        </w:rPr>
      </w:pPr>
      <w:r>
        <w:rPr>
          <w:sz w:val="20"/>
          <w:szCs w:val="20"/>
        </w:rPr>
        <w:t>S</w:t>
      </w:r>
      <w:r w:rsidR="00130C1A">
        <w:rPr>
          <w:sz w:val="20"/>
          <w:szCs w:val="20"/>
        </w:rPr>
        <w:t xml:space="preserve">trategies for girls and mathematics and boys and literacy </w:t>
      </w:r>
      <w:r>
        <w:rPr>
          <w:sz w:val="20"/>
          <w:szCs w:val="20"/>
        </w:rPr>
        <w:t xml:space="preserve">can be </w:t>
      </w:r>
      <w:r w:rsidR="0065298E">
        <w:rPr>
          <w:sz w:val="20"/>
          <w:szCs w:val="20"/>
        </w:rPr>
        <w:t xml:space="preserve">interpreted </w:t>
      </w:r>
      <w:r>
        <w:rPr>
          <w:sz w:val="20"/>
          <w:szCs w:val="20"/>
        </w:rPr>
        <w:t xml:space="preserve">as </w:t>
      </w:r>
      <w:r w:rsidR="00130C1A">
        <w:rPr>
          <w:sz w:val="20"/>
          <w:szCs w:val="20"/>
        </w:rPr>
        <w:t>‘group-based’ solution</w:t>
      </w:r>
      <w:r w:rsidR="00BD2CE0">
        <w:rPr>
          <w:sz w:val="20"/>
          <w:szCs w:val="20"/>
        </w:rPr>
        <w:t xml:space="preserve">s or they can be part </w:t>
      </w:r>
      <w:r w:rsidR="00FB18AB">
        <w:rPr>
          <w:sz w:val="20"/>
          <w:szCs w:val="20"/>
        </w:rPr>
        <w:t>of wider suite effective practices</w:t>
      </w:r>
      <w:r w:rsidR="0065298E">
        <w:rPr>
          <w:sz w:val="20"/>
          <w:szCs w:val="20"/>
        </w:rPr>
        <w:t xml:space="preserve"> </w:t>
      </w:r>
      <w:r>
        <w:rPr>
          <w:sz w:val="20"/>
          <w:szCs w:val="20"/>
        </w:rPr>
        <w:t>to meet a range of needs</w:t>
      </w:r>
      <w:r w:rsidR="0065298E">
        <w:rPr>
          <w:sz w:val="20"/>
          <w:szCs w:val="20"/>
        </w:rPr>
        <w:t xml:space="preserve"> (Masters 2016). </w:t>
      </w:r>
      <w:r w:rsidR="0048581D">
        <w:rPr>
          <w:sz w:val="20"/>
          <w:szCs w:val="20"/>
        </w:rPr>
        <w:t xml:space="preserve">Numerous studies have identified a positive effect for a target group </w:t>
      </w:r>
      <w:r>
        <w:rPr>
          <w:sz w:val="20"/>
          <w:szCs w:val="20"/>
        </w:rPr>
        <w:t xml:space="preserve">from strategies designed for specific gender needs </w:t>
      </w:r>
      <w:r w:rsidR="0048581D">
        <w:rPr>
          <w:sz w:val="20"/>
          <w:szCs w:val="20"/>
        </w:rPr>
        <w:t>but also acknowledge that others benefit</w:t>
      </w:r>
      <w:r>
        <w:rPr>
          <w:sz w:val="20"/>
          <w:szCs w:val="20"/>
        </w:rPr>
        <w:t xml:space="preserve">. </w:t>
      </w:r>
      <w:r w:rsidR="0048581D">
        <w:rPr>
          <w:sz w:val="20"/>
          <w:szCs w:val="20"/>
        </w:rPr>
        <w:t>Highly effective teaching practices</w:t>
      </w:r>
      <w:r w:rsidR="0065298E">
        <w:rPr>
          <w:sz w:val="20"/>
          <w:szCs w:val="20"/>
        </w:rPr>
        <w:t xml:space="preserve"> (e.g. personalised instruction, providing feedback, time for reflection, encouraging effort, catering to different interests) </w:t>
      </w:r>
      <w:r w:rsidR="0048581D">
        <w:rPr>
          <w:sz w:val="20"/>
          <w:szCs w:val="20"/>
        </w:rPr>
        <w:t>tend to work for all regardless of the group</w:t>
      </w:r>
      <w:r w:rsidR="0065298E">
        <w:rPr>
          <w:sz w:val="20"/>
          <w:szCs w:val="20"/>
        </w:rPr>
        <w:t>.</w:t>
      </w:r>
      <w:r>
        <w:rPr>
          <w:sz w:val="20"/>
          <w:szCs w:val="20"/>
        </w:rPr>
        <w:t xml:space="preserve"> </w:t>
      </w:r>
    </w:p>
    <w:p w:rsidR="006F07DF" w:rsidRDefault="00776E86" w:rsidP="00FF3D3A">
      <w:pPr>
        <w:pStyle w:val="Heading2"/>
        <w:jc w:val="both"/>
      </w:pPr>
      <w:bookmarkStart w:id="32" w:name="_Toc469259454"/>
      <w:r>
        <w:t xml:space="preserve">4. </w:t>
      </w:r>
      <w:r w:rsidR="00716131">
        <w:t>Mapping the research findings to the E</w:t>
      </w:r>
      <w:r w:rsidR="006F07DF">
        <w:t>val</w:t>
      </w:r>
      <w:r w:rsidR="00716131">
        <w:t>uation F</w:t>
      </w:r>
      <w:r w:rsidR="006F07DF">
        <w:t>ramework</w:t>
      </w:r>
      <w:bookmarkEnd w:id="32"/>
      <w:r w:rsidR="006F07DF">
        <w:t xml:space="preserve"> </w:t>
      </w:r>
    </w:p>
    <w:p w:rsidR="008D0CFA" w:rsidRDefault="008D0CFA" w:rsidP="008D0CFA">
      <w:pPr>
        <w:spacing w:after="120"/>
        <w:jc w:val="both"/>
        <w:rPr>
          <w:rFonts w:ascii="Century Gothic" w:hAnsi="Century Gothic"/>
          <w:sz w:val="20"/>
          <w:szCs w:val="20"/>
        </w:rPr>
      </w:pPr>
      <w:r>
        <w:rPr>
          <w:rFonts w:ascii="Century Gothic" w:hAnsi="Century Gothic"/>
          <w:sz w:val="20"/>
          <w:szCs w:val="20"/>
        </w:rPr>
        <w:t xml:space="preserve">The </w:t>
      </w:r>
      <w:r w:rsidR="0056044B">
        <w:rPr>
          <w:rFonts w:ascii="Century Gothic" w:hAnsi="Century Gothic"/>
          <w:sz w:val="20"/>
          <w:szCs w:val="20"/>
        </w:rPr>
        <w:t>overview</w:t>
      </w:r>
      <w:r>
        <w:rPr>
          <w:rFonts w:ascii="Century Gothic" w:hAnsi="Century Gothic"/>
          <w:sz w:val="20"/>
          <w:szCs w:val="20"/>
        </w:rPr>
        <w:t xml:space="preserve"> of research findings indicate</w:t>
      </w:r>
      <w:r w:rsidR="003C7256">
        <w:rPr>
          <w:rFonts w:ascii="Century Gothic" w:hAnsi="Century Gothic"/>
          <w:sz w:val="20"/>
          <w:szCs w:val="20"/>
        </w:rPr>
        <w:t>s</w:t>
      </w:r>
      <w:r>
        <w:rPr>
          <w:rFonts w:ascii="Century Gothic" w:hAnsi="Century Gothic"/>
          <w:sz w:val="20"/>
          <w:szCs w:val="20"/>
        </w:rPr>
        <w:t xml:space="preserve"> that gender differences in learning outcomes between boys and girls in mathematics and English relate closely to: </w:t>
      </w:r>
    </w:p>
    <w:p w:rsidR="008D0CFA" w:rsidRPr="008D0CFA" w:rsidRDefault="008D0CFA" w:rsidP="008D0CFA">
      <w:pPr>
        <w:pStyle w:val="ListParagraph"/>
        <w:numPr>
          <w:ilvl w:val="0"/>
          <w:numId w:val="13"/>
        </w:numPr>
        <w:spacing w:after="120"/>
        <w:jc w:val="both"/>
        <w:rPr>
          <w:rFonts w:ascii="Century Gothic" w:hAnsi="Century Gothic"/>
          <w:sz w:val="20"/>
          <w:szCs w:val="20"/>
        </w:rPr>
      </w:pPr>
      <w:r w:rsidRPr="008D0CFA">
        <w:rPr>
          <w:rFonts w:ascii="Century Gothic" w:hAnsi="Century Gothic"/>
          <w:sz w:val="20"/>
          <w:szCs w:val="20"/>
        </w:rPr>
        <w:t>differences in attitudes and behaviours</w:t>
      </w:r>
    </w:p>
    <w:p w:rsidR="008D0CFA" w:rsidRDefault="008D0CFA" w:rsidP="008D0CFA">
      <w:pPr>
        <w:pStyle w:val="ListParagraph"/>
        <w:numPr>
          <w:ilvl w:val="0"/>
          <w:numId w:val="13"/>
        </w:numPr>
        <w:spacing w:after="120"/>
        <w:jc w:val="both"/>
        <w:rPr>
          <w:rFonts w:ascii="Century Gothic" w:hAnsi="Century Gothic"/>
          <w:sz w:val="20"/>
          <w:szCs w:val="20"/>
        </w:rPr>
      </w:pPr>
      <w:r w:rsidRPr="00F11DF2">
        <w:rPr>
          <w:rFonts w:ascii="Century Gothic" w:hAnsi="Century Gothic"/>
          <w:sz w:val="20"/>
          <w:szCs w:val="20"/>
        </w:rPr>
        <w:t>the value placed on the learning mathematics and reading</w:t>
      </w:r>
    </w:p>
    <w:p w:rsidR="008D0CFA" w:rsidRPr="008D0CFA" w:rsidRDefault="008D0CFA" w:rsidP="00FF3D3A">
      <w:pPr>
        <w:pStyle w:val="ListParagraph"/>
        <w:numPr>
          <w:ilvl w:val="0"/>
          <w:numId w:val="13"/>
        </w:numPr>
        <w:spacing w:after="120"/>
        <w:jc w:val="both"/>
        <w:rPr>
          <w:rFonts w:ascii="Century Gothic" w:hAnsi="Century Gothic"/>
          <w:sz w:val="20"/>
          <w:szCs w:val="20"/>
        </w:rPr>
      </w:pPr>
      <w:r w:rsidRPr="00F11DF2">
        <w:rPr>
          <w:rFonts w:ascii="Century Gothic" w:hAnsi="Century Gothic"/>
          <w:sz w:val="20"/>
          <w:szCs w:val="20"/>
        </w:rPr>
        <w:t xml:space="preserve">differences in </w:t>
      </w:r>
      <w:r>
        <w:rPr>
          <w:rFonts w:ascii="Century Gothic" w:hAnsi="Century Gothic"/>
          <w:sz w:val="20"/>
          <w:szCs w:val="20"/>
        </w:rPr>
        <w:t xml:space="preserve">engagement in learning and </w:t>
      </w:r>
      <w:r w:rsidRPr="00F11DF2">
        <w:rPr>
          <w:rFonts w:ascii="Century Gothic" w:hAnsi="Century Gothic"/>
          <w:sz w:val="20"/>
          <w:szCs w:val="20"/>
        </w:rPr>
        <w:t>beliefs about ability</w:t>
      </w:r>
      <w:r>
        <w:rPr>
          <w:rFonts w:ascii="Century Gothic" w:hAnsi="Century Gothic"/>
          <w:sz w:val="20"/>
          <w:szCs w:val="20"/>
        </w:rPr>
        <w:t xml:space="preserve">  </w:t>
      </w:r>
    </w:p>
    <w:p w:rsidR="00124BBE" w:rsidRDefault="00C55366" w:rsidP="00FF3D3A">
      <w:pPr>
        <w:spacing w:after="120"/>
        <w:jc w:val="both"/>
        <w:rPr>
          <w:rFonts w:ascii="Century Gothic" w:hAnsi="Century Gothic"/>
          <w:sz w:val="20"/>
          <w:szCs w:val="20"/>
        </w:rPr>
      </w:pPr>
      <w:r>
        <w:rPr>
          <w:rFonts w:ascii="Century Gothic" w:hAnsi="Century Gothic"/>
          <w:sz w:val="20"/>
          <w:szCs w:val="20"/>
        </w:rPr>
        <w:t>For this project the</w:t>
      </w:r>
      <w:r w:rsidR="00807351">
        <w:rPr>
          <w:rFonts w:ascii="Century Gothic" w:hAnsi="Century Gothic"/>
          <w:sz w:val="20"/>
          <w:szCs w:val="20"/>
        </w:rPr>
        <w:t xml:space="preserve"> centrepiece of the </w:t>
      </w:r>
      <w:r w:rsidR="005A4F26">
        <w:rPr>
          <w:rFonts w:ascii="Century Gothic" w:hAnsi="Century Gothic"/>
          <w:sz w:val="20"/>
          <w:szCs w:val="20"/>
        </w:rPr>
        <w:t xml:space="preserve">Evaluation Framework for analysing gender differences in mathematics and English </w:t>
      </w:r>
      <w:r w:rsidR="00807351">
        <w:rPr>
          <w:rFonts w:ascii="Century Gothic" w:hAnsi="Century Gothic"/>
          <w:sz w:val="20"/>
          <w:szCs w:val="20"/>
        </w:rPr>
        <w:t xml:space="preserve">is </w:t>
      </w:r>
      <w:r w:rsidR="00124BBE">
        <w:rPr>
          <w:rFonts w:ascii="Century Gothic" w:hAnsi="Century Gothic"/>
          <w:sz w:val="20"/>
          <w:szCs w:val="20"/>
        </w:rPr>
        <w:t xml:space="preserve">a </w:t>
      </w:r>
      <w:r w:rsidR="00807351" w:rsidRPr="00124BBE">
        <w:rPr>
          <w:rFonts w:ascii="Century Gothic" w:hAnsi="Century Gothic"/>
          <w:i/>
          <w:sz w:val="20"/>
          <w:szCs w:val="20"/>
        </w:rPr>
        <w:t>Transiti</w:t>
      </w:r>
      <w:r w:rsidR="00124BBE" w:rsidRPr="00124BBE">
        <w:rPr>
          <w:rFonts w:ascii="Century Gothic" w:hAnsi="Century Gothic"/>
          <w:i/>
          <w:sz w:val="20"/>
          <w:szCs w:val="20"/>
        </w:rPr>
        <w:t>on Years Feedback Questionnaire</w:t>
      </w:r>
      <w:r w:rsidR="00807351">
        <w:rPr>
          <w:rFonts w:ascii="Century Gothic" w:hAnsi="Century Gothic"/>
          <w:sz w:val="20"/>
          <w:szCs w:val="20"/>
        </w:rPr>
        <w:t xml:space="preserve"> (TYFQ) </w:t>
      </w:r>
      <w:r w:rsidR="00F5019A">
        <w:rPr>
          <w:rFonts w:ascii="Century Gothic" w:hAnsi="Century Gothic"/>
          <w:sz w:val="20"/>
          <w:szCs w:val="20"/>
        </w:rPr>
        <w:t>This</w:t>
      </w:r>
      <w:r w:rsidR="00124BBE">
        <w:rPr>
          <w:rFonts w:ascii="Century Gothic" w:hAnsi="Century Gothic"/>
          <w:sz w:val="20"/>
          <w:szCs w:val="20"/>
        </w:rPr>
        <w:t xml:space="preserve"> </w:t>
      </w:r>
      <w:r w:rsidR="0022740B" w:rsidRPr="0022740B">
        <w:rPr>
          <w:rFonts w:ascii="Century Gothic" w:hAnsi="Century Gothic"/>
          <w:sz w:val="20"/>
          <w:szCs w:val="20"/>
        </w:rPr>
        <w:t xml:space="preserve">is an instrument to collect feedback about students’ and teachers’ </w:t>
      </w:r>
      <w:r w:rsidR="003C7256">
        <w:rPr>
          <w:rFonts w:ascii="Century Gothic" w:hAnsi="Century Gothic"/>
          <w:sz w:val="20"/>
          <w:szCs w:val="20"/>
        </w:rPr>
        <w:t xml:space="preserve">perceptions of </w:t>
      </w:r>
      <w:r w:rsidR="0022740B" w:rsidRPr="0022740B">
        <w:rPr>
          <w:rFonts w:ascii="Century Gothic" w:hAnsi="Century Gothic"/>
          <w:sz w:val="20"/>
          <w:szCs w:val="20"/>
        </w:rPr>
        <w:t>experience</w:t>
      </w:r>
      <w:r w:rsidR="00124BBE">
        <w:rPr>
          <w:rFonts w:ascii="Century Gothic" w:hAnsi="Century Gothic"/>
          <w:sz w:val="20"/>
          <w:szCs w:val="20"/>
        </w:rPr>
        <w:t>s</w:t>
      </w:r>
      <w:r w:rsidR="0022740B" w:rsidRPr="0022740B">
        <w:rPr>
          <w:rFonts w:ascii="Century Gothic" w:hAnsi="Century Gothic"/>
          <w:sz w:val="20"/>
          <w:szCs w:val="20"/>
        </w:rPr>
        <w:t xml:space="preserve"> in the individual classroom. </w:t>
      </w:r>
      <w:r w:rsidR="0056044B">
        <w:rPr>
          <w:rFonts w:ascii="Century Gothic" w:hAnsi="Century Gothic"/>
          <w:sz w:val="20"/>
          <w:szCs w:val="20"/>
        </w:rPr>
        <w:t xml:space="preserve"> </w:t>
      </w:r>
      <w:r w:rsidR="007E2A5B">
        <w:rPr>
          <w:rFonts w:ascii="Century Gothic" w:hAnsi="Century Gothic"/>
          <w:sz w:val="20"/>
          <w:szCs w:val="20"/>
        </w:rPr>
        <w:t>(</w:t>
      </w:r>
      <w:r w:rsidR="007E2A5B" w:rsidRPr="000948B8">
        <w:rPr>
          <w:sz w:val="20"/>
          <w:szCs w:val="20"/>
        </w:rPr>
        <w:t xml:space="preserve">Students and teachers surveyed in this research </w:t>
      </w:r>
      <w:r w:rsidR="007E2A5B">
        <w:rPr>
          <w:sz w:val="20"/>
          <w:szCs w:val="20"/>
        </w:rPr>
        <w:t xml:space="preserve">will be in schools in the middle band for NAPLAN and where gender gaps are narrow or wide.  </w:t>
      </w:r>
      <w:r w:rsidR="0056044B">
        <w:rPr>
          <w:rFonts w:ascii="Century Gothic" w:hAnsi="Century Gothic"/>
          <w:sz w:val="20"/>
          <w:szCs w:val="20"/>
        </w:rPr>
        <w:t xml:space="preserve">Roundtables with teachers </w:t>
      </w:r>
      <w:r w:rsidR="007E2A5B">
        <w:rPr>
          <w:rFonts w:ascii="Century Gothic" w:hAnsi="Century Gothic"/>
          <w:sz w:val="20"/>
          <w:szCs w:val="20"/>
        </w:rPr>
        <w:t>on their practices will also be held.)</w:t>
      </w:r>
    </w:p>
    <w:p w:rsidR="00716131" w:rsidRDefault="0022740B" w:rsidP="00FF3D3A">
      <w:pPr>
        <w:spacing w:after="120"/>
        <w:jc w:val="both"/>
        <w:rPr>
          <w:rFonts w:ascii="Century Gothic" w:hAnsi="Century Gothic"/>
          <w:sz w:val="20"/>
          <w:szCs w:val="20"/>
        </w:rPr>
      </w:pPr>
      <w:r w:rsidRPr="0022740B">
        <w:rPr>
          <w:rFonts w:ascii="Century Gothic" w:hAnsi="Century Gothic"/>
          <w:sz w:val="20"/>
          <w:szCs w:val="20"/>
        </w:rPr>
        <w:t xml:space="preserve">The </w:t>
      </w:r>
      <w:r w:rsidR="00591B7E">
        <w:rPr>
          <w:rFonts w:ascii="Century Gothic" w:hAnsi="Century Gothic"/>
          <w:sz w:val="20"/>
          <w:szCs w:val="20"/>
        </w:rPr>
        <w:t xml:space="preserve">empirical evidence </w:t>
      </w:r>
      <w:r w:rsidRPr="0022740B">
        <w:rPr>
          <w:rFonts w:ascii="Century Gothic" w:hAnsi="Century Gothic"/>
          <w:sz w:val="20"/>
          <w:szCs w:val="20"/>
        </w:rPr>
        <w:t xml:space="preserve">underpinning the </w:t>
      </w:r>
      <w:r w:rsidR="0056044B">
        <w:rPr>
          <w:rFonts w:ascii="Century Gothic" w:hAnsi="Century Gothic"/>
          <w:sz w:val="20"/>
          <w:szCs w:val="20"/>
        </w:rPr>
        <w:t xml:space="preserve">questionnaire </w:t>
      </w:r>
      <w:r w:rsidRPr="0022740B">
        <w:rPr>
          <w:rFonts w:ascii="Century Gothic" w:hAnsi="Century Gothic"/>
          <w:sz w:val="20"/>
          <w:szCs w:val="20"/>
        </w:rPr>
        <w:t xml:space="preserve">design </w:t>
      </w:r>
      <w:r w:rsidR="0056044B">
        <w:rPr>
          <w:rFonts w:ascii="Century Gothic" w:hAnsi="Century Gothic"/>
          <w:sz w:val="20"/>
          <w:szCs w:val="20"/>
        </w:rPr>
        <w:t>is drawn from research in</w:t>
      </w:r>
      <w:r w:rsidR="00640F91">
        <w:rPr>
          <w:rFonts w:ascii="Century Gothic" w:hAnsi="Century Gothic"/>
          <w:sz w:val="20"/>
          <w:szCs w:val="20"/>
        </w:rPr>
        <w:t>t</w:t>
      </w:r>
      <w:r w:rsidR="0056044B">
        <w:rPr>
          <w:rFonts w:ascii="Century Gothic" w:hAnsi="Century Gothic"/>
          <w:sz w:val="20"/>
          <w:szCs w:val="20"/>
        </w:rPr>
        <w:t xml:space="preserve">o </w:t>
      </w:r>
      <w:r w:rsidRPr="0022740B">
        <w:rPr>
          <w:rFonts w:ascii="Century Gothic" w:hAnsi="Century Gothic"/>
          <w:sz w:val="20"/>
          <w:szCs w:val="20"/>
        </w:rPr>
        <w:t xml:space="preserve"> </w:t>
      </w:r>
      <w:r w:rsidR="00807351">
        <w:rPr>
          <w:rFonts w:ascii="Century Gothic" w:hAnsi="Century Gothic"/>
          <w:sz w:val="20"/>
          <w:szCs w:val="20"/>
        </w:rPr>
        <w:t xml:space="preserve">student </w:t>
      </w:r>
      <w:r w:rsidR="003C7256">
        <w:rPr>
          <w:rFonts w:ascii="Century Gothic" w:hAnsi="Century Gothic"/>
          <w:sz w:val="20"/>
          <w:szCs w:val="20"/>
        </w:rPr>
        <w:t>motivation and engagement;</w:t>
      </w:r>
      <w:r w:rsidRPr="0022740B">
        <w:rPr>
          <w:rFonts w:ascii="Century Gothic" w:hAnsi="Century Gothic"/>
          <w:sz w:val="20"/>
          <w:szCs w:val="20"/>
        </w:rPr>
        <w:t xml:space="preserve"> </w:t>
      </w:r>
      <w:r w:rsidR="003C7256">
        <w:rPr>
          <w:rFonts w:ascii="Century Gothic" w:hAnsi="Century Gothic"/>
          <w:sz w:val="20"/>
          <w:szCs w:val="20"/>
        </w:rPr>
        <w:t>self-regulated learning; achievement goal theory; interest;</w:t>
      </w:r>
      <w:r w:rsidRPr="0022740B">
        <w:rPr>
          <w:rFonts w:ascii="Century Gothic" w:hAnsi="Century Gothic"/>
          <w:sz w:val="20"/>
          <w:szCs w:val="20"/>
        </w:rPr>
        <w:t xml:space="preserve"> thinking and learning, constructivism, authentic pedagogy, teacher professional learning, teacher-student relationships</w:t>
      </w:r>
      <w:r w:rsidR="003C7256">
        <w:rPr>
          <w:rFonts w:ascii="Century Gothic" w:hAnsi="Century Gothic"/>
          <w:sz w:val="20"/>
          <w:szCs w:val="20"/>
        </w:rPr>
        <w:t>;</w:t>
      </w:r>
      <w:r w:rsidRPr="0022740B">
        <w:rPr>
          <w:rFonts w:ascii="Century Gothic" w:hAnsi="Century Gothic"/>
          <w:sz w:val="20"/>
          <w:szCs w:val="20"/>
        </w:rPr>
        <w:t xml:space="preserve"> </w:t>
      </w:r>
      <w:r w:rsidR="003C7256">
        <w:rPr>
          <w:rFonts w:ascii="Century Gothic" w:hAnsi="Century Gothic"/>
          <w:sz w:val="20"/>
          <w:szCs w:val="20"/>
        </w:rPr>
        <w:t>classroom effects on learning;</w:t>
      </w:r>
      <w:r w:rsidRPr="0022740B">
        <w:rPr>
          <w:rFonts w:ascii="Century Gothic" w:hAnsi="Century Gothic"/>
          <w:sz w:val="20"/>
          <w:szCs w:val="20"/>
        </w:rPr>
        <w:t xml:space="preserve"> and school leadership influences on teaching and learning.</w:t>
      </w:r>
    </w:p>
    <w:p w:rsidR="00F5019A" w:rsidRDefault="00807351" w:rsidP="00FF3D3A">
      <w:pPr>
        <w:spacing w:after="120"/>
        <w:jc w:val="both"/>
        <w:rPr>
          <w:rFonts w:ascii="Century Gothic" w:hAnsi="Century Gothic"/>
          <w:sz w:val="20"/>
          <w:szCs w:val="20"/>
        </w:rPr>
      </w:pPr>
      <w:r w:rsidRPr="00E01DF1">
        <w:rPr>
          <w:rFonts w:ascii="Century Gothic" w:hAnsi="Century Gothic"/>
          <w:sz w:val="20"/>
          <w:szCs w:val="20"/>
        </w:rPr>
        <w:t xml:space="preserve">The </w:t>
      </w:r>
      <w:r>
        <w:rPr>
          <w:rFonts w:ascii="Century Gothic" w:hAnsi="Century Gothic"/>
          <w:sz w:val="20"/>
          <w:szCs w:val="20"/>
        </w:rPr>
        <w:t>7</w:t>
      </w:r>
      <w:r w:rsidRPr="00E01DF1">
        <w:rPr>
          <w:rFonts w:ascii="Century Gothic" w:hAnsi="Century Gothic"/>
          <w:sz w:val="20"/>
          <w:szCs w:val="20"/>
        </w:rPr>
        <w:t xml:space="preserve"> scales</w:t>
      </w:r>
      <w:r w:rsidR="007E2A5B">
        <w:rPr>
          <w:rFonts w:ascii="Century Gothic" w:hAnsi="Century Gothic"/>
          <w:sz w:val="20"/>
          <w:szCs w:val="20"/>
        </w:rPr>
        <w:t xml:space="preserve"> chosen for this research </w:t>
      </w:r>
      <w:r>
        <w:rPr>
          <w:rFonts w:ascii="Century Gothic" w:hAnsi="Century Gothic"/>
          <w:sz w:val="20"/>
          <w:szCs w:val="20"/>
        </w:rPr>
        <w:t xml:space="preserve">focus on those attitudes and practices that most relate to the </w:t>
      </w:r>
      <w:r w:rsidRPr="00F5019A">
        <w:rPr>
          <w:rFonts w:ascii="Century Gothic" w:hAnsi="Century Gothic"/>
          <w:i/>
          <w:sz w:val="20"/>
          <w:szCs w:val="20"/>
        </w:rPr>
        <w:t>classroom factors</w:t>
      </w:r>
      <w:r>
        <w:rPr>
          <w:rFonts w:ascii="Century Gothic" w:hAnsi="Century Gothic"/>
          <w:sz w:val="20"/>
          <w:szCs w:val="20"/>
        </w:rPr>
        <w:t xml:space="preserve"> identified in the literature as bein</w:t>
      </w:r>
      <w:r w:rsidR="005A4F26">
        <w:rPr>
          <w:rFonts w:ascii="Century Gothic" w:hAnsi="Century Gothic"/>
          <w:sz w:val="20"/>
          <w:szCs w:val="20"/>
        </w:rPr>
        <w:t xml:space="preserve">g significant for strengthening, or through their absence, inhibiting </w:t>
      </w:r>
      <w:r>
        <w:rPr>
          <w:rFonts w:ascii="Century Gothic" w:hAnsi="Century Gothic"/>
          <w:sz w:val="20"/>
          <w:szCs w:val="20"/>
        </w:rPr>
        <w:t xml:space="preserve">girls’ outcomes in mathematics and boys’ outcomes in English.  </w:t>
      </w:r>
    </w:p>
    <w:p w:rsidR="00807351" w:rsidRDefault="00807351" w:rsidP="00FF3D3A">
      <w:pPr>
        <w:spacing w:after="120"/>
        <w:jc w:val="both"/>
        <w:rPr>
          <w:rFonts w:ascii="Century Gothic" w:hAnsi="Century Gothic"/>
          <w:sz w:val="20"/>
          <w:szCs w:val="20"/>
        </w:rPr>
      </w:pPr>
      <w:r>
        <w:rPr>
          <w:rFonts w:ascii="Century Gothic" w:hAnsi="Century Gothic"/>
          <w:sz w:val="20"/>
          <w:szCs w:val="20"/>
        </w:rPr>
        <w:t>The seven scales are as follows:</w:t>
      </w:r>
    </w:p>
    <w:p w:rsidR="00807351" w:rsidRPr="00E01DF1" w:rsidRDefault="00807351" w:rsidP="00FF3D3A">
      <w:pPr>
        <w:pStyle w:val="ListParagraph"/>
        <w:numPr>
          <w:ilvl w:val="0"/>
          <w:numId w:val="10"/>
        </w:numPr>
        <w:jc w:val="both"/>
        <w:rPr>
          <w:rFonts w:ascii="Century Gothic" w:hAnsi="Century Gothic"/>
          <w:sz w:val="20"/>
          <w:szCs w:val="20"/>
        </w:rPr>
      </w:pPr>
      <w:r w:rsidRPr="00E01DF1">
        <w:rPr>
          <w:rFonts w:ascii="Century Gothic" w:hAnsi="Century Gothic"/>
          <w:i/>
          <w:iCs/>
          <w:sz w:val="20"/>
          <w:szCs w:val="20"/>
        </w:rPr>
        <w:t>Value of Work</w:t>
      </w:r>
      <w:r w:rsidRPr="00E01DF1">
        <w:rPr>
          <w:rFonts w:ascii="Century Gothic" w:hAnsi="Century Gothic"/>
          <w:sz w:val="20"/>
          <w:szCs w:val="20"/>
        </w:rPr>
        <w:t xml:space="preserve"> scale: Work </w:t>
      </w:r>
      <w:r w:rsidR="003C7256">
        <w:rPr>
          <w:rFonts w:ascii="Century Gothic" w:hAnsi="Century Gothic"/>
          <w:sz w:val="20"/>
          <w:szCs w:val="20"/>
        </w:rPr>
        <w:t xml:space="preserve">(i.e. mathematics and English) </w:t>
      </w:r>
      <w:r w:rsidRPr="00E01DF1">
        <w:rPr>
          <w:rFonts w:ascii="Century Gothic" w:hAnsi="Century Gothic"/>
          <w:sz w:val="20"/>
          <w:szCs w:val="20"/>
        </w:rPr>
        <w:t xml:space="preserve">is seen to be important, meaningful and worth doing. </w:t>
      </w:r>
    </w:p>
    <w:p w:rsidR="00807351" w:rsidRPr="00E01DF1" w:rsidRDefault="00807351" w:rsidP="00FF3D3A">
      <w:pPr>
        <w:pStyle w:val="ListParagraph"/>
        <w:numPr>
          <w:ilvl w:val="0"/>
          <w:numId w:val="10"/>
        </w:numPr>
        <w:jc w:val="both"/>
        <w:rPr>
          <w:rFonts w:ascii="Century Gothic" w:hAnsi="Century Gothic"/>
          <w:sz w:val="20"/>
          <w:szCs w:val="20"/>
        </w:rPr>
      </w:pPr>
      <w:r w:rsidRPr="00E01DF1">
        <w:rPr>
          <w:rFonts w:ascii="Century Gothic" w:hAnsi="Century Gothic"/>
          <w:i/>
          <w:iCs/>
          <w:sz w:val="20"/>
          <w:szCs w:val="20"/>
        </w:rPr>
        <w:t>Collaborative Skills</w:t>
      </w:r>
      <w:r w:rsidRPr="00E01DF1">
        <w:rPr>
          <w:rFonts w:ascii="Century Gothic" w:hAnsi="Century Gothic"/>
          <w:sz w:val="20"/>
          <w:szCs w:val="20"/>
        </w:rPr>
        <w:t xml:space="preserve"> scale: Through practice in collaborative learning, students develop a range of associated skills.  </w:t>
      </w:r>
    </w:p>
    <w:p w:rsidR="00807351" w:rsidRPr="00E01DF1" w:rsidRDefault="00807351" w:rsidP="00FF3D3A">
      <w:pPr>
        <w:pStyle w:val="ListParagraph"/>
        <w:numPr>
          <w:ilvl w:val="0"/>
          <w:numId w:val="10"/>
        </w:numPr>
        <w:jc w:val="both"/>
        <w:rPr>
          <w:rFonts w:ascii="Century Gothic" w:hAnsi="Century Gothic"/>
          <w:sz w:val="20"/>
          <w:szCs w:val="20"/>
        </w:rPr>
      </w:pPr>
      <w:r w:rsidRPr="00E01DF1">
        <w:rPr>
          <w:rFonts w:ascii="Century Gothic" w:hAnsi="Century Gothic"/>
          <w:i/>
          <w:iCs/>
          <w:sz w:val="20"/>
          <w:szCs w:val="20"/>
        </w:rPr>
        <w:t>Learning Values</w:t>
      </w:r>
      <w:r w:rsidRPr="00E01DF1">
        <w:rPr>
          <w:rFonts w:ascii="Century Gothic" w:hAnsi="Century Gothic"/>
          <w:sz w:val="20"/>
          <w:szCs w:val="20"/>
        </w:rPr>
        <w:t xml:space="preserve"> scale</w:t>
      </w:r>
      <w:r>
        <w:rPr>
          <w:rFonts w:ascii="Century Gothic" w:hAnsi="Century Gothic"/>
          <w:sz w:val="20"/>
          <w:szCs w:val="20"/>
        </w:rPr>
        <w:t>:</w:t>
      </w:r>
      <w:r w:rsidRPr="00E01DF1">
        <w:rPr>
          <w:rFonts w:ascii="Century Gothic" w:hAnsi="Century Gothic"/>
          <w:sz w:val="20"/>
          <w:szCs w:val="20"/>
        </w:rPr>
        <w:t xml:space="preserve"> Students understand that the values emphasized in their class are depth of understanding and effortful learning for all students.</w:t>
      </w:r>
    </w:p>
    <w:p w:rsidR="00807351" w:rsidRPr="00E01DF1" w:rsidRDefault="00807351" w:rsidP="00FF3D3A">
      <w:pPr>
        <w:pStyle w:val="ListParagraph"/>
        <w:numPr>
          <w:ilvl w:val="0"/>
          <w:numId w:val="10"/>
        </w:numPr>
        <w:jc w:val="both"/>
        <w:rPr>
          <w:rFonts w:ascii="Century Gothic" w:hAnsi="Century Gothic"/>
          <w:sz w:val="20"/>
          <w:szCs w:val="20"/>
        </w:rPr>
      </w:pPr>
      <w:r w:rsidRPr="00E01DF1">
        <w:rPr>
          <w:rFonts w:ascii="Century Gothic" w:hAnsi="Century Gothic"/>
          <w:i/>
          <w:iCs/>
          <w:sz w:val="20"/>
          <w:szCs w:val="20"/>
        </w:rPr>
        <w:t>Positive Attitude</w:t>
      </w:r>
      <w:r w:rsidRPr="00E01DF1">
        <w:rPr>
          <w:rFonts w:ascii="Century Gothic" w:hAnsi="Century Gothic"/>
          <w:sz w:val="20"/>
          <w:szCs w:val="20"/>
        </w:rPr>
        <w:t xml:space="preserve"> scale: The teacher encourages student self-confidence, perseverance and efficacy.</w:t>
      </w:r>
    </w:p>
    <w:p w:rsidR="00807351" w:rsidRPr="00E01DF1" w:rsidRDefault="00807351" w:rsidP="00FF3D3A">
      <w:pPr>
        <w:pStyle w:val="ListParagraph"/>
        <w:numPr>
          <w:ilvl w:val="0"/>
          <w:numId w:val="9"/>
        </w:numPr>
        <w:jc w:val="both"/>
        <w:rPr>
          <w:rFonts w:ascii="Century Gothic" w:hAnsi="Century Gothic"/>
          <w:sz w:val="18"/>
          <w:szCs w:val="18"/>
        </w:rPr>
      </w:pPr>
      <w:r w:rsidRPr="00E01DF1">
        <w:rPr>
          <w:rFonts w:ascii="Century Gothic" w:hAnsi="Century Gothic"/>
          <w:i/>
          <w:iCs/>
          <w:sz w:val="20"/>
          <w:szCs w:val="20"/>
        </w:rPr>
        <w:t>Feedback</w:t>
      </w:r>
      <w:r w:rsidRPr="00E01DF1">
        <w:rPr>
          <w:rFonts w:ascii="Century Gothic" w:hAnsi="Century Gothic"/>
          <w:sz w:val="20"/>
          <w:szCs w:val="20"/>
        </w:rPr>
        <w:t xml:space="preserve"> scale: Feedback is frequent, prompt, individual and formative.</w:t>
      </w:r>
    </w:p>
    <w:p w:rsidR="00807351" w:rsidRDefault="00807351" w:rsidP="00FF3D3A">
      <w:pPr>
        <w:pStyle w:val="ListParagraph"/>
        <w:numPr>
          <w:ilvl w:val="0"/>
          <w:numId w:val="9"/>
        </w:numPr>
        <w:jc w:val="both"/>
        <w:rPr>
          <w:rFonts w:ascii="Century Gothic" w:hAnsi="Century Gothic"/>
          <w:sz w:val="20"/>
          <w:szCs w:val="20"/>
        </w:rPr>
      </w:pPr>
      <w:r w:rsidRPr="00E01DF1">
        <w:rPr>
          <w:rFonts w:ascii="Century Gothic" w:hAnsi="Century Gothic"/>
          <w:i/>
          <w:iCs/>
          <w:sz w:val="20"/>
          <w:szCs w:val="20"/>
        </w:rPr>
        <w:t>Teacher Knowledge and Engagement</w:t>
      </w:r>
      <w:r w:rsidRPr="00E01DF1">
        <w:rPr>
          <w:rFonts w:ascii="Century Gothic" w:hAnsi="Century Gothic"/>
          <w:sz w:val="20"/>
          <w:szCs w:val="20"/>
        </w:rPr>
        <w:t xml:space="preserve"> scale: Students see the teacher as knowledgeable about content and process, as well as being someone who enjoys teaching the students in the class and the subject being taught.</w:t>
      </w:r>
    </w:p>
    <w:p w:rsidR="00807351" w:rsidRDefault="00807351" w:rsidP="00FF3D3A">
      <w:pPr>
        <w:pStyle w:val="ListParagraph"/>
        <w:numPr>
          <w:ilvl w:val="0"/>
          <w:numId w:val="9"/>
        </w:numPr>
        <w:jc w:val="both"/>
        <w:rPr>
          <w:rFonts w:ascii="Century Gothic" w:hAnsi="Century Gothic"/>
          <w:sz w:val="20"/>
          <w:szCs w:val="20"/>
        </w:rPr>
      </w:pPr>
      <w:r w:rsidRPr="00304058">
        <w:rPr>
          <w:rFonts w:ascii="Century Gothic" w:hAnsi="Century Gothic"/>
          <w:i/>
          <w:iCs/>
          <w:sz w:val="20"/>
          <w:szCs w:val="20"/>
        </w:rPr>
        <w:t>Work Interest</w:t>
      </w:r>
      <w:r w:rsidRPr="00304058">
        <w:rPr>
          <w:rFonts w:ascii="Century Gothic" w:hAnsi="Century Gothic"/>
          <w:sz w:val="20"/>
          <w:szCs w:val="20"/>
        </w:rPr>
        <w:t xml:space="preserve"> scale: Work </w:t>
      </w:r>
      <w:r w:rsidR="003C7256">
        <w:rPr>
          <w:rFonts w:ascii="Century Gothic" w:hAnsi="Century Gothic"/>
          <w:sz w:val="20"/>
          <w:szCs w:val="20"/>
        </w:rPr>
        <w:t xml:space="preserve">(i.e. mathematics and English) </w:t>
      </w:r>
      <w:r w:rsidRPr="00304058">
        <w:rPr>
          <w:rFonts w:ascii="Century Gothic" w:hAnsi="Century Gothic"/>
          <w:sz w:val="20"/>
          <w:szCs w:val="20"/>
        </w:rPr>
        <w:t>is experienced as interesting and absorbing rather than monotonous and boring.</w:t>
      </w:r>
    </w:p>
    <w:p w:rsidR="00057606" w:rsidRDefault="008D0CFA" w:rsidP="008D0CFA">
      <w:pPr>
        <w:spacing w:after="120"/>
        <w:jc w:val="both"/>
        <w:rPr>
          <w:rFonts w:ascii="Century Gothic" w:hAnsi="Century Gothic"/>
          <w:sz w:val="20"/>
          <w:szCs w:val="20"/>
        </w:rPr>
      </w:pPr>
      <w:r w:rsidRPr="008D0CFA">
        <w:rPr>
          <w:rFonts w:ascii="Century Gothic" w:hAnsi="Century Gothic"/>
          <w:sz w:val="20"/>
          <w:szCs w:val="20"/>
        </w:rPr>
        <w:t xml:space="preserve">Other questions have been designed to identify the </w:t>
      </w:r>
      <w:r w:rsidRPr="00F5019A">
        <w:rPr>
          <w:rFonts w:ascii="Century Gothic" w:hAnsi="Century Gothic"/>
          <w:i/>
          <w:sz w:val="20"/>
          <w:szCs w:val="20"/>
        </w:rPr>
        <w:t xml:space="preserve">school level </w:t>
      </w:r>
      <w:r w:rsidR="005A4F26" w:rsidRPr="00F5019A">
        <w:rPr>
          <w:rFonts w:ascii="Century Gothic" w:hAnsi="Century Gothic"/>
          <w:i/>
          <w:sz w:val="20"/>
          <w:szCs w:val="20"/>
        </w:rPr>
        <w:t>culture</w:t>
      </w:r>
      <w:r w:rsidR="005A4F26">
        <w:rPr>
          <w:rFonts w:ascii="Century Gothic" w:hAnsi="Century Gothic"/>
          <w:sz w:val="20"/>
          <w:szCs w:val="20"/>
        </w:rPr>
        <w:t xml:space="preserve"> </w:t>
      </w:r>
      <w:r w:rsidR="00F5019A" w:rsidRPr="00F5019A">
        <w:rPr>
          <w:rFonts w:ascii="Century Gothic" w:hAnsi="Century Gothic"/>
          <w:i/>
          <w:sz w:val="20"/>
          <w:szCs w:val="20"/>
        </w:rPr>
        <w:t>and factors</w:t>
      </w:r>
      <w:r w:rsidR="00F5019A">
        <w:rPr>
          <w:rFonts w:ascii="Century Gothic" w:hAnsi="Century Gothic"/>
          <w:sz w:val="20"/>
          <w:szCs w:val="20"/>
        </w:rPr>
        <w:t xml:space="preserve"> </w:t>
      </w:r>
      <w:r w:rsidR="005A4F26">
        <w:rPr>
          <w:rFonts w:ascii="Century Gothic" w:hAnsi="Century Gothic"/>
          <w:sz w:val="20"/>
          <w:szCs w:val="20"/>
        </w:rPr>
        <w:t xml:space="preserve">and </w:t>
      </w:r>
      <w:r w:rsidR="005A4F26" w:rsidRPr="00F5019A">
        <w:rPr>
          <w:rFonts w:ascii="Century Gothic" w:hAnsi="Century Gothic"/>
          <w:i/>
          <w:sz w:val="20"/>
          <w:szCs w:val="20"/>
        </w:rPr>
        <w:t>gender specific</w:t>
      </w:r>
      <w:r w:rsidR="005A4F26">
        <w:rPr>
          <w:rFonts w:ascii="Century Gothic" w:hAnsi="Century Gothic"/>
          <w:sz w:val="20"/>
          <w:szCs w:val="20"/>
        </w:rPr>
        <w:t xml:space="preserve"> </w:t>
      </w:r>
      <w:r w:rsidR="00C55366">
        <w:rPr>
          <w:rFonts w:ascii="Century Gothic" w:hAnsi="Century Gothic"/>
          <w:sz w:val="20"/>
          <w:szCs w:val="20"/>
        </w:rPr>
        <w:t xml:space="preserve">subject </w:t>
      </w:r>
      <w:r w:rsidR="005A4F26">
        <w:rPr>
          <w:rFonts w:ascii="Century Gothic" w:hAnsi="Century Gothic"/>
          <w:sz w:val="20"/>
          <w:szCs w:val="20"/>
        </w:rPr>
        <w:t xml:space="preserve">practices, </w:t>
      </w:r>
      <w:r>
        <w:rPr>
          <w:rFonts w:ascii="Century Gothic" w:hAnsi="Century Gothic"/>
          <w:sz w:val="20"/>
          <w:szCs w:val="20"/>
        </w:rPr>
        <w:t xml:space="preserve">teacher beliefs and </w:t>
      </w:r>
      <w:r w:rsidRPr="008D0CFA">
        <w:rPr>
          <w:rFonts w:ascii="Century Gothic" w:hAnsi="Century Gothic"/>
          <w:sz w:val="20"/>
          <w:szCs w:val="20"/>
        </w:rPr>
        <w:t xml:space="preserve">practices at the </w:t>
      </w:r>
      <w:r w:rsidRPr="00F5019A">
        <w:rPr>
          <w:rFonts w:ascii="Century Gothic" w:hAnsi="Century Gothic"/>
          <w:i/>
          <w:sz w:val="20"/>
          <w:szCs w:val="20"/>
        </w:rPr>
        <w:t>transition point</w:t>
      </w:r>
      <w:r w:rsidRPr="008D0CFA">
        <w:rPr>
          <w:rFonts w:ascii="Century Gothic" w:hAnsi="Century Gothic"/>
          <w:sz w:val="20"/>
          <w:szCs w:val="20"/>
        </w:rPr>
        <w:t xml:space="preserve"> that address </w:t>
      </w:r>
      <w:r w:rsidR="003C7256">
        <w:rPr>
          <w:rFonts w:ascii="Century Gothic" w:hAnsi="Century Gothic"/>
          <w:sz w:val="20"/>
          <w:szCs w:val="20"/>
        </w:rPr>
        <w:t>other aspects of the evidence explaining</w:t>
      </w:r>
      <w:r w:rsidR="00F5019A">
        <w:rPr>
          <w:rFonts w:ascii="Century Gothic" w:hAnsi="Century Gothic"/>
          <w:sz w:val="20"/>
          <w:szCs w:val="20"/>
        </w:rPr>
        <w:t xml:space="preserve"> </w:t>
      </w:r>
      <w:r w:rsidRPr="008D0CFA">
        <w:rPr>
          <w:rFonts w:ascii="Century Gothic" w:hAnsi="Century Gothic"/>
          <w:sz w:val="20"/>
          <w:szCs w:val="20"/>
        </w:rPr>
        <w:t>gender based differences</w:t>
      </w:r>
      <w:r w:rsidR="00F5019A">
        <w:rPr>
          <w:rFonts w:ascii="Century Gothic" w:hAnsi="Century Gothic"/>
          <w:sz w:val="20"/>
          <w:szCs w:val="20"/>
        </w:rPr>
        <w:t>.</w:t>
      </w:r>
      <w:r w:rsidR="005A4F26">
        <w:rPr>
          <w:rFonts w:ascii="Century Gothic" w:hAnsi="Century Gothic"/>
          <w:sz w:val="20"/>
          <w:szCs w:val="20"/>
        </w:rPr>
        <w:t xml:space="preserve"> </w:t>
      </w:r>
    </w:p>
    <w:p w:rsidR="008D0CFA" w:rsidRPr="008D0CFA" w:rsidRDefault="00C55366" w:rsidP="008D0CFA">
      <w:pPr>
        <w:spacing w:after="120"/>
        <w:jc w:val="both"/>
        <w:rPr>
          <w:rFonts w:ascii="Century Gothic" w:hAnsi="Century Gothic"/>
          <w:sz w:val="20"/>
          <w:szCs w:val="20"/>
        </w:rPr>
      </w:pPr>
      <w:r>
        <w:rPr>
          <w:rFonts w:ascii="Century Gothic" w:hAnsi="Century Gothic"/>
          <w:sz w:val="20"/>
          <w:szCs w:val="20"/>
        </w:rPr>
        <w:t xml:space="preserve">These have been derived from the OECD indices for mathematics and </w:t>
      </w:r>
      <w:r w:rsidR="005354EF">
        <w:rPr>
          <w:rFonts w:ascii="Century Gothic" w:hAnsi="Century Gothic"/>
          <w:sz w:val="20"/>
          <w:szCs w:val="20"/>
        </w:rPr>
        <w:t>literacy</w:t>
      </w:r>
      <w:r>
        <w:rPr>
          <w:rFonts w:ascii="Century Gothic" w:hAnsi="Century Gothic"/>
          <w:sz w:val="20"/>
          <w:szCs w:val="20"/>
        </w:rPr>
        <w:t xml:space="preserve"> classroom </w:t>
      </w:r>
      <w:r w:rsidR="005354EF">
        <w:rPr>
          <w:rFonts w:ascii="Century Gothic" w:hAnsi="Century Gothic"/>
          <w:sz w:val="20"/>
          <w:szCs w:val="20"/>
        </w:rPr>
        <w:t>practices (OECD 2015: 144-5)</w:t>
      </w:r>
      <w:r w:rsidR="00057606">
        <w:rPr>
          <w:rFonts w:ascii="Century Gothic" w:hAnsi="Century Gothic"/>
          <w:sz w:val="20"/>
          <w:szCs w:val="20"/>
        </w:rPr>
        <w:t xml:space="preserve"> and from the DET project </w:t>
      </w:r>
      <w:r w:rsidR="00057606" w:rsidRPr="00B909EC">
        <w:rPr>
          <w:rFonts w:ascii="Century Gothic" w:hAnsi="Century Gothic"/>
          <w:i/>
          <w:sz w:val="20"/>
          <w:szCs w:val="20"/>
        </w:rPr>
        <w:t>Transition: Improved Literacy and Numeracy Outcomes (Professional Barriers</w:t>
      </w:r>
      <w:r w:rsidR="00057606">
        <w:rPr>
          <w:rFonts w:ascii="Century Gothic" w:hAnsi="Century Gothic"/>
          <w:i/>
          <w:sz w:val="20"/>
          <w:szCs w:val="20"/>
        </w:rPr>
        <w:t>) 2015</w:t>
      </w:r>
      <w:r w:rsidR="00057606">
        <w:rPr>
          <w:rFonts w:ascii="Century Gothic" w:hAnsi="Century Gothic"/>
          <w:sz w:val="20"/>
          <w:szCs w:val="20"/>
        </w:rPr>
        <w:t>.</w:t>
      </w:r>
      <w:r w:rsidR="005354EF">
        <w:rPr>
          <w:rFonts w:ascii="Century Gothic" w:hAnsi="Century Gothic"/>
          <w:sz w:val="20"/>
          <w:szCs w:val="20"/>
        </w:rPr>
        <w:t xml:space="preserve"> </w:t>
      </w:r>
    </w:p>
    <w:p w:rsidR="00776E86" w:rsidRPr="00776E86" w:rsidRDefault="00776E86" w:rsidP="00FF3D3A">
      <w:pPr>
        <w:pStyle w:val="Heading3"/>
        <w:jc w:val="both"/>
      </w:pPr>
      <w:bookmarkStart w:id="33" w:name="_Toc463183807"/>
      <w:bookmarkStart w:id="34" w:name="_Toc466730288"/>
      <w:bookmarkStart w:id="35" w:name="_Toc469259455"/>
      <w:r>
        <w:t xml:space="preserve">4.1 </w:t>
      </w:r>
      <w:r w:rsidR="005A4F26">
        <w:t>Linking evidence with data gathering instruments</w:t>
      </w:r>
      <w:bookmarkEnd w:id="33"/>
      <w:bookmarkEnd w:id="34"/>
      <w:bookmarkEnd w:id="35"/>
      <w:r>
        <w:t xml:space="preserve"> </w:t>
      </w:r>
      <w:r w:rsidRPr="00776E86">
        <w:t xml:space="preserve"> </w:t>
      </w:r>
    </w:p>
    <w:p w:rsidR="006F07DF" w:rsidRDefault="006F07DF" w:rsidP="00FF3D3A">
      <w:pPr>
        <w:spacing w:after="120"/>
        <w:jc w:val="both"/>
        <w:rPr>
          <w:rFonts w:ascii="Century Gothic" w:hAnsi="Century Gothic"/>
          <w:sz w:val="20"/>
          <w:szCs w:val="20"/>
        </w:rPr>
      </w:pPr>
      <w:r>
        <w:rPr>
          <w:rFonts w:ascii="Century Gothic" w:hAnsi="Century Gothic"/>
          <w:sz w:val="20"/>
          <w:szCs w:val="20"/>
        </w:rPr>
        <w:t xml:space="preserve">The </w:t>
      </w:r>
      <w:r w:rsidR="00F5019A">
        <w:rPr>
          <w:rFonts w:ascii="Century Gothic" w:hAnsi="Century Gothic"/>
          <w:sz w:val="20"/>
          <w:szCs w:val="20"/>
        </w:rPr>
        <w:t xml:space="preserve">evidence of gender inequalities in literacy and numeracy and the data collection for this project are aligned as follows. </w:t>
      </w:r>
      <w:r>
        <w:rPr>
          <w:rFonts w:ascii="Century Gothic" w:hAnsi="Century Gothic"/>
          <w:sz w:val="20"/>
          <w:szCs w:val="20"/>
        </w:rPr>
        <w:t xml:space="preserve"> </w:t>
      </w:r>
    </w:p>
    <w:p w:rsidR="00776E86" w:rsidRPr="0056044B" w:rsidRDefault="00F5019A" w:rsidP="00FF3D3A">
      <w:pPr>
        <w:pStyle w:val="ListParagraph"/>
        <w:numPr>
          <w:ilvl w:val="0"/>
          <w:numId w:val="1"/>
        </w:numPr>
        <w:spacing w:after="120"/>
        <w:jc w:val="both"/>
        <w:rPr>
          <w:rFonts w:ascii="Century Gothic" w:hAnsi="Century Gothic"/>
          <w:i/>
          <w:sz w:val="20"/>
          <w:szCs w:val="20"/>
        </w:rPr>
      </w:pPr>
      <w:r w:rsidRPr="0056044B">
        <w:rPr>
          <w:rFonts w:ascii="Century Gothic" w:hAnsi="Century Gothic"/>
          <w:i/>
          <w:sz w:val="20"/>
          <w:szCs w:val="20"/>
        </w:rPr>
        <w:t>D</w:t>
      </w:r>
      <w:r w:rsidR="006F07DF" w:rsidRPr="0056044B">
        <w:rPr>
          <w:rFonts w:ascii="Century Gothic" w:hAnsi="Century Gothic"/>
          <w:i/>
          <w:sz w:val="20"/>
          <w:szCs w:val="20"/>
        </w:rPr>
        <w:t xml:space="preserve">ifferences in attitudes and behaviours – girls enjoy reading more than boys and boys are less confident readers, girls find maths boring </w:t>
      </w:r>
    </w:p>
    <w:p w:rsidR="006F07DF" w:rsidRPr="00F11DF2" w:rsidRDefault="00124BBE" w:rsidP="00FF3D3A">
      <w:pPr>
        <w:pStyle w:val="ListParagraph"/>
        <w:numPr>
          <w:ilvl w:val="1"/>
          <w:numId w:val="1"/>
        </w:numPr>
        <w:spacing w:after="120"/>
        <w:jc w:val="both"/>
        <w:rPr>
          <w:rFonts w:ascii="Century Gothic" w:hAnsi="Century Gothic"/>
          <w:sz w:val="20"/>
          <w:szCs w:val="20"/>
        </w:rPr>
      </w:pPr>
      <w:r w:rsidRPr="00F11DF2">
        <w:rPr>
          <w:rFonts w:ascii="Century Gothic" w:hAnsi="Century Gothic"/>
          <w:sz w:val="20"/>
          <w:szCs w:val="20"/>
        </w:rPr>
        <w:t xml:space="preserve">classroom and teaching practices related to these factors will be measured by the </w:t>
      </w:r>
      <w:r w:rsidR="006F07DF" w:rsidRPr="00F11DF2">
        <w:rPr>
          <w:rFonts w:ascii="Century Gothic" w:hAnsi="Century Gothic"/>
          <w:sz w:val="20"/>
          <w:szCs w:val="20"/>
        </w:rPr>
        <w:t xml:space="preserve">Work Interest and Attitudes and Relationships </w:t>
      </w:r>
      <w:r w:rsidRPr="00F11DF2">
        <w:rPr>
          <w:rFonts w:ascii="Century Gothic" w:hAnsi="Century Gothic"/>
          <w:sz w:val="20"/>
          <w:szCs w:val="20"/>
        </w:rPr>
        <w:t>scale</w:t>
      </w:r>
    </w:p>
    <w:p w:rsidR="00776E86" w:rsidRPr="00640F91" w:rsidRDefault="00F5019A" w:rsidP="00FF3D3A">
      <w:pPr>
        <w:pStyle w:val="ListParagraph"/>
        <w:numPr>
          <w:ilvl w:val="0"/>
          <w:numId w:val="1"/>
        </w:numPr>
        <w:spacing w:after="120"/>
        <w:jc w:val="both"/>
        <w:rPr>
          <w:rFonts w:ascii="Century Gothic" w:hAnsi="Century Gothic"/>
          <w:i/>
          <w:sz w:val="20"/>
          <w:szCs w:val="20"/>
        </w:rPr>
      </w:pPr>
      <w:r w:rsidRPr="00640F91">
        <w:rPr>
          <w:rFonts w:ascii="Century Gothic" w:hAnsi="Century Gothic"/>
          <w:i/>
          <w:sz w:val="20"/>
          <w:szCs w:val="20"/>
        </w:rPr>
        <w:t>G</w:t>
      </w:r>
      <w:r w:rsidR="006F07DF" w:rsidRPr="00640F91">
        <w:rPr>
          <w:rFonts w:ascii="Century Gothic" w:hAnsi="Century Gothic"/>
          <w:i/>
          <w:sz w:val="20"/>
          <w:szCs w:val="20"/>
        </w:rPr>
        <w:t xml:space="preserve">ender  differences relate to the </w:t>
      </w:r>
      <w:r w:rsidR="00640F91">
        <w:rPr>
          <w:rFonts w:ascii="Century Gothic" w:hAnsi="Century Gothic"/>
          <w:i/>
          <w:sz w:val="20"/>
          <w:szCs w:val="20"/>
        </w:rPr>
        <w:t xml:space="preserve">intrinsic </w:t>
      </w:r>
      <w:r w:rsidR="006F07DF" w:rsidRPr="00640F91">
        <w:rPr>
          <w:rFonts w:ascii="Century Gothic" w:hAnsi="Century Gothic"/>
          <w:i/>
          <w:sz w:val="20"/>
          <w:szCs w:val="20"/>
        </w:rPr>
        <w:t xml:space="preserve">value placed on the learning mathematics and reading </w:t>
      </w:r>
    </w:p>
    <w:p w:rsidR="006F07DF" w:rsidRPr="00F11DF2" w:rsidRDefault="00124BBE" w:rsidP="00FF3D3A">
      <w:pPr>
        <w:pStyle w:val="ListParagraph"/>
        <w:numPr>
          <w:ilvl w:val="1"/>
          <w:numId w:val="1"/>
        </w:numPr>
        <w:spacing w:after="120"/>
        <w:jc w:val="both"/>
        <w:rPr>
          <w:rFonts w:ascii="Century Gothic" w:hAnsi="Century Gothic"/>
          <w:sz w:val="20"/>
          <w:szCs w:val="20"/>
        </w:rPr>
      </w:pPr>
      <w:r w:rsidRPr="00F11DF2">
        <w:rPr>
          <w:rFonts w:ascii="Century Gothic" w:hAnsi="Century Gothic"/>
          <w:sz w:val="20"/>
          <w:szCs w:val="20"/>
        </w:rPr>
        <w:t>classroom and teaching practices related to this factor will be meas</w:t>
      </w:r>
      <w:r w:rsidR="00776E86">
        <w:rPr>
          <w:rFonts w:ascii="Century Gothic" w:hAnsi="Century Gothic"/>
          <w:sz w:val="20"/>
          <w:szCs w:val="20"/>
        </w:rPr>
        <w:t>ured by the Value of Work scale</w:t>
      </w:r>
      <w:r w:rsidR="006F07DF" w:rsidRPr="00F11DF2">
        <w:rPr>
          <w:rFonts w:ascii="Century Gothic" w:hAnsi="Century Gothic"/>
          <w:sz w:val="20"/>
          <w:szCs w:val="20"/>
        </w:rPr>
        <w:t xml:space="preserve"> </w:t>
      </w:r>
    </w:p>
    <w:p w:rsidR="00776E86" w:rsidRPr="0056044B" w:rsidRDefault="00F5019A" w:rsidP="00FF3D3A">
      <w:pPr>
        <w:pStyle w:val="ListParagraph"/>
        <w:numPr>
          <w:ilvl w:val="0"/>
          <w:numId w:val="1"/>
        </w:numPr>
        <w:spacing w:after="120"/>
        <w:jc w:val="both"/>
        <w:rPr>
          <w:rFonts w:ascii="Century Gothic" w:hAnsi="Century Gothic"/>
          <w:i/>
          <w:sz w:val="20"/>
          <w:szCs w:val="20"/>
        </w:rPr>
      </w:pPr>
      <w:r w:rsidRPr="0056044B">
        <w:rPr>
          <w:rFonts w:ascii="Century Gothic" w:hAnsi="Century Gothic"/>
          <w:i/>
          <w:sz w:val="20"/>
          <w:szCs w:val="20"/>
        </w:rPr>
        <w:t>D</w:t>
      </w:r>
      <w:r w:rsidR="006F07DF" w:rsidRPr="0056044B">
        <w:rPr>
          <w:rFonts w:ascii="Century Gothic" w:hAnsi="Century Gothic"/>
          <w:i/>
          <w:sz w:val="20"/>
          <w:szCs w:val="20"/>
        </w:rPr>
        <w:t xml:space="preserve">ifferences in </w:t>
      </w:r>
      <w:r w:rsidR="00776E86" w:rsidRPr="0056044B">
        <w:rPr>
          <w:rFonts w:ascii="Century Gothic" w:hAnsi="Century Gothic"/>
          <w:i/>
          <w:sz w:val="20"/>
          <w:szCs w:val="20"/>
        </w:rPr>
        <w:t xml:space="preserve">engagement in learning and </w:t>
      </w:r>
      <w:r w:rsidR="006F07DF" w:rsidRPr="0056044B">
        <w:rPr>
          <w:rFonts w:ascii="Century Gothic" w:hAnsi="Century Gothic"/>
          <w:i/>
          <w:sz w:val="20"/>
          <w:szCs w:val="20"/>
        </w:rPr>
        <w:t>beliefs about ability</w:t>
      </w:r>
      <w:r w:rsidR="00776E86" w:rsidRPr="0056044B">
        <w:rPr>
          <w:rFonts w:ascii="Century Gothic" w:hAnsi="Century Gothic"/>
          <w:i/>
          <w:sz w:val="20"/>
          <w:szCs w:val="20"/>
        </w:rPr>
        <w:t xml:space="preserve">  - e.g. </w:t>
      </w:r>
      <w:r w:rsidR="006F07DF" w:rsidRPr="0056044B">
        <w:rPr>
          <w:rFonts w:ascii="Century Gothic" w:hAnsi="Century Gothic"/>
          <w:i/>
          <w:sz w:val="20"/>
          <w:szCs w:val="20"/>
        </w:rPr>
        <w:t>reluctant performers tend to believe ability is fixed and do not see the connect between abili</w:t>
      </w:r>
      <w:r w:rsidR="00776E86" w:rsidRPr="0056044B">
        <w:rPr>
          <w:rFonts w:ascii="Century Gothic" w:hAnsi="Century Gothic"/>
          <w:i/>
          <w:sz w:val="20"/>
          <w:szCs w:val="20"/>
        </w:rPr>
        <w:t>ty and effort</w:t>
      </w:r>
      <w:r w:rsidR="006F07DF" w:rsidRPr="0056044B">
        <w:rPr>
          <w:rFonts w:ascii="Century Gothic" w:hAnsi="Century Gothic"/>
          <w:i/>
          <w:sz w:val="20"/>
          <w:szCs w:val="20"/>
        </w:rPr>
        <w:t xml:space="preserve"> </w:t>
      </w:r>
      <w:r w:rsidR="00776E86" w:rsidRPr="0056044B">
        <w:rPr>
          <w:rFonts w:ascii="Century Gothic" w:hAnsi="Century Gothic"/>
          <w:i/>
          <w:sz w:val="20"/>
          <w:szCs w:val="20"/>
        </w:rPr>
        <w:t>in learning</w:t>
      </w:r>
    </w:p>
    <w:p w:rsidR="006F07DF" w:rsidRPr="00F11DF2" w:rsidRDefault="00F11DF2" w:rsidP="00FF3D3A">
      <w:pPr>
        <w:pStyle w:val="ListParagraph"/>
        <w:numPr>
          <w:ilvl w:val="1"/>
          <w:numId w:val="1"/>
        </w:numPr>
        <w:spacing w:after="120"/>
        <w:jc w:val="both"/>
        <w:rPr>
          <w:rFonts w:ascii="Century Gothic" w:hAnsi="Century Gothic"/>
          <w:sz w:val="20"/>
          <w:szCs w:val="20"/>
        </w:rPr>
      </w:pPr>
      <w:r w:rsidRPr="00F11DF2">
        <w:rPr>
          <w:rFonts w:ascii="Century Gothic" w:hAnsi="Century Gothic"/>
          <w:sz w:val="20"/>
          <w:szCs w:val="20"/>
        </w:rPr>
        <w:t xml:space="preserve">classroom and teaching practices related to this factor will be measured by the </w:t>
      </w:r>
      <w:r w:rsidR="006F07DF" w:rsidRPr="00F11DF2">
        <w:rPr>
          <w:rFonts w:ascii="Century Gothic" w:hAnsi="Century Gothic"/>
          <w:sz w:val="20"/>
          <w:szCs w:val="20"/>
        </w:rPr>
        <w:t xml:space="preserve">Feedback and Learning Values </w:t>
      </w:r>
      <w:r w:rsidR="00776E86">
        <w:rPr>
          <w:rFonts w:ascii="Century Gothic" w:hAnsi="Century Gothic"/>
          <w:sz w:val="20"/>
          <w:szCs w:val="20"/>
        </w:rPr>
        <w:t>scale</w:t>
      </w:r>
    </w:p>
    <w:p w:rsidR="006F07DF" w:rsidRPr="00776E86" w:rsidRDefault="00776E86" w:rsidP="00FF3D3A">
      <w:pPr>
        <w:pStyle w:val="Heading3"/>
        <w:jc w:val="both"/>
      </w:pPr>
      <w:bookmarkStart w:id="36" w:name="_Toc463183808"/>
      <w:bookmarkStart w:id="37" w:name="_Toc466730289"/>
      <w:bookmarkStart w:id="38" w:name="_Toc469259456"/>
      <w:r>
        <w:t xml:space="preserve">4.2 </w:t>
      </w:r>
      <w:r w:rsidR="005A4F26">
        <w:t>I</w:t>
      </w:r>
      <w:r w:rsidR="00EF7459">
        <w:t xml:space="preserve">dentification </w:t>
      </w:r>
      <w:r w:rsidR="006F07DF" w:rsidRPr="00776E86">
        <w:t xml:space="preserve">of </w:t>
      </w:r>
      <w:r w:rsidR="00EF7459">
        <w:t xml:space="preserve">the prevalence of </w:t>
      </w:r>
      <w:r w:rsidR="006F07DF" w:rsidRPr="00776E86">
        <w:t>strategies to address the gender gaps</w:t>
      </w:r>
      <w:bookmarkEnd w:id="36"/>
      <w:bookmarkEnd w:id="37"/>
      <w:bookmarkEnd w:id="38"/>
      <w:r w:rsidR="006F07DF" w:rsidRPr="00776E86">
        <w:t xml:space="preserve"> </w:t>
      </w:r>
    </w:p>
    <w:p w:rsidR="006F07DF" w:rsidRPr="00F5019A" w:rsidRDefault="0056044B" w:rsidP="00FF3D3A">
      <w:pPr>
        <w:pStyle w:val="Heading3"/>
        <w:spacing w:before="0"/>
        <w:jc w:val="both"/>
        <w:rPr>
          <w:rFonts w:ascii="Century Gothic" w:eastAsiaTheme="minorHAnsi" w:hAnsi="Century Gothic" w:cstheme="minorBidi"/>
          <w:b w:val="0"/>
          <w:bCs w:val="0"/>
          <w:color w:val="auto"/>
          <w:sz w:val="20"/>
          <w:szCs w:val="20"/>
        </w:rPr>
      </w:pPr>
      <w:bookmarkStart w:id="39" w:name="_Toc463183809"/>
      <w:bookmarkStart w:id="40" w:name="_Toc466730290"/>
      <w:bookmarkStart w:id="41" w:name="_Toc469259457"/>
      <w:r>
        <w:rPr>
          <w:rFonts w:ascii="Century Gothic" w:eastAsiaTheme="minorHAnsi" w:hAnsi="Century Gothic" w:cstheme="minorBidi"/>
          <w:b w:val="0"/>
          <w:bCs w:val="0"/>
          <w:color w:val="auto"/>
          <w:sz w:val="20"/>
          <w:szCs w:val="20"/>
        </w:rPr>
        <w:t>T</w:t>
      </w:r>
      <w:r w:rsidR="005354EF">
        <w:rPr>
          <w:rFonts w:ascii="Century Gothic" w:eastAsiaTheme="minorHAnsi" w:hAnsi="Century Gothic" w:cstheme="minorBidi"/>
          <w:b w:val="0"/>
          <w:bCs w:val="0"/>
          <w:color w:val="auto"/>
          <w:sz w:val="20"/>
          <w:szCs w:val="20"/>
        </w:rPr>
        <w:t xml:space="preserve">he questionnaire will examine </w:t>
      </w:r>
      <w:r>
        <w:rPr>
          <w:rFonts w:ascii="Century Gothic" w:eastAsiaTheme="minorHAnsi" w:hAnsi="Century Gothic" w:cstheme="minorBidi"/>
          <w:b w:val="0"/>
          <w:bCs w:val="0"/>
          <w:color w:val="auto"/>
          <w:sz w:val="20"/>
          <w:szCs w:val="20"/>
        </w:rPr>
        <w:t>the use of a range of strategies</w:t>
      </w:r>
      <w:bookmarkEnd w:id="39"/>
      <w:bookmarkEnd w:id="40"/>
      <w:bookmarkEnd w:id="41"/>
      <w:r>
        <w:rPr>
          <w:rFonts w:ascii="Century Gothic" w:eastAsiaTheme="minorHAnsi" w:hAnsi="Century Gothic" w:cstheme="minorBidi"/>
          <w:b w:val="0"/>
          <w:bCs w:val="0"/>
          <w:color w:val="auto"/>
          <w:sz w:val="20"/>
          <w:szCs w:val="20"/>
        </w:rPr>
        <w:t xml:space="preserve"> </w:t>
      </w:r>
      <w:r w:rsidR="005354EF">
        <w:rPr>
          <w:rFonts w:ascii="Century Gothic" w:eastAsiaTheme="minorHAnsi" w:hAnsi="Century Gothic" w:cstheme="minorBidi"/>
          <w:b w:val="0"/>
          <w:bCs w:val="0"/>
          <w:color w:val="auto"/>
          <w:sz w:val="20"/>
          <w:szCs w:val="20"/>
        </w:rPr>
        <w:t xml:space="preserve"> </w:t>
      </w:r>
    </w:p>
    <w:p w:rsidR="00EF7459" w:rsidRPr="0056044B" w:rsidRDefault="00804E94" w:rsidP="00FF3D3A">
      <w:pPr>
        <w:pStyle w:val="ListParagraph"/>
        <w:numPr>
          <w:ilvl w:val="0"/>
          <w:numId w:val="1"/>
        </w:numPr>
        <w:spacing w:after="120"/>
        <w:jc w:val="both"/>
        <w:rPr>
          <w:rFonts w:ascii="Century Gothic" w:hAnsi="Century Gothic"/>
          <w:i/>
          <w:sz w:val="20"/>
          <w:szCs w:val="20"/>
        </w:rPr>
      </w:pPr>
      <w:r w:rsidRPr="0056044B">
        <w:rPr>
          <w:rFonts w:ascii="Century Gothic" w:hAnsi="Century Gothic"/>
          <w:i/>
          <w:sz w:val="20"/>
          <w:szCs w:val="20"/>
        </w:rPr>
        <w:t>E</w:t>
      </w:r>
      <w:r w:rsidR="006F07DF" w:rsidRPr="0056044B">
        <w:rPr>
          <w:rFonts w:ascii="Century Gothic" w:hAnsi="Century Gothic"/>
          <w:i/>
          <w:sz w:val="20"/>
          <w:szCs w:val="20"/>
        </w:rPr>
        <w:t xml:space="preserve">xplicitly teaching students that academic abilities are expandable </w:t>
      </w:r>
    </w:p>
    <w:p w:rsidR="006F07DF" w:rsidRPr="00776E86" w:rsidRDefault="006F07DF" w:rsidP="00FF3D3A">
      <w:pPr>
        <w:pStyle w:val="ListParagraph"/>
        <w:numPr>
          <w:ilvl w:val="1"/>
          <w:numId w:val="1"/>
        </w:numPr>
        <w:spacing w:after="120"/>
        <w:jc w:val="both"/>
        <w:rPr>
          <w:rFonts w:ascii="Century Gothic" w:hAnsi="Century Gothic"/>
          <w:sz w:val="20"/>
          <w:szCs w:val="20"/>
        </w:rPr>
      </w:pPr>
      <w:r w:rsidRPr="00776E86">
        <w:rPr>
          <w:rFonts w:ascii="Century Gothic" w:hAnsi="Century Gothic"/>
          <w:sz w:val="20"/>
          <w:szCs w:val="20"/>
        </w:rPr>
        <w:t>Feedback a</w:t>
      </w:r>
      <w:r w:rsidR="00EF7459">
        <w:rPr>
          <w:rFonts w:ascii="Century Gothic" w:hAnsi="Century Gothic"/>
          <w:sz w:val="20"/>
          <w:szCs w:val="20"/>
        </w:rPr>
        <w:t>nd Learning Values address this</w:t>
      </w:r>
    </w:p>
    <w:p w:rsidR="00EF7459" w:rsidRPr="0056044B" w:rsidRDefault="00804E94" w:rsidP="00FF3D3A">
      <w:pPr>
        <w:pStyle w:val="ListParagraph"/>
        <w:numPr>
          <w:ilvl w:val="0"/>
          <w:numId w:val="1"/>
        </w:numPr>
        <w:spacing w:after="120"/>
        <w:jc w:val="both"/>
        <w:rPr>
          <w:rFonts w:ascii="Century Gothic" w:hAnsi="Century Gothic"/>
          <w:i/>
          <w:sz w:val="20"/>
          <w:szCs w:val="20"/>
        </w:rPr>
      </w:pPr>
      <w:r w:rsidRPr="0056044B">
        <w:rPr>
          <w:rFonts w:ascii="Century Gothic" w:hAnsi="Century Gothic"/>
          <w:i/>
          <w:sz w:val="20"/>
          <w:szCs w:val="20"/>
        </w:rPr>
        <w:t>E</w:t>
      </w:r>
      <w:r w:rsidR="006F07DF" w:rsidRPr="0056044B">
        <w:rPr>
          <w:rFonts w:ascii="Century Gothic" w:hAnsi="Century Gothic"/>
          <w:i/>
          <w:sz w:val="20"/>
          <w:szCs w:val="20"/>
        </w:rPr>
        <w:t xml:space="preserve">xposing girls to female role models who have achieved in maths </w:t>
      </w:r>
    </w:p>
    <w:p w:rsidR="006F07DF" w:rsidRPr="00EF7459" w:rsidRDefault="00804E94" w:rsidP="00FF3D3A">
      <w:pPr>
        <w:pStyle w:val="ListParagraph"/>
        <w:numPr>
          <w:ilvl w:val="1"/>
          <w:numId w:val="1"/>
        </w:numPr>
        <w:spacing w:after="120"/>
        <w:jc w:val="both"/>
        <w:rPr>
          <w:rFonts w:ascii="Century Gothic" w:hAnsi="Century Gothic"/>
          <w:sz w:val="20"/>
          <w:szCs w:val="20"/>
        </w:rPr>
      </w:pPr>
      <w:r>
        <w:rPr>
          <w:rFonts w:ascii="Century Gothic" w:hAnsi="Century Gothic"/>
          <w:sz w:val="20"/>
          <w:szCs w:val="20"/>
        </w:rPr>
        <w:t xml:space="preserve">School factor and culture </w:t>
      </w:r>
      <w:r w:rsidR="00EF7459" w:rsidRPr="00EF7459">
        <w:rPr>
          <w:rFonts w:ascii="Century Gothic" w:hAnsi="Century Gothic"/>
          <w:sz w:val="20"/>
          <w:szCs w:val="20"/>
        </w:rPr>
        <w:t xml:space="preserve"> question</w:t>
      </w:r>
      <w:r>
        <w:rPr>
          <w:rFonts w:ascii="Century Gothic" w:hAnsi="Century Gothic"/>
          <w:sz w:val="20"/>
          <w:szCs w:val="20"/>
        </w:rPr>
        <w:t xml:space="preserve">s address this </w:t>
      </w:r>
      <w:r w:rsidR="00EF7459" w:rsidRPr="00EF7459">
        <w:rPr>
          <w:rFonts w:ascii="Century Gothic" w:hAnsi="Century Gothic"/>
          <w:sz w:val="20"/>
          <w:szCs w:val="20"/>
        </w:rPr>
        <w:t xml:space="preserve"> </w:t>
      </w:r>
    </w:p>
    <w:p w:rsidR="00EF7459" w:rsidRPr="0056044B" w:rsidRDefault="00804E94" w:rsidP="00FF3D3A">
      <w:pPr>
        <w:pStyle w:val="ListParagraph"/>
        <w:numPr>
          <w:ilvl w:val="0"/>
          <w:numId w:val="1"/>
        </w:numPr>
        <w:spacing w:after="120"/>
        <w:jc w:val="both"/>
        <w:rPr>
          <w:rFonts w:ascii="Century Gothic" w:hAnsi="Century Gothic"/>
          <w:i/>
          <w:sz w:val="20"/>
          <w:szCs w:val="20"/>
        </w:rPr>
      </w:pPr>
      <w:r w:rsidRPr="0056044B">
        <w:rPr>
          <w:rFonts w:ascii="Century Gothic" w:hAnsi="Century Gothic"/>
          <w:i/>
          <w:sz w:val="20"/>
          <w:szCs w:val="20"/>
        </w:rPr>
        <w:t>G</w:t>
      </w:r>
      <w:r w:rsidR="006F07DF" w:rsidRPr="0056044B">
        <w:rPr>
          <w:rFonts w:ascii="Century Gothic" w:hAnsi="Century Gothic"/>
          <w:i/>
          <w:sz w:val="20"/>
          <w:szCs w:val="20"/>
        </w:rPr>
        <w:t xml:space="preserve">iving prescriptive, informational feedback is important </w:t>
      </w:r>
    </w:p>
    <w:p w:rsidR="006F07DF" w:rsidRPr="00776E86" w:rsidRDefault="006F07DF" w:rsidP="00FF3D3A">
      <w:pPr>
        <w:pStyle w:val="ListParagraph"/>
        <w:numPr>
          <w:ilvl w:val="1"/>
          <w:numId w:val="1"/>
        </w:numPr>
        <w:spacing w:after="120"/>
        <w:jc w:val="both"/>
        <w:rPr>
          <w:rFonts w:ascii="Century Gothic" w:hAnsi="Century Gothic"/>
          <w:sz w:val="20"/>
          <w:szCs w:val="20"/>
        </w:rPr>
      </w:pPr>
      <w:r w:rsidRPr="00776E86">
        <w:rPr>
          <w:rFonts w:ascii="Century Gothic" w:hAnsi="Century Gothic"/>
          <w:sz w:val="20"/>
          <w:szCs w:val="20"/>
        </w:rPr>
        <w:t>Feedback a</w:t>
      </w:r>
      <w:r w:rsidR="00EF7459">
        <w:rPr>
          <w:rFonts w:ascii="Century Gothic" w:hAnsi="Century Gothic"/>
          <w:sz w:val="20"/>
          <w:szCs w:val="20"/>
        </w:rPr>
        <w:t>nd Learning Values address this</w:t>
      </w:r>
    </w:p>
    <w:p w:rsidR="00EF7459" w:rsidRPr="0056044B" w:rsidRDefault="00804E94" w:rsidP="00FF3D3A">
      <w:pPr>
        <w:pStyle w:val="ListParagraph"/>
        <w:numPr>
          <w:ilvl w:val="0"/>
          <w:numId w:val="1"/>
        </w:numPr>
        <w:spacing w:after="120"/>
        <w:jc w:val="both"/>
        <w:rPr>
          <w:rFonts w:ascii="Century Gothic" w:hAnsi="Century Gothic"/>
          <w:i/>
          <w:sz w:val="20"/>
          <w:szCs w:val="20"/>
        </w:rPr>
      </w:pPr>
      <w:r w:rsidRPr="0056044B">
        <w:rPr>
          <w:rFonts w:ascii="Century Gothic" w:hAnsi="Century Gothic"/>
          <w:i/>
          <w:sz w:val="20"/>
          <w:szCs w:val="20"/>
        </w:rPr>
        <w:t>P</w:t>
      </w:r>
      <w:r w:rsidR="006F07DF" w:rsidRPr="0056044B">
        <w:rPr>
          <w:rFonts w:ascii="Century Gothic" w:hAnsi="Century Gothic"/>
          <w:i/>
          <w:sz w:val="20"/>
          <w:szCs w:val="20"/>
        </w:rPr>
        <w:t>roviding boys with classrooms that are designed to promote an active, hands-on, purposeful and d</w:t>
      </w:r>
      <w:r w:rsidR="00EF7459" w:rsidRPr="0056044B">
        <w:rPr>
          <w:rFonts w:ascii="Century Gothic" w:hAnsi="Century Gothic"/>
          <w:i/>
          <w:sz w:val="20"/>
          <w:szCs w:val="20"/>
        </w:rPr>
        <w:t xml:space="preserve">emocratic learning environment </w:t>
      </w:r>
    </w:p>
    <w:p w:rsidR="006F07DF" w:rsidRPr="00776E86" w:rsidRDefault="006F07DF" w:rsidP="00FF3D3A">
      <w:pPr>
        <w:pStyle w:val="ListParagraph"/>
        <w:numPr>
          <w:ilvl w:val="1"/>
          <w:numId w:val="1"/>
        </w:numPr>
        <w:spacing w:after="120"/>
        <w:jc w:val="both"/>
        <w:rPr>
          <w:rFonts w:ascii="Century Gothic" w:hAnsi="Century Gothic"/>
          <w:sz w:val="20"/>
          <w:szCs w:val="20"/>
        </w:rPr>
      </w:pPr>
      <w:r w:rsidRPr="00776E86">
        <w:rPr>
          <w:rFonts w:ascii="Century Gothic" w:hAnsi="Century Gothic"/>
          <w:sz w:val="20"/>
          <w:szCs w:val="20"/>
        </w:rPr>
        <w:t>Collaboration</w:t>
      </w:r>
      <w:r w:rsidR="00EF7459">
        <w:rPr>
          <w:rFonts w:ascii="Century Gothic" w:hAnsi="Century Gothic"/>
          <w:sz w:val="20"/>
          <w:szCs w:val="20"/>
        </w:rPr>
        <w:t xml:space="preserve"> and Work Interest address this</w:t>
      </w:r>
    </w:p>
    <w:p w:rsidR="00EF7459" w:rsidRPr="0056044B" w:rsidRDefault="00804E94" w:rsidP="00FF3D3A">
      <w:pPr>
        <w:pStyle w:val="ListParagraph"/>
        <w:numPr>
          <w:ilvl w:val="0"/>
          <w:numId w:val="1"/>
        </w:numPr>
        <w:spacing w:after="120"/>
        <w:jc w:val="both"/>
        <w:rPr>
          <w:rFonts w:ascii="Century Gothic" w:hAnsi="Century Gothic"/>
          <w:i/>
          <w:sz w:val="20"/>
          <w:szCs w:val="20"/>
        </w:rPr>
      </w:pPr>
      <w:r w:rsidRPr="0056044B">
        <w:rPr>
          <w:rFonts w:ascii="Century Gothic" w:hAnsi="Century Gothic"/>
          <w:i/>
          <w:sz w:val="20"/>
          <w:szCs w:val="20"/>
        </w:rPr>
        <w:t>C</w:t>
      </w:r>
      <w:r w:rsidR="006F07DF" w:rsidRPr="0056044B">
        <w:rPr>
          <w:rFonts w:ascii="Century Gothic" w:hAnsi="Century Gothic"/>
          <w:i/>
          <w:sz w:val="20"/>
          <w:szCs w:val="20"/>
        </w:rPr>
        <w:t xml:space="preserve">onstructing a classroom environment where boys’ knowledge and skills are valued and respected </w:t>
      </w:r>
    </w:p>
    <w:p w:rsidR="006F07DF" w:rsidRPr="00776E86" w:rsidRDefault="006F07DF" w:rsidP="00FF3D3A">
      <w:pPr>
        <w:pStyle w:val="ListParagraph"/>
        <w:numPr>
          <w:ilvl w:val="1"/>
          <w:numId w:val="1"/>
        </w:numPr>
        <w:spacing w:after="120"/>
        <w:jc w:val="both"/>
        <w:rPr>
          <w:rFonts w:ascii="Century Gothic" w:hAnsi="Century Gothic"/>
          <w:sz w:val="20"/>
          <w:szCs w:val="20"/>
        </w:rPr>
      </w:pPr>
      <w:r w:rsidRPr="00776E86">
        <w:rPr>
          <w:rFonts w:ascii="Century Gothic" w:hAnsi="Century Gothic"/>
          <w:sz w:val="20"/>
          <w:szCs w:val="20"/>
        </w:rPr>
        <w:t>Attitudes a</w:t>
      </w:r>
      <w:r w:rsidR="003C7256">
        <w:rPr>
          <w:rFonts w:ascii="Century Gothic" w:hAnsi="Century Gothic"/>
          <w:sz w:val="20"/>
          <w:szCs w:val="20"/>
        </w:rPr>
        <w:t>nd Relationships address</w:t>
      </w:r>
      <w:r w:rsidR="00EF7459">
        <w:rPr>
          <w:rFonts w:ascii="Century Gothic" w:hAnsi="Century Gothic"/>
          <w:sz w:val="20"/>
          <w:szCs w:val="20"/>
        </w:rPr>
        <w:t xml:space="preserve"> this</w:t>
      </w:r>
    </w:p>
    <w:p w:rsidR="00EF7459" w:rsidRPr="0056044B" w:rsidRDefault="00804E94" w:rsidP="00FF3D3A">
      <w:pPr>
        <w:pStyle w:val="ListParagraph"/>
        <w:numPr>
          <w:ilvl w:val="0"/>
          <w:numId w:val="1"/>
        </w:numPr>
        <w:spacing w:after="120"/>
        <w:jc w:val="both"/>
        <w:rPr>
          <w:rFonts w:ascii="Century Gothic" w:hAnsi="Century Gothic"/>
          <w:i/>
          <w:sz w:val="20"/>
          <w:szCs w:val="20"/>
        </w:rPr>
      </w:pPr>
      <w:r w:rsidRPr="0056044B">
        <w:rPr>
          <w:rFonts w:ascii="Century Gothic" w:hAnsi="Century Gothic"/>
          <w:i/>
          <w:sz w:val="20"/>
          <w:szCs w:val="20"/>
        </w:rPr>
        <w:t>S</w:t>
      </w:r>
      <w:r w:rsidR="006F07DF" w:rsidRPr="0056044B">
        <w:rPr>
          <w:rFonts w:ascii="Century Gothic" w:hAnsi="Century Gothic"/>
          <w:i/>
          <w:sz w:val="20"/>
          <w:szCs w:val="20"/>
        </w:rPr>
        <w:t>upportive</w:t>
      </w:r>
      <w:r w:rsidR="00430B70" w:rsidRPr="0056044B">
        <w:rPr>
          <w:rFonts w:ascii="Century Gothic" w:hAnsi="Century Gothic"/>
          <w:i/>
          <w:sz w:val="20"/>
          <w:szCs w:val="20"/>
        </w:rPr>
        <w:t xml:space="preserve"> teacher-student relationships </w:t>
      </w:r>
    </w:p>
    <w:p w:rsidR="00430B70" w:rsidRPr="00430B70" w:rsidRDefault="006F07DF" w:rsidP="00FF3D3A">
      <w:pPr>
        <w:pStyle w:val="ListParagraph"/>
        <w:numPr>
          <w:ilvl w:val="1"/>
          <w:numId w:val="1"/>
        </w:numPr>
        <w:spacing w:after="120"/>
        <w:jc w:val="both"/>
        <w:rPr>
          <w:rFonts w:ascii="Century Gothic" w:hAnsi="Century Gothic"/>
          <w:sz w:val="20"/>
          <w:szCs w:val="20"/>
        </w:rPr>
      </w:pPr>
      <w:r w:rsidRPr="00776E86">
        <w:rPr>
          <w:rFonts w:ascii="Century Gothic" w:hAnsi="Century Gothic"/>
          <w:sz w:val="20"/>
          <w:szCs w:val="20"/>
        </w:rPr>
        <w:t xml:space="preserve">Attitudes and Relationships </w:t>
      </w:r>
      <w:r w:rsidR="00430B70">
        <w:rPr>
          <w:rFonts w:ascii="Century Gothic" w:hAnsi="Century Gothic"/>
          <w:sz w:val="20"/>
          <w:szCs w:val="20"/>
        </w:rPr>
        <w:t>/</w:t>
      </w:r>
      <w:r w:rsidRPr="00776E86">
        <w:rPr>
          <w:rFonts w:ascii="Century Gothic" w:hAnsi="Century Gothic"/>
          <w:sz w:val="20"/>
          <w:szCs w:val="20"/>
        </w:rPr>
        <w:t xml:space="preserve"> Teacher Knowledg</w:t>
      </w:r>
      <w:r w:rsidR="00430B70">
        <w:rPr>
          <w:rFonts w:ascii="Century Gothic" w:hAnsi="Century Gothic"/>
          <w:sz w:val="20"/>
          <w:szCs w:val="20"/>
        </w:rPr>
        <w:t xml:space="preserve">e &amp; Engagement address </w:t>
      </w:r>
      <w:r w:rsidR="00EF7459">
        <w:rPr>
          <w:rFonts w:ascii="Century Gothic" w:hAnsi="Century Gothic"/>
          <w:sz w:val="20"/>
          <w:szCs w:val="20"/>
        </w:rPr>
        <w:t>this</w:t>
      </w:r>
      <w:r w:rsidR="003C7256">
        <w:rPr>
          <w:rFonts w:ascii="Century Gothic" w:hAnsi="Century Gothic"/>
          <w:sz w:val="20"/>
          <w:szCs w:val="20"/>
        </w:rPr>
        <w:t>.</w:t>
      </w:r>
    </w:p>
    <w:p w:rsidR="00804E94" w:rsidRPr="000948B8" w:rsidRDefault="00804E94">
      <w:pPr>
        <w:rPr>
          <w:rFonts w:ascii="Century Gothic" w:eastAsiaTheme="majorEastAsia" w:hAnsi="Century Gothic" w:cstheme="majorBidi"/>
          <w:b/>
          <w:bCs/>
          <w:color w:val="365F91" w:themeColor="accent1" w:themeShade="BF"/>
          <w:sz w:val="20"/>
          <w:szCs w:val="20"/>
        </w:rPr>
      </w:pPr>
      <w:r w:rsidRPr="000948B8">
        <w:rPr>
          <w:sz w:val="20"/>
          <w:szCs w:val="20"/>
        </w:rPr>
        <w:br w:type="page"/>
      </w:r>
    </w:p>
    <w:p w:rsidR="00DE5A99" w:rsidRPr="00794572" w:rsidRDefault="001D0675" w:rsidP="00784069">
      <w:pPr>
        <w:pStyle w:val="Heading1"/>
        <w:spacing w:after="120"/>
        <w:jc w:val="both"/>
      </w:pPr>
      <w:bookmarkStart w:id="42" w:name="_Toc469259458"/>
      <w:r>
        <w:t>Ref</w:t>
      </w:r>
      <w:r w:rsidR="00784069">
        <w:t>erences</w:t>
      </w:r>
      <w:bookmarkEnd w:id="42"/>
      <w:r w:rsidR="00784069">
        <w:t xml:space="preserve"> </w:t>
      </w:r>
    </w:p>
    <w:p w:rsidR="006B414E" w:rsidRDefault="006B414E" w:rsidP="00784069">
      <w:pPr>
        <w:spacing w:after="120" w:line="240" w:lineRule="auto"/>
        <w:rPr>
          <w:rFonts w:ascii="Century Gothic" w:hAnsi="Century Gothic"/>
          <w:sz w:val="20"/>
          <w:szCs w:val="20"/>
        </w:rPr>
      </w:pPr>
      <w:r>
        <w:rPr>
          <w:rFonts w:ascii="Century Gothic" w:hAnsi="Century Gothic"/>
          <w:sz w:val="20"/>
          <w:szCs w:val="20"/>
        </w:rPr>
        <w:t xml:space="preserve">Australian Institute for Teaching and School Leadership (AITSL) 2013, </w:t>
      </w:r>
      <w:r w:rsidRPr="006B414E">
        <w:rPr>
          <w:rFonts w:ascii="Century Gothic" w:hAnsi="Century Gothic"/>
          <w:i/>
          <w:sz w:val="20"/>
          <w:szCs w:val="20"/>
        </w:rPr>
        <w:t>Engagement in Australian Schools</w:t>
      </w:r>
      <w:r>
        <w:rPr>
          <w:rFonts w:ascii="Century Gothic" w:hAnsi="Century Gothic"/>
          <w:sz w:val="20"/>
          <w:szCs w:val="20"/>
        </w:rPr>
        <w:t>, AITSL, Melbourne</w:t>
      </w:r>
    </w:p>
    <w:p w:rsidR="00DE5A99" w:rsidRPr="00784069" w:rsidRDefault="00DE5A99" w:rsidP="00784069">
      <w:pPr>
        <w:spacing w:after="120" w:line="240" w:lineRule="auto"/>
        <w:rPr>
          <w:rFonts w:ascii="Century Gothic" w:hAnsi="Century Gothic"/>
          <w:sz w:val="20"/>
          <w:szCs w:val="20"/>
        </w:rPr>
      </w:pPr>
      <w:r w:rsidRPr="00784069">
        <w:rPr>
          <w:rFonts w:ascii="Century Gothic" w:hAnsi="Century Gothic"/>
          <w:sz w:val="20"/>
          <w:szCs w:val="20"/>
        </w:rPr>
        <w:t>Alloway, N., Freebody, P., Gilber</w:t>
      </w:r>
      <w:r w:rsidR="00784069">
        <w:rPr>
          <w:rFonts w:ascii="Century Gothic" w:hAnsi="Century Gothic"/>
          <w:sz w:val="20"/>
          <w:szCs w:val="20"/>
        </w:rPr>
        <w:t>t, P., and Muspratt, S.</w:t>
      </w:r>
      <w:r w:rsidRPr="00784069">
        <w:rPr>
          <w:rFonts w:ascii="Century Gothic" w:hAnsi="Century Gothic"/>
          <w:sz w:val="20"/>
          <w:szCs w:val="20"/>
        </w:rPr>
        <w:t xml:space="preserve"> (2002) Boys</w:t>
      </w:r>
      <w:r w:rsidRPr="00784069">
        <w:rPr>
          <w:rFonts w:ascii="Century Gothic" w:hAnsi="Century Gothic"/>
          <w:i/>
          <w:sz w:val="20"/>
          <w:szCs w:val="20"/>
        </w:rPr>
        <w:t xml:space="preserve"> literacy, and schooling: expanding the repertoire of practice</w:t>
      </w:r>
      <w:r w:rsidRPr="00784069">
        <w:rPr>
          <w:rFonts w:ascii="Century Gothic" w:hAnsi="Century Gothic"/>
          <w:sz w:val="20"/>
          <w:szCs w:val="20"/>
        </w:rPr>
        <w:t>, Commonwealth Department of Education, Science and Training, Canberra</w:t>
      </w:r>
    </w:p>
    <w:p w:rsidR="005B6F2C" w:rsidRDefault="005B6F2C" w:rsidP="00784069">
      <w:pPr>
        <w:spacing w:after="120" w:line="240" w:lineRule="auto"/>
        <w:rPr>
          <w:rFonts w:ascii="Century Gothic" w:hAnsi="Century Gothic"/>
          <w:sz w:val="20"/>
          <w:szCs w:val="20"/>
        </w:rPr>
      </w:pPr>
      <w:r>
        <w:rPr>
          <w:rFonts w:ascii="Century Gothic" w:hAnsi="Century Gothic"/>
          <w:sz w:val="20"/>
          <w:szCs w:val="20"/>
        </w:rPr>
        <w:t xml:space="preserve">Broadley, K., (2016) </w:t>
      </w:r>
      <w:r w:rsidRPr="005B6F2C">
        <w:rPr>
          <w:rFonts w:ascii="Century Gothic" w:hAnsi="Century Gothic"/>
          <w:i/>
          <w:sz w:val="20"/>
          <w:szCs w:val="20"/>
        </w:rPr>
        <w:t>Mathematics and gender: International trends</w:t>
      </w:r>
      <w:r>
        <w:rPr>
          <w:rFonts w:ascii="Century Gothic" w:hAnsi="Century Gothic"/>
          <w:i/>
          <w:sz w:val="20"/>
          <w:szCs w:val="20"/>
        </w:rPr>
        <w:t xml:space="preserve"> and explanations</w:t>
      </w:r>
      <w:r w:rsidRPr="005B6F2C">
        <w:rPr>
          <w:rFonts w:ascii="Century Gothic" w:hAnsi="Century Gothic"/>
          <w:i/>
          <w:sz w:val="20"/>
          <w:szCs w:val="20"/>
        </w:rPr>
        <w:t>,</w:t>
      </w:r>
      <w:r>
        <w:rPr>
          <w:rFonts w:ascii="Century Gothic" w:hAnsi="Century Gothic"/>
          <w:sz w:val="20"/>
          <w:szCs w:val="20"/>
        </w:rPr>
        <w:t xml:space="preserve"> Alliance of Girls Schools Australasia </w:t>
      </w:r>
    </w:p>
    <w:p w:rsidR="00DE5A99" w:rsidRPr="00C54CA7" w:rsidRDefault="00DE5A99" w:rsidP="00784069">
      <w:pPr>
        <w:spacing w:after="120" w:line="240" w:lineRule="auto"/>
        <w:rPr>
          <w:rFonts w:ascii="Century Gothic" w:hAnsi="Century Gothic"/>
          <w:sz w:val="18"/>
          <w:szCs w:val="18"/>
        </w:rPr>
      </w:pPr>
      <w:r w:rsidRPr="00784069">
        <w:rPr>
          <w:rFonts w:ascii="Century Gothic" w:hAnsi="Century Gothic"/>
          <w:sz w:val="20"/>
          <w:szCs w:val="20"/>
        </w:rPr>
        <w:t xml:space="preserve">Buckley, S. (2016) </w:t>
      </w:r>
      <w:r w:rsidRPr="00784069">
        <w:rPr>
          <w:rFonts w:ascii="Century Gothic" w:hAnsi="Century Gothic"/>
          <w:i/>
          <w:sz w:val="20"/>
          <w:szCs w:val="20"/>
        </w:rPr>
        <w:t>Gender and sex differences in student participation, achievement and engagement in mathematics</w:t>
      </w:r>
      <w:r w:rsidRPr="00784069">
        <w:rPr>
          <w:rFonts w:ascii="Century Gothic" w:hAnsi="Century Gothic"/>
          <w:sz w:val="20"/>
          <w:szCs w:val="20"/>
        </w:rPr>
        <w:t>, Research Dev</w:t>
      </w:r>
      <w:r w:rsidR="00784069">
        <w:rPr>
          <w:rFonts w:ascii="Century Gothic" w:hAnsi="Century Gothic"/>
          <w:sz w:val="20"/>
          <w:szCs w:val="20"/>
        </w:rPr>
        <w:t>elopments, ACER. Melbourne ACER</w:t>
      </w:r>
      <w:r w:rsidR="00F83C29">
        <w:rPr>
          <w:rFonts w:ascii="Century Gothic" w:hAnsi="Century Gothic"/>
          <w:sz w:val="20"/>
          <w:szCs w:val="20"/>
        </w:rPr>
        <w:t xml:space="preserve"> </w:t>
      </w:r>
      <w:hyperlink r:id="rId15" w:history="1">
        <w:r w:rsidRPr="00C54CA7">
          <w:rPr>
            <w:rStyle w:val="Hyperlink"/>
            <w:rFonts w:ascii="Century Gothic" w:hAnsi="Century Gothic"/>
            <w:sz w:val="18"/>
            <w:szCs w:val="18"/>
          </w:rPr>
          <w:t>https://rd.acer.edu.au/article/closing-the-gender-gap-in-maths</w:t>
        </w:r>
      </w:hyperlink>
    </w:p>
    <w:p w:rsidR="001F7E8F" w:rsidRPr="00640F91" w:rsidRDefault="001F7E8F" w:rsidP="00640F91">
      <w:pPr>
        <w:spacing w:after="120" w:line="240" w:lineRule="auto"/>
        <w:rPr>
          <w:rFonts w:ascii="Century Gothic" w:hAnsi="Century Gothic"/>
          <w:sz w:val="20"/>
          <w:szCs w:val="20"/>
        </w:rPr>
      </w:pPr>
      <w:r w:rsidRPr="00640F91">
        <w:rPr>
          <w:rFonts w:ascii="Century Gothic" w:hAnsi="Century Gothic"/>
          <w:sz w:val="20"/>
          <w:szCs w:val="20"/>
        </w:rPr>
        <w:t xml:space="preserve">Centre for Education Statistics and Evaluation, (2014) Value added models for NSW government schools Technical Paper, Centre for Education Statistics and Evaluation, NSW Office of Education, Sydney </w:t>
      </w:r>
    </w:p>
    <w:p w:rsidR="00DE5A99" w:rsidRPr="00784069" w:rsidRDefault="00DE5A99" w:rsidP="00784069">
      <w:pPr>
        <w:spacing w:after="120" w:line="240" w:lineRule="auto"/>
        <w:rPr>
          <w:rFonts w:ascii="Century Gothic" w:hAnsi="Century Gothic"/>
          <w:sz w:val="20"/>
          <w:szCs w:val="20"/>
        </w:rPr>
      </w:pPr>
      <w:r w:rsidRPr="00784069">
        <w:rPr>
          <w:rFonts w:ascii="Century Gothic" w:hAnsi="Century Gothic"/>
          <w:sz w:val="20"/>
          <w:szCs w:val="20"/>
        </w:rPr>
        <w:t>Carroll, J.</w:t>
      </w:r>
      <w:r w:rsidR="00784069">
        <w:rPr>
          <w:rFonts w:ascii="Century Gothic" w:hAnsi="Century Gothic"/>
          <w:sz w:val="20"/>
          <w:szCs w:val="20"/>
        </w:rPr>
        <w:t xml:space="preserve"> and </w:t>
      </w:r>
      <w:r w:rsidRPr="00784069">
        <w:rPr>
          <w:rFonts w:ascii="Century Gothic" w:hAnsi="Century Gothic"/>
          <w:sz w:val="20"/>
          <w:szCs w:val="20"/>
        </w:rPr>
        <w:t>Benman, V.</w:t>
      </w:r>
      <w:r w:rsidR="00784069">
        <w:rPr>
          <w:rFonts w:ascii="Century Gothic" w:hAnsi="Century Gothic"/>
          <w:sz w:val="20"/>
          <w:szCs w:val="20"/>
        </w:rPr>
        <w:t xml:space="preserve"> </w:t>
      </w:r>
      <w:r w:rsidRPr="00784069">
        <w:rPr>
          <w:rFonts w:ascii="Century Gothic" w:hAnsi="Century Gothic"/>
          <w:sz w:val="20"/>
          <w:szCs w:val="20"/>
        </w:rPr>
        <w:t xml:space="preserve">(2015) Leveraging boys engagement with gaming for improving literacy, </w:t>
      </w:r>
      <w:r w:rsidRPr="00640F91">
        <w:rPr>
          <w:rFonts w:ascii="Century Gothic" w:hAnsi="Century Gothic"/>
          <w:sz w:val="20"/>
          <w:szCs w:val="20"/>
        </w:rPr>
        <w:t>Australian Journal for Middle Years Scho</w:t>
      </w:r>
      <w:r w:rsidR="00784069" w:rsidRPr="00640F91">
        <w:rPr>
          <w:rFonts w:ascii="Century Gothic" w:hAnsi="Century Gothic"/>
          <w:sz w:val="20"/>
          <w:szCs w:val="20"/>
        </w:rPr>
        <w:t>oling</w:t>
      </w:r>
      <w:r w:rsidR="00784069">
        <w:rPr>
          <w:rFonts w:ascii="Century Gothic" w:hAnsi="Century Gothic"/>
          <w:sz w:val="20"/>
          <w:szCs w:val="20"/>
        </w:rPr>
        <w:t xml:space="preserve">, Vol 15, Issue 1, pp 4-17 </w:t>
      </w:r>
    </w:p>
    <w:p w:rsidR="00F83C29" w:rsidRPr="00C54CA7" w:rsidRDefault="0043078B" w:rsidP="005354EF">
      <w:pPr>
        <w:spacing w:after="120" w:line="240" w:lineRule="auto"/>
        <w:rPr>
          <w:rFonts w:ascii="Century Gothic" w:hAnsi="Century Gothic"/>
          <w:sz w:val="18"/>
          <w:szCs w:val="18"/>
        </w:rPr>
      </w:pPr>
      <w:r w:rsidRPr="005354EF">
        <w:rPr>
          <w:rFonts w:ascii="Century Gothic" w:hAnsi="Century Gothic"/>
          <w:sz w:val="20"/>
          <w:szCs w:val="20"/>
        </w:rPr>
        <w:t xml:space="preserve">Cobb-Clark D., and Moschion, J. (2015) ‘Gender Gaps in Early Educational Achievement’, Working Paper No. 23/15, Melbourne Institute Working Paper Series, Faculty of Business and Economic, </w:t>
      </w:r>
      <w:r w:rsidR="002309B9" w:rsidRPr="005354EF">
        <w:rPr>
          <w:rFonts w:ascii="Century Gothic" w:hAnsi="Century Gothic"/>
          <w:sz w:val="20"/>
          <w:szCs w:val="20"/>
        </w:rPr>
        <w:t>U</w:t>
      </w:r>
      <w:r w:rsidRPr="005354EF">
        <w:rPr>
          <w:rFonts w:ascii="Century Gothic" w:hAnsi="Century Gothic"/>
          <w:sz w:val="20"/>
          <w:szCs w:val="20"/>
        </w:rPr>
        <w:t>niversity of Melbourne</w:t>
      </w:r>
      <w:r w:rsidR="00F83C29">
        <w:rPr>
          <w:rFonts w:ascii="Century Gothic" w:hAnsi="Century Gothic"/>
          <w:sz w:val="20"/>
          <w:szCs w:val="20"/>
        </w:rPr>
        <w:t xml:space="preserve"> </w:t>
      </w:r>
      <w:hyperlink r:id="rId16" w:history="1">
        <w:r w:rsidR="00F83C29" w:rsidRPr="00C54CA7">
          <w:rPr>
            <w:rStyle w:val="Hyperlink"/>
            <w:rFonts w:ascii="Century Gothic" w:hAnsi="Century Gothic"/>
            <w:sz w:val="18"/>
            <w:szCs w:val="18"/>
          </w:rPr>
          <w:t>https://www.melbourneinstitute.com/downloads/working_paper_series/wp2015n23.pdf</w:t>
        </w:r>
      </w:hyperlink>
    </w:p>
    <w:p w:rsidR="005354EF" w:rsidRPr="00C54CA7" w:rsidRDefault="0043078B" w:rsidP="005354EF">
      <w:pPr>
        <w:spacing w:after="120" w:line="240" w:lineRule="auto"/>
        <w:rPr>
          <w:rStyle w:val="Hyperlink"/>
          <w:rFonts w:ascii="Century Gothic" w:hAnsi="Century Gothic"/>
          <w:color w:val="auto"/>
          <w:sz w:val="18"/>
          <w:szCs w:val="18"/>
          <w:u w:val="none"/>
        </w:rPr>
      </w:pPr>
      <w:r w:rsidRPr="005354EF">
        <w:rPr>
          <w:rFonts w:ascii="Century Gothic" w:hAnsi="Century Gothic"/>
          <w:sz w:val="20"/>
          <w:szCs w:val="20"/>
        </w:rPr>
        <w:t xml:space="preserve"> </w:t>
      </w:r>
      <w:r w:rsidR="00DE5A99" w:rsidRPr="00784069">
        <w:rPr>
          <w:rFonts w:ascii="Century Gothic" w:hAnsi="Century Gothic"/>
          <w:sz w:val="20"/>
          <w:szCs w:val="20"/>
        </w:rPr>
        <w:t xml:space="preserve">Cresswell, J., Rowe, K. and Withers, G. (2002) </w:t>
      </w:r>
      <w:r w:rsidR="00DE5A99" w:rsidRPr="005354EF">
        <w:rPr>
          <w:rFonts w:ascii="Century Gothic" w:hAnsi="Century Gothic"/>
          <w:sz w:val="20"/>
          <w:szCs w:val="20"/>
        </w:rPr>
        <w:t>Boys in School and Society</w:t>
      </w:r>
      <w:r w:rsidR="00DE5A99" w:rsidRPr="00784069">
        <w:rPr>
          <w:rFonts w:ascii="Century Gothic" w:hAnsi="Century Gothic"/>
          <w:sz w:val="20"/>
          <w:szCs w:val="20"/>
        </w:rPr>
        <w:t>, Australian Council for Educational Research</w:t>
      </w:r>
      <w:r w:rsidR="00784069" w:rsidRPr="00784069">
        <w:rPr>
          <w:rFonts w:ascii="Century Gothic" w:hAnsi="Century Gothic"/>
          <w:sz w:val="20"/>
          <w:szCs w:val="20"/>
        </w:rPr>
        <w:t xml:space="preserve">, Melbourne </w:t>
      </w:r>
      <w:hyperlink r:id="rId17" w:history="1">
        <w:r w:rsidR="00DE5A99" w:rsidRPr="00C54CA7">
          <w:rPr>
            <w:rStyle w:val="Hyperlink"/>
            <w:rFonts w:ascii="Century Gothic" w:hAnsi="Century Gothic"/>
            <w:sz w:val="18"/>
            <w:szCs w:val="18"/>
          </w:rPr>
          <w:t>http://research.acer.edu.au/cgi/viewcontent.cgi?article=1000&amp;context=boys_edu</w:t>
        </w:r>
      </w:hyperlink>
    </w:p>
    <w:p w:rsidR="00DE5A99" w:rsidRPr="00784069" w:rsidRDefault="00DE5A99" w:rsidP="00784069">
      <w:pPr>
        <w:spacing w:after="120" w:line="240" w:lineRule="auto"/>
        <w:rPr>
          <w:rFonts w:ascii="Century Gothic" w:hAnsi="Century Gothic"/>
          <w:sz w:val="20"/>
          <w:szCs w:val="20"/>
        </w:rPr>
      </w:pPr>
      <w:r w:rsidRPr="00784069">
        <w:rPr>
          <w:rFonts w:ascii="Century Gothic" w:hAnsi="Century Gothic"/>
          <w:sz w:val="20"/>
          <w:szCs w:val="20"/>
        </w:rPr>
        <w:t>Eccl</w:t>
      </w:r>
      <w:r w:rsidR="00784069">
        <w:rPr>
          <w:rFonts w:ascii="Century Gothic" w:hAnsi="Century Gothic"/>
          <w:sz w:val="20"/>
          <w:szCs w:val="20"/>
        </w:rPr>
        <w:t xml:space="preserve">es, J., and Wigfield, A. (1995) </w:t>
      </w:r>
      <w:r w:rsidR="005D1769">
        <w:rPr>
          <w:rFonts w:ascii="Century Gothic" w:hAnsi="Century Gothic"/>
          <w:sz w:val="20"/>
          <w:szCs w:val="20"/>
        </w:rPr>
        <w:t>‘</w:t>
      </w:r>
      <w:r w:rsidR="00784069">
        <w:rPr>
          <w:rFonts w:ascii="Century Gothic" w:hAnsi="Century Gothic"/>
          <w:sz w:val="20"/>
          <w:szCs w:val="20"/>
        </w:rPr>
        <w:t>I</w:t>
      </w:r>
      <w:r w:rsidRPr="00784069">
        <w:rPr>
          <w:rFonts w:ascii="Century Gothic" w:hAnsi="Century Gothic"/>
          <w:sz w:val="20"/>
          <w:szCs w:val="20"/>
        </w:rPr>
        <w:t>n the mind of the actor: The structure of adolescents’ achievement task values and expectancy-related beliefs</w:t>
      </w:r>
      <w:r w:rsidR="005D1769">
        <w:rPr>
          <w:rFonts w:ascii="Century Gothic" w:hAnsi="Century Gothic"/>
          <w:sz w:val="20"/>
          <w:szCs w:val="20"/>
        </w:rPr>
        <w:t>’</w:t>
      </w:r>
      <w:r w:rsidR="00784069">
        <w:rPr>
          <w:rFonts w:ascii="Century Gothic" w:hAnsi="Century Gothic"/>
          <w:sz w:val="20"/>
          <w:szCs w:val="20"/>
        </w:rPr>
        <w:t>,</w:t>
      </w:r>
      <w:r w:rsidRPr="00784069">
        <w:rPr>
          <w:rFonts w:ascii="Century Gothic" w:hAnsi="Century Gothic"/>
          <w:sz w:val="20"/>
          <w:szCs w:val="20"/>
        </w:rPr>
        <w:t xml:space="preserve"> </w:t>
      </w:r>
      <w:r w:rsidRPr="00784069">
        <w:rPr>
          <w:rFonts w:ascii="Century Gothic" w:hAnsi="Century Gothic"/>
          <w:i/>
          <w:sz w:val="20"/>
          <w:szCs w:val="20"/>
        </w:rPr>
        <w:t xml:space="preserve">Personality and Social Psychology </w:t>
      </w:r>
      <w:r w:rsidRPr="00640F91">
        <w:rPr>
          <w:rFonts w:ascii="Century Gothic" w:hAnsi="Century Gothic"/>
          <w:sz w:val="20"/>
          <w:szCs w:val="20"/>
        </w:rPr>
        <w:t>Bulletin,</w:t>
      </w:r>
      <w:r w:rsidR="00784069">
        <w:rPr>
          <w:rFonts w:ascii="Century Gothic" w:hAnsi="Century Gothic"/>
          <w:sz w:val="20"/>
          <w:szCs w:val="20"/>
        </w:rPr>
        <w:t xml:space="preserve"> 21, 215 – 225</w:t>
      </w:r>
    </w:p>
    <w:p w:rsidR="00C54CA7" w:rsidRDefault="00DE5A99" w:rsidP="00C54CA7">
      <w:pPr>
        <w:spacing w:after="0"/>
        <w:rPr>
          <w:rFonts w:ascii="Century Gothic" w:hAnsi="Century Gothic"/>
          <w:sz w:val="20"/>
          <w:szCs w:val="20"/>
        </w:rPr>
      </w:pPr>
      <w:r w:rsidRPr="00784069">
        <w:rPr>
          <w:rFonts w:ascii="Century Gothic" w:hAnsi="Century Gothic"/>
          <w:sz w:val="20"/>
          <w:szCs w:val="20"/>
        </w:rPr>
        <w:t xml:space="preserve">Forgasz, (2011) Gender and NAPLAN numeracy results, </w:t>
      </w:r>
      <w:r w:rsidR="00784069">
        <w:rPr>
          <w:rFonts w:ascii="Century Gothic" w:hAnsi="Century Gothic"/>
          <w:sz w:val="20"/>
          <w:szCs w:val="20"/>
        </w:rPr>
        <w:t xml:space="preserve">newsletter November 20 </w:t>
      </w:r>
      <w:r w:rsidR="00784069" w:rsidRPr="00784069">
        <w:rPr>
          <w:rFonts w:ascii="Century Gothic" w:hAnsi="Century Gothic"/>
          <w:sz w:val="20"/>
          <w:szCs w:val="20"/>
        </w:rPr>
        <w:t>2011</w:t>
      </w:r>
      <w:r w:rsidR="00784069">
        <w:rPr>
          <w:rFonts w:ascii="Century Gothic" w:hAnsi="Century Gothic"/>
          <w:sz w:val="20"/>
          <w:szCs w:val="20"/>
        </w:rPr>
        <w:t>, Monash University</w:t>
      </w:r>
    </w:p>
    <w:p w:rsidR="00DE5A99" w:rsidRPr="00C54CA7" w:rsidRDefault="00784069" w:rsidP="00784069">
      <w:pPr>
        <w:spacing w:after="120"/>
        <w:rPr>
          <w:rFonts w:ascii="Century Gothic" w:eastAsia="Times New Roman" w:hAnsi="Century Gothic" w:cs="Arial"/>
          <w:bCs/>
          <w:sz w:val="18"/>
          <w:szCs w:val="18"/>
          <w:lang w:val="en" w:eastAsia="en-AU"/>
        </w:rPr>
      </w:pPr>
      <w:r w:rsidRPr="00C54CA7">
        <w:rPr>
          <w:rFonts w:ascii="Century Gothic" w:hAnsi="Century Gothic"/>
          <w:sz w:val="18"/>
          <w:szCs w:val="18"/>
        </w:rPr>
        <w:t xml:space="preserve"> </w:t>
      </w:r>
      <w:hyperlink r:id="rId18" w:history="1">
        <w:r w:rsidR="00DE5A99" w:rsidRPr="00C54CA7">
          <w:rPr>
            <w:rStyle w:val="Hyperlink"/>
            <w:rFonts w:ascii="Century Gothic" w:eastAsia="Times New Roman" w:hAnsi="Century Gothic" w:cs="Arial"/>
            <w:sz w:val="18"/>
            <w:szCs w:val="18"/>
            <w:lang w:val="en" w:eastAsia="en-AU"/>
          </w:rPr>
          <w:t>http://monash.edu/news/show/gender-and-naplan-numeracy-results</w:t>
        </w:r>
      </w:hyperlink>
    </w:p>
    <w:p w:rsidR="00DE5A99" w:rsidRPr="00784069" w:rsidRDefault="00784069" w:rsidP="00784069">
      <w:pPr>
        <w:spacing w:after="120"/>
        <w:rPr>
          <w:rFonts w:ascii="Century Gothic" w:hAnsi="Century Gothic"/>
          <w:sz w:val="20"/>
          <w:szCs w:val="20"/>
        </w:rPr>
      </w:pPr>
      <w:r>
        <w:rPr>
          <w:rFonts w:ascii="Century Gothic" w:hAnsi="Century Gothic"/>
          <w:sz w:val="20"/>
          <w:szCs w:val="20"/>
        </w:rPr>
        <w:t>Halpern, D.</w:t>
      </w:r>
      <w:r w:rsidR="00DE5A99" w:rsidRPr="00784069">
        <w:rPr>
          <w:rFonts w:ascii="Century Gothic" w:hAnsi="Century Gothic"/>
          <w:sz w:val="20"/>
          <w:szCs w:val="20"/>
        </w:rPr>
        <w:t xml:space="preserve"> (Chair) (2007) Encouraging Girls in Math and Science</w:t>
      </w:r>
      <w:r>
        <w:rPr>
          <w:rFonts w:ascii="Century Gothic" w:hAnsi="Century Gothic"/>
          <w:sz w:val="20"/>
          <w:szCs w:val="20"/>
        </w:rPr>
        <w:t>,</w:t>
      </w:r>
      <w:r w:rsidR="00DE5A99" w:rsidRPr="00784069">
        <w:rPr>
          <w:rFonts w:ascii="Century Gothic" w:hAnsi="Century Gothic"/>
          <w:sz w:val="20"/>
          <w:szCs w:val="20"/>
        </w:rPr>
        <w:t xml:space="preserve"> </w:t>
      </w:r>
      <w:r w:rsidR="00DE5A99" w:rsidRPr="00784069">
        <w:rPr>
          <w:rFonts w:ascii="Century Gothic" w:hAnsi="Century Gothic"/>
          <w:i/>
          <w:sz w:val="20"/>
          <w:szCs w:val="20"/>
        </w:rPr>
        <w:t>IES Practice Guide</w:t>
      </w:r>
      <w:r>
        <w:rPr>
          <w:rFonts w:ascii="Century Gothic" w:hAnsi="Century Gothic"/>
          <w:sz w:val="20"/>
          <w:szCs w:val="20"/>
        </w:rPr>
        <w:t>,</w:t>
      </w:r>
      <w:r w:rsidR="00DE5A99" w:rsidRPr="00784069">
        <w:rPr>
          <w:rFonts w:ascii="Century Gothic" w:hAnsi="Century Gothic"/>
          <w:sz w:val="20"/>
          <w:szCs w:val="20"/>
        </w:rPr>
        <w:t xml:space="preserve"> NCER U.S. Department of </w:t>
      </w:r>
      <w:r>
        <w:rPr>
          <w:rFonts w:ascii="Century Gothic" w:hAnsi="Century Gothic"/>
          <w:sz w:val="20"/>
          <w:szCs w:val="20"/>
        </w:rPr>
        <w:t>E</w:t>
      </w:r>
      <w:r w:rsidR="00DE5A99" w:rsidRPr="00784069">
        <w:rPr>
          <w:rFonts w:ascii="Century Gothic" w:hAnsi="Century Gothic"/>
          <w:sz w:val="20"/>
          <w:szCs w:val="20"/>
        </w:rPr>
        <w:t xml:space="preserve">ducation </w:t>
      </w:r>
    </w:p>
    <w:p w:rsidR="00005314" w:rsidRDefault="00005314" w:rsidP="00005314">
      <w:pPr>
        <w:spacing w:after="0"/>
        <w:rPr>
          <w:rFonts w:ascii="Century Gothic" w:hAnsi="Century Gothic"/>
          <w:sz w:val="20"/>
          <w:szCs w:val="20"/>
        </w:rPr>
      </w:pPr>
      <w:r>
        <w:rPr>
          <w:rFonts w:ascii="Century Gothic" w:hAnsi="Century Gothic"/>
          <w:sz w:val="20"/>
          <w:szCs w:val="20"/>
        </w:rPr>
        <w:t>Hill, J., (2011</w:t>
      </w:r>
      <w:r w:rsidR="005210D0">
        <w:rPr>
          <w:rFonts w:ascii="Century Gothic" w:hAnsi="Century Gothic"/>
          <w:sz w:val="20"/>
          <w:szCs w:val="20"/>
        </w:rPr>
        <w:t xml:space="preserve">) </w:t>
      </w:r>
      <w:r w:rsidR="005210D0" w:rsidRPr="00005314">
        <w:rPr>
          <w:rFonts w:ascii="Century Gothic" w:hAnsi="Century Gothic"/>
          <w:i/>
          <w:sz w:val="20"/>
          <w:szCs w:val="20"/>
        </w:rPr>
        <w:t>Gender Differences in NAPLAN Mathematics Performance</w:t>
      </w:r>
      <w:r w:rsidR="005210D0">
        <w:rPr>
          <w:rFonts w:ascii="Century Gothic" w:hAnsi="Century Gothic"/>
          <w:sz w:val="20"/>
          <w:szCs w:val="20"/>
        </w:rPr>
        <w:t xml:space="preserve">, Mathematics: </w:t>
      </w:r>
      <w:r>
        <w:rPr>
          <w:rFonts w:ascii="Century Gothic" w:hAnsi="Century Gothic"/>
          <w:sz w:val="20"/>
          <w:szCs w:val="20"/>
        </w:rPr>
        <w:t>T</w:t>
      </w:r>
      <w:r w:rsidR="005210D0">
        <w:rPr>
          <w:rFonts w:ascii="Century Gothic" w:hAnsi="Century Gothic"/>
          <w:sz w:val="20"/>
          <w:szCs w:val="20"/>
        </w:rPr>
        <w:t>raditions and New Practices</w:t>
      </w:r>
      <w:r>
        <w:rPr>
          <w:rFonts w:ascii="Century Gothic" w:hAnsi="Century Gothic"/>
          <w:sz w:val="20"/>
          <w:szCs w:val="20"/>
        </w:rPr>
        <w:t xml:space="preserve">, Australian Association of mathematics Teachers </w:t>
      </w:r>
    </w:p>
    <w:p w:rsidR="00005314" w:rsidRPr="00005314" w:rsidRDefault="00005314" w:rsidP="00005314">
      <w:pPr>
        <w:spacing w:after="120"/>
        <w:rPr>
          <w:rFonts w:ascii="Century Gothic" w:hAnsi="Century Gothic"/>
          <w:sz w:val="18"/>
          <w:szCs w:val="18"/>
        </w:rPr>
      </w:pPr>
      <w:r w:rsidRPr="00005314">
        <w:rPr>
          <w:rFonts w:ascii="Century Gothic" w:hAnsi="Century Gothic"/>
          <w:sz w:val="18"/>
          <w:szCs w:val="18"/>
        </w:rPr>
        <w:t>https://www.merga.net.au/documents/RP_HILL_MERGA34-AAMT.pdf</w:t>
      </w:r>
      <w:r w:rsidR="005210D0" w:rsidRPr="00005314">
        <w:rPr>
          <w:rFonts w:ascii="Century Gothic" w:hAnsi="Century Gothic"/>
          <w:sz w:val="18"/>
          <w:szCs w:val="18"/>
        </w:rPr>
        <w:t xml:space="preserve"> </w:t>
      </w:r>
    </w:p>
    <w:p w:rsidR="00DE5A99" w:rsidRPr="00784069" w:rsidRDefault="00DE5A99" w:rsidP="00784069">
      <w:pPr>
        <w:spacing w:after="120"/>
        <w:rPr>
          <w:rFonts w:ascii="Century Gothic" w:hAnsi="Century Gothic"/>
          <w:sz w:val="20"/>
          <w:szCs w:val="20"/>
        </w:rPr>
      </w:pPr>
      <w:r w:rsidRPr="00784069">
        <w:rPr>
          <w:rFonts w:ascii="Century Gothic" w:hAnsi="Century Gothic"/>
          <w:sz w:val="20"/>
          <w:szCs w:val="20"/>
        </w:rPr>
        <w:t>House of Representatives Standing Comm</w:t>
      </w:r>
      <w:r w:rsidR="00784069">
        <w:rPr>
          <w:rFonts w:ascii="Century Gothic" w:hAnsi="Century Gothic"/>
          <w:sz w:val="20"/>
          <w:szCs w:val="20"/>
        </w:rPr>
        <w:t>ittee on Education and Training</w:t>
      </w:r>
      <w:r w:rsidRPr="00784069">
        <w:rPr>
          <w:rFonts w:ascii="Century Gothic" w:hAnsi="Century Gothic"/>
          <w:sz w:val="20"/>
          <w:szCs w:val="20"/>
        </w:rPr>
        <w:t xml:space="preserve"> (2002) </w:t>
      </w:r>
      <w:r w:rsidRPr="00784069">
        <w:rPr>
          <w:rFonts w:ascii="Century Gothic" w:hAnsi="Century Gothic"/>
          <w:i/>
          <w:sz w:val="20"/>
          <w:szCs w:val="20"/>
        </w:rPr>
        <w:t xml:space="preserve">Boys: getting it right, </w:t>
      </w:r>
      <w:r w:rsidRPr="00784069">
        <w:rPr>
          <w:rFonts w:ascii="Century Gothic" w:hAnsi="Century Gothic"/>
          <w:sz w:val="20"/>
          <w:szCs w:val="20"/>
        </w:rPr>
        <w:t>Commonwealth of Australia, Canberra</w:t>
      </w:r>
    </w:p>
    <w:p w:rsidR="00431703" w:rsidRPr="00784069" w:rsidRDefault="00431703" w:rsidP="00784069">
      <w:pPr>
        <w:spacing w:after="120"/>
        <w:rPr>
          <w:rFonts w:ascii="Century Gothic" w:hAnsi="Century Gothic"/>
          <w:sz w:val="20"/>
          <w:szCs w:val="20"/>
        </w:rPr>
      </w:pPr>
      <w:r w:rsidRPr="00784069">
        <w:rPr>
          <w:rFonts w:ascii="Century Gothic" w:hAnsi="Century Gothic"/>
          <w:sz w:val="20"/>
          <w:szCs w:val="20"/>
        </w:rPr>
        <w:t xml:space="preserve">Justman, M., and Méndez, S. (2016) </w:t>
      </w:r>
      <w:r w:rsidRPr="00784069">
        <w:rPr>
          <w:rFonts w:ascii="Century Gothic" w:hAnsi="Century Gothic"/>
          <w:i/>
          <w:sz w:val="20"/>
          <w:szCs w:val="20"/>
        </w:rPr>
        <w:t>Gendered Selection of STEM Subjects for Matriculation</w:t>
      </w:r>
      <w:r w:rsidRPr="00784069">
        <w:rPr>
          <w:rFonts w:ascii="Century Gothic" w:hAnsi="Century Gothic"/>
          <w:sz w:val="20"/>
          <w:szCs w:val="20"/>
        </w:rPr>
        <w:t xml:space="preserve">, Melbourne Institute Working Paper no 10/16, Melbourne. </w:t>
      </w:r>
      <w:r w:rsidR="00827C20" w:rsidRPr="00784069">
        <w:rPr>
          <w:rFonts w:ascii="Century Gothic" w:hAnsi="Century Gothic"/>
          <w:sz w:val="20"/>
          <w:szCs w:val="20"/>
        </w:rPr>
        <w:t>http://melbourneinstitute.com/downloads/working_paper_series/wp2016n10.pdf</w:t>
      </w:r>
    </w:p>
    <w:p w:rsidR="00DE5A99" w:rsidRPr="00784069" w:rsidRDefault="00784069" w:rsidP="00784069">
      <w:pPr>
        <w:spacing w:after="120"/>
        <w:rPr>
          <w:rFonts w:ascii="Century Gothic" w:hAnsi="Century Gothic"/>
          <w:sz w:val="20"/>
          <w:szCs w:val="20"/>
        </w:rPr>
      </w:pPr>
      <w:r>
        <w:rPr>
          <w:rFonts w:ascii="Century Gothic" w:hAnsi="Century Gothic"/>
          <w:sz w:val="20"/>
          <w:szCs w:val="20"/>
        </w:rPr>
        <w:t xml:space="preserve">Kane, J., and. Mertz, J. (2102) </w:t>
      </w:r>
      <w:r w:rsidR="00DE5A99" w:rsidRPr="00784069">
        <w:rPr>
          <w:rFonts w:ascii="Century Gothic" w:hAnsi="Century Gothic"/>
          <w:sz w:val="20"/>
          <w:szCs w:val="20"/>
        </w:rPr>
        <w:t xml:space="preserve">Debunking Myths about Gender and Mathematics Performance, </w:t>
      </w:r>
      <w:r w:rsidR="00DE5A99" w:rsidRPr="00784069">
        <w:rPr>
          <w:rFonts w:ascii="Century Gothic" w:hAnsi="Century Gothic"/>
          <w:i/>
          <w:sz w:val="20"/>
          <w:szCs w:val="20"/>
        </w:rPr>
        <w:t>Notices of the American Mathematical Society</w:t>
      </w:r>
      <w:r>
        <w:rPr>
          <w:rFonts w:ascii="Century Gothic" w:hAnsi="Century Gothic"/>
          <w:sz w:val="20"/>
          <w:szCs w:val="20"/>
        </w:rPr>
        <w:t xml:space="preserve">, </w:t>
      </w:r>
      <w:r w:rsidRPr="00784069">
        <w:rPr>
          <w:rFonts w:ascii="Century Gothic" w:hAnsi="Century Gothic"/>
          <w:sz w:val="20"/>
          <w:szCs w:val="20"/>
        </w:rPr>
        <w:t xml:space="preserve">Vol 59, </w:t>
      </w:r>
      <w:r>
        <w:rPr>
          <w:rFonts w:ascii="Century Gothic" w:hAnsi="Century Gothic"/>
          <w:sz w:val="20"/>
          <w:szCs w:val="20"/>
        </w:rPr>
        <w:t>N</w:t>
      </w:r>
      <w:r w:rsidRPr="00784069">
        <w:rPr>
          <w:rFonts w:ascii="Century Gothic" w:hAnsi="Century Gothic"/>
          <w:sz w:val="20"/>
          <w:szCs w:val="20"/>
        </w:rPr>
        <w:t>o 1</w:t>
      </w:r>
    </w:p>
    <w:p w:rsidR="00DE5A99" w:rsidRPr="00784069" w:rsidRDefault="00DE5A99" w:rsidP="00784069">
      <w:pPr>
        <w:spacing w:after="120"/>
        <w:rPr>
          <w:rFonts w:ascii="Century Gothic" w:hAnsi="Century Gothic"/>
          <w:sz w:val="20"/>
          <w:szCs w:val="20"/>
        </w:rPr>
      </w:pPr>
      <w:r w:rsidRPr="00784069">
        <w:rPr>
          <w:rFonts w:ascii="Century Gothic" w:hAnsi="Century Gothic"/>
          <w:sz w:val="20"/>
          <w:szCs w:val="20"/>
        </w:rPr>
        <w:t>Lingard, B., Marti</w:t>
      </w:r>
      <w:r w:rsidR="00784069">
        <w:rPr>
          <w:rFonts w:ascii="Century Gothic" w:hAnsi="Century Gothic"/>
          <w:sz w:val="20"/>
          <w:szCs w:val="20"/>
        </w:rPr>
        <w:t>no, W., Mills, M., and Bahr, M.</w:t>
      </w:r>
      <w:r w:rsidRPr="00784069">
        <w:rPr>
          <w:rFonts w:ascii="Century Gothic" w:hAnsi="Century Gothic"/>
          <w:sz w:val="20"/>
          <w:szCs w:val="20"/>
        </w:rPr>
        <w:t xml:space="preserve"> (2002) </w:t>
      </w:r>
      <w:r w:rsidRPr="00784069">
        <w:rPr>
          <w:rFonts w:ascii="Century Gothic" w:hAnsi="Century Gothic"/>
          <w:i/>
          <w:sz w:val="20"/>
          <w:szCs w:val="20"/>
        </w:rPr>
        <w:t>Addressing the Educational Needs of Boys,</w:t>
      </w:r>
      <w:r w:rsidRPr="00784069">
        <w:rPr>
          <w:rFonts w:ascii="Century Gothic" w:hAnsi="Century Gothic"/>
          <w:sz w:val="20"/>
          <w:szCs w:val="20"/>
        </w:rPr>
        <w:t xml:space="preserve"> Report to Department of Education, Science and Training, Canberra </w:t>
      </w:r>
    </w:p>
    <w:p w:rsidR="00DE5A99" w:rsidRPr="00784069" w:rsidRDefault="00DE5A99" w:rsidP="00784069">
      <w:pPr>
        <w:spacing w:after="120"/>
        <w:rPr>
          <w:rFonts w:ascii="Century Gothic" w:hAnsi="Century Gothic"/>
          <w:sz w:val="20"/>
          <w:szCs w:val="20"/>
        </w:rPr>
      </w:pPr>
      <w:r w:rsidRPr="00784069">
        <w:rPr>
          <w:rFonts w:ascii="Century Gothic" w:hAnsi="Century Gothic"/>
          <w:sz w:val="20"/>
          <w:szCs w:val="20"/>
        </w:rPr>
        <w:t>McPhan, G., Morony, W., Pegg,</w:t>
      </w:r>
      <w:r w:rsidR="00784069">
        <w:rPr>
          <w:rFonts w:ascii="Century Gothic" w:hAnsi="Century Gothic"/>
          <w:sz w:val="20"/>
          <w:szCs w:val="20"/>
        </w:rPr>
        <w:t xml:space="preserve"> J., Cooksey, R., and Lynch, T.</w:t>
      </w:r>
      <w:r w:rsidRPr="00784069">
        <w:rPr>
          <w:rFonts w:ascii="Century Gothic" w:hAnsi="Century Gothic"/>
          <w:sz w:val="20"/>
          <w:szCs w:val="20"/>
        </w:rPr>
        <w:t xml:space="preserve"> (2006) </w:t>
      </w:r>
      <w:r w:rsidRPr="00784069">
        <w:rPr>
          <w:rFonts w:ascii="Century Gothic" w:hAnsi="Century Gothic"/>
          <w:i/>
          <w:sz w:val="20"/>
          <w:szCs w:val="20"/>
        </w:rPr>
        <w:t>Maths, Why Not</w:t>
      </w:r>
      <w:r w:rsidR="005D1769" w:rsidRPr="00784069">
        <w:rPr>
          <w:rFonts w:ascii="Century Gothic" w:hAnsi="Century Gothic"/>
          <w:i/>
          <w:sz w:val="20"/>
          <w:szCs w:val="20"/>
        </w:rPr>
        <w:t>?</w:t>
      </w:r>
      <w:r w:rsidRPr="00784069">
        <w:rPr>
          <w:rFonts w:ascii="Century Gothic" w:hAnsi="Century Gothic"/>
          <w:sz w:val="20"/>
          <w:szCs w:val="20"/>
        </w:rPr>
        <w:t xml:space="preserve"> Final Report, Department of Education, Employment and Workplace Relations (DEEWR) </w:t>
      </w:r>
    </w:p>
    <w:p w:rsidR="00DE5A99" w:rsidRPr="00784069" w:rsidRDefault="00784069" w:rsidP="00784069">
      <w:pPr>
        <w:spacing w:after="120"/>
        <w:rPr>
          <w:rFonts w:ascii="Century Gothic" w:hAnsi="Century Gothic"/>
          <w:sz w:val="20"/>
          <w:szCs w:val="20"/>
        </w:rPr>
      </w:pPr>
      <w:r>
        <w:rPr>
          <w:rFonts w:ascii="Century Gothic" w:hAnsi="Century Gothic"/>
          <w:sz w:val="20"/>
          <w:szCs w:val="20"/>
        </w:rPr>
        <w:t>Maynard, T.</w:t>
      </w:r>
      <w:r w:rsidR="00DE5A99" w:rsidRPr="00784069">
        <w:rPr>
          <w:rFonts w:ascii="Century Gothic" w:hAnsi="Century Gothic"/>
          <w:sz w:val="20"/>
          <w:szCs w:val="20"/>
        </w:rPr>
        <w:t xml:space="preserve"> (2002) </w:t>
      </w:r>
      <w:r w:rsidR="00DE5A99" w:rsidRPr="00784069">
        <w:rPr>
          <w:rFonts w:ascii="Century Gothic" w:hAnsi="Century Gothic"/>
          <w:i/>
          <w:sz w:val="20"/>
          <w:szCs w:val="20"/>
        </w:rPr>
        <w:t>Boys and literacy: Exploring the issues</w:t>
      </w:r>
      <w:r w:rsidR="00DE5A99" w:rsidRPr="00784069">
        <w:rPr>
          <w:rFonts w:ascii="Century Gothic" w:hAnsi="Century Gothic"/>
          <w:sz w:val="20"/>
          <w:szCs w:val="20"/>
        </w:rPr>
        <w:t xml:space="preserve">, Routledge Flamer, London  </w:t>
      </w:r>
    </w:p>
    <w:p w:rsidR="0048581D" w:rsidRPr="00BD2CE0" w:rsidRDefault="00784069" w:rsidP="00BD2CE0">
      <w:pPr>
        <w:spacing w:after="120"/>
        <w:rPr>
          <w:rFonts w:ascii="Century Gothic" w:hAnsi="Century Gothic"/>
          <w:sz w:val="18"/>
          <w:szCs w:val="18"/>
        </w:rPr>
      </w:pPr>
      <w:r>
        <w:rPr>
          <w:rFonts w:ascii="Century Gothic" w:hAnsi="Century Gothic"/>
          <w:sz w:val="20"/>
          <w:szCs w:val="20"/>
        </w:rPr>
        <w:t xml:space="preserve">Martin, A. </w:t>
      </w:r>
      <w:r w:rsidR="00DE5A99" w:rsidRPr="00784069">
        <w:rPr>
          <w:rFonts w:ascii="Century Gothic" w:hAnsi="Century Gothic"/>
          <w:sz w:val="20"/>
          <w:szCs w:val="20"/>
        </w:rPr>
        <w:t xml:space="preserve">(2002) </w:t>
      </w:r>
      <w:r w:rsidR="00DE5A99" w:rsidRPr="00784069">
        <w:rPr>
          <w:rFonts w:ascii="Century Gothic" w:hAnsi="Century Gothic"/>
          <w:i/>
          <w:sz w:val="20"/>
          <w:szCs w:val="20"/>
        </w:rPr>
        <w:t>Improving the educational outcomes of boys</w:t>
      </w:r>
      <w:r w:rsidR="00DE5A99" w:rsidRPr="00784069">
        <w:rPr>
          <w:rFonts w:ascii="Century Gothic" w:hAnsi="Century Gothic"/>
          <w:sz w:val="20"/>
          <w:szCs w:val="20"/>
        </w:rPr>
        <w:t xml:space="preserve"> , A report to the ACT Department of Education, Yout</w:t>
      </w:r>
      <w:r>
        <w:rPr>
          <w:rFonts w:ascii="Century Gothic" w:hAnsi="Century Gothic"/>
          <w:sz w:val="20"/>
          <w:szCs w:val="20"/>
        </w:rPr>
        <w:t>h and Family Services, Canberra</w:t>
      </w:r>
      <w:r w:rsidR="00DE5A99" w:rsidRPr="00784069">
        <w:rPr>
          <w:rFonts w:ascii="Century Gothic" w:hAnsi="Century Gothic"/>
          <w:sz w:val="20"/>
          <w:szCs w:val="20"/>
        </w:rPr>
        <w:t xml:space="preserve"> </w:t>
      </w:r>
      <w:hyperlink r:id="rId19" w:history="1">
        <w:r w:rsidR="00DE5A99" w:rsidRPr="00C54CA7">
          <w:rPr>
            <w:rStyle w:val="Hyperlink"/>
            <w:rFonts w:ascii="Century Gothic" w:hAnsi="Century Gothic"/>
            <w:sz w:val="18"/>
            <w:szCs w:val="18"/>
          </w:rPr>
          <w:t>http://www.det.act.gov.au/data/assets/pdf_file/0005/17798/Ed_Outcomes_Boys.pdf</w:t>
        </w:r>
      </w:hyperlink>
      <w:r w:rsidR="0048581D">
        <w:rPr>
          <w:rFonts w:ascii="Century Gothic" w:hAnsi="Century Gothic"/>
          <w:sz w:val="20"/>
          <w:szCs w:val="20"/>
        </w:rPr>
        <w:t>Masters</w:t>
      </w:r>
      <w:r w:rsidR="00A265B6">
        <w:rPr>
          <w:rFonts w:ascii="Century Gothic" w:hAnsi="Century Gothic"/>
          <w:sz w:val="20"/>
          <w:szCs w:val="20"/>
        </w:rPr>
        <w:t>, G.</w:t>
      </w:r>
      <w:r w:rsidR="0048581D">
        <w:rPr>
          <w:rFonts w:ascii="Century Gothic" w:hAnsi="Century Gothic"/>
          <w:sz w:val="20"/>
          <w:szCs w:val="20"/>
        </w:rPr>
        <w:t xml:space="preserve"> (2016) </w:t>
      </w:r>
      <w:r w:rsidR="0048581D" w:rsidRPr="0048581D">
        <w:rPr>
          <w:rFonts w:ascii="Century Gothic" w:hAnsi="Century Gothic"/>
          <w:i/>
          <w:sz w:val="20"/>
          <w:szCs w:val="20"/>
        </w:rPr>
        <w:t>Achievement gaps: The continuing challenge</w:t>
      </w:r>
      <w:r w:rsidR="0048581D">
        <w:rPr>
          <w:rFonts w:ascii="Century Gothic" w:hAnsi="Century Gothic"/>
          <w:sz w:val="20"/>
          <w:szCs w:val="20"/>
        </w:rPr>
        <w:t xml:space="preserve">, Teacher Magazine, ACER, Melbourne.  </w:t>
      </w:r>
    </w:p>
    <w:p w:rsidR="0048581D" w:rsidRPr="00C54CA7" w:rsidRDefault="003378D5" w:rsidP="00784069">
      <w:pPr>
        <w:spacing w:after="120"/>
        <w:rPr>
          <w:rFonts w:ascii="Century Gothic" w:hAnsi="Century Gothic"/>
          <w:sz w:val="18"/>
          <w:szCs w:val="18"/>
        </w:rPr>
      </w:pPr>
      <w:hyperlink r:id="rId20" w:history="1">
        <w:r w:rsidR="0048581D" w:rsidRPr="00C54CA7">
          <w:rPr>
            <w:rStyle w:val="Hyperlink"/>
            <w:rFonts w:ascii="Century Gothic" w:hAnsi="Century Gothic"/>
            <w:sz w:val="18"/>
            <w:szCs w:val="18"/>
          </w:rPr>
          <w:t>http://www.teachermagazine.com.au/geoffmasters/article/achievment-gaps-the-coninuing-challenge</w:t>
        </w:r>
      </w:hyperlink>
    </w:p>
    <w:p w:rsidR="00DE5A99" w:rsidRPr="00784069" w:rsidRDefault="00DE5A99" w:rsidP="00784069">
      <w:pPr>
        <w:spacing w:after="120"/>
        <w:rPr>
          <w:rFonts w:ascii="Century Gothic" w:hAnsi="Century Gothic"/>
          <w:sz w:val="20"/>
          <w:szCs w:val="20"/>
        </w:rPr>
      </w:pPr>
      <w:r w:rsidRPr="00784069">
        <w:rPr>
          <w:rFonts w:ascii="Century Gothic" w:hAnsi="Century Gothic"/>
          <w:sz w:val="20"/>
          <w:szCs w:val="20"/>
        </w:rPr>
        <w:t>Munns, G., Arthur, L., Downes, Gregson, R., Power, A., Sawyer, W., Singh, M., Thistleton-Mar</w:t>
      </w:r>
      <w:r w:rsidR="00955F9D" w:rsidRPr="00784069">
        <w:rPr>
          <w:rFonts w:ascii="Century Gothic" w:hAnsi="Century Gothic"/>
          <w:sz w:val="20"/>
          <w:szCs w:val="20"/>
        </w:rPr>
        <w:t xml:space="preserve">tin, J., and Steele F. (2006) </w:t>
      </w:r>
      <w:r w:rsidRPr="00784069">
        <w:rPr>
          <w:rFonts w:ascii="Century Gothic" w:hAnsi="Century Gothic"/>
          <w:i/>
          <w:sz w:val="20"/>
          <w:szCs w:val="20"/>
        </w:rPr>
        <w:t>Motivation and engagement of boys: Ev</w:t>
      </w:r>
      <w:r w:rsidR="00955F9D" w:rsidRPr="00784069">
        <w:rPr>
          <w:rFonts w:ascii="Century Gothic" w:hAnsi="Century Gothic"/>
          <w:i/>
          <w:sz w:val="20"/>
          <w:szCs w:val="20"/>
        </w:rPr>
        <w:t>idence based teaching practices</w:t>
      </w:r>
      <w:r w:rsidR="00955F9D" w:rsidRPr="00784069">
        <w:rPr>
          <w:rFonts w:ascii="Century Gothic" w:hAnsi="Century Gothic"/>
          <w:sz w:val="20"/>
          <w:szCs w:val="20"/>
        </w:rPr>
        <w:t>,</w:t>
      </w:r>
      <w:r w:rsidRPr="00784069">
        <w:rPr>
          <w:rFonts w:ascii="Century Gothic" w:hAnsi="Century Gothic"/>
          <w:sz w:val="20"/>
          <w:szCs w:val="20"/>
        </w:rPr>
        <w:t xml:space="preserve"> A report to the Austr</w:t>
      </w:r>
      <w:r w:rsidR="00784069">
        <w:rPr>
          <w:rFonts w:ascii="Century Gothic" w:hAnsi="Century Gothic"/>
          <w:sz w:val="20"/>
          <w:szCs w:val="20"/>
        </w:rPr>
        <w:t>alian Government Department of E</w:t>
      </w:r>
      <w:r w:rsidRPr="00784069">
        <w:rPr>
          <w:rFonts w:ascii="Century Gothic" w:hAnsi="Century Gothic"/>
          <w:sz w:val="20"/>
          <w:szCs w:val="20"/>
        </w:rPr>
        <w:t xml:space="preserve">ducation, Science and training, Canberra </w:t>
      </w:r>
    </w:p>
    <w:p w:rsidR="00784069" w:rsidRPr="00640F91" w:rsidRDefault="00784069" w:rsidP="00784069">
      <w:pPr>
        <w:spacing w:after="120"/>
        <w:rPr>
          <w:rFonts w:ascii="Century Gothic" w:hAnsi="Century Gothic"/>
          <w:sz w:val="18"/>
          <w:szCs w:val="18"/>
        </w:rPr>
      </w:pPr>
      <w:r w:rsidRPr="00784069">
        <w:rPr>
          <w:rFonts w:ascii="Century Gothic" w:hAnsi="Century Gothic"/>
          <w:sz w:val="20"/>
          <w:szCs w:val="20"/>
        </w:rPr>
        <w:t xml:space="preserve">Department of Education and Training (2008) </w:t>
      </w:r>
      <w:r w:rsidRPr="00784069">
        <w:rPr>
          <w:rFonts w:ascii="Century Gothic" w:hAnsi="Century Gothic"/>
          <w:i/>
          <w:sz w:val="20"/>
          <w:szCs w:val="20"/>
        </w:rPr>
        <w:t xml:space="preserve">Leading the way in school and classroom practice: Boys and Girls Education Strategy </w:t>
      </w:r>
      <w:r>
        <w:rPr>
          <w:rFonts w:ascii="Century Gothic" w:hAnsi="Century Gothic"/>
          <w:i/>
          <w:sz w:val="20"/>
          <w:szCs w:val="20"/>
        </w:rPr>
        <w:t>S</w:t>
      </w:r>
      <w:r w:rsidRPr="00784069">
        <w:rPr>
          <w:rFonts w:ascii="Century Gothic" w:hAnsi="Century Gothic"/>
          <w:i/>
          <w:sz w:val="20"/>
          <w:szCs w:val="20"/>
        </w:rPr>
        <w:t xml:space="preserve">upport </w:t>
      </w:r>
      <w:r>
        <w:rPr>
          <w:rFonts w:ascii="Century Gothic" w:hAnsi="Century Gothic"/>
          <w:i/>
          <w:sz w:val="20"/>
          <w:szCs w:val="20"/>
        </w:rPr>
        <w:t>D</w:t>
      </w:r>
      <w:r w:rsidRPr="00784069">
        <w:rPr>
          <w:rFonts w:ascii="Century Gothic" w:hAnsi="Century Gothic"/>
          <w:i/>
          <w:sz w:val="20"/>
          <w:szCs w:val="20"/>
        </w:rPr>
        <w:t>ocument,</w:t>
      </w:r>
      <w:r w:rsidRPr="00784069">
        <w:rPr>
          <w:rFonts w:ascii="Century Gothic" w:hAnsi="Century Gothic"/>
          <w:sz w:val="20"/>
          <w:szCs w:val="20"/>
        </w:rPr>
        <w:t xml:space="preserve"> NSW Government </w:t>
      </w:r>
      <w:hyperlink r:id="rId21" w:history="1">
        <w:r w:rsidRPr="00640F91">
          <w:rPr>
            <w:rStyle w:val="Hyperlink"/>
            <w:rFonts w:ascii="Century Gothic" w:hAnsi="Century Gothic"/>
            <w:sz w:val="18"/>
            <w:szCs w:val="18"/>
          </w:rPr>
          <w:t>http://www.dec.nsw.gov.au/detresources/Boys'_and_Girls'_Education_strategy_kaklDQSPeo.pdf</w:t>
        </w:r>
      </w:hyperlink>
    </w:p>
    <w:p w:rsidR="00640F91" w:rsidRDefault="00F271BE" w:rsidP="00C54CA7">
      <w:pPr>
        <w:spacing w:after="0"/>
        <w:rPr>
          <w:rFonts w:ascii="Century Gothic" w:hAnsi="Century Gothic"/>
          <w:sz w:val="20"/>
          <w:szCs w:val="20"/>
        </w:rPr>
      </w:pPr>
      <w:r>
        <w:rPr>
          <w:rFonts w:ascii="Century Gothic" w:hAnsi="Century Gothic"/>
          <w:sz w:val="20"/>
          <w:szCs w:val="20"/>
        </w:rPr>
        <w:t xml:space="preserve">OECD </w:t>
      </w:r>
      <w:r w:rsidR="00640F91">
        <w:rPr>
          <w:rFonts w:ascii="Century Gothic" w:hAnsi="Century Gothic"/>
          <w:sz w:val="20"/>
          <w:szCs w:val="20"/>
        </w:rPr>
        <w:t xml:space="preserve">(2009) </w:t>
      </w:r>
      <w:r w:rsidRPr="00640F91">
        <w:rPr>
          <w:rFonts w:ascii="Century Gothic" w:hAnsi="Century Gothic"/>
          <w:i/>
          <w:sz w:val="20"/>
          <w:szCs w:val="20"/>
        </w:rPr>
        <w:t>Equally prepared for life: How 15 year old boys and girls perform in school</w:t>
      </w:r>
      <w:r w:rsidR="00640F91">
        <w:rPr>
          <w:rFonts w:ascii="Century Gothic" w:hAnsi="Century Gothic"/>
          <w:i/>
          <w:sz w:val="20"/>
          <w:szCs w:val="20"/>
        </w:rPr>
        <w:t>,</w:t>
      </w:r>
      <w:r>
        <w:rPr>
          <w:rFonts w:ascii="Century Gothic" w:hAnsi="Century Gothic"/>
          <w:sz w:val="20"/>
          <w:szCs w:val="20"/>
        </w:rPr>
        <w:t xml:space="preserve"> OECD P</w:t>
      </w:r>
      <w:r w:rsidRPr="00784069">
        <w:rPr>
          <w:rFonts w:ascii="Century Gothic" w:hAnsi="Century Gothic"/>
          <w:sz w:val="20"/>
          <w:szCs w:val="20"/>
        </w:rPr>
        <w:t xml:space="preserve">ublishing </w:t>
      </w:r>
    </w:p>
    <w:p w:rsidR="00F271BE" w:rsidRPr="00640F91" w:rsidRDefault="00F271BE" w:rsidP="00784069">
      <w:pPr>
        <w:spacing w:after="120"/>
        <w:rPr>
          <w:rStyle w:val="Hyperlink"/>
          <w:rFonts w:ascii="Century Gothic" w:hAnsi="Century Gothic"/>
          <w:color w:val="auto"/>
          <w:sz w:val="18"/>
          <w:szCs w:val="18"/>
          <w:u w:val="none"/>
        </w:rPr>
      </w:pPr>
      <w:r w:rsidRPr="00640F91">
        <w:rPr>
          <w:rStyle w:val="Hyperlink"/>
          <w:rFonts w:ascii="Century Gothic" w:hAnsi="Century Gothic"/>
          <w:iCs/>
          <w:sz w:val="18"/>
          <w:szCs w:val="18"/>
        </w:rPr>
        <w:t>https://books.google.com.au/books?isbn=9264064079</w:t>
      </w:r>
    </w:p>
    <w:p w:rsidR="00DE5A99" w:rsidRPr="00784069" w:rsidRDefault="00784069" w:rsidP="00784069">
      <w:pPr>
        <w:spacing w:after="120"/>
        <w:rPr>
          <w:rFonts w:ascii="Century Gothic" w:hAnsi="Century Gothic"/>
          <w:sz w:val="20"/>
          <w:szCs w:val="20"/>
        </w:rPr>
      </w:pPr>
      <w:r>
        <w:rPr>
          <w:rFonts w:ascii="Century Gothic" w:hAnsi="Century Gothic"/>
          <w:sz w:val="20"/>
          <w:szCs w:val="20"/>
        </w:rPr>
        <w:t>OECD</w:t>
      </w:r>
      <w:r w:rsidR="00DE5A99" w:rsidRPr="00784069">
        <w:rPr>
          <w:rFonts w:ascii="Century Gothic" w:hAnsi="Century Gothic"/>
          <w:sz w:val="20"/>
          <w:szCs w:val="20"/>
        </w:rPr>
        <w:t xml:space="preserve"> (2012) </w:t>
      </w:r>
      <w:r w:rsidR="00DE5A99" w:rsidRPr="00640F91">
        <w:rPr>
          <w:rFonts w:ascii="Century Gothic" w:hAnsi="Century Gothic"/>
          <w:i/>
          <w:sz w:val="20"/>
          <w:szCs w:val="20"/>
        </w:rPr>
        <w:t>Closing</w:t>
      </w:r>
      <w:r w:rsidRPr="00640F91">
        <w:rPr>
          <w:rFonts w:ascii="Century Gothic" w:hAnsi="Century Gothic"/>
          <w:i/>
          <w:sz w:val="20"/>
          <w:szCs w:val="20"/>
        </w:rPr>
        <w:t xml:space="preserve"> the gender gap: Act now</w:t>
      </w:r>
      <w:r>
        <w:rPr>
          <w:rFonts w:ascii="Century Gothic" w:hAnsi="Century Gothic"/>
          <w:sz w:val="20"/>
          <w:szCs w:val="20"/>
        </w:rPr>
        <w:t>, OECD P</w:t>
      </w:r>
      <w:r w:rsidR="00DE5A99" w:rsidRPr="00784069">
        <w:rPr>
          <w:rFonts w:ascii="Century Gothic" w:hAnsi="Century Gothic"/>
          <w:sz w:val="20"/>
          <w:szCs w:val="20"/>
        </w:rPr>
        <w:t xml:space="preserve">ublishing </w:t>
      </w:r>
    </w:p>
    <w:p w:rsidR="00DE5A99" w:rsidRPr="00640F91" w:rsidRDefault="00784069" w:rsidP="00784069">
      <w:pPr>
        <w:spacing w:after="120"/>
        <w:rPr>
          <w:rFonts w:ascii="Century Gothic" w:hAnsi="Century Gothic"/>
          <w:sz w:val="18"/>
          <w:szCs w:val="18"/>
        </w:rPr>
      </w:pPr>
      <w:r>
        <w:rPr>
          <w:rFonts w:ascii="Century Gothic" w:hAnsi="Century Gothic"/>
          <w:sz w:val="20"/>
          <w:szCs w:val="20"/>
        </w:rPr>
        <w:t>OECD</w:t>
      </w:r>
      <w:r w:rsidR="00283EED">
        <w:rPr>
          <w:rFonts w:ascii="Century Gothic" w:hAnsi="Century Gothic"/>
          <w:sz w:val="20"/>
          <w:szCs w:val="20"/>
        </w:rPr>
        <w:t xml:space="preserve"> (2014</w:t>
      </w:r>
      <w:r w:rsidR="00DE5A99" w:rsidRPr="00784069">
        <w:rPr>
          <w:rFonts w:ascii="Century Gothic" w:hAnsi="Century Gothic"/>
          <w:sz w:val="20"/>
          <w:szCs w:val="20"/>
        </w:rPr>
        <w:t xml:space="preserve">) </w:t>
      </w:r>
      <w:r w:rsidR="00DE5A99" w:rsidRPr="00640F91">
        <w:rPr>
          <w:rFonts w:ascii="Century Gothic" w:hAnsi="Century Gothic"/>
          <w:i/>
          <w:sz w:val="20"/>
          <w:szCs w:val="20"/>
        </w:rPr>
        <w:t>Are boys and girls equally prepared for life?</w:t>
      </w:r>
      <w:r w:rsidRPr="00640F91">
        <w:rPr>
          <w:rFonts w:ascii="Century Gothic" w:hAnsi="Century Gothic"/>
          <w:i/>
          <w:sz w:val="20"/>
          <w:szCs w:val="20"/>
        </w:rPr>
        <w:t>,</w:t>
      </w:r>
      <w:r>
        <w:rPr>
          <w:rFonts w:ascii="Century Gothic" w:hAnsi="Century Gothic"/>
          <w:sz w:val="20"/>
          <w:szCs w:val="20"/>
        </w:rPr>
        <w:t xml:space="preserve"> </w:t>
      </w:r>
      <w:r w:rsidRPr="00784069">
        <w:rPr>
          <w:rFonts w:ascii="Century Gothic" w:hAnsi="Century Gothic"/>
          <w:sz w:val="20"/>
          <w:szCs w:val="20"/>
        </w:rPr>
        <w:t>PISA</w:t>
      </w:r>
      <w:r>
        <w:rPr>
          <w:rFonts w:ascii="Century Gothic" w:hAnsi="Century Gothic"/>
          <w:sz w:val="20"/>
          <w:szCs w:val="20"/>
        </w:rPr>
        <w:t xml:space="preserve"> in Focus, 37</w:t>
      </w:r>
      <w:r w:rsidR="00DE5A99" w:rsidRPr="00784069">
        <w:rPr>
          <w:rFonts w:ascii="Century Gothic" w:hAnsi="Century Gothic"/>
          <w:sz w:val="20"/>
          <w:szCs w:val="20"/>
        </w:rPr>
        <w:t xml:space="preserve"> </w:t>
      </w:r>
      <w:hyperlink r:id="rId22" w:history="1">
        <w:r w:rsidR="00DE5A99" w:rsidRPr="00640F91">
          <w:rPr>
            <w:rStyle w:val="Hyperlink"/>
            <w:rFonts w:ascii="Century Gothic" w:hAnsi="Century Gothic"/>
            <w:sz w:val="18"/>
            <w:szCs w:val="18"/>
          </w:rPr>
          <w:t>http://www.oecd.org/pisa/pisaproducts/PIF-2014-gender-international-version.pdf</w:t>
        </w:r>
      </w:hyperlink>
      <w:r w:rsidR="00DE5A99" w:rsidRPr="00640F91">
        <w:rPr>
          <w:rFonts w:ascii="Century Gothic" w:hAnsi="Century Gothic"/>
          <w:sz w:val="18"/>
          <w:szCs w:val="18"/>
        </w:rPr>
        <w:t xml:space="preserve"> </w:t>
      </w:r>
    </w:p>
    <w:p w:rsidR="00DE5A99" w:rsidRPr="00784069" w:rsidRDefault="00DE5A99" w:rsidP="00784069">
      <w:pPr>
        <w:spacing w:after="120"/>
        <w:rPr>
          <w:rFonts w:ascii="Century Gothic" w:hAnsi="Century Gothic"/>
          <w:sz w:val="20"/>
          <w:szCs w:val="20"/>
        </w:rPr>
      </w:pPr>
      <w:r w:rsidRPr="00784069">
        <w:rPr>
          <w:rFonts w:ascii="Century Gothic" w:hAnsi="Century Gothic"/>
          <w:sz w:val="20"/>
          <w:szCs w:val="20"/>
        </w:rPr>
        <w:t xml:space="preserve">OECD (2015) </w:t>
      </w:r>
      <w:r w:rsidRPr="00784069">
        <w:rPr>
          <w:rFonts w:ascii="Century Gothic" w:hAnsi="Century Gothic"/>
          <w:i/>
          <w:sz w:val="20"/>
          <w:szCs w:val="20"/>
        </w:rPr>
        <w:t>The ABC of gender equality in education: Aptitude, behaviour, con</w:t>
      </w:r>
      <w:r w:rsidR="00455DA9" w:rsidRPr="00784069">
        <w:rPr>
          <w:rFonts w:ascii="Century Gothic" w:hAnsi="Century Gothic"/>
          <w:i/>
          <w:sz w:val="20"/>
          <w:szCs w:val="20"/>
        </w:rPr>
        <w:t>fidence</w:t>
      </w:r>
      <w:r w:rsidR="00455DA9" w:rsidRPr="00784069">
        <w:rPr>
          <w:rFonts w:ascii="Century Gothic" w:hAnsi="Century Gothic"/>
          <w:sz w:val="20"/>
          <w:szCs w:val="20"/>
        </w:rPr>
        <w:t xml:space="preserve">, PISA OECD publishing, </w:t>
      </w:r>
      <w:r w:rsidRPr="00784069">
        <w:rPr>
          <w:rFonts w:ascii="Century Gothic" w:hAnsi="Century Gothic"/>
          <w:sz w:val="20"/>
          <w:szCs w:val="20"/>
        </w:rPr>
        <w:t>http://dx.doi/org/10.1787/9789264229945-en</w:t>
      </w:r>
    </w:p>
    <w:p w:rsidR="00F108BE" w:rsidRDefault="00F108BE" w:rsidP="00F271BE">
      <w:pPr>
        <w:spacing w:after="120"/>
        <w:rPr>
          <w:rFonts w:ascii="Century Gothic" w:hAnsi="Century Gothic"/>
          <w:sz w:val="20"/>
          <w:szCs w:val="20"/>
        </w:rPr>
      </w:pPr>
      <w:r w:rsidRPr="00F108BE">
        <w:rPr>
          <w:rFonts w:ascii="Century Gothic" w:hAnsi="Century Gothic"/>
          <w:sz w:val="20"/>
          <w:szCs w:val="20"/>
        </w:rPr>
        <w:t>Pahlke,</w:t>
      </w:r>
      <w:r>
        <w:rPr>
          <w:rFonts w:ascii="Century Gothic" w:hAnsi="Century Gothic"/>
          <w:sz w:val="20"/>
          <w:szCs w:val="20"/>
        </w:rPr>
        <w:t xml:space="preserve"> E., </w:t>
      </w:r>
      <w:r w:rsidRPr="00F108BE">
        <w:rPr>
          <w:rFonts w:ascii="Century Gothic" w:hAnsi="Century Gothic"/>
          <w:sz w:val="20"/>
          <w:szCs w:val="20"/>
        </w:rPr>
        <w:t>Hyde,</w:t>
      </w:r>
      <w:r>
        <w:rPr>
          <w:rFonts w:ascii="Century Gothic" w:hAnsi="Century Gothic"/>
          <w:sz w:val="20"/>
          <w:szCs w:val="20"/>
        </w:rPr>
        <w:t xml:space="preserve"> J., S.,</w:t>
      </w:r>
      <w:r w:rsidRPr="00F108BE">
        <w:rPr>
          <w:rFonts w:ascii="Century Gothic" w:hAnsi="Century Gothic"/>
          <w:sz w:val="20"/>
          <w:szCs w:val="20"/>
        </w:rPr>
        <w:t xml:space="preserve"> and Allison, </w:t>
      </w:r>
      <w:r>
        <w:rPr>
          <w:rFonts w:ascii="Century Gothic" w:hAnsi="Century Gothic"/>
          <w:sz w:val="20"/>
          <w:szCs w:val="20"/>
        </w:rPr>
        <w:t>C. (2014)</w:t>
      </w:r>
      <w:r w:rsidRPr="00F108BE">
        <w:rPr>
          <w:rFonts w:ascii="Century Gothic" w:hAnsi="Century Gothic"/>
          <w:sz w:val="20"/>
          <w:szCs w:val="20"/>
        </w:rPr>
        <w:t xml:space="preserve"> “The Effects of Single-Sex Compared </w:t>
      </w:r>
      <w:r w:rsidR="005D1769" w:rsidRPr="00F108BE">
        <w:rPr>
          <w:rFonts w:ascii="Century Gothic" w:hAnsi="Century Gothic"/>
          <w:sz w:val="20"/>
          <w:szCs w:val="20"/>
        </w:rPr>
        <w:t>with</w:t>
      </w:r>
      <w:r w:rsidRPr="00F108BE">
        <w:rPr>
          <w:rFonts w:ascii="Century Gothic" w:hAnsi="Century Gothic"/>
          <w:sz w:val="20"/>
          <w:szCs w:val="20"/>
        </w:rPr>
        <w:t xml:space="preserve"> Coeducational Schooling on Students’ Performance and Attitudes: A Meta-Analysis,” </w:t>
      </w:r>
      <w:r w:rsidRPr="00F108BE">
        <w:rPr>
          <w:rFonts w:ascii="Century Gothic" w:hAnsi="Century Gothic"/>
          <w:i/>
          <w:iCs/>
          <w:sz w:val="20"/>
          <w:szCs w:val="20"/>
        </w:rPr>
        <w:t>Psychological Bulletin</w:t>
      </w:r>
      <w:r w:rsidRPr="00F108BE">
        <w:rPr>
          <w:rFonts w:ascii="Century Gothic" w:hAnsi="Century Gothic"/>
          <w:sz w:val="20"/>
          <w:szCs w:val="20"/>
        </w:rPr>
        <w:t>, online Feb. 3, 2014. </w:t>
      </w:r>
    </w:p>
    <w:p w:rsidR="00C54CA7" w:rsidRDefault="002309B9" w:rsidP="00C54CA7">
      <w:pPr>
        <w:spacing w:after="0" w:line="240" w:lineRule="auto"/>
        <w:rPr>
          <w:rFonts w:ascii="Century Gothic" w:hAnsi="Century Gothic"/>
          <w:sz w:val="20"/>
          <w:szCs w:val="20"/>
        </w:rPr>
      </w:pPr>
      <w:r w:rsidRPr="005354EF">
        <w:rPr>
          <w:rFonts w:ascii="Century Gothic" w:hAnsi="Century Gothic"/>
          <w:sz w:val="20"/>
          <w:szCs w:val="20"/>
        </w:rPr>
        <w:t>Rapoport, B., and Thibout, C. (20</w:t>
      </w:r>
      <w:r w:rsidR="00A265B6">
        <w:rPr>
          <w:rFonts w:ascii="Century Gothic" w:hAnsi="Century Gothic"/>
          <w:sz w:val="20"/>
          <w:szCs w:val="20"/>
        </w:rPr>
        <w:t>16)’</w:t>
      </w:r>
      <w:r w:rsidRPr="005354EF">
        <w:rPr>
          <w:rFonts w:ascii="Century Gothic" w:hAnsi="Century Gothic"/>
          <w:sz w:val="20"/>
          <w:szCs w:val="20"/>
        </w:rPr>
        <w:t xml:space="preserve">Why Do Boys and Girls Make Different Educational Choices? The Influence of Expected Earnings and Test Scores’, Working Paper No. 1/16, </w:t>
      </w:r>
      <w:r w:rsidRPr="00640F91">
        <w:rPr>
          <w:rFonts w:ascii="Century Gothic" w:hAnsi="Century Gothic"/>
          <w:i/>
          <w:sz w:val="20"/>
          <w:szCs w:val="20"/>
        </w:rPr>
        <w:t>Melbourne Institute Working Paper Series</w:t>
      </w:r>
      <w:r w:rsidRPr="005354EF">
        <w:rPr>
          <w:rFonts w:ascii="Century Gothic" w:hAnsi="Century Gothic"/>
          <w:sz w:val="20"/>
          <w:szCs w:val="20"/>
        </w:rPr>
        <w:t xml:space="preserve">, Faculty of Business and Economic, University of Melbourne </w:t>
      </w:r>
    </w:p>
    <w:p w:rsidR="002309B9" w:rsidRPr="00640F91" w:rsidRDefault="003378D5" w:rsidP="005354EF">
      <w:pPr>
        <w:spacing w:after="120" w:line="240" w:lineRule="auto"/>
        <w:rPr>
          <w:rFonts w:ascii="Century Gothic" w:hAnsi="Century Gothic"/>
          <w:sz w:val="18"/>
          <w:szCs w:val="18"/>
        </w:rPr>
      </w:pPr>
      <w:hyperlink r:id="rId23" w:history="1">
        <w:r w:rsidR="00F83C29" w:rsidRPr="00640F91">
          <w:rPr>
            <w:rStyle w:val="Hyperlink"/>
            <w:rFonts w:ascii="Century Gothic" w:hAnsi="Century Gothic"/>
            <w:sz w:val="18"/>
            <w:szCs w:val="18"/>
          </w:rPr>
          <w:t>https://www.melbourneinstitute.com/downloads/working_paper_series/wp2016n01.pdf</w:t>
        </w:r>
      </w:hyperlink>
    </w:p>
    <w:p w:rsidR="005354EF" w:rsidRPr="00640F91" w:rsidRDefault="00036989" w:rsidP="00036989">
      <w:pPr>
        <w:spacing w:after="120" w:line="240" w:lineRule="auto"/>
        <w:rPr>
          <w:rFonts w:cs="Helvetica-Condensed-Bold"/>
          <w:bCs/>
          <w:sz w:val="18"/>
          <w:szCs w:val="18"/>
        </w:rPr>
      </w:pPr>
      <w:r w:rsidRPr="00036989">
        <w:rPr>
          <w:rFonts w:cs="Garamond-BookCondensed"/>
          <w:sz w:val="20"/>
          <w:szCs w:val="20"/>
        </w:rPr>
        <w:t>Ryan, C. (2016) ‘The Attitudes of Boys and Girls towards Science and</w:t>
      </w:r>
      <w:r>
        <w:rPr>
          <w:rFonts w:ascii="Century Gothic" w:hAnsi="Century Gothic"/>
          <w:sz w:val="20"/>
          <w:szCs w:val="20"/>
        </w:rPr>
        <w:t xml:space="preserve"> </w:t>
      </w:r>
      <w:r w:rsidRPr="00036989">
        <w:rPr>
          <w:rFonts w:cs="Garamond-BookCondensed"/>
          <w:sz w:val="20"/>
          <w:szCs w:val="20"/>
        </w:rPr>
        <w:t xml:space="preserve">Mathematics as They Progress through School in Australia’ </w:t>
      </w:r>
      <w:r w:rsidRPr="00036989">
        <w:rPr>
          <w:rFonts w:cs="Helvetica-Condensed-Bold"/>
          <w:bCs/>
          <w:sz w:val="20"/>
          <w:szCs w:val="20"/>
        </w:rPr>
        <w:t>Working Paper No. 24/16, Melbourne Institute Working Paper Series, Faculty of Business and E</w:t>
      </w:r>
      <w:r w:rsidR="002309B9">
        <w:rPr>
          <w:rFonts w:cs="Helvetica-Condensed-Bold"/>
          <w:bCs/>
          <w:sz w:val="20"/>
          <w:szCs w:val="20"/>
        </w:rPr>
        <w:t>conomic, U</w:t>
      </w:r>
      <w:r w:rsidRPr="00036989">
        <w:rPr>
          <w:rFonts w:cs="Helvetica-Condensed-Bold"/>
          <w:bCs/>
          <w:sz w:val="20"/>
          <w:szCs w:val="20"/>
        </w:rPr>
        <w:t>niversity of Melbourne</w:t>
      </w:r>
      <w:r w:rsidR="005354EF">
        <w:rPr>
          <w:rFonts w:cs="Helvetica-Condensed-Bold"/>
          <w:bCs/>
          <w:sz w:val="20"/>
          <w:szCs w:val="20"/>
        </w:rPr>
        <w:t xml:space="preserve"> </w:t>
      </w:r>
      <w:hyperlink r:id="rId24" w:history="1">
        <w:r w:rsidR="005354EF" w:rsidRPr="00640F91">
          <w:rPr>
            <w:rStyle w:val="Hyperlink"/>
            <w:rFonts w:cs="Helvetica-Condensed-Bold"/>
            <w:bCs/>
            <w:sz w:val="18"/>
            <w:szCs w:val="18"/>
          </w:rPr>
          <w:t>https://www.melbourneinstitute.com/downloads/working_paper_series/wp2016n24.pdf</w:t>
        </w:r>
      </w:hyperlink>
    </w:p>
    <w:p w:rsidR="00640F91" w:rsidRDefault="00DE5A99" w:rsidP="00C54CA7">
      <w:pPr>
        <w:spacing w:after="0" w:line="240" w:lineRule="auto"/>
        <w:rPr>
          <w:rFonts w:ascii="Century Gothic" w:hAnsi="Century Gothic"/>
          <w:i/>
          <w:sz w:val="20"/>
          <w:szCs w:val="20"/>
        </w:rPr>
      </w:pPr>
      <w:r w:rsidRPr="00784069">
        <w:rPr>
          <w:rFonts w:ascii="Century Gothic" w:hAnsi="Century Gothic"/>
          <w:sz w:val="20"/>
          <w:szCs w:val="20"/>
        </w:rPr>
        <w:t xml:space="preserve">The Telethon Kids Institute (2014) </w:t>
      </w:r>
      <w:r w:rsidRPr="00784069">
        <w:rPr>
          <w:rFonts w:ascii="Century Gothic" w:hAnsi="Century Gothic"/>
          <w:i/>
          <w:sz w:val="20"/>
          <w:szCs w:val="20"/>
        </w:rPr>
        <w:t>Gender differences in the AEDC and into the school years,</w:t>
      </w:r>
      <w:r w:rsidRPr="00784069">
        <w:rPr>
          <w:rFonts w:ascii="Century Gothic" w:hAnsi="Century Gothic"/>
          <w:sz w:val="20"/>
          <w:szCs w:val="20"/>
        </w:rPr>
        <w:t xml:space="preserve"> </w:t>
      </w:r>
      <w:r w:rsidRPr="00C64231">
        <w:rPr>
          <w:rFonts w:ascii="Century Gothic" w:hAnsi="Century Gothic"/>
          <w:i/>
          <w:sz w:val="20"/>
          <w:szCs w:val="20"/>
        </w:rPr>
        <w:t xml:space="preserve">Research Snapshot </w:t>
      </w:r>
    </w:p>
    <w:p w:rsidR="00784069" w:rsidRPr="00640F91" w:rsidRDefault="003378D5" w:rsidP="005354EF">
      <w:pPr>
        <w:spacing w:after="120" w:line="240" w:lineRule="auto"/>
        <w:rPr>
          <w:rFonts w:cs="Helvetica-Condensed-Bold"/>
          <w:bCs/>
          <w:sz w:val="18"/>
          <w:szCs w:val="18"/>
        </w:rPr>
      </w:pPr>
      <w:hyperlink r:id="rId25" w:history="1">
        <w:r w:rsidR="00784069" w:rsidRPr="00640F91">
          <w:rPr>
            <w:rStyle w:val="Hyperlink"/>
            <w:rFonts w:ascii="Century Gothic" w:hAnsi="Century Gothic" w:cs="Arial"/>
            <w:sz w:val="18"/>
            <w:szCs w:val="18"/>
          </w:rPr>
          <w:t>https://www.aedc.gov.au/</w:t>
        </w:r>
      </w:hyperlink>
    </w:p>
    <w:p w:rsidR="00907CE3" w:rsidRPr="00907CE3" w:rsidRDefault="00907CE3" w:rsidP="00907CE3">
      <w:pPr>
        <w:rPr>
          <w:rFonts w:cs="Garamond-BookCondensed"/>
          <w:sz w:val="20"/>
          <w:szCs w:val="20"/>
        </w:rPr>
      </w:pPr>
      <w:r w:rsidRPr="00907CE3">
        <w:rPr>
          <w:rFonts w:cs="Garamond-BookCondensed"/>
          <w:sz w:val="20"/>
          <w:szCs w:val="20"/>
        </w:rPr>
        <w:t>The PISA 2012 assessment of students’ mathematical, scientific and reading literacy</w:t>
      </w:r>
    </w:p>
    <w:p w:rsidR="00907CE3" w:rsidRDefault="00907CE3" w:rsidP="00907CE3">
      <w:pPr>
        <w:rPr>
          <w:rFonts w:cs="Garamond-BookCondensed"/>
          <w:sz w:val="20"/>
          <w:szCs w:val="20"/>
        </w:rPr>
      </w:pPr>
      <w:r w:rsidRPr="00907CE3">
        <w:rPr>
          <w:rFonts w:cs="Garamond-BookCondensed"/>
          <w:sz w:val="20"/>
          <w:szCs w:val="20"/>
        </w:rPr>
        <w:t>Thomson</w:t>
      </w:r>
      <w:r>
        <w:rPr>
          <w:rFonts w:cs="Garamond-BookCondensed"/>
          <w:sz w:val="20"/>
          <w:szCs w:val="20"/>
        </w:rPr>
        <w:t xml:space="preserve">, S., </w:t>
      </w:r>
      <w:r w:rsidRPr="00907CE3">
        <w:rPr>
          <w:rFonts w:cs="Garamond-BookCondensed"/>
          <w:sz w:val="20"/>
          <w:szCs w:val="20"/>
        </w:rPr>
        <w:t>De Bortoli</w:t>
      </w:r>
      <w:r w:rsidR="00B65CCF">
        <w:rPr>
          <w:rFonts w:cs="Garamond-BookCondensed"/>
          <w:sz w:val="20"/>
          <w:szCs w:val="20"/>
        </w:rPr>
        <w:t xml:space="preserve">, L., and </w:t>
      </w:r>
      <w:r w:rsidRPr="00907CE3">
        <w:rPr>
          <w:rFonts w:cs="Garamond-BookCondensed"/>
          <w:sz w:val="20"/>
          <w:szCs w:val="20"/>
        </w:rPr>
        <w:t>Buckley</w:t>
      </w:r>
      <w:r w:rsidR="0008102F">
        <w:rPr>
          <w:rFonts w:cs="Garamond-BookCondensed"/>
          <w:sz w:val="20"/>
          <w:szCs w:val="20"/>
        </w:rPr>
        <w:t>, S. (2013</w:t>
      </w:r>
      <w:r w:rsidR="00B65CCF">
        <w:rPr>
          <w:rFonts w:cs="Garamond-BookCondensed"/>
          <w:sz w:val="20"/>
          <w:szCs w:val="20"/>
        </w:rPr>
        <w:t xml:space="preserve">) </w:t>
      </w:r>
      <w:r w:rsidR="00B1000E" w:rsidRPr="00B1000E">
        <w:rPr>
          <w:rFonts w:cs="Garamond-BookCondensed"/>
          <w:i/>
          <w:sz w:val="20"/>
          <w:szCs w:val="20"/>
        </w:rPr>
        <w:t>PISA 2012: How Australia measures up</w:t>
      </w:r>
      <w:r w:rsidR="00B1000E">
        <w:rPr>
          <w:rFonts w:cs="Garamond-BookCondensed"/>
          <w:i/>
          <w:sz w:val="20"/>
          <w:szCs w:val="20"/>
        </w:rPr>
        <w:t xml:space="preserve">: </w:t>
      </w:r>
      <w:r w:rsidR="00B65CCF" w:rsidRPr="00B65CCF">
        <w:rPr>
          <w:rFonts w:cs="Garamond-BookCondensed"/>
          <w:i/>
          <w:sz w:val="20"/>
          <w:szCs w:val="20"/>
        </w:rPr>
        <w:t>The PISA 2012 assessment of students’ mathematical, scientific and reading literacy</w:t>
      </w:r>
      <w:r w:rsidR="00B65CCF">
        <w:rPr>
          <w:rFonts w:cs="Garamond-BookCondensed"/>
          <w:sz w:val="20"/>
          <w:szCs w:val="20"/>
        </w:rPr>
        <w:t xml:space="preserve">, </w:t>
      </w:r>
      <w:r w:rsidR="00B65CCF" w:rsidRPr="00C12FAB">
        <w:rPr>
          <w:rFonts w:cs="Garamond-BookCondensed"/>
          <w:sz w:val="20"/>
          <w:szCs w:val="20"/>
        </w:rPr>
        <w:t xml:space="preserve">Australian Council for Educational Research (ACER) </w:t>
      </w:r>
      <w:r w:rsidR="00B65CCF">
        <w:rPr>
          <w:rFonts w:cs="Garamond-BookCondensed"/>
          <w:sz w:val="20"/>
          <w:szCs w:val="20"/>
        </w:rPr>
        <w:t>Melbourne</w:t>
      </w:r>
    </w:p>
    <w:p w:rsidR="00C12FAB" w:rsidRPr="00C12FAB" w:rsidRDefault="005D1769" w:rsidP="00907CE3">
      <w:pPr>
        <w:rPr>
          <w:rFonts w:cs="Garamond-BookCondensed"/>
          <w:sz w:val="20"/>
          <w:szCs w:val="20"/>
        </w:rPr>
      </w:pPr>
      <w:r>
        <w:rPr>
          <w:rFonts w:cs="Garamond-BookCondensed"/>
          <w:sz w:val="20"/>
          <w:szCs w:val="20"/>
        </w:rPr>
        <w:t>Thomson, S.,</w:t>
      </w:r>
      <w:r w:rsidR="00C12FAB">
        <w:rPr>
          <w:rFonts w:cs="Garamond-BookCondensed"/>
          <w:sz w:val="20"/>
          <w:szCs w:val="20"/>
        </w:rPr>
        <w:t xml:space="preserve"> Hillman, K., Wernert, N., Schmid, M., Buc</w:t>
      </w:r>
      <w:r w:rsidR="00B65CCF">
        <w:rPr>
          <w:rFonts w:cs="Garamond-BookCondensed"/>
          <w:sz w:val="20"/>
          <w:szCs w:val="20"/>
        </w:rPr>
        <w:t>kley, S., and Munene, A. (2012)</w:t>
      </w:r>
      <w:r w:rsidR="00C12FAB">
        <w:rPr>
          <w:rFonts w:cs="Garamond-BookCondensed"/>
          <w:sz w:val="20"/>
          <w:szCs w:val="20"/>
        </w:rPr>
        <w:t xml:space="preserve"> </w:t>
      </w:r>
      <w:r w:rsidR="00C12FAB" w:rsidRPr="00C12FAB">
        <w:rPr>
          <w:rFonts w:cs="Garamond-BookCondensed"/>
          <w:i/>
          <w:sz w:val="20"/>
          <w:szCs w:val="20"/>
        </w:rPr>
        <w:t>Highlights from TIMSS &amp; PIRLS 2011 from Australia’s perspective.</w:t>
      </w:r>
      <w:r w:rsidR="00C12FAB" w:rsidRPr="00C12FAB">
        <w:rPr>
          <w:rFonts w:cs="Garamond-BookCondensed"/>
          <w:sz w:val="20"/>
          <w:szCs w:val="20"/>
        </w:rPr>
        <w:t xml:space="preserve"> Australian Council for Educational Research (ACER) </w:t>
      </w:r>
      <w:r w:rsidR="00B65CCF" w:rsidRPr="00C12FAB">
        <w:rPr>
          <w:rFonts w:cs="Garamond-BookCondensed"/>
          <w:sz w:val="20"/>
          <w:szCs w:val="20"/>
        </w:rPr>
        <w:t>Melbourne:</w:t>
      </w:r>
    </w:p>
    <w:p w:rsidR="0003551E" w:rsidRPr="00C12FAB" w:rsidRDefault="0003551E" w:rsidP="0003551E">
      <w:pPr>
        <w:rPr>
          <w:rFonts w:cs="Garamond-BookCondensed"/>
          <w:sz w:val="20"/>
          <w:szCs w:val="20"/>
        </w:rPr>
      </w:pPr>
      <w:r>
        <w:rPr>
          <w:rFonts w:cs="Garamond-BookCondensed"/>
          <w:sz w:val="20"/>
          <w:szCs w:val="20"/>
        </w:rPr>
        <w:t xml:space="preserve">Thomson, S., De Bortoli, L., and Underwood, C.  (2016a) </w:t>
      </w:r>
      <w:r>
        <w:rPr>
          <w:rFonts w:cs="Garamond-BookCondensed"/>
          <w:i/>
          <w:sz w:val="20"/>
          <w:szCs w:val="20"/>
        </w:rPr>
        <w:t>PISA 2015: A first look at Australia’s results,</w:t>
      </w:r>
      <w:r w:rsidRPr="00C12FAB">
        <w:rPr>
          <w:rFonts w:cs="Garamond-BookCondensed"/>
          <w:sz w:val="20"/>
          <w:szCs w:val="20"/>
        </w:rPr>
        <w:t xml:space="preserve"> Australian Council for Educational Research (ACER) </w:t>
      </w:r>
      <w:r>
        <w:rPr>
          <w:rFonts w:cs="Garamond-BookCondensed"/>
          <w:sz w:val="20"/>
          <w:szCs w:val="20"/>
        </w:rPr>
        <w:t>Melbourne.</w:t>
      </w:r>
    </w:p>
    <w:p w:rsidR="00613214" w:rsidRPr="00C12FAB" w:rsidRDefault="005D1769" w:rsidP="00613214">
      <w:pPr>
        <w:rPr>
          <w:rFonts w:cs="Garamond-BookCondensed"/>
          <w:sz w:val="20"/>
          <w:szCs w:val="20"/>
        </w:rPr>
      </w:pPr>
      <w:r>
        <w:rPr>
          <w:rFonts w:cs="Garamond-BookCondensed"/>
          <w:sz w:val="20"/>
          <w:szCs w:val="20"/>
        </w:rPr>
        <w:t>Thomson, S.,</w:t>
      </w:r>
      <w:r w:rsidR="00613214">
        <w:rPr>
          <w:rFonts w:cs="Garamond-BookCondensed"/>
          <w:sz w:val="20"/>
          <w:szCs w:val="20"/>
        </w:rPr>
        <w:t xml:space="preserve"> K., Wernert, N., O’Grady, E., and Rodrigues, S. (2016</w:t>
      </w:r>
      <w:r w:rsidR="0003551E">
        <w:rPr>
          <w:rFonts w:cs="Garamond-BookCondensed"/>
          <w:sz w:val="20"/>
          <w:szCs w:val="20"/>
        </w:rPr>
        <w:t>b</w:t>
      </w:r>
      <w:r w:rsidR="00613214">
        <w:rPr>
          <w:rFonts w:cs="Garamond-BookCondensed"/>
          <w:sz w:val="20"/>
          <w:szCs w:val="20"/>
        </w:rPr>
        <w:t xml:space="preserve">) </w:t>
      </w:r>
      <w:r w:rsidR="00613214" w:rsidRPr="00C12FAB">
        <w:rPr>
          <w:rFonts w:cs="Garamond-BookCondensed"/>
          <w:i/>
          <w:sz w:val="20"/>
          <w:szCs w:val="20"/>
        </w:rPr>
        <w:t xml:space="preserve">TIMSS </w:t>
      </w:r>
      <w:r w:rsidR="00613214">
        <w:rPr>
          <w:rFonts w:cs="Garamond-BookCondensed"/>
          <w:i/>
          <w:sz w:val="20"/>
          <w:szCs w:val="20"/>
        </w:rPr>
        <w:t>2015: A first look at Australia’s results,</w:t>
      </w:r>
      <w:r w:rsidR="00613214" w:rsidRPr="00C12FAB">
        <w:rPr>
          <w:rFonts w:cs="Garamond-BookCondensed"/>
          <w:sz w:val="20"/>
          <w:szCs w:val="20"/>
        </w:rPr>
        <w:t xml:space="preserve"> Australian Council for Educational Research (ACER) </w:t>
      </w:r>
      <w:r w:rsidR="0003551E">
        <w:rPr>
          <w:rFonts w:cs="Garamond-BookCondensed"/>
          <w:sz w:val="20"/>
          <w:szCs w:val="20"/>
        </w:rPr>
        <w:t>Melbourne.</w:t>
      </w:r>
    </w:p>
    <w:p w:rsidR="00586D25" w:rsidRDefault="00586D25" w:rsidP="00784069">
      <w:pPr>
        <w:spacing w:after="120"/>
        <w:rPr>
          <w:rFonts w:ascii="Century Gothic" w:hAnsi="Century Gothic"/>
          <w:sz w:val="20"/>
          <w:szCs w:val="20"/>
        </w:rPr>
      </w:pPr>
      <w:r>
        <w:rPr>
          <w:rFonts w:ascii="Century Gothic" w:hAnsi="Century Gothic"/>
          <w:sz w:val="20"/>
          <w:szCs w:val="20"/>
        </w:rPr>
        <w:t xml:space="preserve">Trends in International Mathematics and Science study, (TIMSS), and </w:t>
      </w:r>
      <w:r w:rsidRPr="00586D25">
        <w:rPr>
          <w:rFonts w:ascii="Century Gothic" w:hAnsi="Century Gothic"/>
          <w:sz w:val="20"/>
          <w:szCs w:val="20"/>
        </w:rPr>
        <w:t xml:space="preserve">Progress in International Reading Literacy Study (PIRLS) </w:t>
      </w:r>
      <w:r>
        <w:rPr>
          <w:rFonts w:ascii="Century Gothic" w:hAnsi="Century Gothic"/>
          <w:sz w:val="20"/>
          <w:szCs w:val="20"/>
        </w:rPr>
        <w:t>(2011)</w:t>
      </w:r>
      <w:r>
        <w:t xml:space="preserve">, </w:t>
      </w:r>
      <w:r w:rsidRPr="00586D25">
        <w:rPr>
          <w:rFonts w:ascii="Century Gothic" w:hAnsi="Century Gothic"/>
          <w:sz w:val="20"/>
          <w:szCs w:val="20"/>
        </w:rPr>
        <w:t>International Association for the Evalua</w:t>
      </w:r>
      <w:r>
        <w:rPr>
          <w:rFonts w:ascii="Century Gothic" w:hAnsi="Century Gothic"/>
          <w:sz w:val="20"/>
          <w:szCs w:val="20"/>
        </w:rPr>
        <w:t xml:space="preserve">tion of Educational Achievement. </w:t>
      </w:r>
    </w:p>
    <w:p w:rsidR="00DE5A99" w:rsidRPr="00640F91" w:rsidRDefault="00DE5A99" w:rsidP="00784069">
      <w:pPr>
        <w:spacing w:after="120"/>
        <w:rPr>
          <w:rStyle w:val="Strong"/>
          <w:rFonts w:ascii="Century Gothic" w:hAnsi="Century Gothic"/>
          <w:b w:val="0"/>
          <w:bCs w:val="0"/>
          <w:sz w:val="18"/>
          <w:szCs w:val="18"/>
        </w:rPr>
      </w:pPr>
      <w:r w:rsidRPr="00784069">
        <w:rPr>
          <w:rFonts w:ascii="Century Gothic" w:hAnsi="Century Gothic"/>
          <w:sz w:val="20"/>
          <w:szCs w:val="20"/>
        </w:rPr>
        <w:t>Trent, F. &amp; Slade, M. (2001)</w:t>
      </w:r>
      <w:r w:rsidR="00784069">
        <w:rPr>
          <w:rFonts w:ascii="Century Gothic" w:hAnsi="Century Gothic"/>
          <w:sz w:val="20"/>
          <w:szCs w:val="20"/>
        </w:rPr>
        <w:t xml:space="preserve"> </w:t>
      </w:r>
      <w:r w:rsidRPr="00784069">
        <w:rPr>
          <w:rFonts w:ascii="Century Gothic" w:hAnsi="Century Gothic"/>
          <w:i/>
          <w:sz w:val="20"/>
          <w:szCs w:val="20"/>
        </w:rPr>
        <w:t>Declining Rates of Achievement and Retention: The Perceptions of Adolescent Males</w:t>
      </w:r>
      <w:r w:rsidRPr="00784069">
        <w:rPr>
          <w:rFonts w:ascii="Century Gothic" w:hAnsi="Century Gothic"/>
          <w:sz w:val="20"/>
          <w:szCs w:val="20"/>
        </w:rPr>
        <w:t>, a submission to the Parliamentary Enquiry on the Education of Boys, Department of Education, Training and</w:t>
      </w:r>
      <w:r w:rsidR="00784069">
        <w:rPr>
          <w:rFonts w:ascii="Century Gothic" w:hAnsi="Century Gothic"/>
          <w:sz w:val="20"/>
          <w:szCs w:val="20"/>
        </w:rPr>
        <w:t xml:space="preserve"> Youth Affairs, Canberra</w:t>
      </w:r>
      <w:r w:rsidRPr="00784069">
        <w:rPr>
          <w:rFonts w:ascii="Century Gothic" w:hAnsi="Century Gothic"/>
          <w:sz w:val="20"/>
          <w:szCs w:val="20"/>
        </w:rPr>
        <w:t xml:space="preserve"> </w:t>
      </w:r>
      <w:hyperlink r:id="rId26" w:history="1">
        <w:r w:rsidRPr="00640F91">
          <w:rPr>
            <w:rStyle w:val="Hyperlink"/>
            <w:rFonts w:ascii="Century Gothic" w:hAnsi="Century Gothic"/>
            <w:sz w:val="18"/>
            <w:szCs w:val="18"/>
          </w:rPr>
          <w:t>http://www.dest.gov.au/archive/highered/eippubs/eip01_6/01_6.pdf</w:t>
        </w:r>
      </w:hyperlink>
    </w:p>
    <w:p w:rsidR="00640F91" w:rsidRDefault="00DE5A99" w:rsidP="00C54CA7">
      <w:pPr>
        <w:spacing w:after="0"/>
        <w:rPr>
          <w:rStyle w:val="Strong"/>
          <w:rFonts w:ascii="Century Gothic" w:hAnsi="Century Gothic" w:cs="Helvetica"/>
          <w:b w:val="0"/>
          <w:sz w:val="20"/>
          <w:szCs w:val="20"/>
          <w:bdr w:val="none" w:sz="0" w:space="0" w:color="auto" w:frame="1"/>
        </w:rPr>
      </w:pPr>
      <w:r w:rsidRPr="00784069">
        <w:rPr>
          <w:rStyle w:val="Strong"/>
          <w:rFonts w:ascii="Century Gothic" w:hAnsi="Century Gothic" w:cs="Helvetica"/>
          <w:b w:val="0"/>
          <w:sz w:val="20"/>
          <w:szCs w:val="20"/>
          <w:bdr w:val="none" w:sz="0" w:space="0" w:color="auto" w:frame="1"/>
        </w:rPr>
        <w:t xml:space="preserve">Victorian Auditor General’s </w:t>
      </w:r>
      <w:r w:rsidR="00784069">
        <w:rPr>
          <w:rStyle w:val="Strong"/>
          <w:rFonts w:ascii="Century Gothic" w:hAnsi="Century Gothic" w:cs="Helvetica"/>
          <w:b w:val="0"/>
          <w:sz w:val="20"/>
          <w:szCs w:val="20"/>
          <w:bdr w:val="none" w:sz="0" w:space="0" w:color="auto" w:frame="1"/>
        </w:rPr>
        <w:t xml:space="preserve">Office </w:t>
      </w:r>
      <w:r w:rsidRPr="00784069">
        <w:rPr>
          <w:rStyle w:val="Strong"/>
          <w:rFonts w:ascii="Century Gothic" w:hAnsi="Century Gothic" w:cs="Helvetica"/>
          <w:b w:val="0"/>
          <w:sz w:val="20"/>
          <w:szCs w:val="20"/>
          <w:bdr w:val="none" w:sz="0" w:space="0" w:color="auto" w:frame="1"/>
        </w:rPr>
        <w:t xml:space="preserve">(VAGO) (2015) </w:t>
      </w:r>
      <w:r w:rsidRPr="00784069">
        <w:rPr>
          <w:rStyle w:val="Strong"/>
          <w:rFonts w:ascii="Century Gothic" w:hAnsi="Century Gothic" w:cs="Helvetica"/>
          <w:b w:val="0"/>
          <w:i/>
          <w:sz w:val="20"/>
          <w:szCs w:val="20"/>
          <w:bdr w:val="none" w:sz="0" w:space="0" w:color="auto" w:frame="1"/>
        </w:rPr>
        <w:t>Performance Audit: Education Transitions,</w:t>
      </w:r>
      <w:r w:rsidRPr="00784069">
        <w:rPr>
          <w:rStyle w:val="Strong"/>
          <w:rFonts w:ascii="Century Gothic" w:hAnsi="Century Gothic" w:cs="Helvetica"/>
          <w:b w:val="0"/>
          <w:sz w:val="20"/>
          <w:szCs w:val="20"/>
          <w:bdr w:val="none" w:sz="0" w:space="0" w:color="auto" w:frame="1"/>
        </w:rPr>
        <w:t xml:space="preserve"> Victoria</w:t>
      </w:r>
      <w:r w:rsidR="00784069">
        <w:rPr>
          <w:rStyle w:val="Strong"/>
          <w:rFonts w:ascii="Century Gothic" w:hAnsi="Century Gothic" w:cs="Helvetica"/>
          <w:b w:val="0"/>
          <w:sz w:val="20"/>
          <w:szCs w:val="20"/>
          <w:bdr w:val="none" w:sz="0" w:space="0" w:color="auto" w:frame="1"/>
        </w:rPr>
        <w:t xml:space="preserve"> </w:t>
      </w:r>
      <w:r w:rsidRPr="00784069">
        <w:rPr>
          <w:rStyle w:val="Strong"/>
          <w:rFonts w:ascii="Century Gothic" w:hAnsi="Century Gothic" w:cs="Helvetica"/>
          <w:b w:val="0"/>
          <w:sz w:val="20"/>
          <w:szCs w:val="20"/>
          <w:bdr w:val="none" w:sz="0" w:space="0" w:color="auto" w:frame="1"/>
        </w:rPr>
        <w:t xml:space="preserve"> </w:t>
      </w:r>
    </w:p>
    <w:p w:rsidR="00DE5A99" w:rsidRPr="00640F91" w:rsidRDefault="003378D5" w:rsidP="00784069">
      <w:pPr>
        <w:spacing w:after="120"/>
        <w:rPr>
          <w:rFonts w:ascii="Century Gothic" w:hAnsi="Century Gothic" w:cs="Helvetica"/>
          <w:bCs/>
          <w:sz w:val="18"/>
          <w:szCs w:val="18"/>
          <w:bdr w:val="none" w:sz="0" w:space="0" w:color="auto" w:frame="1"/>
        </w:rPr>
      </w:pPr>
      <w:hyperlink r:id="rId27" w:history="1">
        <w:r w:rsidR="00DE5A99" w:rsidRPr="00640F91">
          <w:rPr>
            <w:rStyle w:val="Hyperlink"/>
            <w:rFonts w:ascii="Century Gothic" w:hAnsi="Century Gothic"/>
            <w:sz w:val="18"/>
            <w:szCs w:val="18"/>
          </w:rPr>
          <w:t>http://www.audit.vic.gov.au/publications/20150318-Education-transitions/20150318-Education-transitions.pdf</w:t>
        </w:r>
      </w:hyperlink>
      <w:r w:rsidR="00DE5A99" w:rsidRPr="00640F91">
        <w:rPr>
          <w:rStyle w:val="Hyperlink"/>
          <w:rFonts w:ascii="Century Gothic" w:hAnsi="Century Gothic"/>
          <w:sz w:val="18"/>
          <w:szCs w:val="18"/>
        </w:rPr>
        <w:t>)</w:t>
      </w:r>
    </w:p>
    <w:p w:rsidR="00640F91" w:rsidRDefault="00DE5A99" w:rsidP="00C54CA7">
      <w:pPr>
        <w:spacing w:after="0" w:line="240" w:lineRule="auto"/>
        <w:rPr>
          <w:rFonts w:ascii="Century Gothic" w:hAnsi="Century Gothic"/>
          <w:sz w:val="20"/>
          <w:szCs w:val="20"/>
        </w:rPr>
      </w:pPr>
      <w:r w:rsidRPr="00784069">
        <w:rPr>
          <w:rFonts w:ascii="Century Gothic" w:hAnsi="Century Gothic"/>
          <w:sz w:val="20"/>
          <w:szCs w:val="20"/>
        </w:rPr>
        <w:t xml:space="preserve">Watson, A., Kehler, M., &amp; Martino, W. (2010) </w:t>
      </w:r>
      <w:r w:rsidR="00640F91">
        <w:rPr>
          <w:rFonts w:ascii="Century Gothic" w:hAnsi="Century Gothic"/>
          <w:sz w:val="20"/>
          <w:szCs w:val="20"/>
        </w:rPr>
        <w:t>‘</w:t>
      </w:r>
      <w:r w:rsidRPr="00784069">
        <w:rPr>
          <w:rFonts w:ascii="Century Gothic" w:hAnsi="Century Gothic"/>
          <w:sz w:val="20"/>
          <w:szCs w:val="20"/>
        </w:rPr>
        <w:t>The problem of boys’ literacy underachievement: Raising some questions</w:t>
      </w:r>
      <w:r w:rsidR="00640F91">
        <w:rPr>
          <w:rFonts w:ascii="Century Gothic" w:hAnsi="Century Gothic"/>
          <w:sz w:val="20"/>
          <w:szCs w:val="20"/>
        </w:rPr>
        <w:t>’</w:t>
      </w:r>
      <w:r w:rsidR="00784069">
        <w:rPr>
          <w:rFonts w:ascii="Century Gothic" w:hAnsi="Century Gothic"/>
          <w:sz w:val="20"/>
          <w:szCs w:val="20"/>
        </w:rPr>
        <w:t>,</w:t>
      </w:r>
      <w:r w:rsidRPr="00784069">
        <w:rPr>
          <w:rFonts w:ascii="Century Gothic" w:hAnsi="Century Gothic"/>
          <w:sz w:val="20"/>
          <w:szCs w:val="20"/>
        </w:rPr>
        <w:t xml:space="preserve"> </w:t>
      </w:r>
      <w:r w:rsidRPr="00784069">
        <w:rPr>
          <w:rFonts w:ascii="Century Gothic" w:hAnsi="Century Gothic"/>
          <w:i/>
          <w:sz w:val="20"/>
          <w:szCs w:val="20"/>
        </w:rPr>
        <w:t>Journal of Adolescent and Adult Literacy</w:t>
      </w:r>
      <w:r w:rsidR="00784069">
        <w:rPr>
          <w:rFonts w:ascii="Century Gothic" w:hAnsi="Century Gothic"/>
          <w:sz w:val="20"/>
          <w:szCs w:val="20"/>
        </w:rPr>
        <w:t>, 53(5), 356-361</w:t>
      </w:r>
    </w:p>
    <w:p w:rsidR="00DE5A99" w:rsidRPr="00640F91" w:rsidRDefault="00DE5A99" w:rsidP="00784069">
      <w:pPr>
        <w:spacing w:after="120" w:line="240" w:lineRule="auto"/>
        <w:rPr>
          <w:rFonts w:ascii="Century Gothic" w:hAnsi="Century Gothic"/>
          <w:sz w:val="18"/>
          <w:szCs w:val="18"/>
        </w:rPr>
      </w:pPr>
      <w:r w:rsidRPr="00640F91">
        <w:rPr>
          <w:rFonts w:ascii="Century Gothic" w:hAnsi="Century Gothic"/>
          <w:sz w:val="18"/>
          <w:szCs w:val="18"/>
        </w:rPr>
        <w:t xml:space="preserve"> </w:t>
      </w:r>
      <w:hyperlink r:id="rId28" w:history="1">
        <w:r w:rsidRPr="00640F91">
          <w:rPr>
            <w:rStyle w:val="Hyperlink"/>
            <w:rFonts w:ascii="Century Gothic" w:hAnsi="Century Gothic"/>
            <w:sz w:val="18"/>
            <w:szCs w:val="18"/>
          </w:rPr>
          <w:t>http://dx.doi.org/10.1598/JAAL.53.5.1</w:t>
        </w:r>
      </w:hyperlink>
    </w:p>
    <w:p w:rsidR="00455DA9" w:rsidRPr="00784069" w:rsidRDefault="00784069" w:rsidP="00784069">
      <w:pPr>
        <w:spacing w:after="120" w:line="240" w:lineRule="auto"/>
        <w:rPr>
          <w:rFonts w:ascii="Century Gothic" w:hAnsi="Century Gothic"/>
          <w:sz w:val="20"/>
          <w:szCs w:val="20"/>
        </w:rPr>
      </w:pPr>
      <w:r>
        <w:rPr>
          <w:rFonts w:ascii="Century Gothic" w:hAnsi="Century Gothic"/>
          <w:sz w:val="20"/>
          <w:szCs w:val="20"/>
        </w:rPr>
        <w:t>Watt, H.</w:t>
      </w:r>
      <w:r w:rsidR="00DE5A99" w:rsidRPr="00784069">
        <w:rPr>
          <w:rFonts w:ascii="Century Gothic" w:hAnsi="Century Gothic"/>
          <w:sz w:val="20"/>
          <w:szCs w:val="20"/>
        </w:rPr>
        <w:t xml:space="preserve"> (2006) </w:t>
      </w:r>
      <w:r w:rsidR="00DE5A99" w:rsidRPr="00784069">
        <w:rPr>
          <w:rFonts w:ascii="Century Gothic" w:hAnsi="Century Gothic"/>
          <w:i/>
          <w:sz w:val="20"/>
          <w:szCs w:val="20"/>
        </w:rPr>
        <w:t>What Makes high-School Girls Think they are Talented (or not Talented) at Maths? A Qualitative Examination of Intra- and Extra-Personal Inf</w:t>
      </w:r>
      <w:r w:rsidRPr="00784069">
        <w:rPr>
          <w:rFonts w:ascii="Century Gothic" w:hAnsi="Century Gothic"/>
          <w:i/>
          <w:sz w:val="20"/>
          <w:szCs w:val="20"/>
        </w:rPr>
        <w:t>luences and Performance Bases</w:t>
      </w:r>
      <w:r>
        <w:rPr>
          <w:rFonts w:ascii="Century Gothic" w:hAnsi="Century Gothic"/>
          <w:sz w:val="20"/>
          <w:szCs w:val="20"/>
        </w:rPr>
        <w:t>, T</w:t>
      </w:r>
      <w:r w:rsidR="00DE5A99" w:rsidRPr="00784069">
        <w:rPr>
          <w:rFonts w:ascii="Century Gothic" w:hAnsi="Century Gothic"/>
          <w:sz w:val="20"/>
          <w:szCs w:val="20"/>
        </w:rPr>
        <w:t xml:space="preserve">hesis, University of Sydney </w:t>
      </w:r>
    </w:p>
    <w:p w:rsidR="00DE5A99" w:rsidRDefault="00784069" w:rsidP="00784069">
      <w:pPr>
        <w:spacing w:after="120"/>
        <w:rPr>
          <w:rFonts w:ascii="Century Gothic" w:hAnsi="Century Gothic"/>
          <w:sz w:val="20"/>
          <w:szCs w:val="20"/>
        </w:rPr>
      </w:pPr>
      <w:r>
        <w:rPr>
          <w:rFonts w:ascii="Century Gothic" w:hAnsi="Century Gothic"/>
          <w:sz w:val="20"/>
          <w:szCs w:val="20"/>
        </w:rPr>
        <w:t>Watt, H.</w:t>
      </w:r>
      <w:r w:rsidR="00DE5A99" w:rsidRPr="00784069">
        <w:rPr>
          <w:rFonts w:ascii="Century Gothic" w:hAnsi="Century Gothic"/>
          <w:sz w:val="20"/>
          <w:szCs w:val="20"/>
        </w:rPr>
        <w:t xml:space="preserve"> (2004) ‘Development of Adolescents’ Self-Perceptions, Values, and Task Perceptions According to Gender and Domain in 7th- through 11th-Grade Australian Students’, </w:t>
      </w:r>
      <w:r w:rsidR="00DE5A99" w:rsidRPr="00784069">
        <w:rPr>
          <w:rFonts w:ascii="Century Gothic" w:hAnsi="Century Gothic"/>
          <w:i/>
          <w:sz w:val="20"/>
          <w:szCs w:val="20"/>
        </w:rPr>
        <w:t>Child Development,</w:t>
      </w:r>
      <w:r w:rsidR="00DE5A99" w:rsidRPr="00784069">
        <w:rPr>
          <w:rFonts w:ascii="Century Gothic" w:hAnsi="Century Gothic"/>
          <w:sz w:val="20"/>
          <w:szCs w:val="20"/>
        </w:rPr>
        <w:t xml:space="preserve"> September/October, </w:t>
      </w:r>
      <w:r>
        <w:rPr>
          <w:rFonts w:ascii="Century Gothic" w:hAnsi="Century Gothic"/>
          <w:sz w:val="20"/>
          <w:szCs w:val="20"/>
        </w:rPr>
        <w:t>Volume 75, Number 5, Pages 1556–</w:t>
      </w:r>
      <w:r w:rsidR="00DE5A99" w:rsidRPr="00784069">
        <w:rPr>
          <w:rFonts w:ascii="Century Gothic" w:hAnsi="Century Gothic"/>
          <w:sz w:val="20"/>
          <w:szCs w:val="20"/>
        </w:rPr>
        <w:t>1574</w:t>
      </w:r>
    </w:p>
    <w:p w:rsidR="00DE5A99" w:rsidRPr="00784069" w:rsidRDefault="00784069" w:rsidP="00784069">
      <w:pPr>
        <w:spacing w:after="120"/>
        <w:rPr>
          <w:rFonts w:ascii="Century Gothic" w:hAnsi="Century Gothic"/>
          <w:color w:val="000000" w:themeColor="text1"/>
          <w:sz w:val="20"/>
          <w:szCs w:val="20"/>
        </w:rPr>
      </w:pPr>
      <w:r>
        <w:rPr>
          <w:rFonts w:ascii="Century Gothic" w:hAnsi="Century Gothic"/>
          <w:sz w:val="20"/>
          <w:szCs w:val="20"/>
        </w:rPr>
        <w:t xml:space="preserve">Watt, H., Shapka, J., Morris, Z., Durik, A., Keating, D., &amp; Eccles, J. </w:t>
      </w:r>
      <w:r w:rsidR="00DE5A99" w:rsidRPr="00784069">
        <w:rPr>
          <w:rFonts w:ascii="Century Gothic" w:hAnsi="Century Gothic"/>
          <w:sz w:val="20"/>
          <w:szCs w:val="20"/>
        </w:rPr>
        <w:t>(2012) Gendered motivational processes affecting high school mathematics participation, educational aspirations, and career plans: A comparison of samples from Australia, Canada, and the United States</w:t>
      </w:r>
      <w:r>
        <w:rPr>
          <w:rFonts w:ascii="Century Gothic" w:hAnsi="Century Gothic"/>
          <w:sz w:val="20"/>
          <w:szCs w:val="20"/>
        </w:rPr>
        <w:t>,</w:t>
      </w:r>
      <w:r w:rsidR="00DE5A99" w:rsidRPr="00784069">
        <w:rPr>
          <w:rFonts w:ascii="Century Gothic" w:hAnsi="Century Gothic"/>
          <w:sz w:val="20"/>
          <w:szCs w:val="20"/>
        </w:rPr>
        <w:t xml:space="preserve"> </w:t>
      </w:r>
      <w:r w:rsidR="00DE5A99" w:rsidRPr="00784069">
        <w:rPr>
          <w:rFonts w:ascii="Century Gothic" w:hAnsi="Century Gothic"/>
          <w:i/>
          <w:sz w:val="20"/>
          <w:szCs w:val="20"/>
        </w:rPr>
        <w:t>Develo</w:t>
      </w:r>
      <w:r w:rsidRPr="00784069">
        <w:rPr>
          <w:rFonts w:ascii="Century Gothic" w:hAnsi="Century Gothic"/>
          <w:i/>
          <w:sz w:val="20"/>
          <w:szCs w:val="20"/>
        </w:rPr>
        <w:t>pmental Psychology</w:t>
      </w:r>
      <w:r>
        <w:rPr>
          <w:rFonts w:ascii="Century Gothic" w:hAnsi="Century Gothic"/>
          <w:sz w:val="20"/>
          <w:szCs w:val="20"/>
        </w:rPr>
        <w:t xml:space="preserve">, Volume 48, Number 6, </w:t>
      </w:r>
      <w:r w:rsidRPr="00784069">
        <w:rPr>
          <w:rFonts w:ascii="Century Gothic" w:hAnsi="Century Gothic"/>
          <w:color w:val="000000" w:themeColor="text1"/>
          <w:sz w:val="20"/>
          <w:szCs w:val="20"/>
        </w:rPr>
        <w:t>1594</w:t>
      </w:r>
    </w:p>
    <w:p w:rsidR="00DE5A99" w:rsidRPr="00784069" w:rsidRDefault="00DE5A99" w:rsidP="00784069">
      <w:pPr>
        <w:spacing w:after="120"/>
        <w:rPr>
          <w:rFonts w:ascii="Century Gothic" w:hAnsi="Century Gothic"/>
          <w:sz w:val="20"/>
          <w:szCs w:val="20"/>
        </w:rPr>
      </w:pPr>
      <w:r w:rsidRPr="00784069">
        <w:rPr>
          <w:rFonts w:ascii="Century Gothic" w:hAnsi="Century Gothic"/>
          <w:sz w:val="20"/>
          <w:szCs w:val="20"/>
        </w:rPr>
        <w:t>Wo</w:t>
      </w:r>
      <w:r w:rsidR="00784069">
        <w:rPr>
          <w:rFonts w:ascii="Century Gothic" w:hAnsi="Century Gothic"/>
          <w:sz w:val="20"/>
          <w:szCs w:val="20"/>
        </w:rPr>
        <w:t xml:space="preserve">olcott Research Pty Ltd (2001) </w:t>
      </w:r>
      <w:r w:rsidRPr="00784069">
        <w:rPr>
          <w:rFonts w:ascii="Century Gothic" w:hAnsi="Century Gothic"/>
          <w:i/>
          <w:sz w:val="20"/>
          <w:szCs w:val="20"/>
        </w:rPr>
        <w:t>Young Australians reading:</w:t>
      </w:r>
      <w:r w:rsidR="00784069" w:rsidRPr="00784069">
        <w:rPr>
          <w:rFonts w:ascii="Century Gothic" w:hAnsi="Century Gothic"/>
          <w:i/>
          <w:sz w:val="20"/>
          <w:szCs w:val="20"/>
        </w:rPr>
        <w:t xml:space="preserve"> from keen to reluctant readers</w:t>
      </w:r>
      <w:r w:rsidRPr="00784069">
        <w:rPr>
          <w:rFonts w:ascii="Century Gothic" w:hAnsi="Century Gothic"/>
          <w:sz w:val="20"/>
          <w:szCs w:val="20"/>
        </w:rPr>
        <w:t>, prepared for the Australian Centre for Youth Literature and the Audience and Market Development Division of the Australia Council.</w:t>
      </w:r>
    </w:p>
    <w:p w:rsidR="00F660B2" w:rsidRPr="00784069" w:rsidRDefault="00DE5A99" w:rsidP="00784069">
      <w:pPr>
        <w:spacing w:after="120"/>
        <w:rPr>
          <w:rFonts w:ascii="Century Gothic" w:hAnsi="Century Gothic"/>
          <w:b/>
          <w:color w:val="0070C0"/>
          <w:sz w:val="20"/>
          <w:szCs w:val="20"/>
        </w:rPr>
      </w:pPr>
      <w:r w:rsidRPr="00784069">
        <w:rPr>
          <w:rFonts w:ascii="Century Gothic" w:hAnsi="Century Gothic" w:cs="Arial"/>
          <w:color w:val="191919"/>
          <w:sz w:val="20"/>
          <w:szCs w:val="20"/>
        </w:rPr>
        <w:t>Yeu</w:t>
      </w:r>
      <w:r w:rsidR="00784069">
        <w:rPr>
          <w:rFonts w:ascii="Century Gothic" w:hAnsi="Century Gothic" w:cs="Arial"/>
          <w:color w:val="191919"/>
          <w:sz w:val="20"/>
          <w:szCs w:val="20"/>
        </w:rPr>
        <w:t xml:space="preserve">ng, D., and Curwood, J. (2015) </w:t>
      </w:r>
      <w:r w:rsidRPr="00784069">
        <w:rPr>
          <w:rFonts w:ascii="Century Gothic" w:hAnsi="Century Gothic" w:cs="Arial"/>
          <w:color w:val="191919"/>
          <w:sz w:val="20"/>
          <w:szCs w:val="20"/>
        </w:rPr>
        <w:t>Boys' literacy development: Navigating the intersection of popular culture, new literacies, and high-stakes a</w:t>
      </w:r>
      <w:r w:rsidR="00784069">
        <w:rPr>
          <w:rFonts w:ascii="Century Gothic" w:hAnsi="Century Gothic" w:cs="Arial"/>
          <w:color w:val="191919"/>
          <w:sz w:val="20"/>
          <w:szCs w:val="20"/>
        </w:rPr>
        <w:t xml:space="preserve">ssessments’ [online], </w:t>
      </w:r>
      <w:r w:rsidRPr="00784069">
        <w:rPr>
          <w:rFonts w:ascii="Century Gothic" w:hAnsi="Century Gothic" w:cs="Arial"/>
          <w:i/>
          <w:color w:val="191919"/>
          <w:sz w:val="20"/>
          <w:szCs w:val="20"/>
          <w:bdr w:val="none" w:sz="0" w:space="0" w:color="auto" w:frame="1"/>
        </w:rPr>
        <w:t>English in Australia</w:t>
      </w:r>
      <w:r w:rsidRPr="00784069">
        <w:rPr>
          <w:rFonts w:ascii="Century Gothic" w:hAnsi="Century Gothic" w:cs="Arial"/>
          <w:i/>
          <w:color w:val="191919"/>
          <w:sz w:val="20"/>
          <w:szCs w:val="20"/>
        </w:rPr>
        <w:t>,</w:t>
      </w:r>
      <w:r w:rsidR="00784069">
        <w:rPr>
          <w:rFonts w:ascii="Century Gothic" w:hAnsi="Century Gothic" w:cs="Arial"/>
          <w:color w:val="191919"/>
          <w:sz w:val="20"/>
          <w:szCs w:val="20"/>
        </w:rPr>
        <w:t xml:space="preserve"> Volume 50, Number 2, 21-29</w:t>
      </w:r>
    </w:p>
    <w:sectPr w:rsidR="00F660B2" w:rsidRPr="00784069">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8D5" w:rsidRDefault="003378D5" w:rsidP="006F07DF">
      <w:pPr>
        <w:spacing w:after="0" w:line="240" w:lineRule="auto"/>
      </w:pPr>
      <w:r>
        <w:separator/>
      </w:r>
    </w:p>
  </w:endnote>
  <w:endnote w:type="continuationSeparator" w:id="0">
    <w:p w:rsidR="003378D5" w:rsidRDefault="003378D5" w:rsidP="006F0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LT Pro 55 Roman">
    <w:altName w:val="Frutiger LT Pro 55 Roman"/>
    <w:panose1 w:val="00000000000000000000"/>
    <w:charset w:val="00"/>
    <w:family w:val="swiss"/>
    <w:notTrueType/>
    <w:pitch w:val="default"/>
    <w:sig w:usb0="00000003" w:usb1="00000000" w:usb2="00000000" w:usb3="00000000" w:csb0="00000001"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dvPalR">
    <w:panose1 w:val="00000000000000000000"/>
    <w:charset w:val="00"/>
    <w:family w:val="roman"/>
    <w:notTrueType/>
    <w:pitch w:val="default"/>
    <w:sig w:usb0="00000003" w:usb1="00000000" w:usb2="00000000" w:usb3="00000000" w:csb0="00000001" w:csb1="00000000"/>
  </w:font>
  <w:font w:name="Garamond-BookCondensed">
    <w:panose1 w:val="00000000000000000000"/>
    <w:charset w:val="00"/>
    <w:family w:val="roman"/>
    <w:notTrueType/>
    <w:pitch w:val="default"/>
    <w:sig w:usb0="00000003" w:usb1="00000000" w:usb2="00000000" w:usb3="00000000" w:csb0="00000001" w:csb1="00000000"/>
  </w:font>
  <w:font w:name="Helvetica-Condensed-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78665"/>
      <w:docPartObj>
        <w:docPartGallery w:val="Page Numbers (Bottom of Page)"/>
        <w:docPartUnique/>
      </w:docPartObj>
    </w:sdtPr>
    <w:sdtEndPr>
      <w:rPr>
        <w:noProof/>
      </w:rPr>
    </w:sdtEndPr>
    <w:sdtContent>
      <w:p w:rsidR="00F66725" w:rsidRDefault="00F66725">
        <w:pPr>
          <w:pStyle w:val="Footer"/>
          <w:jc w:val="right"/>
        </w:pPr>
        <w:r>
          <w:fldChar w:fldCharType="begin"/>
        </w:r>
        <w:r>
          <w:instrText xml:space="preserve"> PAGE   \* MERGEFORMAT </w:instrText>
        </w:r>
        <w:r>
          <w:fldChar w:fldCharType="separate"/>
        </w:r>
        <w:r w:rsidR="003378D5">
          <w:rPr>
            <w:noProof/>
          </w:rPr>
          <w:t>1</w:t>
        </w:r>
        <w:r>
          <w:rPr>
            <w:noProof/>
          </w:rPr>
          <w:fldChar w:fldCharType="end"/>
        </w:r>
      </w:p>
    </w:sdtContent>
  </w:sdt>
  <w:p w:rsidR="00F66725" w:rsidRDefault="00F66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8D5" w:rsidRDefault="003378D5" w:rsidP="006F07DF">
      <w:pPr>
        <w:spacing w:after="0" w:line="240" w:lineRule="auto"/>
      </w:pPr>
      <w:r>
        <w:separator/>
      </w:r>
    </w:p>
  </w:footnote>
  <w:footnote w:type="continuationSeparator" w:id="0">
    <w:p w:rsidR="003378D5" w:rsidRDefault="003378D5" w:rsidP="006F07DF">
      <w:pPr>
        <w:spacing w:after="0" w:line="240" w:lineRule="auto"/>
      </w:pPr>
      <w:r>
        <w:continuationSeparator/>
      </w:r>
    </w:p>
  </w:footnote>
  <w:footnote w:id="1">
    <w:p w:rsidR="00F66725" w:rsidRDefault="00F66725" w:rsidP="00B909EC">
      <w:pPr>
        <w:rPr>
          <w:rFonts w:ascii="Century Gothic" w:eastAsia="Times New Roman" w:hAnsi="Century Gothic" w:cs="Arial"/>
          <w:i/>
          <w:iCs/>
          <w:sz w:val="18"/>
          <w:szCs w:val="18"/>
          <w:lang w:eastAsia="en-AU"/>
        </w:rPr>
      </w:pPr>
      <w:r>
        <w:rPr>
          <w:rStyle w:val="FootnoteReference"/>
        </w:rPr>
        <w:footnoteRef/>
      </w:r>
      <w:r w:rsidRPr="00B909EC">
        <w:t xml:space="preserve"> See </w:t>
      </w:r>
      <w:hyperlink r:id="rId1" w:history="1">
        <w:r w:rsidRPr="000D6D30">
          <w:rPr>
            <w:rStyle w:val="Hyperlink"/>
            <w:rFonts w:ascii="Century Gothic" w:eastAsia="Times New Roman" w:hAnsi="Century Gothic" w:cs="Arial"/>
            <w:i/>
            <w:iCs/>
            <w:sz w:val="18"/>
            <w:szCs w:val="18"/>
            <w:lang w:eastAsia="en-AU"/>
          </w:rPr>
          <w:t>www.education.vic.gov.au/Documents/.../</w:t>
        </w:r>
        <w:r w:rsidRPr="000D6D30">
          <w:rPr>
            <w:rStyle w:val="Hyperlink"/>
            <w:rFonts w:ascii="Century Gothic" w:eastAsia="Times New Roman" w:hAnsi="Century Gothic" w:cs="Arial"/>
            <w:b/>
            <w:bCs/>
            <w:i/>
            <w:iCs/>
            <w:sz w:val="18"/>
            <w:szCs w:val="18"/>
            <w:lang w:eastAsia="en-AU"/>
          </w:rPr>
          <w:t>transition</w:t>
        </w:r>
        <w:r w:rsidRPr="000D6D30">
          <w:rPr>
            <w:rStyle w:val="Hyperlink"/>
            <w:rFonts w:ascii="Century Gothic" w:eastAsia="Times New Roman" w:hAnsi="Century Gothic" w:cs="Arial"/>
            <w:i/>
            <w:iCs/>
            <w:sz w:val="18"/>
            <w:szCs w:val="18"/>
            <w:lang w:eastAsia="en-AU"/>
          </w:rPr>
          <w:t>/Toolkit_</w:t>
        </w:r>
        <w:r w:rsidRPr="000D6D30">
          <w:rPr>
            <w:rStyle w:val="Hyperlink"/>
            <w:rFonts w:ascii="Century Gothic" w:eastAsia="Times New Roman" w:hAnsi="Century Gothic" w:cs="Arial"/>
            <w:b/>
            <w:bCs/>
            <w:i/>
            <w:iCs/>
            <w:sz w:val="18"/>
            <w:szCs w:val="18"/>
            <w:lang w:eastAsia="en-AU"/>
          </w:rPr>
          <w:t>Transition</w:t>
        </w:r>
        <w:r w:rsidRPr="000D6D30">
          <w:rPr>
            <w:rStyle w:val="Hyperlink"/>
            <w:rFonts w:ascii="Century Gothic" w:eastAsia="Times New Roman" w:hAnsi="Century Gothic" w:cs="Arial"/>
            <w:i/>
            <w:iCs/>
            <w:sz w:val="18"/>
            <w:szCs w:val="18"/>
            <w:lang w:eastAsia="en-AU"/>
          </w:rPr>
          <w:t>Clusters.docx</w:t>
        </w:r>
      </w:hyperlink>
    </w:p>
    <w:p w:rsidR="00F66725" w:rsidRPr="00B909EC" w:rsidRDefault="00F66725" w:rsidP="00B909EC">
      <w:pPr>
        <w:rPr>
          <w:rFonts w:ascii="Century Gothic" w:eastAsia="Times New Roman" w:hAnsi="Century Gothic" w:cs="Arial"/>
          <w:sz w:val="18"/>
          <w:szCs w:val="18"/>
          <w:lang w:eastAsia="en-AU"/>
        </w:rPr>
      </w:pPr>
    </w:p>
    <w:p w:rsidR="00F66725" w:rsidRDefault="00F66725">
      <w:pPr>
        <w:pStyle w:val="FootnoteText"/>
      </w:pPr>
    </w:p>
  </w:footnote>
  <w:footnote w:id="2">
    <w:p w:rsidR="00F66725" w:rsidRPr="003D383D" w:rsidRDefault="00F66725" w:rsidP="003D383D">
      <w:pPr>
        <w:jc w:val="both"/>
        <w:rPr>
          <w:sz w:val="16"/>
          <w:szCs w:val="16"/>
        </w:rPr>
      </w:pPr>
      <w:r>
        <w:rPr>
          <w:rStyle w:val="FootnoteReference"/>
        </w:rPr>
        <w:footnoteRef/>
      </w:r>
      <w:r>
        <w:t xml:space="preserve"> </w:t>
      </w:r>
      <w:r w:rsidRPr="003D383D">
        <w:rPr>
          <w:sz w:val="16"/>
          <w:szCs w:val="16"/>
        </w:rPr>
        <w:t xml:space="preserve">Neuroscience is influential in the analysis of gender differences and some teaching texts refer to different male and female brain functioning as the starting point for pedagogy.   Buckley (2016) reviews the evidence and advises of the ethical implications of a simplistic interpretation of differences between male and female brain functioning and the need </w:t>
      </w:r>
      <w:r>
        <w:rPr>
          <w:sz w:val="16"/>
          <w:szCs w:val="16"/>
        </w:rPr>
        <w:t xml:space="preserve">instead </w:t>
      </w:r>
      <w:r w:rsidRPr="003D383D">
        <w:rPr>
          <w:sz w:val="16"/>
          <w:szCs w:val="16"/>
        </w:rPr>
        <w:t>to</w:t>
      </w:r>
      <w:r>
        <w:rPr>
          <w:sz w:val="16"/>
          <w:szCs w:val="16"/>
        </w:rPr>
        <w:t xml:space="preserve"> understand the multiplicity of influencing factors including </w:t>
      </w:r>
      <w:r w:rsidRPr="003D383D">
        <w:rPr>
          <w:sz w:val="16"/>
          <w:szCs w:val="16"/>
        </w:rPr>
        <w:t xml:space="preserve">evidence </w:t>
      </w:r>
      <w:r>
        <w:rPr>
          <w:sz w:val="16"/>
          <w:szCs w:val="16"/>
        </w:rPr>
        <w:t>around</w:t>
      </w:r>
      <w:r w:rsidRPr="003D383D">
        <w:rPr>
          <w:sz w:val="16"/>
          <w:szCs w:val="16"/>
        </w:rPr>
        <w:t xml:space="preserve"> brain plasticity and the potential for change through </w:t>
      </w:r>
      <w:r>
        <w:rPr>
          <w:sz w:val="16"/>
          <w:szCs w:val="16"/>
        </w:rPr>
        <w:t xml:space="preserve">training. </w:t>
      </w:r>
    </w:p>
    <w:p w:rsidR="00F66725" w:rsidRDefault="00F6672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5FD7"/>
    <w:multiLevelType w:val="hybridMultilevel"/>
    <w:tmpl w:val="05DC1A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112F7657"/>
    <w:multiLevelType w:val="hybridMultilevel"/>
    <w:tmpl w:val="97B6C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6E7825"/>
    <w:multiLevelType w:val="hybridMultilevel"/>
    <w:tmpl w:val="D37A9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7A635A1"/>
    <w:multiLevelType w:val="multilevel"/>
    <w:tmpl w:val="1FFA1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673D93"/>
    <w:multiLevelType w:val="hybridMultilevel"/>
    <w:tmpl w:val="E188E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E6752AE"/>
    <w:multiLevelType w:val="hybridMultilevel"/>
    <w:tmpl w:val="36608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6744739"/>
    <w:multiLevelType w:val="hybridMultilevel"/>
    <w:tmpl w:val="512A39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8170644"/>
    <w:multiLevelType w:val="hybridMultilevel"/>
    <w:tmpl w:val="5596CB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E6A3218"/>
    <w:multiLevelType w:val="hybridMultilevel"/>
    <w:tmpl w:val="1F543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F15571D"/>
    <w:multiLevelType w:val="hybridMultilevel"/>
    <w:tmpl w:val="767A86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50F45C1B"/>
    <w:multiLevelType w:val="hybridMultilevel"/>
    <w:tmpl w:val="055884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1AC0B17"/>
    <w:multiLevelType w:val="hybridMultilevel"/>
    <w:tmpl w:val="45123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2857C62"/>
    <w:multiLevelType w:val="hybridMultilevel"/>
    <w:tmpl w:val="5AD87218"/>
    <w:lvl w:ilvl="0" w:tplc="AB62647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A036B57"/>
    <w:multiLevelType w:val="hybridMultilevel"/>
    <w:tmpl w:val="6D0CC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AA54064"/>
    <w:multiLevelType w:val="hybridMultilevel"/>
    <w:tmpl w:val="DCF2C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F255845"/>
    <w:multiLevelType w:val="hybridMultilevel"/>
    <w:tmpl w:val="31A4B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10B3C57"/>
    <w:multiLevelType w:val="hybridMultilevel"/>
    <w:tmpl w:val="B114D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11A0032"/>
    <w:multiLevelType w:val="hybridMultilevel"/>
    <w:tmpl w:val="7E121B4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8">
    <w:nsid w:val="68C21A25"/>
    <w:multiLevelType w:val="hybridMultilevel"/>
    <w:tmpl w:val="5830A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C553B87"/>
    <w:multiLevelType w:val="hybridMultilevel"/>
    <w:tmpl w:val="D3D06B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41A5637"/>
    <w:multiLevelType w:val="hybridMultilevel"/>
    <w:tmpl w:val="2DCEB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CA931D4"/>
    <w:multiLevelType w:val="hybridMultilevel"/>
    <w:tmpl w:val="9A7637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E0A2353"/>
    <w:multiLevelType w:val="hybridMultilevel"/>
    <w:tmpl w:val="D2E08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6"/>
  </w:num>
  <w:num w:numId="4">
    <w:abstractNumId w:val="7"/>
  </w:num>
  <w:num w:numId="5">
    <w:abstractNumId w:val="22"/>
  </w:num>
  <w:num w:numId="6">
    <w:abstractNumId w:val="10"/>
  </w:num>
  <w:num w:numId="7">
    <w:abstractNumId w:val="15"/>
  </w:num>
  <w:num w:numId="8">
    <w:abstractNumId w:val="17"/>
  </w:num>
  <w:num w:numId="9">
    <w:abstractNumId w:val="4"/>
  </w:num>
  <w:num w:numId="10">
    <w:abstractNumId w:val="12"/>
  </w:num>
  <w:num w:numId="11">
    <w:abstractNumId w:val="5"/>
  </w:num>
  <w:num w:numId="12">
    <w:abstractNumId w:val="6"/>
  </w:num>
  <w:num w:numId="13">
    <w:abstractNumId w:val="14"/>
  </w:num>
  <w:num w:numId="14">
    <w:abstractNumId w:val="18"/>
  </w:num>
  <w:num w:numId="15">
    <w:abstractNumId w:val="8"/>
  </w:num>
  <w:num w:numId="16">
    <w:abstractNumId w:val="11"/>
  </w:num>
  <w:num w:numId="17">
    <w:abstractNumId w:val="0"/>
  </w:num>
  <w:num w:numId="18">
    <w:abstractNumId w:val="21"/>
  </w:num>
  <w:num w:numId="19">
    <w:abstractNumId w:val="13"/>
  </w:num>
  <w:num w:numId="20">
    <w:abstractNumId w:val="3"/>
  </w:num>
  <w:num w:numId="21">
    <w:abstractNumId w:val="1"/>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7DF"/>
    <w:rsid w:val="00005314"/>
    <w:rsid w:val="00007A1C"/>
    <w:rsid w:val="000132B9"/>
    <w:rsid w:val="00031279"/>
    <w:rsid w:val="0003551E"/>
    <w:rsid w:val="00036989"/>
    <w:rsid w:val="00042588"/>
    <w:rsid w:val="00043930"/>
    <w:rsid w:val="000543CD"/>
    <w:rsid w:val="000550AB"/>
    <w:rsid w:val="00057606"/>
    <w:rsid w:val="0006211C"/>
    <w:rsid w:val="00063EE9"/>
    <w:rsid w:val="00077C02"/>
    <w:rsid w:val="00080EE6"/>
    <w:rsid w:val="0008102F"/>
    <w:rsid w:val="000948B8"/>
    <w:rsid w:val="000B02A0"/>
    <w:rsid w:val="000E24D2"/>
    <w:rsid w:val="000E53C2"/>
    <w:rsid w:val="000E5B96"/>
    <w:rsid w:val="000E71C1"/>
    <w:rsid w:val="000F2450"/>
    <w:rsid w:val="00100C96"/>
    <w:rsid w:val="00110554"/>
    <w:rsid w:val="00124BBE"/>
    <w:rsid w:val="00130C1A"/>
    <w:rsid w:val="00146E2F"/>
    <w:rsid w:val="00152E3A"/>
    <w:rsid w:val="0016175E"/>
    <w:rsid w:val="00171A52"/>
    <w:rsid w:val="00174602"/>
    <w:rsid w:val="001874B9"/>
    <w:rsid w:val="001A0065"/>
    <w:rsid w:val="001C617D"/>
    <w:rsid w:val="001D0675"/>
    <w:rsid w:val="001F3149"/>
    <w:rsid w:val="001F7E8F"/>
    <w:rsid w:val="00211CEF"/>
    <w:rsid w:val="00220037"/>
    <w:rsid w:val="00226ABC"/>
    <w:rsid w:val="0022740B"/>
    <w:rsid w:val="002309B9"/>
    <w:rsid w:val="00262593"/>
    <w:rsid w:val="00265603"/>
    <w:rsid w:val="00281380"/>
    <w:rsid w:val="00283EED"/>
    <w:rsid w:val="00287DE1"/>
    <w:rsid w:val="002D58A6"/>
    <w:rsid w:val="002E40D9"/>
    <w:rsid w:val="002E6898"/>
    <w:rsid w:val="00300F53"/>
    <w:rsid w:val="00325CD8"/>
    <w:rsid w:val="0033532D"/>
    <w:rsid w:val="003378D5"/>
    <w:rsid w:val="003516F3"/>
    <w:rsid w:val="00357A29"/>
    <w:rsid w:val="00360A69"/>
    <w:rsid w:val="00361BC5"/>
    <w:rsid w:val="00363766"/>
    <w:rsid w:val="00364AFD"/>
    <w:rsid w:val="00380CA5"/>
    <w:rsid w:val="003827E8"/>
    <w:rsid w:val="00386890"/>
    <w:rsid w:val="00392ED5"/>
    <w:rsid w:val="003C7256"/>
    <w:rsid w:val="003D1785"/>
    <w:rsid w:val="003D383D"/>
    <w:rsid w:val="00427C1C"/>
    <w:rsid w:val="0043078B"/>
    <w:rsid w:val="00430B70"/>
    <w:rsid w:val="00431703"/>
    <w:rsid w:val="00437810"/>
    <w:rsid w:val="00454319"/>
    <w:rsid w:val="00455DA9"/>
    <w:rsid w:val="0048581D"/>
    <w:rsid w:val="0049243A"/>
    <w:rsid w:val="004953A0"/>
    <w:rsid w:val="004D1C07"/>
    <w:rsid w:val="004E2DC5"/>
    <w:rsid w:val="004E44F8"/>
    <w:rsid w:val="00504F91"/>
    <w:rsid w:val="00505BC5"/>
    <w:rsid w:val="0051372E"/>
    <w:rsid w:val="005210D0"/>
    <w:rsid w:val="005354EF"/>
    <w:rsid w:val="00543D97"/>
    <w:rsid w:val="00550B99"/>
    <w:rsid w:val="00555DF6"/>
    <w:rsid w:val="0056044B"/>
    <w:rsid w:val="0056569E"/>
    <w:rsid w:val="00570976"/>
    <w:rsid w:val="005801FE"/>
    <w:rsid w:val="00586D25"/>
    <w:rsid w:val="00586E00"/>
    <w:rsid w:val="00591B7E"/>
    <w:rsid w:val="00594C6A"/>
    <w:rsid w:val="005963F3"/>
    <w:rsid w:val="005A18E7"/>
    <w:rsid w:val="005A4F26"/>
    <w:rsid w:val="005A6EAE"/>
    <w:rsid w:val="005B6F2C"/>
    <w:rsid w:val="005D1769"/>
    <w:rsid w:val="005E1D36"/>
    <w:rsid w:val="005F70E1"/>
    <w:rsid w:val="006025CD"/>
    <w:rsid w:val="00604A77"/>
    <w:rsid w:val="0060768D"/>
    <w:rsid w:val="00613214"/>
    <w:rsid w:val="00622514"/>
    <w:rsid w:val="00640F91"/>
    <w:rsid w:val="0065298E"/>
    <w:rsid w:val="0067585A"/>
    <w:rsid w:val="00696C62"/>
    <w:rsid w:val="00697413"/>
    <w:rsid w:val="006B414E"/>
    <w:rsid w:val="006B5075"/>
    <w:rsid w:val="006C6726"/>
    <w:rsid w:val="006E53C8"/>
    <w:rsid w:val="006F07DF"/>
    <w:rsid w:val="006F55B3"/>
    <w:rsid w:val="0070254F"/>
    <w:rsid w:val="00716131"/>
    <w:rsid w:val="0072373F"/>
    <w:rsid w:val="00725FE9"/>
    <w:rsid w:val="007434E1"/>
    <w:rsid w:val="00770DC7"/>
    <w:rsid w:val="00773BEE"/>
    <w:rsid w:val="00776E86"/>
    <w:rsid w:val="00784069"/>
    <w:rsid w:val="00795425"/>
    <w:rsid w:val="007C05F0"/>
    <w:rsid w:val="007D21DB"/>
    <w:rsid w:val="007E2A5B"/>
    <w:rsid w:val="008009A2"/>
    <w:rsid w:val="00804E94"/>
    <w:rsid w:val="00807351"/>
    <w:rsid w:val="00827C20"/>
    <w:rsid w:val="00842847"/>
    <w:rsid w:val="0084632A"/>
    <w:rsid w:val="0085601F"/>
    <w:rsid w:val="00861B32"/>
    <w:rsid w:val="00863D55"/>
    <w:rsid w:val="00881C98"/>
    <w:rsid w:val="00893E01"/>
    <w:rsid w:val="008A5603"/>
    <w:rsid w:val="008A6704"/>
    <w:rsid w:val="008A7117"/>
    <w:rsid w:val="008C388B"/>
    <w:rsid w:val="008D0CFA"/>
    <w:rsid w:val="008F283E"/>
    <w:rsid w:val="00900129"/>
    <w:rsid w:val="00907CE3"/>
    <w:rsid w:val="0091233C"/>
    <w:rsid w:val="00925225"/>
    <w:rsid w:val="009441C9"/>
    <w:rsid w:val="0095430A"/>
    <w:rsid w:val="00955F9D"/>
    <w:rsid w:val="00977C51"/>
    <w:rsid w:val="009935A0"/>
    <w:rsid w:val="00993FA4"/>
    <w:rsid w:val="0099482E"/>
    <w:rsid w:val="009A0D63"/>
    <w:rsid w:val="009B515B"/>
    <w:rsid w:val="009C4245"/>
    <w:rsid w:val="009C79B2"/>
    <w:rsid w:val="009D4331"/>
    <w:rsid w:val="009D51E3"/>
    <w:rsid w:val="009E35C8"/>
    <w:rsid w:val="009E66D6"/>
    <w:rsid w:val="00A01E3C"/>
    <w:rsid w:val="00A12AB6"/>
    <w:rsid w:val="00A265B6"/>
    <w:rsid w:val="00A26FB9"/>
    <w:rsid w:val="00A50E7A"/>
    <w:rsid w:val="00A608D1"/>
    <w:rsid w:val="00A7051B"/>
    <w:rsid w:val="00AB284F"/>
    <w:rsid w:val="00AB6F50"/>
    <w:rsid w:val="00AE50A1"/>
    <w:rsid w:val="00AE51D3"/>
    <w:rsid w:val="00AE6377"/>
    <w:rsid w:val="00AF4B98"/>
    <w:rsid w:val="00AF6D70"/>
    <w:rsid w:val="00B1000E"/>
    <w:rsid w:val="00B21E36"/>
    <w:rsid w:val="00B33A54"/>
    <w:rsid w:val="00B37FD5"/>
    <w:rsid w:val="00B55EF3"/>
    <w:rsid w:val="00B56B2D"/>
    <w:rsid w:val="00B65CCF"/>
    <w:rsid w:val="00B70F23"/>
    <w:rsid w:val="00B74E2B"/>
    <w:rsid w:val="00B909EC"/>
    <w:rsid w:val="00B92340"/>
    <w:rsid w:val="00BA2B3E"/>
    <w:rsid w:val="00BA4D61"/>
    <w:rsid w:val="00BB3CB7"/>
    <w:rsid w:val="00BB5230"/>
    <w:rsid w:val="00BB65BD"/>
    <w:rsid w:val="00BB7310"/>
    <w:rsid w:val="00BC0FF7"/>
    <w:rsid w:val="00BD2CE0"/>
    <w:rsid w:val="00BD3ED8"/>
    <w:rsid w:val="00BD7F2D"/>
    <w:rsid w:val="00BE38EE"/>
    <w:rsid w:val="00BE7BF4"/>
    <w:rsid w:val="00BF0A1F"/>
    <w:rsid w:val="00C12FAB"/>
    <w:rsid w:val="00C20605"/>
    <w:rsid w:val="00C227B0"/>
    <w:rsid w:val="00C424E3"/>
    <w:rsid w:val="00C43955"/>
    <w:rsid w:val="00C457FF"/>
    <w:rsid w:val="00C50E43"/>
    <w:rsid w:val="00C523C8"/>
    <w:rsid w:val="00C54CA7"/>
    <w:rsid w:val="00C55366"/>
    <w:rsid w:val="00C633FD"/>
    <w:rsid w:val="00C64231"/>
    <w:rsid w:val="00C83C19"/>
    <w:rsid w:val="00C92C69"/>
    <w:rsid w:val="00CB40EF"/>
    <w:rsid w:val="00CB5627"/>
    <w:rsid w:val="00CB656F"/>
    <w:rsid w:val="00CC08D1"/>
    <w:rsid w:val="00CD011B"/>
    <w:rsid w:val="00CE61EB"/>
    <w:rsid w:val="00D24ACD"/>
    <w:rsid w:val="00D303D8"/>
    <w:rsid w:val="00D41388"/>
    <w:rsid w:val="00D45FA2"/>
    <w:rsid w:val="00D479C3"/>
    <w:rsid w:val="00D53C2A"/>
    <w:rsid w:val="00D54B9A"/>
    <w:rsid w:val="00D72770"/>
    <w:rsid w:val="00D73B2C"/>
    <w:rsid w:val="00D810C1"/>
    <w:rsid w:val="00D81249"/>
    <w:rsid w:val="00D92DEC"/>
    <w:rsid w:val="00D93DFC"/>
    <w:rsid w:val="00D9708D"/>
    <w:rsid w:val="00D973BF"/>
    <w:rsid w:val="00DB0324"/>
    <w:rsid w:val="00DC0B86"/>
    <w:rsid w:val="00DC5CF8"/>
    <w:rsid w:val="00DE5A99"/>
    <w:rsid w:val="00DF73BD"/>
    <w:rsid w:val="00E06BA0"/>
    <w:rsid w:val="00E26C4D"/>
    <w:rsid w:val="00E45BE4"/>
    <w:rsid w:val="00E504E9"/>
    <w:rsid w:val="00E6197E"/>
    <w:rsid w:val="00E64C61"/>
    <w:rsid w:val="00E82682"/>
    <w:rsid w:val="00E917DF"/>
    <w:rsid w:val="00EC5E8E"/>
    <w:rsid w:val="00EC5F12"/>
    <w:rsid w:val="00EF2D6D"/>
    <w:rsid w:val="00EF4D65"/>
    <w:rsid w:val="00EF7459"/>
    <w:rsid w:val="00F02D1B"/>
    <w:rsid w:val="00F108BE"/>
    <w:rsid w:val="00F10B7B"/>
    <w:rsid w:val="00F11DF2"/>
    <w:rsid w:val="00F20F0C"/>
    <w:rsid w:val="00F271BE"/>
    <w:rsid w:val="00F319A8"/>
    <w:rsid w:val="00F32B65"/>
    <w:rsid w:val="00F37A92"/>
    <w:rsid w:val="00F5019A"/>
    <w:rsid w:val="00F54463"/>
    <w:rsid w:val="00F660B2"/>
    <w:rsid w:val="00F66725"/>
    <w:rsid w:val="00F83C29"/>
    <w:rsid w:val="00F906A2"/>
    <w:rsid w:val="00F939B4"/>
    <w:rsid w:val="00F94942"/>
    <w:rsid w:val="00F958DD"/>
    <w:rsid w:val="00FB18AB"/>
    <w:rsid w:val="00FB35B1"/>
    <w:rsid w:val="00FC103F"/>
    <w:rsid w:val="00FC1262"/>
    <w:rsid w:val="00FD52D0"/>
    <w:rsid w:val="00FF3D3A"/>
    <w:rsid w:val="00FF4128"/>
    <w:rsid w:val="00FF78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7DF"/>
  </w:style>
  <w:style w:type="paragraph" w:styleId="Heading1">
    <w:name w:val="heading 1"/>
    <w:basedOn w:val="Normal"/>
    <w:next w:val="Normal"/>
    <w:link w:val="Heading1Char"/>
    <w:uiPriority w:val="9"/>
    <w:qFormat/>
    <w:rsid w:val="000543CD"/>
    <w:pPr>
      <w:keepNext/>
      <w:keepLines/>
      <w:spacing w:before="480" w:after="0" w:line="240" w:lineRule="auto"/>
      <w:outlineLvl w:val="0"/>
    </w:pPr>
    <w:rPr>
      <w:rFonts w:ascii="Century Gothic" w:eastAsiaTheme="majorEastAsia" w:hAnsi="Century Gothic"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43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543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A71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3CD"/>
    <w:rPr>
      <w:rFonts w:ascii="Century Gothic" w:eastAsiaTheme="majorEastAsia" w:hAnsi="Century Gothic"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543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543C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543CD"/>
    <w:pPr>
      <w:ind w:left="720"/>
      <w:contextualSpacing/>
    </w:pPr>
  </w:style>
  <w:style w:type="character" w:styleId="IntenseEmphasis">
    <w:name w:val="Intense Emphasis"/>
    <w:basedOn w:val="DefaultParagraphFont"/>
    <w:uiPriority w:val="21"/>
    <w:qFormat/>
    <w:rsid w:val="000543CD"/>
    <w:rPr>
      <w:b/>
      <w:bCs/>
      <w:i/>
      <w:iCs/>
      <w:color w:val="4F81BD" w:themeColor="accent1"/>
    </w:rPr>
  </w:style>
  <w:style w:type="paragraph" w:styleId="TOCHeading">
    <w:name w:val="TOC Heading"/>
    <w:basedOn w:val="Heading1"/>
    <w:next w:val="Normal"/>
    <w:uiPriority w:val="39"/>
    <w:semiHidden/>
    <w:unhideWhenUsed/>
    <w:qFormat/>
    <w:rsid w:val="000543CD"/>
    <w:pPr>
      <w:spacing w:line="276" w:lineRule="auto"/>
      <w:outlineLvl w:val="9"/>
    </w:pPr>
    <w:rPr>
      <w:rFonts w:asciiTheme="majorHAnsi" w:hAnsiTheme="majorHAnsi"/>
      <w:lang w:val="en-US" w:eastAsia="ja-JP"/>
    </w:rPr>
  </w:style>
  <w:style w:type="paragraph" w:styleId="BalloonText">
    <w:name w:val="Balloon Text"/>
    <w:basedOn w:val="Normal"/>
    <w:link w:val="BalloonTextChar"/>
    <w:uiPriority w:val="99"/>
    <w:semiHidden/>
    <w:unhideWhenUsed/>
    <w:rsid w:val="006F0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7DF"/>
    <w:rPr>
      <w:rFonts w:ascii="Tahoma" w:hAnsi="Tahoma" w:cs="Tahoma"/>
      <w:sz w:val="16"/>
      <w:szCs w:val="16"/>
    </w:rPr>
  </w:style>
  <w:style w:type="paragraph" w:styleId="Header">
    <w:name w:val="header"/>
    <w:basedOn w:val="Normal"/>
    <w:link w:val="HeaderChar"/>
    <w:uiPriority w:val="99"/>
    <w:unhideWhenUsed/>
    <w:rsid w:val="006F07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7DF"/>
  </w:style>
  <w:style w:type="paragraph" w:styleId="Footer">
    <w:name w:val="footer"/>
    <w:basedOn w:val="Normal"/>
    <w:link w:val="FooterChar"/>
    <w:uiPriority w:val="99"/>
    <w:unhideWhenUsed/>
    <w:rsid w:val="006F0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7DF"/>
  </w:style>
  <w:style w:type="character" w:styleId="Hyperlink">
    <w:name w:val="Hyperlink"/>
    <w:basedOn w:val="DefaultParagraphFont"/>
    <w:uiPriority w:val="99"/>
    <w:unhideWhenUsed/>
    <w:rsid w:val="0022740B"/>
    <w:rPr>
      <w:color w:val="0000FF"/>
      <w:u w:val="single"/>
    </w:rPr>
  </w:style>
  <w:style w:type="character" w:styleId="HTMLCite">
    <w:name w:val="HTML Cite"/>
    <w:basedOn w:val="DefaultParagraphFont"/>
    <w:uiPriority w:val="99"/>
    <w:semiHidden/>
    <w:unhideWhenUsed/>
    <w:rsid w:val="00DE5A99"/>
    <w:rPr>
      <w:i/>
      <w:iCs/>
    </w:rPr>
  </w:style>
  <w:style w:type="character" w:customStyle="1" w:styleId="apple-converted-space">
    <w:name w:val="apple-converted-space"/>
    <w:basedOn w:val="DefaultParagraphFont"/>
    <w:rsid w:val="00DE5A99"/>
  </w:style>
  <w:style w:type="character" w:styleId="Strong">
    <w:name w:val="Strong"/>
    <w:basedOn w:val="DefaultParagraphFont"/>
    <w:uiPriority w:val="22"/>
    <w:qFormat/>
    <w:rsid w:val="00DE5A99"/>
    <w:rPr>
      <w:b/>
      <w:bCs/>
    </w:rPr>
  </w:style>
  <w:style w:type="character" w:styleId="FollowedHyperlink">
    <w:name w:val="FollowedHyperlink"/>
    <w:basedOn w:val="DefaultParagraphFont"/>
    <w:uiPriority w:val="99"/>
    <w:semiHidden/>
    <w:unhideWhenUsed/>
    <w:rsid w:val="00DE5A99"/>
    <w:rPr>
      <w:color w:val="800080" w:themeColor="followedHyperlink"/>
      <w:u w:val="single"/>
    </w:rPr>
  </w:style>
  <w:style w:type="paragraph" w:styleId="BodyText">
    <w:name w:val="Body Text"/>
    <w:basedOn w:val="Normal"/>
    <w:link w:val="BodyTextChar"/>
    <w:rsid w:val="00C457FF"/>
    <w:pPr>
      <w:spacing w:after="0" w:line="240" w:lineRule="auto"/>
      <w:jc w:val="center"/>
    </w:pPr>
    <w:rPr>
      <w:rFonts w:ascii="Times New Roman" w:eastAsia="Times New Roman" w:hAnsi="Times New Roman" w:cs="Times New Roman"/>
      <w:b/>
      <w:bCs/>
      <w:sz w:val="40"/>
      <w:szCs w:val="20"/>
    </w:rPr>
  </w:style>
  <w:style w:type="character" w:customStyle="1" w:styleId="BodyTextChar">
    <w:name w:val="Body Text Char"/>
    <w:basedOn w:val="DefaultParagraphFont"/>
    <w:link w:val="BodyText"/>
    <w:rsid w:val="00C457FF"/>
    <w:rPr>
      <w:rFonts w:ascii="Times New Roman" w:eastAsia="Times New Roman" w:hAnsi="Times New Roman" w:cs="Times New Roman"/>
      <w:b/>
      <w:bCs/>
      <w:sz w:val="40"/>
      <w:szCs w:val="20"/>
    </w:rPr>
  </w:style>
  <w:style w:type="paragraph" w:styleId="NoSpacing">
    <w:name w:val="No Spacing"/>
    <w:link w:val="NoSpacingChar"/>
    <w:uiPriority w:val="1"/>
    <w:qFormat/>
    <w:rsid w:val="00C457F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457FF"/>
    <w:rPr>
      <w:rFonts w:eastAsiaTheme="minorEastAsia"/>
      <w:lang w:val="en-US" w:eastAsia="ja-JP"/>
    </w:rPr>
  </w:style>
  <w:style w:type="paragraph" w:styleId="FootnoteText">
    <w:name w:val="footnote text"/>
    <w:basedOn w:val="Normal"/>
    <w:link w:val="FootnoteTextChar"/>
    <w:uiPriority w:val="99"/>
    <w:semiHidden/>
    <w:unhideWhenUsed/>
    <w:rsid w:val="00591B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1B7E"/>
    <w:rPr>
      <w:sz w:val="20"/>
      <w:szCs w:val="20"/>
    </w:rPr>
  </w:style>
  <w:style w:type="character" w:styleId="FootnoteReference">
    <w:name w:val="footnote reference"/>
    <w:basedOn w:val="DefaultParagraphFont"/>
    <w:uiPriority w:val="99"/>
    <w:semiHidden/>
    <w:unhideWhenUsed/>
    <w:rsid w:val="00591B7E"/>
    <w:rPr>
      <w:vertAlign w:val="superscript"/>
    </w:rPr>
  </w:style>
  <w:style w:type="character" w:customStyle="1" w:styleId="Heading4Char">
    <w:name w:val="Heading 4 Char"/>
    <w:basedOn w:val="DefaultParagraphFont"/>
    <w:link w:val="Heading4"/>
    <w:uiPriority w:val="9"/>
    <w:rsid w:val="008A7117"/>
    <w:rPr>
      <w:rFonts w:asciiTheme="majorHAnsi" w:eastAsiaTheme="majorEastAsia" w:hAnsiTheme="majorHAnsi" w:cstheme="majorBidi"/>
      <w:b/>
      <w:bCs/>
      <w:i/>
      <w:iCs/>
      <w:color w:val="4F81BD" w:themeColor="accent1"/>
    </w:rPr>
  </w:style>
  <w:style w:type="paragraph" w:customStyle="1" w:styleId="Pa11">
    <w:name w:val="Pa11"/>
    <w:basedOn w:val="Normal"/>
    <w:next w:val="Normal"/>
    <w:uiPriority w:val="99"/>
    <w:rsid w:val="00863D55"/>
    <w:pPr>
      <w:autoSpaceDE w:val="0"/>
      <w:autoSpaceDN w:val="0"/>
      <w:adjustRightInd w:val="0"/>
      <w:spacing w:after="0" w:line="201" w:lineRule="atLeast"/>
    </w:pPr>
    <w:rPr>
      <w:rFonts w:ascii="Frutiger LT Pro 55 Roman" w:hAnsi="Frutiger LT Pro 55 Roman"/>
      <w:sz w:val="24"/>
      <w:szCs w:val="24"/>
    </w:rPr>
  </w:style>
  <w:style w:type="character" w:customStyle="1" w:styleId="A8">
    <w:name w:val="A8"/>
    <w:uiPriority w:val="99"/>
    <w:rsid w:val="00863D55"/>
    <w:rPr>
      <w:rFonts w:ascii="Frutiger LT Pro 45 Light" w:hAnsi="Frutiger LT Pro 45 Light" w:cs="Frutiger LT Pro 45 Light"/>
      <w:color w:val="000000"/>
      <w:sz w:val="11"/>
      <w:szCs w:val="11"/>
    </w:rPr>
  </w:style>
  <w:style w:type="character" w:styleId="Emphasis">
    <w:name w:val="Emphasis"/>
    <w:basedOn w:val="DefaultParagraphFont"/>
    <w:uiPriority w:val="20"/>
    <w:qFormat/>
    <w:rsid w:val="00F108BE"/>
    <w:rPr>
      <w:i/>
      <w:iCs/>
    </w:rPr>
  </w:style>
  <w:style w:type="paragraph" w:styleId="NormalWeb">
    <w:name w:val="Normal (Web)"/>
    <w:basedOn w:val="Normal"/>
    <w:uiPriority w:val="99"/>
    <w:semiHidden/>
    <w:unhideWhenUsed/>
    <w:rsid w:val="00F108BE"/>
    <w:pPr>
      <w:spacing w:before="100" w:beforeAutospacing="1" w:after="240" w:line="240" w:lineRule="auto"/>
    </w:pPr>
    <w:rPr>
      <w:rFonts w:ascii="Times New Roman" w:eastAsia="Times New Roman" w:hAnsi="Times New Roman" w:cs="Times New Roman"/>
      <w:sz w:val="24"/>
      <w:szCs w:val="24"/>
      <w:lang w:eastAsia="en-AU"/>
    </w:rPr>
  </w:style>
  <w:style w:type="paragraph" w:styleId="TOC1">
    <w:name w:val="toc 1"/>
    <w:basedOn w:val="Normal"/>
    <w:next w:val="Normal"/>
    <w:autoRedefine/>
    <w:uiPriority w:val="39"/>
    <w:unhideWhenUsed/>
    <w:rsid w:val="000948B8"/>
    <w:pPr>
      <w:spacing w:after="100"/>
    </w:pPr>
  </w:style>
  <w:style w:type="paragraph" w:styleId="TOC2">
    <w:name w:val="toc 2"/>
    <w:basedOn w:val="Normal"/>
    <w:next w:val="Normal"/>
    <w:autoRedefine/>
    <w:uiPriority w:val="39"/>
    <w:unhideWhenUsed/>
    <w:rsid w:val="000948B8"/>
    <w:pPr>
      <w:spacing w:after="100"/>
      <w:ind w:left="220"/>
    </w:pPr>
  </w:style>
  <w:style w:type="paragraph" w:styleId="TOC3">
    <w:name w:val="toc 3"/>
    <w:basedOn w:val="Normal"/>
    <w:next w:val="Normal"/>
    <w:autoRedefine/>
    <w:uiPriority w:val="39"/>
    <w:unhideWhenUsed/>
    <w:rsid w:val="000948B8"/>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7DF"/>
  </w:style>
  <w:style w:type="paragraph" w:styleId="Heading1">
    <w:name w:val="heading 1"/>
    <w:basedOn w:val="Normal"/>
    <w:next w:val="Normal"/>
    <w:link w:val="Heading1Char"/>
    <w:uiPriority w:val="9"/>
    <w:qFormat/>
    <w:rsid w:val="000543CD"/>
    <w:pPr>
      <w:keepNext/>
      <w:keepLines/>
      <w:spacing w:before="480" w:after="0" w:line="240" w:lineRule="auto"/>
      <w:outlineLvl w:val="0"/>
    </w:pPr>
    <w:rPr>
      <w:rFonts w:ascii="Century Gothic" w:eastAsiaTheme="majorEastAsia" w:hAnsi="Century Gothic"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43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543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A71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3CD"/>
    <w:rPr>
      <w:rFonts w:ascii="Century Gothic" w:eastAsiaTheme="majorEastAsia" w:hAnsi="Century Gothic"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543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543C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543CD"/>
    <w:pPr>
      <w:ind w:left="720"/>
      <w:contextualSpacing/>
    </w:pPr>
  </w:style>
  <w:style w:type="character" w:styleId="IntenseEmphasis">
    <w:name w:val="Intense Emphasis"/>
    <w:basedOn w:val="DefaultParagraphFont"/>
    <w:uiPriority w:val="21"/>
    <w:qFormat/>
    <w:rsid w:val="000543CD"/>
    <w:rPr>
      <w:b/>
      <w:bCs/>
      <w:i/>
      <w:iCs/>
      <w:color w:val="4F81BD" w:themeColor="accent1"/>
    </w:rPr>
  </w:style>
  <w:style w:type="paragraph" w:styleId="TOCHeading">
    <w:name w:val="TOC Heading"/>
    <w:basedOn w:val="Heading1"/>
    <w:next w:val="Normal"/>
    <w:uiPriority w:val="39"/>
    <w:semiHidden/>
    <w:unhideWhenUsed/>
    <w:qFormat/>
    <w:rsid w:val="000543CD"/>
    <w:pPr>
      <w:spacing w:line="276" w:lineRule="auto"/>
      <w:outlineLvl w:val="9"/>
    </w:pPr>
    <w:rPr>
      <w:rFonts w:asciiTheme="majorHAnsi" w:hAnsiTheme="majorHAnsi"/>
      <w:lang w:val="en-US" w:eastAsia="ja-JP"/>
    </w:rPr>
  </w:style>
  <w:style w:type="paragraph" w:styleId="BalloonText">
    <w:name w:val="Balloon Text"/>
    <w:basedOn w:val="Normal"/>
    <w:link w:val="BalloonTextChar"/>
    <w:uiPriority w:val="99"/>
    <w:semiHidden/>
    <w:unhideWhenUsed/>
    <w:rsid w:val="006F0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7DF"/>
    <w:rPr>
      <w:rFonts w:ascii="Tahoma" w:hAnsi="Tahoma" w:cs="Tahoma"/>
      <w:sz w:val="16"/>
      <w:szCs w:val="16"/>
    </w:rPr>
  </w:style>
  <w:style w:type="paragraph" w:styleId="Header">
    <w:name w:val="header"/>
    <w:basedOn w:val="Normal"/>
    <w:link w:val="HeaderChar"/>
    <w:uiPriority w:val="99"/>
    <w:unhideWhenUsed/>
    <w:rsid w:val="006F07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7DF"/>
  </w:style>
  <w:style w:type="paragraph" w:styleId="Footer">
    <w:name w:val="footer"/>
    <w:basedOn w:val="Normal"/>
    <w:link w:val="FooterChar"/>
    <w:uiPriority w:val="99"/>
    <w:unhideWhenUsed/>
    <w:rsid w:val="006F0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7DF"/>
  </w:style>
  <w:style w:type="character" w:styleId="Hyperlink">
    <w:name w:val="Hyperlink"/>
    <w:basedOn w:val="DefaultParagraphFont"/>
    <w:uiPriority w:val="99"/>
    <w:unhideWhenUsed/>
    <w:rsid w:val="0022740B"/>
    <w:rPr>
      <w:color w:val="0000FF"/>
      <w:u w:val="single"/>
    </w:rPr>
  </w:style>
  <w:style w:type="character" w:styleId="HTMLCite">
    <w:name w:val="HTML Cite"/>
    <w:basedOn w:val="DefaultParagraphFont"/>
    <w:uiPriority w:val="99"/>
    <w:semiHidden/>
    <w:unhideWhenUsed/>
    <w:rsid w:val="00DE5A99"/>
    <w:rPr>
      <w:i/>
      <w:iCs/>
    </w:rPr>
  </w:style>
  <w:style w:type="character" w:customStyle="1" w:styleId="apple-converted-space">
    <w:name w:val="apple-converted-space"/>
    <w:basedOn w:val="DefaultParagraphFont"/>
    <w:rsid w:val="00DE5A99"/>
  </w:style>
  <w:style w:type="character" w:styleId="Strong">
    <w:name w:val="Strong"/>
    <w:basedOn w:val="DefaultParagraphFont"/>
    <w:uiPriority w:val="22"/>
    <w:qFormat/>
    <w:rsid w:val="00DE5A99"/>
    <w:rPr>
      <w:b/>
      <w:bCs/>
    </w:rPr>
  </w:style>
  <w:style w:type="character" w:styleId="FollowedHyperlink">
    <w:name w:val="FollowedHyperlink"/>
    <w:basedOn w:val="DefaultParagraphFont"/>
    <w:uiPriority w:val="99"/>
    <w:semiHidden/>
    <w:unhideWhenUsed/>
    <w:rsid w:val="00DE5A99"/>
    <w:rPr>
      <w:color w:val="800080" w:themeColor="followedHyperlink"/>
      <w:u w:val="single"/>
    </w:rPr>
  </w:style>
  <w:style w:type="paragraph" w:styleId="BodyText">
    <w:name w:val="Body Text"/>
    <w:basedOn w:val="Normal"/>
    <w:link w:val="BodyTextChar"/>
    <w:rsid w:val="00C457FF"/>
    <w:pPr>
      <w:spacing w:after="0" w:line="240" w:lineRule="auto"/>
      <w:jc w:val="center"/>
    </w:pPr>
    <w:rPr>
      <w:rFonts w:ascii="Times New Roman" w:eastAsia="Times New Roman" w:hAnsi="Times New Roman" w:cs="Times New Roman"/>
      <w:b/>
      <w:bCs/>
      <w:sz w:val="40"/>
      <w:szCs w:val="20"/>
    </w:rPr>
  </w:style>
  <w:style w:type="character" w:customStyle="1" w:styleId="BodyTextChar">
    <w:name w:val="Body Text Char"/>
    <w:basedOn w:val="DefaultParagraphFont"/>
    <w:link w:val="BodyText"/>
    <w:rsid w:val="00C457FF"/>
    <w:rPr>
      <w:rFonts w:ascii="Times New Roman" w:eastAsia="Times New Roman" w:hAnsi="Times New Roman" w:cs="Times New Roman"/>
      <w:b/>
      <w:bCs/>
      <w:sz w:val="40"/>
      <w:szCs w:val="20"/>
    </w:rPr>
  </w:style>
  <w:style w:type="paragraph" w:styleId="NoSpacing">
    <w:name w:val="No Spacing"/>
    <w:link w:val="NoSpacingChar"/>
    <w:uiPriority w:val="1"/>
    <w:qFormat/>
    <w:rsid w:val="00C457F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457FF"/>
    <w:rPr>
      <w:rFonts w:eastAsiaTheme="minorEastAsia"/>
      <w:lang w:val="en-US" w:eastAsia="ja-JP"/>
    </w:rPr>
  </w:style>
  <w:style w:type="paragraph" w:styleId="FootnoteText">
    <w:name w:val="footnote text"/>
    <w:basedOn w:val="Normal"/>
    <w:link w:val="FootnoteTextChar"/>
    <w:uiPriority w:val="99"/>
    <w:semiHidden/>
    <w:unhideWhenUsed/>
    <w:rsid w:val="00591B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1B7E"/>
    <w:rPr>
      <w:sz w:val="20"/>
      <w:szCs w:val="20"/>
    </w:rPr>
  </w:style>
  <w:style w:type="character" w:styleId="FootnoteReference">
    <w:name w:val="footnote reference"/>
    <w:basedOn w:val="DefaultParagraphFont"/>
    <w:uiPriority w:val="99"/>
    <w:semiHidden/>
    <w:unhideWhenUsed/>
    <w:rsid w:val="00591B7E"/>
    <w:rPr>
      <w:vertAlign w:val="superscript"/>
    </w:rPr>
  </w:style>
  <w:style w:type="character" w:customStyle="1" w:styleId="Heading4Char">
    <w:name w:val="Heading 4 Char"/>
    <w:basedOn w:val="DefaultParagraphFont"/>
    <w:link w:val="Heading4"/>
    <w:uiPriority w:val="9"/>
    <w:rsid w:val="008A7117"/>
    <w:rPr>
      <w:rFonts w:asciiTheme="majorHAnsi" w:eastAsiaTheme="majorEastAsia" w:hAnsiTheme="majorHAnsi" w:cstheme="majorBidi"/>
      <w:b/>
      <w:bCs/>
      <w:i/>
      <w:iCs/>
      <w:color w:val="4F81BD" w:themeColor="accent1"/>
    </w:rPr>
  </w:style>
  <w:style w:type="paragraph" w:customStyle="1" w:styleId="Pa11">
    <w:name w:val="Pa11"/>
    <w:basedOn w:val="Normal"/>
    <w:next w:val="Normal"/>
    <w:uiPriority w:val="99"/>
    <w:rsid w:val="00863D55"/>
    <w:pPr>
      <w:autoSpaceDE w:val="0"/>
      <w:autoSpaceDN w:val="0"/>
      <w:adjustRightInd w:val="0"/>
      <w:spacing w:after="0" w:line="201" w:lineRule="atLeast"/>
    </w:pPr>
    <w:rPr>
      <w:rFonts w:ascii="Frutiger LT Pro 55 Roman" w:hAnsi="Frutiger LT Pro 55 Roman"/>
      <w:sz w:val="24"/>
      <w:szCs w:val="24"/>
    </w:rPr>
  </w:style>
  <w:style w:type="character" w:customStyle="1" w:styleId="A8">
    <w:name w:val="A8"/>
    <w:uiPriority w:val="99"/>
    <w:rsid w:val="00863D55"/>
    <w:rPr>
      <w:rFonts w:ascii="Frutiger LT Pro 45 Light" w:hAnsi="Frutiger LT Pro 45 Light" w:cs="Frutiger LT Pro 45 Light"/>
      <w:color w:val="000000"/>
      <w:sz w:val="11"/>
      <w:szCs w:val="11"/>
    </w:rPr>
  </w:style>
  <w:style w:type="character" w:styleId="Emphasis">
    <w:name w:val="Emphasis"/>
    <w:basedOn w:val="DefaultParagraphFont"/>
    <w:uiPriority w:val="20"/>
    <w:qFormat/>
    <w:rsid w:val="00F108BE"/>
    <w:rPr>
      <w:i/>
      <w:iCs/>
    </w:rPr>
  </w:style>
  <w:style w:type="paragraph" w:styleId="NormalWeb">
    <w:name w:val="Normal (Web)"/>
    <w:basedOn w:val="Normal"/>
    <w:uiPriority w:val="99"/>
    <w:semiHidden/>
    <w:unhideWhenUsed/>
    <w:rsid w:val="00F108BE"/>
    <w:pPr>
      <w:spacing w:before="100" w:beforeAutospacing="1" w:after="240" w:line="240" w:lineRule="auto"/>
    </w:pPr>
    <w:rPr>
      <w:rFonts w:ascii="Times New Roman" w:eastAsia="Times New Roman" w:hAnsi="Times New Roman" w:cs="Times New Roman"/>
      <w:sz w:val="24"/>
      <w:szCs w:val="24"/>
      <w:lang w:eastAsia="en-AU"/>
    </w:rPr>
  </w:style>
  <w:style w:type="paragraph" w:styleId="TOC1">
    <w:name w:val="toc 1"/>
    <w:basedOn w:val="Normal"/>
    <w:next w:val="Normal"/>
    <w:autoRedefine/>
    <w:uiPriority w:val="39"/>
    <w:unhideWhenUsed/>
    <w:rsid w:val="000948B8"/>
    <w:pPr>
      <w:spacing w:after="100"/>
    </w:pPr>
  </w:style>
  <w:style w:type="paragraph" w:styleId="TOC2">
    <w:name w:val="toc 2"/>
    <w:basedOn w:val="Normal"/>
    <w:next w:val="Normal"/>
    <w:autoRedefine/>
    <w:uiPriority w:val="39"/>
    <w:unhideWhenUsed/>
    <w:rsid w:val="000948B8"/>
    <w:pPr>
      <w:spacing w:after="100"/>
      <w:ind w:left="220"/>
    </w:pPr>
  </w:style>
  <w:style w:type="paragraph" w:styleId="TOC3">
    <w:name w:val="toc 3"/>
    <w:basedOn w:val="Normal"/>
    <w:next w:val="Normal"/>
    <w:autoRedefine/>
    <w:uiPriority w:val="39"/>
    <w:unhideWhenUsed/>
    <w:rsid w:val="000948B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998221">
      <w:bodyDiv w:val="1"/>
      <w:marLeft w:val="0"/>
      <w:marRight w:val="0"/>
      <w:marTop w:val="0"/>
      <w:marBottom w:val="0"/>
      <w:divBdr>
        <w:top w:val="none" w:sz="0" w:space="0" w:color="auto"/>
        <w:left w:val="none" w:sz="0" w:space="0" w:color="auto"/>
        <w:bottom w:val="none" w:sz="0" w:space="0" w:color="auto"/>
        <w:right w:val="none" w:sz="0" w:space="0" w:color="auto"/>
      </w:divBdr>
      <w:divsChild>
        <w:div w:id="406612260">
          <w:marLeft w:val="0"/>
          <w:marRight w:val="0"/>
          <w:marTop w:val="0"/>
          <w:marBottom w:val="0"/>
          <w:divBdr>
            <w:top w:val="none" w:sz="0" w:space="0" w:color="auto"/>
            <w:left w:val="none" w:sz="0" w:space="0" w:color="auto"/>
            <w:bottom w:val="none" w:sz="0" w:space="0" w:color="auto"/>
            <w:right w:val="none" w:sz="0" w:space="0" w:color="auto"/>
          </w:divBdr>
          <w:divsChild>
            <w:div w:id="114546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84380">
      <w:bodyDiv w:val="1"/>
      <w:marLeft w:val="0"/>
      <w:marRight w:val="0"/>
      <w:marTop w:val="0"/>
      <w:marBottom w:val="0"/>
      <w:divBdr>
        <w:top w:val="none" w:sz="0" w:space="0" w:color="auto"/>
        <w:left w:val="none" w:sz="0" w:space="0" w:color="auto"/>
        <w:bottom w:val="none" w:sz="0" w:space="0" w:color="auto"/>
        <w:right w:val="none" w:sz="0" w:space="0" w:color="auto"/>
      </w:divBdr>
      <w:divsChild>
        <w:div w:id="1086850314">
          <w:marLeft w:val="0"/>
          <w:marRight w:val="0"/>
          <w:marTop w:val="0"/>
          <w:marBottom w:val="0"/>
          <w:divBdr>
            <w:top w:val="none" w:sz="0" w:space="0" w:color="auto"/>
            <w:left w:val="none" w:sz="0" w:space="0" w:color="auto"/>
            <w:bottom w:val="none" w:sz="0" w:space="0" w:color="auto"/>
            <w:right w:val="none" w:sz="0" w:space="0" w:color="auto"/>
          </w:divBdr>
          <w:divsChild>
            <w:div w:id="17616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1793">
      <w:bodyDiv w:val="1"/>
      <w:marLeft w:val="0"/>
      <w:marRight w:val="0"/>
      <w:marTop w:val="0"/>
      <w:marBottom w:val="0"/>
      <w:divBdr>
        <w:top w:val="none" w:sz="0" w:space="0" w:color="auto"/>
        <w:left w:val="none" w:sz="0" w:space="0" w:color="auto"/>
        <w:bottom w:val="none" w:sz="0" w:space="0" w:color="auto"/>
        <w:right w:val="none" w:sz="0" w:space="0" w:color="auto"/>
      </w:divBdr>
      <w:divsChild>
        <w:div w:id="1700738912">
          <w:marLeft w:val="0"/>
          <w:marRight w:val="0"/>
          <w:marTop w:val="0"/>
          <w:marBottom w:val="0"/>
          <w:divBdr>
            <w:top w:val="none" w:sz="0" w:space="0" w:color="auto"/>
            <w:left w:val="none" w:sz="0" w:space="0" w:color="auto"/>
            <w:bottom w:val="none" w:sz="0" w:space="0" w:color="auto"/>
            <w:right w:val="none" w:sz="0" w:space="0" w:color="auto"/>
          </w:divBdr>
          <w:divsChild>
            <w:div w:id="1220164675">
              <w:marLeft w:val="0"/>
              <w:marRight w:val="0"/>
              <w:marTop w:val="0"/>
              <w:marBottom w:val="0"/>
              <w:divBdr>
                <w:top w:val="none" w:sz="0" w:space="0" w:color="auto"/>
                <w:left w:val="none" w:sz="0" w:space="0" w:color="auto"/>
                <w:bottom w:val="none" w:sz="0" w:space="0" w:color="auto"/>
                <w:right w:val="none" w:sz="0" w:space="0" w:color="auto"/>
              </w:divBdr>
              <w:divsChild>
                <w:div w:id="1303460139">
                  <w:marLeft w:val="0"/>
                  <w:marRight w:val="0"/>
                  <w:marTop w:val="0"/>
                  <w:marBottom w:val="0"/>
                  <w:divBdr>
                    <w:top w:val="none" w:sz="0" w:space="0" w:color="auto"/>
                    <w:left w:val="none" w:sz="0" w:space="0" w:color="auto"/>
                    <w:bottom w:val="none" w:sz="0" w:space="0" w:color="auto"/>
                    <w:right w:val="none" w:sz="0" w:space="0" w:color="auto"/>
                  </w:divBdr>
                  <w:divsChild>
                    <w:div w:id="1017926217">
                      <w:marLeft w:val="0"/>
                      <w:marRight w:val="0"/>
                      <w:marTop w:val="0"/>
                      <w:marBottom w:val="0"/>
                      <w:divBdr>
                        <w:top w:val="none" w:sz="0" w:space="0" w:color="auto"/>
                        <w:left w:val="none" w:sz="0" w:space="0" w:color="auto"/>
                        <w:bottom w:val="none" w:sz="0" w:space="0" w:color="auto"/>
                        <w:right w:val="none" w:sz="0" w:space="0" w:color="auto"/>
                      </w:divBdr>
                      <w:divsChild>
                        <w:div w:id="967509164">
                          <w:marLeft w:val="0"/>
                          <w:marRight w:val="0"/>
                          <w:marTop w:val="45"/>
                          <w:marBottom w:val="0"/>
                          <w:divBdr>
                            <w:top w:val="none" w:sz="0" w:space="0" w:color="auto"/>
                            <w:left w:val="none" w:sz="0" w:space="0" w:color="auto"/>
                            <w:bottom w:val="none" w:sz="0" w:space="0" w:color="auto"/>
                            <w:right w:val="none" w:sz="0" w:space="0" w:color="auto"/>
                          </w:divBdr>
                          <w:divsChild>
                            <w:div w:id="778337417">
                              <w:marLeft w:val="0"/>
                              <w:marRight w:val="0"/>
                              <w:marTop w:val="0"/>
                              <w:marBottom w:val="0"/>
                              <w:divBdr>
                                <w:top w:val="none" w:sz="0" w:space="0" w:color="auto"/>
                                <w:left w:val="none" w:sz="0" w:space="0" w:color="auto"/>
                                <w:bottom w:val="none" w:sz="0" w:space="0" w:color="auto"/>
                                <w:right w:val="none" w:sz="0" w:space="0" w:color="auto"/>
                              </w:divBdr>
                              <w:divsChild>
                                <w:div w:id="1800999782">
                                  <w:marLeft w:val="2070"/>
                                  <w:marRight w:val="3810"/>
                                  <w:marTop w:val="0"/>
                                  <w:marBottom w:val="0"/>
                                  <w:divBdr>
                                    <w:top w:val="none" w:sz="0" w:space="0" w:color="auto"/>
                                    <w:left w:val="none" w:sz="0" w:space="0" w:color="auto"/>
                                    <w:bottom w:val="none" w:sz="0" w:space="0" w:color="auto"/>
                                    <w:right w:val="none" w:sz="0" w:space="0" w:color="auto"/>
                                  </w:divBdr>
                                  <w:divsChild>
                                    <w:div w:id="624390235">
                                      <w:marLeft w:val="0"/>
                                      <w:marRight w:val="0"/>
                                      <w:marTop w:val="0"/>
                                      <w:marBottom w:val="0"/>
                                      <w:divBdr>
                                        <w:top w:val="none" w:sz="0" w:space="0" w:color="auto"/>
                                        <w:left w:val="none" w:sz="0" w:space="0" w:color="auto"/>
                                        <w:bottom w:val="none" w:sz="0" w:space="0" w:color="auto"/>
                                        <w:right w:val="none" w:sz="0" w:space="0" w:color="auto"/>
                                      </w:divBdr>
                                      <w:divsChild>
                                        <w:div w:id="972098785">
                                          <w:marLeft w:val="0"/>
                                          <w:marRight w:val="0"/>
                                          <w:marTop w:val="0"/>
                                          <w:marBottom w:val="0"/>
                                          <w:divBdr>
                                            <w:top w:val="none" w:sz="0" w:space="0" w:color="auto"/>
                                            <w:left w:val="none" w:sz="0" w:space="0" w:color="auto"/>
                                            <w:bottom w:val="none" w:sz="0" w:space="0" w:color="auto"/>
                                            <w:right w:val="none" w:sz="0" w:space="0" w:color="auto"/>
                                          </w:divBdr>
                                          <w:divsChild>
                                            <w:div w:id="1650402685">
                                              <w:marLeft w:val="0"/>
                                              <w:marRight w:val="0"/>
                                              <w:marTop w:val="0"/>
                                              <w:marBottom w:val="0"/>
                                              <w:divBdr>
                                                <w:top w:val="none" w:sz="0" w:space="0" w:color="auto"/>
                                                <w:left w:val="none" w:sz="0" w:space="0" w:color="auto"/>
                                                <w:bottom w:val="none" w:sz="0" w:space="0" w:color="auto"/>
                                                <w:right w:val="none" w:sz="0" w:space="0" w:color="auto"/>
                                              </w:divBdr>
                                              <w:divsChild>
                                                <w:div w:id="1000083069">
                                                  <w:marLeft w:val="0"/>
                                                  <w:marRight w:val="0"/>
                                                  <w:marTop w:val="0"/>
                                                  <w:marBottom w:val="0"/>
                                                  <w:divBdr>
                                                    <w:top w:val="none" w:sz="0" w:space="0" w:color="auto"/>
                                                    <w:left w:val="none" w:sz="0" w:space="0" w:color="auto"/>
                                                    <w:bottom w:val="none" w:sz="0" w:space="0" w:color="auto"/>
                                                    <w:right w:val="none" w:sz="0" w:space="0" w:color="auto"/>
                                                  </w:divBdr>
                                                  <w:divsChild>
                                                    <w:div w:id="325089236">
                                                      <w:marLeft w:val="0"/>
                                                      <w:marRight w:val="0"/>
                                                      <w:marTop w:val="0"/>
                                                      <w:marBottom w:val="0"/>
                                                      <w:divBdr>
                                                        <w:top w:val="none" w:sz="0" w:space="0" w:color="auto"/>
                                                        <w:left w:val="none" w:sz="0" w:space="0" w:color="auto"/>
                                                        <w:bottom w:val="none" w:sz="0" w:space="0" w:color="auto"/>
                                                        <w:right w:val="none" w:sz="0" w:space="0" w:color="auto"/>
                                                      </w:divBdr>
                                                      <w:divsChild>
                                                        <w:div w:id="2101565326">
                                                          <w:marLeft w:val="0"/>
                                                          <w:marRight w:val="0"/>
                                                          <w:marTop w:val="0"/>
                                                          <w:marBottom w:val="0"/>
                                                          <w:divBdr>
                                                            <w:top w:val="none" w:sz="0" w:space="0" w:color="auto"/>
                                                            <w:left w:val="none" w:sz="0" w:space="0" w:color="auto"/>
                                                            <w:bottom w:val="none" w:sz="0" w:space="0" w:color="auto"/>
                                                            <w:right w:val="none" w:sz="0" w:space="0" w:color="auto"/>
                                                          </w:divBdr>
                                                          <w:divsChild>
                                                            <w:div w:id="78985407">
                                                              <w:marLeft w:val="0"/>
                                                              <w:marRight w:val="0"/>
                                                              <w:marTop w:val="0"/>
                                                              <w:marBottom w:val="345"/>
                                                              <w:divBdr>
                                                                <w:top w:val="none" w:sz="0" w:space="0" w:color="auto"/>
                                                                <w:left w:val="none" w:sz="0" w:space="0" w:color="auto"/>
                                                                <w:bottom w:val="none" w:sz="0" w:space="0" w:color="auto"/>
                                                                <w:right w:val="none" w:sz="0" w:space="0" w:color="auto"/>
                                                              </w:divBdr>
                                                              <w:divsChild>
                                                                <w:div w:id="1494759538">
                                                                  <w:marLeft w:val="0"/>
                                                                  <w:marRight w:val="0"/>
                                                                  <w:marTop w:val="0"/>
                                                                  <w:marBottom w:val="0"/>
                                                                  <w:divBdr>
                                                                    <w:top w:val="none" w:sz="0" w:space="0" w:color="auto"/>
                                                                    <w:left w:val="none" w:sz="0" w:space="0" w:color="auto"/>
                                                                    <w:bottom w:val="none" w:sz="0" w:space="0" w:color="auto"/>
                                                                    <w:right w:val="none" w:sz="0" w:space="0" w:color="auto"/>
                                                                  </w:divBdr>
                                                                  <w:divsChild>
                                                                    <w:div w:id="1084033117">
                                                                      <w:marLeft w:val="0"/>
                                                                      <w:marRight w:val="0"/>
                                                                      <w:marTop w:val="0"/>
                                                                      <w:marBottom w:val="0"/>
                                                                      <w:divBdr>
                                                                        <w:top w:val="none" w:sz="0" w:space="0" w:color="auto"/>
                                                                        <w:left w:val="none" w:sz="0" w:space="0" w:color="auto"/>
                                                                        <w:bottom w:val="none" w:sz="0" w:space="0" w:color="auto"/>
                                                                        <w:right w:val="none" w:sz="0" w:space="0" w:color="auto"/>
                                                                      </w:divBdr>
                                                                      <w:divsChild>
                                                                        <w:div w:id="36202972">
                                                                          <w:marLeft w:val="0"/>
                                                                          <w:marRight w:val="0"/>
                                                                          <w:marTop w:val="0"/>
                                                                          <w:marBottom w:val="0"/>
                                                                          <w:divBdr>
                                                                            <w:top w:val="none" w:sz="0" w:space="0" w:color="auto"/>
                                                                            <w:left w:val="none" w:sz="0" w:space="0" w:color="auto"/>
                                                                            <w:bottom w:val="none" w:sz="0" w:space="0" w:color="auto"/>
                                                                            <w:right w:val="none" w:sz="0" w:space="0" w:color="auto"/>
                                                                          </w:divBdr>
                                                                          <w:divsChild>
                                                                            <w:div w:id="1486893740">
                                                                              <w:marLeft w:val="0"/>
                                                                              <w:marRight w:val="0"/>
                                                                              <w:marTop w:val="0"/>
                                                                              <w:marBottom w:val="0"/>
                                                                              <w:divBdr>
                                                                                <w:top w:val="none" w:sz="0" w:space="0" w:color="auto"/>
                                                                                <w:left w:val="none" w:sz="0" w:space="0" w:color="auto"/>
                                                                                <w:bottom w:val="none" w:sz="0" w:space="0" w:color="auto"/>
                                                                                <w:right w:val="none" w:sz="0" w:space="0" w:color="auto"/>
                                                                              </w:divBdr>
                                                                              <w:divsChild>
                                                                                <w:div w:id="1844204195">
                                                                                  <w:marLeft w:val="0"/>
                                                                                  <w:marRight w:val="0"/>
                                                                                  <w:marTop w:val="0"/>
                                                                                  <w:marBottom w:val="0"/>
                                                                                  <w:divBdr>
                                                                                    <w:top w:val="none" w:sz="0" w:space="0" w:color="auto"/>
                                                                                    <w:left w:val="none" w:sz="0" w:space="0" w:color="auto"/>
                                                                                    <w:bottom w:val="none" w:sz="0" w:space="0" w:color="auto"/>
                                                                                    <w:right w:val="none" w:sz="0" w:space="0" w:color="auto"/>
                                                                                  </w:divBdr>
                                                                                  <w:divsChild>
                                                                                    <w:div w:id="9713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074309">
      <w:bodyDiv w:val="1"/>
      <w:marLeft w:val="0"/>
      <w:marRight w:val="0"/>
      <w:marTop w:val="0"/>
      <w:marBottom w:val="0"/>
      <w:divBdr>
        <w:top w:val="none" w:sz="0" w:space="0" w:color="auto"/>
        <w:left w:val="none" w:sz="0" w:space="0" w:color="auto"/>
        <w:bottom w:val="none" w:sz="0" w:space="0" w:color="auto"/>
        <w:right w:val="none" w:sz="0" w:space="0" w:color="auto"/>
      </w:divBdr>
      <w:divsChild>
        <w:div w:id="347220744">
          <w:marLeft w:val="0"/>
          <w:marRight w:val="0"/>
          <w:marTop w:val="0"/>
          <w:marBottom w:val="0"/>
          <w:divBdr>
            <w:top w:val="none" w:sz="0" w:space="0" w:color="auto"/>
            <w:left w:val="none" w:sz="0" w:space="0" w:color="auto"/>
            <w:bottom w:val="none" w:sz="0" w:space="0" w:color="auto"/>
            <w:right w:val="none" w:sz="0" w:space="0" w:color="auto"/>
          </w:divBdr>
          <w:divsChild>
            <w:div w:id="702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monash.edu/news/show/gender-and-naplan-numeracy-results" TargetMode="External"/><Relationship Id="rId26" Type="http://schemas.openxmlformats.org/officeDocument/2006/relationships/hyperlink" Target="http://www.dest.gov.au/archive/highered/eippubs/eip01_6/01_6.pdf" TargetMode="External"/><Relationship Id="rId3" Type="http://schemas.openxmlformats.org/officeDocument/2006/relationships/styles" Target="styles.xml"/><Relationship Id="rId21" Type="http://schemas.openxmlformats.org/officeDocument/2006/relationships/hyperlink" Target="http://www.dec.nsw.gov.au/detresources/Boys'_and_Girls'_Education_strategy_kaklDQSPeo.pdf" TargetMode="External"/><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research.acer.edu.au/cgi/viewcontent.cgi?article=1000&amp;context=boys_edu" TargetMode="External"/><Relationship Id="rId25" Type="http://schemas.openxmlformats.org/officeDocument/2006/relationships/hyperlink" Target="https://www.aedc.gov.au/"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melbourneinstitute.com/downloads/working_paper_series/wp2015n23.pdf" TargetMode="External"/><Relationship Id="rId20" Type="http://schemas.openxmlformats.org/officeDocument/2006/relationships/hyperlink" Target="http://www.teachermagazine.com.au/geoffmasters/article/achievment-gaps-the-coninuing-challeng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s://www.melbourneinstitute.com/downloads/working_paper_series/wp2016n24.pdf" TargetMode="External"/><Relationship Id="rId32"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s://rd.acer.edu.au/article/closing-the-gender-gap-in-maths" TargetMode="External"/><Relationship Id="rId23" Type="http://schemas.openxmlformats.org/officeDocument/2006/relationships/hyperlink" Target="https://www.melbourneinstitute.com/downloads/working_paper_series/wp2016n01.pdf" TargetMode="External"/><Relationship Id="rId28" Type="http://schemas.openxmlformats.org/officeDocument/2006/relationships/hyperlink" Target="http://dx.doi.org/10.1598/JAAL.53.5.1" TargetMode="External"/><Relationship Id="rId10" Type="http://schemas.openxmlformats.org/officeDocument/2006/relationships/image" Target="media/image10.emf"/><Relationship Id="rId19" Type="http://schemas.openxmlformats.org/officeDocument/2006/relationships/hyperlink" Target="http://www.det.act.gov.au/data/assets/pdf_file/0005/17798/Ed_Outcomes_Boys.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png"/><Relationship Id="rId22" Type="http://schemas.openxmlformats.org/officeDocument/2006/relationships/hyperlink" Target="http://www.oecd.org/pisa/pisaproducts/PIF-2014-gender-international-version.pdf" TargetMode="External"/><Relationship Id="rId27" Type="http://schemas.openxmlformats.org/officeDocument/2006/relationships/hyperlink" Target="http://www.audit.vic.gov.au/publications/20150318-Education-transitions/20150318-Education-transitions.pdf" TargetMode="External"/><Relationship Id="rId30"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education.vic.gov.au/Documents/.../transition/Toolkit_TransitionCluster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D830A443-97BA-477B-9208-55DCCC893140}"/>
</file>

<file path=customXml/itemProps2.xml><?xml version="1.0" encoding="utf-8"?>
<ds:datastoreItem xmlns:ds="http://schemas.openxmlformats.org/officeDocument/2006/customXml" ds:itemID="{23CD281A-0B05-44F0-AC59-79FE7A7EA04A}"/>
</file>

<file path=customXml/itemProps3.xml><?xml version="1.0" encoding="utf-8"?>
<ds:datastoreItem xmlns:ds="http://schemas.openxmlformats.org/officeDocument/2006/customXml" ds:itemID="{3C8CD7EB-4034-41AE-8D53-5BA04A4BBA81}"/>
</file>

<file path=customXml/itemProps4.xml><?xml version="1.0" encoding="utf-8"?>
<ds:datastoreItem xmlns:ds="http://schemas.openxmlformats.org/officeDocument/2006/customXml" ds:itemID="{6BE2F8D7-229C-4737-BFFD-073445E88198}"/>
</file>

<file path=docProps/app.xml><?xml version="1.0" encoding="utf-8"?>
<Properties xmlns="http://schemas.openxmlformats.org/officeDocument/2006/extended-properties" xmlns:vt="http://schemas.openxmlformats.org/officeDocument/2006/docPropsVTypes">
  <Template>Normal</Template>
  <TotalTime>1</TotalTime>
  <Pages>21</Pages>
  <Words>7925</Words>
  <Characters>45175</Characters>
  <Application>Microsoft Office Word</Application>
  <DocSecurity>0</DocSecurity>
  <Lines>376</Lines>
  <Paragraphs>105</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
      <vt:lpstr>Performance and Past Research </vt:lpstr>
      <vt:lpstr>    Synopsis of past research</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1. Performance patterns and gender</vt:lpstr>
      <vt:lpstr>        1.2 Gender gaps: International performance patterns </vt:lpstr>
      <vt:lpstr>    2. Explanations of gender differences</vt:lpstr>
      <vt:lpstr>        2.1 Attitudes and behaviours </vt:lpstr>
      <vt:lpstr>        2.2 Perception of value </vt:lpstr>
      <vt:lpstr>        2.3 Engagement with learning </vt:lpstr>
      <vt:lpstr>    3. Effective strategies </vt:lpstr>
      <vt:lpstr>        3.1 Attitudes and behaviours </vt:lpstr>
      <vt:lpstr>        3.2 Perception of value </vt:lpstr>
      <vt:lpstr>        3.3 Engagement with learning </vt:lpstr>
      <vt:lpstr>    4. Mapping the research findings to the Evaluation Framework </vt:lpstr>
      <vt:lpstr>        4.1 Linking evidence with data gathering instruments  </vt:lpstr>
      <vt:lpstr>        4.2 Identification of the prevalence of strategies to address the gender gaps </vt:lpstr>
      <vt:lpstr>        The questionnaire will examine the use of a range of strategies  </vt:lpstr>
      <vt:lpstr>References </vt:lpstr>
    </vt:vector>
  </TitlesOfParts>
  <Company/>
  <LinksUpToDate>false</LinksUpToDate>
  <CharactersWithSpaces>52995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Dahle</dc:creator>
  <cp:lastModifiedBy>Dahle</cp:lastModifiedBy>
  <cp:revision>2</cp:revision>
  <cp:lastPrinted>2016-10-02T03:22:00Z</cp:lastPrinted>
  <dcterms:created xsi:type="dcterms:W3CDTF">2016-12-11T12:29:00Z</dcterms:created>
  <dcterms:modified xsi:type="dcterms:W3CDTF">2016-12-11T12:29:00Z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