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842EA" w14:textId="2246F30A" w:rsidR="00437DA7" w:rsidRPr="00437DA7" w:rsidRDefault="00437DA7" w:rsidP="00437DA7">
      <w:pPr>
        <w:autoSpaceDE w:val="0"/>
        <w:autoSpaceDN w:val="0"/>
        <w:adjustRightInd w:val="0"/>
        <w:spacing w:before="240" w:after="0" w:line="240" w:lineRule="auto"/>
      </w:pPr>
      <w:bookmarkStart w:id="0" w:name="_Toc438463418"/>
      <w:bookmarkStart w:id="1" w:name="_GoBack"/>
      <w:bookmarkEnd w:id="1"/>
      <w:r w:rsidRPr="00437DA7">
        <w:t>Use these tips before the level of emotional intensity has risen or after it has dropped. Often the complainant will indicate their readiness to start engaging in a more constructive dialogue by sighing or shifting position.</w:t>
      </w:r>
    </w:p>
    <w:bookmarkStart w:id="2" w:name="_Department_resources"/>
    <w:bookmarkStart w:id="3" w:name="_Guides_to_assist"/>
    <w:bookmarkEnd w:id="2"/>
    <w:bookmarkEnd w:id="3"/>
    <w:p w14:paraId="71BBE78B" w14:textId="16E69A2E" w:rsidR="00437DA7" w:rsidRPr="00437DA7" w:rsidRDefault="00437DA7" w:rsidP="00437DA7">
      <w:pPr>
        <w:autoSpaceDE w:val="0"/>
        <w:autoSpaceDN w:val="0"/>
        <w:adjustRightInd w:val="0"/>
        <w:spacing w:before="120" w:after="0" w:line="240" w:lineRule="auto"/>
        <w:rPr>
          <w:rFonts w:cs="Arial"/>
          <w:bCs/>
          <w:iCs/>
          <w:color w:val="D2000B"/>
          <w:sz w:val="28"/>
          <w:szCs w:val="28"/>
        </w:rPr>
      </w:pPr>
      <w:r w:rsidRPr="007D32EB">
        <w:rPr>
          <w:noProof/>
          <w:sz w:val="36"/>
          <w:szCs w:val="36"/>
          <w:lang w:eastAsia="en-AU"/>
        </w:rPr>
        <mc:AlternateContent>
          <mc:Choice Requires="wps">
            <w:drawing>
              <wp:anchor distT="0" distB="0" distL="114300" distR="114300" simplePos="0" relativeHeight="251659264" behindDoc="0" locked="0" layoutInCell="1" allowOverlap="1" wp14:anchorId="2904501C" wp14:editId="27B59E7E">
                <wp:simplePos x="0" y="0"/>
                <wp:positionH relativeFrom="column">
                  <wp:posOffset>-2448560</wp:posOffset>
                </wp:positionH>
                <wp:positionV relativeFrom="paragraph">
                  <wp:posOffset>19050</wp:posOffset>
                </wp:positionV>
                <wp:extent cx="2247900" cy="2638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47900"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CFE11" w14:textId="2B8BD5A6" w:rsidR="00437DA7" w:rsidRPr="00423A71" w:rsidRDefault="00437DA7" w:rsidP="00437DA7">
                            <w:pPr>
                              <w:rPr>
                                <w:b/>
                                <w:color w:val="D2000B"/>
                                <w:sz w:val="26"/>
                                <w:szCs w:val="26"/>
                              </w:rPr>
                            </w:pPr>
                            <w:r>
                              <w:rPr>
                                <w:b/>
                                <w:color w:val="C00000"/>
                                <w:sz w:val="32"/>
                                <w:szCs w:val="32"/>
                              </w:rPr>
                              <w:t>9</w:t>
                            </w:r>
                            <w:r w:rsidR="00A96F11">
                              <w:rPr>
                                <w:b/>
                                <w:color w:val="C00000"/>
                                <w:sz w:val="32"/>
                                <w:szCs w:val="32"/>
                              </w:rPr>
                              <w:t>.</w:t>
                            </w:r>
                            <w:r>
                              <w:rPr>
                                <w:b/>
                                <w:color w:val="C00000"/>
                                <w:sz w:val="32"/>
                                <w:szCs w:val="32"/>
                              </w:rPr>
                              <w:t xml:space="preserve"> </w:t>
                            </w:r>
                            <w:r w:rsidRPr="00437DA7">
                              <w:rPr>
                                <w:b/>
                                <w:color w:val="C00000"/>
                                <w:sz w:val="32"/>
                                <w:szCs w:val="32"/>
                              </w:rPr>
                              <w:t>Managing</w:t>
                            </w:r>
                            <w:r>
                              <w:rPr>
                                <w:b/>
                                <w:color w:val="C00000"/>
                                <w:sz w:val="32"/>
                                <w:szCs w:val="32"/>
                              </w:rPr>
                              <w:t xml:space="preserve"> </w:t>
                            </w:r>
                            <w:r w:rsidRPr="00437DA7">
                              <w:rPr>
                                <w:b/>
                                <w:color w:val="C00000"/>
                                <w:sz w:val="32"/>
                                <w:szCs w:val="32"/>
                              </w:rPr>
                              <w:t>aggressive reactions</w:t>
                            </w:r>
                          </w:p>
                          <w:p w14:paraId="097B8F2C" w14:textId="77777777" w:rsidR="00437DA7" w:rsidRPr="00994BCE" w:rsidRDefault="00437DA7" w:rsidP="00437DA7">
                            <w:pPr>
                              <w:pStyle w:val="Quote"/>
                              <w:spacing w:before="120" w:after="120" w:line="300" w:lineRule="exact"/>
                              <w:rPr>
                                <w:sz w:val="26"/>
                                <w:szCs w:val="26"/>
                              </w:rPr>
                            </w:pPr>
                            <w:r w:rsidRPr="00437DA7">
                              <w:rPr>
                                <w:b w:val="0"/>
                                <w:sz w:val="26"/>
                                <w:szCs w:val="26"/>
                              </w:rPr>
                              <w:t>The following tips will help</w:t>
                            </w:r>
                            <w:r>
                              <w:rPr>
                                <w:b w:val="0"/>
                                <w:sz w:val="26"/>
                                <w:szCs w:val="26"/>
                              </w:rPr>
                              <w:t xml:space="preserve"> </w:t>
                            </w:r>
                            <w:r w:rsidRPr="00437DA7">
                              <w:rPr>
                                <w:b w:val="0"/>
                                <w:sz w:val="26"/>
                                <w:szCs w:val="26"/>
                              </w:rPr>
                              <w:t>you deal with complainants</w:t>
                            </w:r>
                            <w:r>
                              <w:rPr>
                                <w:b w:val="0"/>
                                <w:sz w:val="26"/>
                                <w:szCs w:val="26"/>
                              </w:rPr>
                              <w:t xml:space="preserve"> </w:t>
                            </w:r>
                            <w:r w:rsidRPr="00437DA7">
                              <w:rPr>
                                <w:b w:val="0"/>
                                <w:sz w:val="26"/>
                                <w:szCs w:val="26"/>
                              </w:rPr>
                              <w:t>whose approach is</w:t>
                            </w:r>
                            <w:r>
                              <w:rPr>
                                <w:b w:val="0"/>
                                <w:sz w:val="26"/>
                                <w:szCs w:val="26"/>
                              </w:rPr>
                              <w:t xml:space="preserve"> </w:t>
                            </w:r>
                            <w:r w:rsidRPr="00437DA7">
                              <w:rPr>
                                <w:b w:val="0"/>
                                <w:sz w:val="26"/>
                                <w:szCs w:val="26"/>
                              </w:rPr>
                              <w:t>aggressive.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2.8pt;margin-top:1.5pt;width:17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" fillcolor="white [3201]" stroked="f" strokeweight=".5pt">
                <v:textbox>
                  <w:txbxContent>
                    <w:p w14:paraId="2C0CFE11" w14:textId="2B8BD5A6" w:rsidR="00437DA7" w:rsidRPr="00423A71" w:rsidRDefault="00437DA7" w:rsidP="00437DA7">
                      <w:pPr>
                        <w:rPr>
                          <w:b/>
                          <w:color w:val="D2000B"/>
                          <w:sz w:val="26"/>
                          <w:szCs w:val="26"/>
                        </w:rPr>
                      </w:pPr>
                      <w:r>
                        <w:rPr>
                          <w:b/>
                          <w:color w:val="C00000"/>
                          <w:sz w:val="32"/>
                          <w:szCs w:val="32"/>
                        </w:rPr>
                        <w:t>9</w:t>
                      </w:r>
                      <w:r w:rsidR="00A96F11">
                        <w:rPr>
                          <w:b/>
                          <w:color w:val="C00000"/>
                          <w:sz w:val="32"/>
                          <w:szCs w:val="32"/>
                        </w:rPr>
                        <w:t>.</w:t>
                      </w:r>
                      <w:bookmarkStart w:id="4" w:name="_GoBack"/>
                      <w:bookmarkEnd w:id="4"/>
                      <w:r>
                        <w:rPr>
                          <w:b/>
                          <w:color w:val="C00000"/>
                          <w:sz w:val="32"/>
                          <w:szCs w:val="32"/>
                        </w:rPr>
                        <w:t xml:space="preserve"> </w:t>
                      </w:r>
                      <w:r w:rsidRPr="00437DA7">
                        <w:rPr>
                          <w:b/>
                          <w:color w:val="C00000"/>
                          <w:sz w:val="32"/>
                          <w:szCs w:val="32"/>
                        </w:rPr>
                        <w:t>Managing</w:t>
                      </w:r>
                      <w:r>
                        <w:rPr>
                          <w:b/>
                          <w:color w:val="C00000"/>
                          <w:sz w:val="32"/>
                          <w:szCs w:val="32"/>
                        </w:rPr>
                        <w:t xml:space="preserve"> </w:t>
                      </w:r>
                      <w:r w:rsidRPr="00437DA7">
                        <w:rPr>
                          <w:b/>
                          <w:color w:val="C00000"/>
                          <w:sz w:val="32"/>
                          <w:szCs w:val="32"/>
                        </w:rPr>
                        <w:t>aggressive reactions</w:t>
                      </w:r>
                    </w:p>
                    <w:p w14:paraId="097B8F2C" w14:textId="77777777" w:rsidR="00437DA7" w:rsidRPr="00994BCE" w:rsidRDefault="00437DA7" w:rsidP="00437DA7">
                      <w:pPr>
                        <w:pStyle w:val="Quote"/>
                        <w:spacing w:before="120" w:after="120" w:line="300" w:lineRule="exact"/>
                        <w:rPr>
                          <w:sz w:val="26"/>
                          <w:szCs w:val="26"/>
                        </w:rPr>
                      </w:pPr>
                      <w:r w:rsidRPr="00437DA7">
                        <w:rPr>
                          <w:b w:val="0"/>
                          <w:sz w:val="26"/>
                          <w:szCs w:val="26"/>
                        </w:rPr>
                        <w:t>The following tips will help</w:t>
                      </w:r>
                      <w:r>
                        <w:rPr>
                          <w:b w:val="0"/>
                          <w:sz w:val="26"/>
                          <w:szCs w:val="26"/>
                        </w:rPr>
                        <w:t xml:space="preserve"> </w:t>
                      </w:r>
                      <w:r w:rsidRPr="00437DA7">
                        <w:rPr>
                          <w:b w:val="0"/>
                          <w:sz w:val="26"/>
                          <w:szCs w:val="26"/>
                        </w:rPr>
                        <w:t>you deal with complainants</w:t>
                      </w:r>
                      <w:r>
                        <w:rPr>
                          <w:b w:val="0"/>
                          <w:sz w:val="26"/>
                          <w:szCs w:val="26"/>
                        </w:rPr>
                        <w:t xml:space="preserve"> </w:t>
                      </w:r>
                      <w:r w:rsidRPr="00437DA7">
                        <w:rPr>
                          <w:b w:val="0"/>
                          <w:sz w:val="26"/>
                          <w:szCs w:val="26"/>
                        </w:rPr>
                        <w:t>whose approach is</w:t>
                      </w:r>
                      <w:r>
                        <w:rPr>
                          <w:b w:val="0"/>
                          <w:sz w:val="26"/>
                          <w:szCs w:val="26"/>
                        </w:rPr>
                        <w:t xml:space="preserve"> </w:t>
                      </w:r>
                      <w:r w:rsidRPr="00437DA7">
                        <w:rPr>
                          <w:b w:val="0"/>
                          <w:sz w:val="26"/>
                          <w:szCs w:val="26"/>
                        </w:rPr>
                        <w:t>aggressive.</w:t>
                      </w:r>
                    </w:p>
                  </w:txbxContent>
                </v:textbox>
              </v:shape>
            </w:pict>
          </mc:Fallback>
        </mc:AlternateContent>
      </w:r>
      <w:r w:rsidRPr="00437DA7">
        <w:rPr>
          <w:rFonts w:cs="Arial"/>
          <w:bCs/>
          <w:iCs/>
          <w:color w:val="D2000B"/>
          <w:sz w:val="28"/>
          <w:szCs w:val="28"/>
        </w:rPr>
        <w:t>Persist</w:t>
      </w:r>
    </w:p>
    <w:p w14:paraId="571D5451" w14:textId="6BBD195E" w:rsidR="00437DA7" w:rsidRPr="007611CC" w:rsidRDefault="00437DA7" w:rsidP="00437DA7">
      <w:pPr>
        <w:autoSpaceDE w:val="0"/>
        <w:autoSpaceDN w:val="0"/>
        <w:adjustRightInd w:val="0"/>
        <w:spacing w:before="240" w:after="0" w:line="240" w:lineRule="auto"/>
        <w:rPr>
          <w:rFonts w:cs="Arial"/>
          <w:color w:val="636467"/>
          <w:szCs w:val="18"/>
          <w:lang w:eastAsia="en-AU"/>
        </w:rPr>
      </w:pPr>
      <w:r w:rsidRPr="007611CC">
        <w:rPr>
          <w:rFonts w:cs="Arial"/>
          <w:color w:val="636467"/>
          <w:szCs w:val="18"/>
          <w:lang w:eastAsia="en-AU"/>
        </w:rPr>
        <w:t>• Use the broken record technique. Repeat what you have said without adding further argument or reason. For example:</w:t>
      </w:r>
    </w:p>
    <w:p w14:paraId="1B388324"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‘We need to discuss this away from the children. Please come with me to my office’ or</w:t>
      </w:r>
    </w:p>
    <w:p w14:paraId="620BBC24"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‘We need to talk about this in my office away from the children’ or</w:t>
      </w:r>
    </w:p>
    <w:p w14:paraId="773D9687"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‘My office is this way. We can continue this conversation away from the children’.</w:t>
      </w:r>
    </w:p>
    <w:p w14:paraId="10C4B700" w14:textId="77777777" w:rsidR="00437DA7" w:rsidRPr="00437DA7" w:rsidRDefault="00437DA7" w:rsidP="00437DA7">
      <w:pPr>
        <w:autoSpaceDE w:val="0"/>
        <w:autoSpaceDN w:val="0"/>
        <w:adjustRightInd w:val="0"/>
        <w:spacing w:before="120" w:after="0" w:line="240" w:lineRule="auto"/>
        <w:rPr>
          <w:rFonts w:cs="Arial"/>
          <w:bCs/>
          <w:iCs/>
          <w:color w:val="D2000B"/>
          <w:sz w:val="28"/>
          <w:szCs w:val="28"/>
        </w:rPr>
      </w:pPr>
      <w:r w:rsidRPr="00437DA7">
        <w:rPr>
          <w:rFonts w:cs="Arial"/>
          <w:bCs/>
          <w:iCs/>
          <w:color w:val="D2000B"/>
          <w:sz w:val="28"/>
          <w:szCs w:val="28"/>
        </w:rPr>
        <w:t>Emphasise your feelings</w:t>
      </w:r>
    </w:p>
    <w:p w14:paraId="41D0F97D" w14:textId="4E6BA3C2"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Emphasise the importance of the subject to you personally. For example, ‘I am worried about this allegation and I’d like to start sorting it out now’.</w:t>
      </w:r>
    </w:p>
    <w:p w14:paraId="090015A4" w14:textId="77777777" w:rsidR="00437DA7" w:rsidRPr="00437DA7" w:rsidRDefault="00437DA7" w:rsidP="00437DA7">
      <w:pPr>
        <w:autoSpaceDE w:val="0"/>
        <w:autoSpaceDN w:val="0"/>
        <w:adjustRightInd w:val="0"/>
        <w:spacing w:after="0" w:line="240" w:lineRule="auto"/>
        <w:rPr>
          <w:rFonts w:cs="Arial"/>
          <w:bCs/>
          <w:iCs/>
          <w:color w:val="D2000B"/>
          <w:sz w:val="28"/>
          <w:szCs w:val="28"/>
        </w:rPr>
      </w:pPr>
      <w:r w:rsidRPr="00437DA7">
        <w:rPr>
          <w:rFonts w:cs="Arial"/>
          <w:bCs/>
          <w:iCs/>
          <w:color w:val="D2000B"/>
          <w:sz w:val="28"/>
          <w:szCs w:val="28"/>
        </w:rPr>
        <w:t>Acknowledge and continue</w:t>
      </w:r>
    </w:p>
    <w:p w14:paraId="733F0DAB" w14:textId="4AA841FD"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Acknowledge their concerns but don’t let the discussion stop there: continue immediately towards a solution. For example, ‘Yes, I know it is an unsatisfactory situation for you, and I would prefer…</w:t>
      </w:r>
      <w:proofErr w:type="gramStart"/>
      <w:r w:rsidRPr="007611CC">
        <w:rPr>
          <w:rFonts w:cs="Arial"/>
          <w:color w:val="636467"/>
          <w:szCs w:val="18"/>
          <w:lang w:eastAsia="en-AU"/>
        </w:rPr>
        <w:t>’.</w:t>
      </w:r>
      <w:proofErr w:type="gramEnd"/>
    </w:p>
    <w:p w14:paraId="7CBCFFD7" w14:textId="0E075DC0"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As in the example above, use ‘and’ rather than ‘but’. If you use ‘but’, the listener invariably hears only that part of the sentence that follows the ‘but’. They might interpret what you are saying as a demand, increasing the likelihood of a defensive reaction.</w:t>
      </w:r>
    </w:p>
    <w:p w14:paraId="79AFDADB" w14:textId="77777777" w:rsidR="00437DA7" w:rsidRPr="00437DA7" w:rsidRDefault="00437DA7" w:rsidP="00437DA7">
      <w:pPr>
        <w:autoSpaceDE w:val="0"/>
        <w:autoSpaceDN w:val="0"/>
        <w:adjustRightInd w:val="0"/>
        <w:spacing w:after="0" w:line="240" w:lineRule="auto"/>
        <w:rPr>
          <w:rFonts w:cs="Arial"/>
          <w:bCs/>
          <w:iCs/>
          <w:color w:val="D2000B"/>
          <w:sz w:val="28"/>
          <w:szCs w:val="28"/>
        </w:rPr>
      </w:pPr>
      <w:r w:rsidRPr="00437DA7">
        <w:rPr>
          <w:rFonts w:cs="Arial"/>
          <w:bCs/>
          <w:iCs/>
          <w:color w:val="D2000B"/>
          <w:sz w:val="28"/>
          <w:szCs w:val="28"/>
        </w:rPr>
        <w:t>Ask open questions to explore possibilities</w:t>
      </w:r>
    </w:p>
    <w:p w14:paraId="6A6BF838" w14:textId="77777777"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For example:</w:t>
      </w:r>
    </w:p>
    <w:p w14:paraId="4B1E7581"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‘What would we need to do to improve the current situation?’</w:t>
      </w:r>
    </w:p>
    <w:p w14:paraId="6A8EA4B0"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‘How do you think we could satisfy your son’s needs?’</w:t>
      </w:r>
    </w:p>
    <w:p w14:paraId="7D50D112"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‘What would you like to see happen as a result of our discussion?’</w:t>
      </w:r>
    </w:p>
    <w:p w14:paraId="20719747" w14:textId="77777777" w:rsidR="00437DA7" w:rsidRPr="00437DA7" w:rsidRDefault="00437DA7" w:rsidP="00437DA7">
      <w:pPr>
        <w:autoSpaceDE w:val="0"/>
        <w:autoSpaceDN w:val="0"/>
        <w:adjustRightInd w:val="0"/>
        <w:spacing w:after="0" w:line="240" w:lineRule="auto"/>
        <w:rPr>
          <w:rFonts w:cs="Arial"/>
          <w:bCs/>
          <w:iCs/>
          <w:color w:val="D2000B"/>
          <w:sz w:val="28"/>
          <w:szCs w:val="28"/>
        </w:rPr>
      </w:pPr>
      <w:r w:rsidRPr="00437DA7">
        <w:rPr>
          <w:rFonts w:cs="Arial"/>
          <w:bCs/>
          <w:iCs/>
          <w:color w:val="D2000B"/>
          <w:sz w:val="28"/>
          <w:szCs w:val="28"/>
        </w:rPr>
        <w:t>Disagree if necessary</w:t>
      </w:r>
    </w:p>
    <w:p w14:paraId="69A78168" w14:textId="348452B2"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Say if you don’t agree with a point being made, but try to establish areas of agreement. For example:</w:t>
      </w:r>
    </w:p>
    <w:p w14:paraId="5A1C6366" w14:textId="77777777"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‘I don’t see the situation like that … I think we both agree that …</w:t>
      </w:r>
      <w:proofErr w:type="gramStart"/>
      <w:r w:rsidRPr="007611CC">
        <w:rPr>
          <w:rFonts w:cs="Arial"/>
          <w:color w:val="636467"/>
          <w:szCs w:val="18"/>
          <w:lang w:eastAsia="en-AU"/>
        </w:rPr>
        <w:t>’.</w:t>
      </w:r>
      <w:proofErr w:type="gramEnd"/>
    </w:p>
    <w:p w14:paraId="0E1E1A1F" w14:textId="77777777" w:rsidR="00437DA7" w:rsidRPr="00437DA7" w:rsidRDefault="00437DA7" w:rsidP="00437DA7">
      <w:pPr>
        <w:autoSpaceDE w:val="0"/>
        <w:autoSpaceDN w:val="0"/>
        <w:adjustRightInd w:val="0"/>
        <w:spacing w:after="0" w:line="240" w:lineRule="auto"/>
        <w:rPr>
          <w:rFonts w:cs="Arial"/>
          <w:bCs/>
          <w:iCs/>
          <w:color w:val="D2000B"/>
          <w:sz w:val="28"/>
          <w:szCs w:val="28"/>
        </w:rPr>
      </w:pPr>
      <w:r w:rsidRPr="00437DA7">
        <w:rPr>
          <w:rFonts w:cs="Arial"/>
          <w:bCs/>
          <w:iCs/>
          <w:color w:val="D2000B"/>
          <w:sz w:val="28"/>
          <w:szCs w:val="28"/>
        </w:rPr>
        <w:t>Reschedule</w:t>
      </w:r>
    </w:p>
    <w:p w14:paraId="3A433059" w14:textId="2DA6CFD7"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Reschedule if necessary to ensure there is adequate time to discuss the issues. Rescheduling may also help to defuse the situation. For example:</w:t>
      </w:r>
    </w:p>
    <w:p w14:paraId="7E551BC2" w14:textId="0CFAC7CB" w:rsidR="00437DA7" w:rsidRPr="007611CC" w:rsidRDefault="00437DA7" w:rsidP="00437DA7">
      <w:pPr>
        <w:pStyle w:val="ListBullet"/>
        <w:tabs>
          <w:tab w:val="num" w:pos="142"/>
        </w:tabs>
        <w:spacing w:before="120"/>
        <w:ind w:left="426" w:hanging="142"/>
        <w:rPr>
          <w:rFonts w:cs="Arial"/>
          <w:color w:val="636467"/>
          <w:szCs w:val="18"/>
          <w:lang w:eastAsia="en-AU"/>
        </w:rPr>
      </w:pPr>
      <w:r w:rsidRPr="007611CC">
        <w:rPr>
          <w:rFonts w:cs="Arial"/>
          <w:color w:val="636467"/>
          <w:szCs w:val="18"/>
          <w:lang w:eastAsia="en-AU"/>
        </w:rPr>
        <w:t>– ‘There is a better time to discuss this issue in the detail required. When do you have an hour we can both set aside?’</w:t>
      </w:r>
    </w:p>
    <w:p w14:paraId="2216E2BB" w14:textId="77777777" w:rsidR="00437DA7" w:rsidRPr="00437DA7" w:rsidRDefault="00437DA7" w:rsidP="00437DA7">
      <w:pPr>
        <w:autoSpaceDE w:val="0"/>
        <w:autoSpaceDN w:val="0"/>
        <w:adjustRightInd w:val="0"/>
        <w:spacing w:after="0" w:line="240" w:lineRule="auto"/>
        <w:rPr>
          <w:rFonts w:cs="Arial"/>
          <w:bCs/>
          <w:iCs/>
          <w:color w:val="D2000B"/>
          <w:sz w:val="28"/>
          <w:szCs w:val="28"/>
        </w:rPr>
      </w:pPr>
      <w:r w:rsidRPr="00437DA7">
        <w:rPr>
          <w:rFonts w:cs="Arial"/>
          <w:bCs/>
          <w:iCs/>
          <w:color w:val="D2000B"/>
          <w:sz w:val="28"/>
          <w:szCs w:val="28"/>
        </w:rPr>
        <w:t>Follow-up</w:t>
      </w:r>
    </w:p>
    <w:p w14:paraId="27CC60BB" w14:textId="74D44D92" w:rsidR="00437DA7" w:rsidRPr="007611CC" w:rsidRDefault="00437DA7" w:rsidP="00437DA7">
      <w:pPr>
        <w:pStyle w:val="ListBullet"/>
        <w:tabs>
          <w:tab w:val="num" w:pos="142"/>
        </w:tabs>
        <w:spacing w:before="120"/>
        <w:ind w:left="142" w:hanging="142"/>
        <w:rPr>
          <w:rFonts w:cs="Arial"/>
          <w:color w:val="636467"/>
          <w:szCs w:val="18"/>
          <w:lang w:eastAsia="en-AU"/>
        </w:rPr>
      </w:pPr>
      <w:r w:rsidRPr="007611CC">
        <w:rPr>
          <w:rFonts w:cs="Arial"/>
          <w:color w:val="636467"/>
          <w:szCs w:val="18"/>
          <w:lang w:eastAsia="en-AU"/>
        </w:rPr>
        <w:t>• After any situation marked by aggression, awkwardness or uncertainty, take the time to follow up with a letter, brief note or phone call. This is likely to make further interactions with the people involved smoother.</w:t>
      </w:r>
    </w:p>
    <w:p w14:paraId="66A7A71F" w14:textId="77777777" w:rsidR="00437DA7" w:rsidRPr="00437DA7" w:rsidRDefault="00437DA7" w:rsidP="00437DA7">
      <w:pPr>
        <w:autoSpaceDE w:val="0"/>
        <w:autoSpaceDN w:val="0"/>
        <w:adjustRightInd w:val="0"/>
        <w:spacing w:after="0" w:line="240" w:lineRule="auto"/>
        <w:rPr>
          <w:rFonts w:cs="Arial"/>
          <w:bCs/>
          <w:iCs/>
          <w:color w:val="D2000B"/>
          <w:sz w:val="28"/>
          <w:szCs w:val="28"/>
        </w:rPr>
      </w:pPr>
      <w:r w:rsidRPr="00437DA7">
        <w:rPr>
          <w:rFonts w:cs="Arial"/>
          <w:bCs/>
          <w:iCs/>
          <w:color w:val="D2000B"/>
          <w:sz w:val="28"/>
          <w:szCs w:val="28"/>
        </w:rPr>
        <w:t>Other resources</w:t>
      </w:r>
    </w:p>
    <w:p w14:paraId="006597C3" w14:textId="2F3129F8" w:rsidR="00437DA7" w:rsidRPr="007611CC" w:rsidRDefault="005B4FA1" w:rsidP="00437DA7">
      <w:pPr>
        <w:autoSpaceDE w:val="0"/>
        <w:autoSpaceDN w:val="0"/>
        <w:adjustRightInd w:val="0"/>
        <w:spacing w:before="240" w:after="0" w:line="240" w:lineRule="auto"/>
        <w:rPr>
          <w:rFonts w:cs="Arial"/>
          <w:color w:val="636467"/>
          <w:szCs w:val="18"/>
          <w:lang w:eastAsia="en-AU"/>
        </w:rPr>
      </w:pPr>
      <w:proofErr w:type="spellStart"/>
      <w:r w:rsidRPr="007611CC">
        <w:rPr>
          <w:rFonts w:cs="Arial"/>
          <w:color w:val="636467"/>
          <w:szCs w:val="18"/>
          <w:lang w:eastAsia="en-AU"/>
        </w:rPr>
        <w:t>Optum</w:t>
      </w:r>
      <w:proofErr w:type="spellEnd"/>
      <w:r w:rsidRPr="007611CC">
        <w:rPr>
          <w:rFonts w:cs="Arial"/>
          <w:color w:val="636467"/>
          <w:szCs w:val="18"/>
          <w:lang w:eastAsia="en-AU"/>
        </w:rPr>
        <w:t xml:space="preserve"> </w:t>
      </w:r>
      <w:r w:rsidR="00437DA7" w:rsidRPr="007611CC">
        <w:rPr>
          <w:rFonts w:cs="Arial"/>
          <w:color w:val="636467"/>
          <w:szCs w:val="18"/>
          <w:lang w:eastAsia="en-AU"/>
        </w:rPr>
        <w:t>provides the Department’s Employee Assistance Program – a short-term, solution-focused counselling service. You can contact them on 1</w:t>
      </w:r>
      <w:r w:rsidRPr="007611CC">
        <w:rPr>
          <w:rFonts w:cs="Arial"/>
          <w:color w:val="636467"/>
          <w:szCs w:val="18"/>
          <w:lang w:eastAsia="en-AU"/>
        </w:rPr>
        <w:t>3</w:t>
      </w:r>
      <w:r w:rsidR="00437DA7" w:rsidRPr="007611CC">
        <w:rPr>
          <w:rFonts w:cs="Arial"/>
          <w:color w:val="636467"/>
          <w:szCs w:val="18"/>
          <w:lang w:eastAsia="en-AU"/>
        </w:rPr>
        <w:t>00 3</w:t>
      </w:r>
      <w:r w:rsidRPr="007611CC">
        <w:rPr>
          <w:rFonts w:cs="Arial"/>
          <w:color w:val="636467"/>
          <w:szCs w:val="18"/>
          <w:lang w:eastAsia="en-AU"/>
        </w:rPr>
        <w:t>61</w:t>
      </w:r>
      <w:r w:rsidR="00437DA7" w:rsidRPr="007611CC">
        <w:rPr>
          <w:rFonts w:cs="Arial"/>
          <w:color w:val="636467"/>
          <w:szCs w:val="18"/>
          <w:lang w:eastAsia="en-AU"/>
        </w:rPr>
        <w:t xml:space="preserve"> 0</w:t>
      </w:r>
      <w:r w:rsidRPr="007611CC">
        <w:rPr>
          <w:rFonts w:cs="Arial"/>
          <w:color w:val="636467"/>
          <w:szCs w:val="18"/>
          <w:lang w:eastAsia="en-AU"/>
        </w:rPr>
        <w:t>0</w:t>
      </w:r>
      <w:r w:rsidR="00437DA7" w:rsidRPr="007611CC">
        <w:rPr>
          <w:rFonts w:cs="Arial"/>
          <w:color w:val="636467"/>
          <w:szCs w:val="18"/>
          <w:lang w:eastAsia="en-AU"/>
        </w:rPr>
        <w:t xml:space="preserve">8. Further details are at </w:t>
      </w:r>
      <w:hyperlink r:id="rId13" w:history="1">
        <w:r w:rsidR="0018465E" w:rsidRPr="007611CC">
          <w:rPr>
            <w:rStyle w:val="Hyperlink"/>
            <w:rFonts w:cs="Arial"/>
            <w:szCs w:val="18"/>
            <w:lang w:eastAsia="en-AU"/>
          </w:rPr>
          <w:t>http://www.education.vic.gov.au/school/principals/management/Pages/employeeservices.aspx</w:t>
        </w:r>
      </w:hyperlink>
    </w:p>
    <w:bookmarkEnd w:id="0"/>
    <w:p w14:paraId="266BFE06" w14:textId="77777777" w:rsidR="0018465E" w:rsidRPr="007611CC" w:rsidRDefault="0018465E" w:rsidP="00437DA7">
      <w:pPr>
        <w:autoSpaceDE w:val="0"/>
        <w:autoSpaceDN w:val="0"/>
        <w:adjustRightInd w:val="0"/>
        <w:spacing w:before="240" w:after="0" w:line="240" w:lineRule="auto"/>
        <w:rPr>
          <w:rFonts w:cs="Arial"/>
          <w:color w:val="636467"/>
          <w:szCs w:val="18"/>
          <w:highlight w:val="yellow"/>
          <w:lang w:eastAsia="en-AU"/>
        </w:rPr>
      </w:pPr>
    </w:p>
    <w:sectPr w:rsidR="0018465E" w:rsidRPr="007611CC" w:rsidSect="00DF40CF">
      <w:footerReference w:type="even" r:id="rId14"/>
      <w:footerReference w:type="default" r:id="rId15"/>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2CF1" w14:textId="77777777" w:rsidR="00F05C88" w:rsidRDefault="00F05C88">
      <w:r>
        <w:separator/>
      </w:r>
    </w:p>
  </w:endnote>
  <w:endnote w:type="continuationSeparator" w:id="0">
    <w:p w14:paraId="23288A07" w14:textId="77777777" w:rsidR="00F05C88" w:rsidRDefault="00F0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18465E">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1486D123"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0D6DD8">
      <w:t xml:space="preserve"> – Guide 9 – Managing aggressive reactions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B108" w14:textId="77777777" w:rsidR="00F05C88" w:rsidRDefault="00F05C88">
      <w:r>
        <w:separator/>
      </w:r>
    </w:p>
  </w:footnote>
  <w:footnote w:type="continuationSeparator" w:id="0">
    <w:p w14:paraId="4EDFDDCC" w14:textId="77777777" w:rsidR="00F05C88" w:rsidRDefault="00F0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qzdxLoO7PJSnZdpsWdiHhk7ESo=" w:salt="MjQXq7UW5vkavGPFEWXjnQ=="/>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6DD8"/>
    <w:rsid w:val="000D7B6E"/>
    <w:rsid w:val="000E15F7"/>
    <w:rsid w:val="000E24F1"/>
    <w:rsid w:val="000E29FC"/>
    <w:rsid w:val="000E6E8E"/>
    <w:rsid w:val="000F2173"/>
    <w:rsid w:val="000F2294"/>
    <w:rsid w:val="000F5582"/>
    <w:rsid w:val="000F5F74"/>
    <w:rsid w:val="000F7F86"/>
    <w:rsid w:val="0010054C"/>
    <w:rsid w:val="00102584"/>
    <w:rsid w:val="001059DD"/>
    <w:rsid w:val="001132E2"/>
    <w:rsid w:val="001134F7"/>
    <w:rsid w:val="00120CAF"/>
    <w:rsid w:val="0012135F"/>
    <w:rsid w:val="00126DCF"/>
    <w:rsid w:val="00140050"/>
    <w:rsid w:val="0014153F"/>
    <w:rsid w:val="00152DF0"/>
    <w:rsid w:val="00161755"/>
    <w:rsid w:val="00163E95"/>
    <w:rsid w:val="00166CF5"/>
    <w:rsid w:val="00170CD7"/>
    <w:rsid w:val="0018175E"/>
    <w:rsid w:val="0018465E"/>
    <w:rsid w:val="00191B55"/>
    <w:rsid w:val="00191FD9"/>
    <w:rsid w:val="00193029"/>
    <w:rsid w:val="00193D82"/>
    <w:rsid w:val="0019492E"/>
    <w:rsid w:val="00195AEE"/>
    <w:rsid w:val="001962EA"/>
    <w:rsid w:val="001C215C"/>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37DA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F2BC4"/>
    <w:rsid w:val="004F39EC"/>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B4FA1"/>
    <w:rsid w:val="005C3749"/>
    <w:rsid w:val="005C5078"/>
    <w:rsid w:val="005C7B80"/>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2AB6"/>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11CC"/>
    <w:rsid w:val="0076538C"/>
    <w:rsid w:val="007707BC"/>
    <w:rsid w:val="00774E17"/>
    <w:rsid w:val="007845FA"/>
    <w:rsid w:val="0079603E"/>
    <w:rsid w:val="007A4A4B"/>
    <w:rsid w:val="007A4A54"/>
    <w:rsid w:val="007B1DCB"/>
    <w:rsid w:val="007B6D52"/>
    <w:rsid w:val="007B7FAE"/>
    <w:rsid w:val="007C259F"/>
    <w:rsid w:val="007D32EB"/>
    <w:rsid w:val="007D5EE3"/>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6DEE"/>
    <w:rsid w:val="008A1998"/>
    <w:rsid w:val="008A3E33"/>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6F11"/>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F027F"/>
    <w:rsid w:val="00AF0721"/>
    <w:rsid w:val="00AF3F88"/>
    <w:rsid w:val="00AF50E2"/>
    <w:rsid w:val="00AF6E1F"/>
    <w:rsid w:val="00B04011"/>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40CF"/>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5C88"/>
    <w:rsid w:val="00F07595"/>
    <w:rsid w:val="00F114D2"/>
    <w:rsid w:val="00F15C1C"/>
    <w:rsid w:val="00F16002"/>
    <w:rsid w:val="00F16F74"/>
    <w:rsid w:val="00F177BC"/>
    <w:rsid w:val="00F17E56"/>
    <w:rsid w:val="00F304D7"/>
    <w:rsid w:val="00F3262A"/>
    <w:rsid w:val="00F35EC2"/>
    <w:rsid w:val="00F44D5D"/>
    <w:rsid w:val="00F47532"/>
    <w:rsid w:val="00F60D4C"/>
    <w:rsid w:val="00F6205B"/>
    <w:rsid w:val="00F63A1D"/>
    <w:rsid w:val="00F642CE"/>
    <w:rsid w:val="00F64786"/>
    <w:rsid w:val="00F652BB"/>
    <w:rsid w:val="00F7683C"/>
    <w:rsid w:val="00F76885"/>
    <w:rsid w:val="00F772C4"/>
    <w:rsid w:val="00F81305"/>
    <w:rsid w:val="00F83F6B"/>
    <w:rsid w:val="00F875B3"/>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school/principals/management/Pages/employeeservice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87B29-E66D-406E-9B70-BD5E9139BEA4}"/>
</file>

<file path=customXml/itemProps2.xml><?xml version="1.0" encoding="utf-8"?>
<ds:datastoreItem xmlns:ds="http://schemas.openxmlformats.org/officeDocument/2006/customXml" ds:itemID="{4CD0DC5F-1907-4DC1-9CA9-88D1BDBFB2BC}"/>
</file>

<file path=customXml/itemProps3.xml><?xml version="1.0" encoding="utf-8"?>
<ds:datastoreItem xmlns:ds="http://schemas.openxmlformats.org/officeDocument/2006/customXml" ds:itemID="{6F35092D-2A47-4CF2-8D73-FB68AF27A00A}"/>
</file>

<file path=customXml/itemProps4.xml><?xml version="1.0" encoding="utf-8"?>
<ds:datastoreItem xmlns:ds="http://schemas.openxmlformats.org/officeDocument/2006/customXml" ds:itemID="{A412A8E8-7E58-47D2-9F76-4CF1AB5E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BA5962-B791-4F17-821F-7E2ED42D8A0F}"/>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Guide 9 Aggression</vt:lpstr>
    </vt:vector>
  </TitlesOfParts>
  <Company>DEECD</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aggressive reactions</dc:title>
  <dc:creator>Cameron Best</dc:creator>
  <cp:lastModifiedBy>Bance, Jennie A</cp:lastModifiedBy>
  <cp:revision>4</cp:revision>
  <cp:lastPrinted>2016-01-13T02:45:00Z</cp:lastPrinted>
  <dcterms:created xsi:type="dcterms:W3CDTF">2016-09-28T03:45:00Z</dcterms:created>
  <dcterms:modified xsi:type="dcterms:W3CDTF">2016-09-28T03:55:00Z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{caa4aa68-0e37-437c-b278-00c9193bbfb3}</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R0000136858</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2016-09-28T13:34:31.4401382+10:00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