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60E18" w14:textId="77777777" w:rsidR="0073570C" w:rsidRPr="00901265" w:rsidRDefault="00481BF1" w:rsidP="00BB6565">
      <w:pPr>
        <w:pStyle w:val="ReportTitle"/>
        <w:rPr>
          <w:b/>
        </w:rPr>
      </w:pPr>
      <w:r w:rsidRPr="00901265">
        <w:rPr>
          <w:b/>
        </w:rPr>
        <w:t>Conveyance Allowance Program</w:t>
      </w:r>
    </w:p>
    <w:p w14:paraId="067761D3" w14:textId="77777777" w:rsidR="0073570C" w:rsidRDefault="00481BF1" w:rsidP="00927968">
      <w:pPr>
        <w:pStyle w:val="ReportSub-Title"/>
      </w:pPr>
      <w:r>
        <w:t>Policy and Procedures</w:t>
      </w:r>
    </w:p>
    <w:p w14:paraId="71F1A58F" w14:textId="77777777" w:rsidR="00385DBA" w:rsidRDefault="00481BF1">
      <w:pPr>
        <w:sectPr w:rsidR="00385DBA" w:rsidSect="008578E9">
          <w:headerReference w:type="first" r:id="rId11"/>
          <w:pgSz w:w="11907" w:h="16840" w:code="9"/>
          <w:pgMar w:top="471" w:right="346" w:bottom="12106" w:left="7938" w:header="419" w:footer="709" w:gutter="0"/>
          <w:cols w:space="708"/>
          <w:titlePg/>
          <w:docGrid w:linePitch="360"/>
        </w:sectPr>
      </w:pPr>
      <w:r>
        <w:t>January 201</w:t>
      </w:r>
      <w:r w:rsidR="00A53758">
        <w:t>7</w:t>
      </w:r>
    </w:p>
    <w:p w14:paraId="5E6962AC" w14:textId="77777777" w:rsidR="00951867" w:rsidRDefault="00951867" w:rsidP="00951867">
      <w:pPr>
        <w:pStyle w:val="CopyrightDetailsBold"/>
      </w:pPr>
    </w:p>
    <w:p w14:paraId="0BFB46EA" w14:textId="77777777" w:rsidR="00AA11E9" w:rsidRDefault="00AA11E9" w:rsidP="00951867">
      <w:pPr>
        <w:pStyle w:val="CopyrightDetailsBold"/>
      </w:pPr>
    </w:p>
    <w:p w14:paraId="41DC3E19" w14:textId="77777777" w:rsidR="00AA11E9" w:rsidRDefault="00AA11E9" w:rsidP="00951867">
      <w:pPr>
        <w:pStyle w:val="CopyrightDetailsBold"/>
      </w:pPr>
    </w:p>
    <w:p w14:paraId="39471CAD" w14:textId="77777777" w:rsidR="00AA11E9" w:rsidRDefault="00AA11E9" w:rsidP="00951867">
      <w:pPr>
        <w:pStyle w:val="CopyrightDetailsBold"/>
      </w:pPr>
    </w:p>
    <w:p w14:paraId="7823D948" w14:textId="77777777" w:rsidR="00AA11E9" w:rsidRDefault="00AA11E9" w:rsidP="00951867">
      <w:pPr>
        <w:pStyle w:val="CopyrightDetailsBold"/>
      </w:pPr>
    </w:p>
    <w:p w14:paraId="1253A774" w14:textId="77777777" w:rsidR="00AA11E9" w:rsidRDefault="00AA11E9" w:rsidP="00951867">
      <w:pPr>
        <w:pStyle w:val="CopyrightDetailsBold"/>
      </w:pPr>
    </w:p>
    <w:p w14:paraId="2E4BD034" w14:textId="77777777" w:rsidR="00AA11E9" w:rsidRDefault="00AA11E9" w:rsidP="00951867">
      <w:pPr>
        <w:pStyle w:val="CopyrightDetailsBold"/>
      </w:pPr>
    </w:p>
    <w:p w14:paraId="2D7F242C" w14:textId="77777777" w:rsidR="00AA11E9" w:rsidRDefault="00AA11E9" w:rsidP="00951867">
      <w:pPr>
        <w:pStyle w:val="CopyrightDetailsBold"/>
      </w:pPr>
    </w:p>
    <w:p w14:paraId="019B7831" w14:textId="77777777" w:rsidR="00AA11E9" w:rsidRDefault="00AA11E9" w:rsidP="00951867">
      <w:pPr>
        <w:pStyle w:val="CopyrightDetailsBold"/>
      </w:pPr>
    </w:p>
    <w:p w14:paraId="445E98DD" w14:textId="77777777" w:rsidR="00AA11E9" w:rsidRDefault="00AA11E9" w:rsidP="00951867">
      <w:pPr>
        <w:pStyle w:val="CopyrightDetailsBold"/>
      </w:pPr>
    </w:p>
    <w:p w14:paraId="7C1B1E70" w14:textId="77777777" w:rsidR="00AA11E9" w:rsidRDefault="00AA11E9" w:rsidP="00951867">
      <w:pPr>
        <w:pStyle w:val="CopyrightDetailsBold"/>
      </w:pPr>
    </w:p>
    <w:p w14:paraId="376BB748" w14:textId="77777777" w:rsidR="00AA11E9" w:rsidRDefault="00AA11E9" w:rsidP="00951867">
      <w:pPr>
        <w:pStyle w:val="CopyrightDetailsBold"/>
      </w:pPr>
    </w:p>
    <w:p w14:paraId="3A632417" w14:textId="77777777" w:rsidR="00AA11E9" w:rsidRDefault="00AA11E9" w:rsidP="00951867">
      <w:pPr>
        <w:pStyle w:val="CopyrightDetailsBold"/>
      </w:pPr>
    </w:p>
    <w:p w14:paraId="086C6585" w14:textId="77777777" w:rsidR="00AA11E9" w:rsidRDefault="00AA11E9" w:rsidP="00951867">
      <w:pPr>
        <w:pStyle w:val="CopyrightDetailsBold"/>
      </w:pPr>
    </w:p>
    <w:p w14:paraId="417F46A7" w14:textId="77777777" w:rsidR="00AA11E9" w:rsidRDefault="00AA11E9" w:rsidP="00951867">
      <w:pPr>
        <w:pStyle w:val="CopyrightDetailsBold"/>
      </w:pPr>
    </w:p>
    <w:p w14:paraId="4AC65C5E" w14:textId="77777777" w:rsidR="00AA11E9" w:rsidRDefault="00AA11E9" w:rsidP="00951867">
      <w:pPr>
        <w:pStyle w:val="CopyrightDetailsBold"/>
      </w:pPr>
    </w:p>
    <w:p w14:paraId="36D26AF9" w14:textId="77777777" w:rsidR="00AA11E9" w:rsidRDefault="00AA11E9" w:rsidP="00951867">
      <w:pPr>
        <w:pStyle w:val="CopyrightDetailsBold"/>
      </w:pPr>
    </w:p>
    <w:p w14:paraId="415EB0B8" w14:textId="77777777" w:rsidR="00AA11E9" w:rsidRDefault="00AA11E9" w:rsidP="00951867">
      <w:pPr>
        <w:pStyle w:val="CopyrightDetailsBold"/>
      </w:pPr>
    </w:p>
    <w:p w14:paraId="68AE49A6" w14:textId="77777777" w:rsidR="00AA11E9" w:rsidRDefault="00AA11E9" w:rsidP="00951867">
      <w:pPr>
        <w:pStyle w:val="CopyrightDetailsBold"/>
      </w:pPr>
    </w:p>
    <w:p w14:paraId="014C5819" w14:textId="77777777" w:rsidR="00AA11E9" w:rsidRDefault="00AA11E9" w:rsidP="00951867">
      <w:pPr>
        <w:pStyle w:val="CopyrightDetailsBold"/>
      </w:pPr>
    </w:p>
    <w:p w14:paraId="68DC750C" w14:textId="77777777" w:rsidR="00AA11E9" w:rsidRDefault="00AA11E9" w:rsidP="00951867">
      <w:pPr>
        <w:pStyle w:val="CopyrightDetailsBold"/>
      </w:pPr>
    </w:p>
    <w:p w14:paraId="6C832F84" w14:textId="77777777" w:rsidR="001C265A" w:rsidRDefault="001C265A" w:rsidP="00F015D8">
      <w:pPr>
        <w:pStyle w:val="CopyrightDetailsBold"/>
      </w:pPr>
      <w:r>
        <w:t xml:space="preserve">Published by the </w:t>
      </w:r>
    </w:p>
    <w:p w14:paraId="7FC2BE4E" w14:textId="77777777" w:rsidR="00951867" w:rsidRPr="00F015D8" w:rsidRDefault="00643A84" w:rsidP="00F015D8">
      <w:pPr>
        <w:pStyle w:val="CopyrightDetailsBold"/>
      </w:pPr>
      <w:r w:rsidRPr="00F015D8">
        <w:t>Department of Education and</w:t>
      </w:r>
      <w:r w:rsidR="0022744F">
        <w:t xml:space="preserve"> </w:t>
      </w:r>
      <w:r w:rsidR="00F84302">
        <w:t>Training</w:t>
      </w:r>
    </w:p>
    <w:p w14:paraId="6D0BB124" w14:textId="77777777" w:rsidR="00937BBB" w:rsidRDefault="00643A84" w:rsidP="00951867">
      <w:pPr>
        <w:pStyle w:val="CopyrightDetails"/>
      </w:pPr>
      <w:r w:rsidRPr="00643A84">
        <w:t>Melbourne</w:t>
      </w:r>
      <w:r w:rsidR="00937BBB">
        <w:br/>
      </w:r>
      <w:r w:rsidR="00481BF1">
        <w:t>January 201</w:t>
      </w:r>
      <w:r w:rsidR="00A53758">
        <w:t>7</w:t>
      </w:r>
    </w:p>
    <w:p w14:paraId="7497A730" w14:textId="77777777" w:rsidR="00937BBB" w:rsidRDefault="00937BBB" w:rsidP="00951867">
      <w:pPr>
        <w:pStyle w:val="CopyrightDetails"/>
      </w:pPr>
    </w:p>
    <w:p w14:paraId="78F5D90A" w14:textId="77777777" w:rsidR="00643A84" w:rsidRDefault="00643A84" w:rsidP="00951867">
      <w:pPr>
        <w:pStyle w:val="CopyrightDetails"/>
      </w:pPr>
      <w:r w:rsidRPr="00643A84">
        <w:t>©</w:t>
      </w:r>
      <w:r w:rsidR="00D52862">
        <w:t xml:space="preserve"> </w:t>
      </w:r>
      <w:r w:rsidRPr="00643A84">
        <w:t>State of Victoria (Department of Education</w:t>
      </w:r>
      <w:r w:rsidR="0022744F">
        <w:t xml:space="preserve"> </w:t>
      </w:r>
      <w:r w:rsidRPr="00643A84">
        <w:t xml:space="preserve">and </w:t>
      </w:r>
      <w:r w:rsidR="00F84302">
        <w:t>Training</w:t>
      </w:r>
      <w:r w:rsidRPr="00643A84">
        <w:t xml:space="preserve">) </w:t>
      </w:r>
      <w:r w:rsidR="00F84302">
        <w:t>201</w:t>
      </w:r>
      <w:r w:rsidR="00A53758">
        <w:t>6</w:t>
      </w:r>
    </w:p>
    <w:p w14:paraId="0A945789" w14:textId="77777777" w:rsidR="00643A84" w:rsidRDefault="00643A84" w:rsidP="00951867">
      <w:pPr>
        <w:pStyle w:val="CopyrightDetails"/>
      </w:pPr>
    </w:p>
    <w:p w14:paraId="77EEE2D5" w14:textId="77777777" w:rsidR="00643A84" w:rsidRPr="00F015D8" w:rsidRDefault="00643A84" w:rsidP="00F015D8">
      <w:pPr>
        <w:pStyle w:val="CopyrightDetails"/>
      </w:pPr>
      <w:r w:rsidRPr="00F015D8">
        <w:t>The copyright in this document is owned by the State of Victoria (</w:t>
      </w:r>
      <w:r w:rsidR="00F84302">
        <w:t>Department of Education and Training</w:t>
      </w:r>
      <w:r w:rsidRPr="00F015D8">
        <w:t xml:space="preserve">), or in </w:t>
      </w:r>
      <w:r w:rsidR="003402E1" w:rsidRPr="00F015D8">
        <w:br/>
      </w:r>
      <w:r w:rsidRPr="00F015D8">
        <w:t>the case of some materials, by third parties (third party materials). No part may be reproduced by any process except in accordance with the provisions of the Copyright Act 1968, the National Education Access Licence for Schools (NEALS) (see below) or with permission.</w:t>
      </w:r>
    </w:p>
    <w:p w14:paraId="2280EAD5" w14:textId="77777777" w:rsidR="00951867" w:rsidRDefault="00951867" w:rsidP="00951867">
      <w:pPr>
        <w:pStyle w:val="CopyrightDetails"/>
      </w:pPr>
    </w:p>
    <w:p w14:paraId="46BDC51F" w14:textId="77777777" w:rsidR="00951867" w:rsidRDefault="00951867" w:rsidP="00F015D8">
      <w:pPr>
        <w:pStyle w:val="CopyrightDetails-Logo"/>
      </w:pPr>
    </w:p>
    <w:p w14:paraId="794004A2" w14:textId="77777777" w:rsidR="00643A84" w:rsidRDefault="00643A84" w:rsidP="00951867">
      <w:pPr>
        <w:pStyle w:val="CopyrightDetails"/>
      </w:pPr>
      <w:r w:rsidRPr="00643A84">
        <w:t xml:space="preserve">An educational institution situated in Australia which is not conducted </w:t>
      </w:r>
      <w:r>
        <w:t>for profit, or a body responsible for administering such an institution</w:t>
      </w:r>
      <w:r w:rsidR="003402E1">
        <w:t xml:space="preserve"> </w:t>
      </w:r>
      <w:r w:rsidRPr="00643A84">
        <w:t>may copy and communicate the materials, other than third party materials, for the educational purposes of the institution.</w:t>
      </w:r>
    </w:p>
    <w:p w14:paraId="27FEBAE8" w14:textId="77777777" w:rsidR="00643A84" w:rsidRDefault="00643A84" w:rsidP="00951867">
      <w:pPr>
        <w:pStyle w:val="CopyrightDetails"/>
      </w:pPr>
    </w:p>
    <w:p w14:paraId="72551A17" w14:textId="77777777" w:rsidR="00385DBA" w:rsidRPr="00643A84" w:rsidRDefault="00643A84" w:rsidP="00951867">
      <w:pPr>
        <w:pStyle w:val="CopyrightDetails"/>
      </w:pPr>
      <w:r w:rsidRPr="00643A84">
        <w:t>Authorised by the Department of Education</w:t>
      </w:r>
      <w:r w:rsidR="0022744F">
        <w:t xml:space="preserve"> </w:t>
      </w:r>
      <w:r w:rsidRPr="00643A84">
        <w:t xml:space="preserve">and </w:t>
      </w:r>
      <w:r w:rsidR="00F84302">
        <w:t>Training</w:t>
      </w:r>
      <w:r w:rsidRPr="00643A84">
        <w:t>,</w:t>
      </w:r>
      <w:r>
        <w:br/>
      </w:r>
      <w:r w:rsidRPr="00643A84">
        <w:t>2 Treasury Place, East Melbourne, Victoria, 3002.</w:t>
      </w:r>
      <w:r>
        <w:br/>
      </w:r>
      <w:r>
        <w:br/>
      </w:r>
      <w:r w:rsidRPr="00643A84">
        <w:t>This document is also available on the internet at</w:t>
      </w:r>
      <w:r>
        <w:br/>
      </w:r>
      <w:hyperlink r:id="rId12" w:history="1">
        <w:r w:rsidR="0005496D" w:rsidRPr="00DF4E0F">
          <w:rPr>
            <w:rStyle w:val="Hyperlink"/>
          </w:rPr>
          <w:t>www.education.vic.gov.au/studenttransport</w:t>
        </w:r>
      </w:hyperlink>
      <w:r w:rsidR="0005496D">
        <w:t xml:space="preserve">. </w:t>
      </w:r>
    </w:p>
    <w:p w14:paraId="45D6CCF5" w14:textId="77777777" w:rsidR="000031E0" w:rsidRDefault="000031E0"/>
    <w:p w14:paraId="5D965845" w14:textId="77777777" w:rsidR="00385DBA" w:rsidRDefault="00385DBA">
      <w:pPr>
        <w:sectPr w:rsidR="00385DBA" w:rsidSect="00E735EB">
          <w:headerReference w:type="even" r:id="rId13"/>
          <w:headerReference w:type="default" r:id="rId14"/>
          <w:footerReference w:type="even" r:id="rId15"/>
          <w:footerReference w:type="default" r:id="rId16"/>
          <w:headerReference w:type="first" r:id="rId17"/>
          <w:footerReference w:type="first" r:id="rId18"/>
          <w:pgSz w:w="11907" w:h="16840" w:code="9"/>
          <w:pgMar w:top="907" w:right="4536" w:bottom="1009" w:left="1707" w:header="420" w:footer="216" w:gutter="0"/>
          <w:cols w:space="708"/>
          <w:docGrid w:linePitch="360"/>
        </w:sectPr>
      </w:pPr>
    </w:p>
    <w:p w14:paraId="6BC548F9" w14:textId="77777777" w:rsidR="00787D35" w:rsidRDefault="00AF50E2">
      <w:pPr>
        <w:pStyle w:val="TOC1"/>
        <w:rPr>
          <w:rFonts w:asciiTheme="minorHAnsi" w:eastAsiaTheme="minorEastAsia" w:hAnsiTheme="minorHAnsi" w:cstheme="minorBidi"/>
          <w:b w:val="0"/>
          <w:color w:val="auto"/>
          <w:sz w:val="22"/>
          <w:szCs w:val="22"/>
          <w:lang w:eastAsia="en-AU"/>
        </w:rPr>
      </w:pPr>
      <w:r>
        <w:lastRenderedPageBreak/>
        <w:fldChar w:fldCharType="begin"/>
      </w:r>
      <w:r>
        <w:instrText xml:space="preserve"> TOC \o "1-2"</w:instrText>
      </w:r>
      <w:r w:rsidR="00653634">
        <w:instrText xml:space="preserve"> \n 1-1</w:instrText>
      </w:r>
      <w:r>
        <w:instrText xml:space="preserve"> </w:instrText>
      </w:r>
      <w:r>
        <w:fldChar w:fldCharType="separate"/>
      </w:r>
      <w:r w:rsidR="00787D35">
        <w:t>1.</w:t>
      </w:r>
      <w:r w:rsidR="00787D35">
        <w:rPr>
          <w:rFonts w:asciiTheme="minorHAnsi" w:eastAsiaTheme="minorEastAsia" w:hAnsiTheme="minorHAnsi" w:cstheme="minorBidi"/>
          <w:b w:val="0"/>
          <w:color w:val="auto"/>
          <w:sz w:val="22"/>
          <w:szCs w:val="22"/>
          <w:lang w:eastAsia="en-AU"/>
        </w:rPr>
        <w:tab/>
      </w:r>
      <w:r w:rsidR="00787D35">
        <w:t>Introduction</w:t>
      </w:r>
    </w:p>
    <w:p w14:paraId="0A8D669B" w14:textId="77777777" w:rsidR="00787D35" w:rsidRDefault="00787D35">
      <w:pPr>
        <w:pStyle w:val="TOC1"/>
        <w:rPr>
          <w:rFonts w:asciiTheme="minorHAnsi" w:eastAsiaTheme="minorEastAsia" w:hAnsiTheme="minorHAnsi" w:cstheme="minorBidi"/>
          <w:b w:val="0"/>
          <w:color w:val="auto"/>
          <w:sz w:val="22"/>
          <w:szCs w:val="22"/>
          <w:lang w:eastAsia="en-AU"/>
        </w:rPr>
      </w:pPr>
      <w:r>
        <w:t>2.</w:t>
      </w:r>
      <w:r>
        <w:rPr>
          <w:rFonts w:asciiTheme="minorHAnsi" w:eastAsiaTheme="minorEastAsia" w:hAnsiTheme="minorHAnsi" w:cstheme="minorBidi"/>
          <w:b w:val="0"/>
          <w:color w:val="auto"/>
          <w:sz w:val="22"/>
          <w:szCs w:val="22"/>
          <w:lang w:eastAsia="en-AU"/>
        </w:rPr>
        <w:tab/>
      </w:r>
      <w:r w:rsidR="00685544">
        <w:rPr>
          <w:rFonts w:asciiTheme="minorHAnsi" w:eastAsiaTheme="minorEastAsia" w:hAnsiTheme="minorHAnsi" w:cstheme="minorBidi"/>
          <w:b w:val="0"/>
          <w:color w:val="auto"/>
          <w:sz w:val="22"/>
          <w:szCs w:val="22"/>
          <w:lang w:eastAsia="en-AU"/>
        </w:rPr>
        <w:t>E</w:t>
      </w:r>
      <w:r>
        <w:t>ligibility for the Conveyance Allowance Program (CAP)</w:t>
      </w:r>
    </w:p>
    <w:p w14:paraId="6DA5FC62" w14:textId="77777777" w:rsidR="00787D35" w:rsidRDefault="00787D35">
      <w:pPr>
        <w:pStyle w:val="TOC2"/>
        <w:rPr>
          <w:rFonts w:asciiTheme="minorHAnsi" w:eastAsiaTheme="minorEastAsia" w:hAnsiTheme="minorHAnsi" w:cstheme="minorBidi"/>
          <w:noProof/>
          <w:color w:val="auto"/>
          <w:sz w:val="22"/>
          <w:szCs w:val="22"/>
          <w:lang w:eastAsia="en-AU"/>
        </w:rPr>
      </w:pPr>
      <w:r>
        <w:rPr>
          <w:noProof/>
        </w:rPr>
        <w:t>All schools</w:t>
      </w:r>
      <w:r>
        <w:rPr>
          <w:noProof/>
        </w:rPr>
        <w:tab/>
      </w:r>
      <w:r>
        <w:rPr>
          <w:noProof/>
        </w:rPr>
        <w:fldChar w:fldCharType="begin"/>
      </w:r>
      <w:r>
        <w:rPr>
          <w:noProof/>
        </w:rPr>
        <w:instrText xml:space="preserve"> PAGEREF _Toc408317572 \h </w:instrText>
      </w:r>
      <w:r>
        <w:rPr>
          <w:noProof/>
        </w:rPr>
      </w:r>
      <w:r>
        <w:rPr>
          <w:noProof/>
        </w:rPr>
        <w:fldChar w:fldCharType="separate"/>
      </w:r>
      <w:r w:rsidR="007A4647">
        <w:rPr>
          <w:noProof/>
        </w:rPr>
        <w:t>4</w:t>
      </w:r>
      <w:r>
        <w:rPr>
          <w:noProof/>
        </w:rPr>
        <w:fldChar w:fldCharType="end"/>
      </w:r>
    </w:p>
    <w:p w14:paraId="13D01EA9" w14:textId="77777777" w:rsidR="00787D35" w:rsidRDefault="00787D35">
      <w:pPr>
        <w:pStyle w:val="TOC2"/>
        <w:rPr>
          <w:rFonts w:asciiTheme="minorHAnsi" w:eastAsiaTheme="minorEastAsia" w:hAnsiTheme="minorHAnsi" w:cstheme="minorBidi"/>
          <w:noProof/>
          <w:color w:val="auto"/>
          <w:sz w:val="22"/>
          <w:szCs w:val="22"/>
          <w:lang w:eastAsia="en-AU"/>
        </w:rPr>
      </w:pPr>
      <w:r>
        <w:rPr>
          <w:noProof/>
        </w:rPr>
        <w:t>Mainstream schools</w:t>
      </w:r>
      <w:r>
        <w:rPr>
          <w:noProof/>
        </w:rPr>
        <w:tab/>
      </w:r>
      <w:r>
        <w:rPr>
          <w:noProof/>
        </w:rPr>
        <w:fldChar w:fldCharType="begin"/>
      </w:r>
      <w:r>
        <w:rPr>
          <w:noProof/>
        </w:rPr>
        <w:instrText xml:space="preserve"> PAGEREF _Toc408317573 \h </w:instrText>
      </w:r>
      <w:r>
        <w:rPr>
          <w:noProof/>
        </w:rPr>
      </w:r>
      <w:r>
        <w:rPr>
          <w:noProof/>
        </w:rPr>
        <w:fldChar w:fldCharType="separate"/>
      </w:r>
      <w:r w:rsidR="007A4647">
        <w:rPr>
          <w:noProof/>
        </w:rPr>
        <w:t>4</w:t>
      </w:r>
      <w:r>
        <w:rPr>
          <w:noProof/>
        </w:rPr>
        <w:fldChar w:fldCharType="end"/>
      </w:r>
    </w:p>
    <w:p w14:paraId="3234F1F7" w14:textId="77777777" w:rsidR="00787D35" w:rsidRDefault="00787D35">
      <w:pPr>
        <w:pStyle w:val="TOC2"/>
        <w:rPr>
          <w:rFonts w:asciiTheme="minorHAnsi" w:eastAsiaTheme="minorEastAsia" w:hAnsiTheme="minorHAnsi" w:cstheme="minorBidi"/>
          <w:noProof/>
          <w:color w:val="auto"/>
          <w:sz w:val="22"/>
          <w:szCs w:val="22"/>
          <w:lang w:eastAsia="en-AU"/>
        </w:rPr>
      </w:pPr>
      <w:r>
        <w:rPr>
          <w:noProof/>
        </w:rPr>
        <w:t>Specialist schools</w:t>
      </w:r>
      <w:r>
        <w:rPr>
          <w:noProof/>
        </w:rPr>
        <w:tab/>
      </w:r>
      <w:r>
        <w:rPr>
          <w:noProof/>
        </w:rPr>
        <w:fldChar w:fldCharType="begin"/>
      </w:r>
      <w:r>
        <w:rPr>
          <w:noProof/>
        </w:rPr>
        <w:instrText xml:space="preserve"> PAGEREF _Toc408317574 \h </w:instrText>
      </w:r>
      <w:r>
        <w:rPr>
          <w:noProof/>
        </w:rPr>
      </w:r>
      <w:r>
        <w:rPr>
          <w:noProof/>
        </w:rPr>
        <w:fldChar w:fldCharType="separate"/>
      </w:r>
      <w:r w:rsidR="007A4647">
        <w:rPr>
          <w:noProof/>
        </w:rPr>
        <w:t>11</w:t>
      </w:r>
      <w:r>
        <w:rPr>
          <w:noProof/>
        </w:rPr>
        <w:fldChar w:fldCharType="end"/>
      </w:r>
    </w:p>
    <w:p w14:paraId="34336FE4" w14:textId="77777777" w:rsidR="00787D35" w:rsidRDefault="00787D35">
      <w:pPr>
        <w:pStyle w:val="TOC2"/>
        <w:rPr>
          <w:rFonts w:asciiTheme="minorHAnsi" w:eastAsiaTheme="minorEastAsia" w:hAnsiTheme="minorHAnsi" w:cstheme="minorBidi"/>
          <w:noProof/>
          <w:color w:val="auto"/>
          <w:sz w:val="22"/>
          <w:szCs w:val="22"/>
          <w:lang w:eastAsia="en-AU"/>
        </w:rPr>
      </w:pPr>
      <w:r>
        <w:rPr>
          <w:noProof/>
        </w:rPr>
        <w:t>Specialist settings</w:t>
      </w:r>
      <w:r>
        <w:rPr>
          <w:noProof/>
        </w:rPr>
        <w:tab/>
      </w:r>
      <w:r>
        <w:rPr>
          <w:noProof/>
        </w:rPr>
        <w:fldChar w:fldCharType="begin"/>
      </w:r>
      <w:r>
        <w:rPr>
          <w:noProof/>
        </w:rPr>
        <w:instrText xml:space="preserve"> PAGEREF _Toc408317575 \h </w:instrText>
      </w:r>
      <w:r>
        <w:rPr>
          <w:noProof/>
        </w:rPr>
      </w:r>
      <w:r>
        <w:rPr>
          <w:noProof/>
        </w:rPr>
        <w:fldChar w:fldCharType="separate"/>
      </w:r>
      <w:r w:rsidR="007A4647">
        <w:rPr>
          <w:noProof/>
        </w:rPr>
        <w:t>11</w:t>
      </w:r>
      <w:r>
        <w:rPr>
          <w:noProof/>
        </w:rPr>
        <w:fldChar w:fldCharType="end"/>
      </w:r>
    </w:p>
    <w:p w14:paraId="34584B88" w14:textId="77777777" w:rsidR="00787D35" w:rsidRDefault="00787D35">
      <w:pPr>
        <w:pStyle w:val="TOC2"/>
        <w:rPr>
          <w:rFonts w:asciiTheme="minorHAnsi" w:eastAsiaTheme="minorEastAsia" w:hAnsiTheme="minorHAnsi" w:cstheme="minorBidi"/>
          <w:noProof/>
          <w:color w:val="auto"/>
          <w:sz w:val="22"/>
          <w:szCs w:val="22"/>
          <w:lang w:eastAsia="en-AU"/>
        </w:rPr>
      </w:pPr>
      <w:r>
        <w:rPr>
          <w:noProof/>
        </w:rPr>
        <w:t>Other important information</w:t>
      </w:r>
      <w:r>
        <w:rPr>
          <w:noProof/>
        </w:rPr>
        <w:tab/>
      </w:r>
      <w:r>
        <w:rPr>
          <w:noProof/>
        </w:rPr>
        <w:fldChar w:fldCharType="begin"/>
      </w:r>
      <w:r>
        <w:rPr>
          <w:noProof/>
        </w:rPr>
        <w:instrText xml:space="preserve"> PAGEREF _Toc408317576 \h </w:instrText>
      </w:r>
      <w:r>
        <w:rPr>
          <w:noProof/>
        </w:rPr>
      </w:r>
      <w:r>
        <w:rPr>
          <w:noProof/>
        </w:rPr>
        <w:fldChar w:fldCharType="separate"/>
      </w:r>
      <w:r w:rsidR="007A4647">
        <w:rPr>
          <w:noProof/>
        </w:rPr>
        <w:t>12</w:t>
      </w:r>
      <w:r>
        <w:rPr>
          <w:noProof/>
        </w:rPr>
        <w:fldChar w:fldCharType="end"/>
      </w:r>
    </w:p>
    <w:p w14:paraId="3A5661BF" w14:textId="77777777" w:rsidR="00787D35" w:rsidRDefault="00787D35">
      <w:pPr>
        <w:pStyle w:val="TOC2"/>
        <w:rPr>
          <w:rFonts w:asciiTheme="minorHAnsi" w:eastAsiaTheme="minorEastAsia" w:hAnsiTheme="minorHAnsi" w:cstheme="minorBidi"/>
          <w:noProof/>
          <w:color w:val="auto"/>
          <w:sz w:val="22"/>
          <w:szCs w:val="22"/>
          <w:lang w:eastAsia="en-AU"/>
        </w:rPr>
      </w:pPr>
      <w:r>
        <w:rPr>
          <w:noProof/>
        </w:rPr>
        <w:t>Other exceptional circumstances or appeals or special cases</w:t>
      </w:r>
      <w:r>
        <w:rPr>
          <w:noProof/>
        </w:rPr>
        <w:tab/>
      </w:r>
      <w:r>
        <w:rPr>
          <w:noProof/>
        </w:rPr>
        <w:fldChar w:fldCharType="begin"/>
      </w:r>
      <w:r>
        <w:rPr>
          <w:noProof/>
        </w:rPr>
        <w:instrText xml:space="preserve"> PAGEREF _Toc408317577 \h </w:instrText>
      </w:r>
      <w:r>
        <w:rPr>
          <w:noProof/>
        </w:rPr>
      </w:r>
      <w:r>
        <w:rPr>
          <w:noProof/>
        </w:rPr>
        <w:fldChar w:fldCharType="separate"/>
      </w:r>
      <w:r w:rsidR="007A4647">
        <w:rPr>
          <w:noProof/>
        </w:rPr>
        <w:t>13</w:t>
      </w:r>
      <w:r>
        <w:rPr>
          <w:noProof/>
        </w:rPr>
        <w:fldChar w:fldCharType="end"/>
      </w:r>
    </w:p>
    <w:p w14:paraId="1EF09EDA" w14:textId="77777777" w:rsidR="00787D35" w:rsidRDefault="00787D35">
      <w:pPr>
        <w:pStyle w:val="TOC1"/>
        <w:rPr>
          <w:rFonts w:asciiTheme="minorHAnsi" w:eastAsiaTheme="minorEastAsia" w:hAnsiTheme="minorHAnsi" w:cstheme="minorBidi"/>
          <w:b w:val="0"/>
          <w:color w:val="auto"/>
          <w:sz w:val="22"/>
          <w:szCs w:val="22"/>
          <w:lang w:eastAsia="en-AU"/>
        </w:rPr>
      </w:pPr>
      <w:r>
        <w:t>3.</w:t>
      </w:r>
      <w:r>
        <w:rPr>
          <w:rFonts w:asciiTheme="minorHAnsi" w:eastAsiaTheme="minorEastAsia" w:hAnsiTheme="minorHAnsi" w:cstheme="minorBidi"/>
          <w:b w:val="0"/>
          <w:color w:val="auto"/>
          <w:sz w:val="22"/>
          <w:szCs w:val="22"/>
          <w:lang w:eastAsia="en-AU"/>
        </w:rPr>
        <w:tab/>
      </w:r>
      <w:r>
        <w:t>Types of Assistance Available</w:t>
      </w:r>
    </w:p>
    <w:p w14:paraId="100AC918" w14:textId="77777777" w:rsidR="00787D35" w:rsidRDefault="00787D35">
      <w:pPr>
        <w:pStyle w:val="TOC2"/>
        <w:rPr>
          <w:rFonts w:asciiTheme="minorHAnsi" w:eastAsiaTheme="minorEastAsia" w:hAnsiTheme="minorHAnsi" w:cstheme="minorBidi"/>
          <w:noProof/>
          <w:color w:val="auto"/>
          <w:sz w:val="22"/>
          <w:szCs w:val="22"/>
          <w:lang w:eastAsia="en-AU"/>
        </w:rPr>
      </w:pPr>
      <w:r>
        <w:rPr>
          <w:noProof/>
        </w:rPr>
        <w:t>Public transport</w:t>
      </w:r>
      <w:r>
        <w:rPr>
          <w:noProof/>
        </w:rPr>
        <w:tab/>
      </w:r>
      <w:r>
        <w:rPr>
          <w:noProof/>
        </w:rPr>
        <w:fldChar w:fldCharType="begin"/>
      </w:r>
      <w:r>
        <w:rPr>
          <w:noProof/>
        </w:rPr>
        <w:instrText xml:space="preserve"> PAGEREF _Toc408317579 \h </w:instrText>
      </w:r>
      <w:r>
        <w:rPr>
          <w:noProof/>
        </w:rPr>
      </w:r>
      <w:r>
        <w:rPr>
          <w:noProof/>
        </w:rPr>
        <w:fldChar w:fldCharType="separate"/>
      </w:r>
      <w:r w:rsidR="007A4647">
        <w:rPr>
          <w:noProof/>
        </w:rPr>
        <w:t>14</w:t>
      </w:r>
      <w:r>
        <w:rPr>
          <w:noProof/>
        </w:rPr>
        <w:fldChar w:fldCharType="end"/>
      </w:r>
    </w:p>
    <w:p w14:paraId="08D16488" w14:textId="77777777" w:rsidR="00787D35" w:rsidRDefault="00787D35">
      <w:pPr>
        <w:pStyle w:val="TOC2"/>
        <w:rPr>
          <w:rFonts w:asciiTheme="minorHAnsi" w:eastAsiaTheme="minorEastAsia" w:hAnsiTheme="minorHAnsi" w:cstheme="minorBidi"/>
          <w:noProof/>
          <w:color w:val="auto"/>
          <w:sz w:val="22"/>
          <w:szCs w:val="22"/>
          <w:lang w:eastAsia="en-AU"/>
        </w:rPr>
      </w:pPr>
      <w:r>
        <w:rPr>
          <w:noProof/>
        </w:rPr>
        <w:t>Private bus</w:t>
      </w:r>
      <w:r>
        <w:rPr>
          <w:noProof/>
        </w:rPr>
        <w:tab/>
      </w:r>
      <w:r>
        <w:rPr>
          <w:noProof/>
        </w:rPr>
        <w:fldChar w:fldCharType="begin"/>
      </w:r>
      <w:r>
        <w:rPr>
          <w:noProof/>
        </w:rPr>
        <w:instrText xml:space="preserve"> PAGEREF _Toc408317580 \h </w:instrText>
      </w:r>
      <w:r>
        <w:rPr>
          <w:noProof/>
        </w:rPr>
      </w:r>
      <w:r>
        <w:rPr>
          <w:noProof/>
        </w:rPr>
        <w:fldChar w:fldCharType="separate"/>
      </w:r>
      <w:r w:rsidR="007A4647">
        <w:rPr>
          <w:noProof/>
        </w:rPr>
        <w:t>14</w:t>
      </w:r>
      <w:r>
        <w:rPr>
          <w:noProof/>
        </w:rPr>
        <w:fldChar w:fldCharType="end"/>
      </w:r>
    </w:p>
    <w:p w14:paraId="640A5B78" w14:textId="77777777" w:rsidR="00787D35" w:rsidRDefault="00787D35">
      <w:pPr>
        <w:pStyle w:val="TOC2"/>
        <w:rPr>
          <w:rFonts w:asciiTheme="minorHAnsi" w:eastAsiaTheme="minorEastAsia" w:hAnsiTheme="minorHAnsi" w:cstheme="minorBidi"/>
          <w:noProof/>
          <w:color w:val="auto"/>
          <w:sz w:val="22"/>
          <w:szCs w:val="22"/>
          <w:lang w:eastAsia="en-AU"/>
        </w:rPr>
      </w:pPr>
      <w:r>
        <w:rPr>
          <w:noProof/>
        </w:rPr>
        <w:t>Private car</w:t>
      </w:r>
      <w:r>
        <w:rPr>
          <w:noProof/>
        </w:rPr>
        <w:tab/>
      </w:r>
      <w:r>
        <w:rPr>
          <w:noProof/>
        </w:rPr>
        <w:fldChar w:fldCharType="begin"/>
      </w:r>
      <w:r>
        <w:rPr>
          <w:noProof/>
        </w:rPr>
        <w:instrText xml:space="preserve"> PAGEREF _Toc408317581 \h </w:instrText>
      </w:r>
      <w:r>
        <w:rPr>
          <w:noProof/>
        </w:rPr>
      </w:r>
      <w:r>
        <w:rPr>
          <w:noProof/>
        </w:rPr>
        <w:fldChar w:fldCharType="separate"/>
      </w:r>
      <w:r w:rsidR="007A4647">
        <w:rPr>
          <w:noProof/>
        </w:rPr>
        <w:t>14</w:t>
      </w:r>
      <w:r>
        <w:rPr>
          <w:noProof/>
        </w:rPr>
        <w:fldChar w:fldCharType="end"/>
      </w:r>
    </w:p>
    <w:p w14:paraId="7C63EEEB" w14:textId="77777777" w:rsidR="00787D35" w:rsidRDefault="00787D35">
      <w:pPr>
        <w:pStyle w:val="TOC2"/>
        <w:rPr>
          <w:rFonts w:asciiTheme="minorHAnsi" w:eastAsiaTheme="minorEastAsia" w:hAnsiTheme="minorHAnsi" w:cstheme="minorBidi"/>
          <w:noProof/>
          <w:color w:val="auto"/>
          <w:sz w:val="22"/>
          <w:szCs w:val="22"/>
          <w:lang w:eastAsia="en-AU"/>
        </w:rPr>
      </w:pPr>
      <w:r>
        <w:rPr>
          <w:noProof/>
        </w:rPr>
        <w:t>Multimode conveyance allowances</w:t>
      </w:r>
      <w:r>
        <w:rPr>
          <w:noProof/>
        </w:rPr>
        <w:tab/>
      </w:r>
      <w:r>
        <w:rPr>
          <w:noProof/>
        </w:rPr>
        <w:fldChar w:fldCharType="begin"/>
      </w:r>
      <w:r>
        <w:rPr>
          <w:noProof/>
        </w:rPr>
        <w:instrText xml:space="preserve"> PAGEREF _Toc408317582 \h </w:instrText>
      </w:r>
      <w:r>
        <w:rPr>
          <w:noProof/>
        </w:rPr>
      </w:r>
      <w:r>
        <w:rPr>
          <w:noProof/>
        </w:rPr>
        <w:fldChar w:fldCharType="separate"/>
      </w:r>
      <w:r w:rsidR="007A4647">
        <w:rPr>
          <w:noProof/>
        </w:rPr>
        <w:t>14</w:t>
      </w:r>
      <w:r>
        <w:rPr>
          <w:noProof/>
        </w:rPr>
        <w:fldChar w:fldCharType="end"/>
      </w:r>
    </w:p>
    <w:p w14:paraId="20D1B5E5" w14:textId="77777777" w:rsidR="00787D35" w:rsidRDefault="00787D35">
      <w:pPr>
        <w:pStyle w:val="TOC2"/>
        <w:rPr>
          <w:rFonts w:asciiTheme="minorHAnsi" w:eastAsiaTheme="minorEastAsia" w:hAnsiTheme="minorHAnsi" w:cstheme="minorBidi"/>
          <w:noProof/>
          <w:color w:val="auto"/>
          <w:sz w:val="22"/>
          <w:szCs w:val="22"/>
          <w:lang w:eastAsia="en-AU"/>
        </w:rPr>
      </w:pPr>
      <w:r>
        <w:rPr>
          <w:noProof/>
        </w:rPr>
        <w:t>Other transport modes</w:t>
      </w:r>
      <w:r>
        <w:rPr>
          <w:noProof/>
        </w:rPr>
        <w:tab/>
      </w:r>
      <w:r>
        <w:rPr>
          <w:noProof/>
        </w:rPr>
        <w:fldChar w:fldCharType="begin"/>
      </w:r>
      <w:r>
        <w:rPr>
          <w:noProof/>
        </w:rPr>
        <w:instrText xml:space="preserve"> PAGEREF _Toc408317583 \h </w:instrText>
      </w:r>
      <w:r>
        <w:rPr>
          <w:noProof/>
        </w:rPr>
      </w:r>
      <w:r>
        <w:rPr>
          <w:noProof/>
        </w:rPr>
        <w:fldChar w:fldCharType="separate"/>
      </w:r>
      <w:r w:rsidR="007A4647">
        <w:rPr>
          <w:noProof/>
        </w:rPr>
        <w:t>15</w:t>
      </w:r>
      <w:r>
        <w:rPr>
          <w:noProof/>
        </w:rPr>
        <w:fldChar w:fldCharType="end"/>
      </w:r>
    </w:p>
    <w:p w14:paraId="283BC3DF" w14:textId="77777777" w:rsidR="00787D35" w:rsidRDefault="00787D35">
      <w:pPr>
        <w:pStyle w:val="TOC1"/>
        <w:rPr>
          <w:rFonts w:asciiTheme="minorHAnsi" w:eastAsiaTheme="minorEastAsia" w:hAnsiTheme="minorHAnsi" w:cstheme="minorBidi"/>
          <w:b w:val="0"/>
          <w:color w:val="auto"/>
          <w:sz w:val="22"/>
          <w:szCs w:val="22"/>
          <w:lang w:eastAsia="en-AU"/>
        </w:rPr>
      </w:pPr>
      <w:r>
        <w:t>4.</w:t>
      </w:r>
      <w:r>
        <w:rPr>
          <w:rFonts w:asciiTheme="minorHAnsi" w:eastAsiaTheme="minorEastAsia" w:hAnsiTheme="minorHAnsi" w:cstheme="minorBidi"/>
          <w:b w:val="0"/>
          <w:color w:val="auto"/>
          <w:sz w:val="22"/>
          <w:szCs w:val="22"/>
          <w:lang w:eastAsia="en-AU"/>
        </w:rPr>
        <w:tab/>
      </w:r>
      <w:r>
        <w:t>Administration of the Conveyance Allowance Program</w:t>
      </w:r>
    </w:p>
    <w:p w14:paraId="17D605E6" w14:textId="77777777" w:rsidR="00787D35" w:rsidRDefault="00787D35">
      <w:pPr>
        <w:pStyle w:val="TOC2"/>
        <w:rPr>
          <w:rFonts w:asciiTheme="minorHAnsi" w:eastAsiaTheme="minorEastAsia" w:hAnsiTheme="minorHAnsi" w:cstheme="minorBidi"/>
          <w:noProof/>
          <w:color w:val="auto"/>
          <w:sz w:val="22"/>
          <w:szCs w:val="22"/>
          <w:lang w:eastAsia="en-AU"/>
        </w:rPr>
      </w:pPr>
      <w:r>
        <w:rPr>
          <w:noProof/>
        </w:rPr>
        <w:t>Responsibilities of schools</w:t>
      </w:r>
      <w:r>
        <w:rPr>
          <w:noProof/>
        </w:rPr>
        <w:tab/>
      </w:r>
      <w:r>
        <w:rPr>
          <w:noProof/>
        </w:rPr>
        <w:fldChar w:fldCharType="begin"/>
      </w:r>
      <w:r>
        <w:rPr>
          <w:noProof/>
        </w:rPr>
        <w:instrText xml:space="preserve"> PAGEREF _Toc408317585 \h </w:instrText>
      </w:r>
      <w:r>
        <w:rPr>
          <w:noProof/>
        </w:rPr>
      </w:r>
      <w:r>
        <w:rPr>
          <w:noProof/>
        </w:rPr>
        <w:fldChar w:fldCharType="separate"/>
      </w:r>
      <w:r w:rsidR="007A4647">
        <w:rPr>
          <w:noProof/>
        </w:rPr>
        <w:t>16</w:t>
      </w:r>
      <w:r>
        <w:rPr>
          <w:noProof/>
        </w:rPr>
        <w:fldChar w:fldCharType="end"/>
      </w:r>
    </w:p>
    <w:p w14:paraId="08AD11C3" w14:textId="77777777" w:rsidR="00787D35" w:rsidRDefault="00787D35">
      <w:pPr>
        <w:pStyle w:val="TOC2"/>
        <w:rPr>
          <w:rFonts w:asciiTheme="minorHAnsi" w:eastAsiaTheme="minorEastAsia" w:hAnsiTheme="minorHAnsi" w:cstheme="minorBidi"/>
          <w:noProof/>
          <w:color w:val="auto"/>
          <w:sz w:val="22"/>
          <w:szCs w:val="22"/>
          <w:lang w:eastAsia="en-AU"/>
        </w:rPr>
      </w:pPr>
      <w:r>
        <w:rPr>
          <w:noProof/>
        </w:rPr>
        <w:t>Responsibilities of parents/guardians</w:t>
      </w:r>
      <w:r>
        <w:rPr>
          <w:noProof/>
        </w:rPr>
        <w:tab/>
      </w:r>
      <w:r>
        <w:rPr>
          <w:noProof/>
        </w:rPr>
        <w:fldChar w:fldCharType="begin"/>
      </w:r>
      <w:r>
        <w:rPr>
          <w:noProof/>
        </w:rPr>
        <w:instrText xml:space="preserve"> PAGEREF _Toc408317586 \h </w:instrText>
      </w:r>
      <w:r>
        <w:rPr>
          <w:noProof/>
        </w:rPr>
      </w:r>
      <w:r>
        <w:rPr>
          <w:noProof/>
        </w:rPr>
        <w:fldChar w:fldCharType="separate"/>
      </w:r>
      <w:r w:rsidR="007A4647">
        <w:rPr>
          <w:noProof/>
        </w:rPr>
        <w:t>17</w:t>
      </w:r>
      <w:r>
        <w:rPr>
          <w:noProof/>
        </w:rPr>
        <w:fldChar w:fldCharType="end"/>
      </w:r>
    </w:p>
    <w:p w14:paraId="728F2B12" w14:textId="77777777" w:rsidR="00787D35" w:rsidRDefault="00787D35">
      <w:pPr>
        <w:pStyle w:val="TOC2"/>
        <w:rPr>
          <w:rFonts w:asciiTheme="minorHAnsi" w:eastAsiaTheme="minorEastAsia" w:hAnsiTheme="minorHAnsi" w:cstheme="minorBidi"/>
          <w:noProof/>
          <w:color w:val="auto"/>
          <w:sz w:val="22"/>
          <w:szCs w:val="22"/>
          <w:lang w:eastAsia="en-AU"/>
        </w:rPr>
      </w:pPr>
      <w:r>
        <w:rPr>
          <w:noProof/>
        </w:rPr>
        <w:t>Late payments</w:t>
      </w:r>
      <w:r>
        <w:rPr>
          <w:noProof/>
        </w:rPr>
        <w:tab/>
      </w:r>
      <w:r>
        <w:rPr>
          <w:noProof/>
        </w:rPr>
        <w:fldChar w:fldCharType="begin"/>
      </w:r>
      <w:r>
        <w:rPr>
          <w:noProof/>
        </w:rPr>
        <w:instrText xml:space="preserve"> PAGEREF _Toc408317587 \h </w:instrText>
      </w:r>
      <w:r>
        <w:rPr>
          <w:noProof/>
        </w:rPr>
      </w:r>
      <w:r>
        <w:rPr>
          <w:noProof/>
        </w:rPr>
        <w:fldChar w:fldCharType="separate"/>
      </w:r>
      <w:r w:rsidR="007A4647">
        <w:rPr>
          <w:noProof/>
        </w:rPr>
        <w:t>17</w:t>
      </w:r>
      <w:r>
        <w:rPr>
          <w:noProof/>
        </w:rPr>
        <w:fldChar w:fldCharType="end"/>
      </w:r>
    </w:p>
    <w:p w14:paraId="79744B72" w14:textId="77777777" w:rsidR="00787D35" w:rsidRDefault="00787D35">
      <w:pPr>
        <w:pStyle w:val="TOC1"/>
        <w:rPr>
          <w:rFonts w:asciiTheme="minorHAnsi" w:eastAsiaTheme="minorEastAsia" w:hAnsiTheme="minorHAnsi" w:cstheme="minorBidi"/>
          <w:b w:val="0"/>
          <w:color w:val="auto"/>
          <w:sz w:val="22"/>
          <w:szCs w:val="22"/>
          <w:lang w:eastAsia="en-AU"/>
        </w:rPr>
      </w:pPr>
      <w:r>
        <w:t>5.</w:t>
      </w:r>
      <w:r>
        <w:rPr>
          <w:rFonts w:asciiTheme="minorHAnsi" w:eastAsiaTheme="minorEastAsia" w:hAnsiTheme="minorHAnsi" w:cstheme="minorBidi"/>
          <w:b w:val="0"/>
          <w:color w:val="auto"/>
          <w:sz w:val="22"/>
          <w:szCs w:val="22"/>
          <w:lang w:eastAsia="en-AU"/>
        </w:rPr>
        <w:tab/>
      </w:r>
      <w:r w:rsidR="00E74F75">
        <w:t>M</w:t>
      </w:r>
      <w:r>
        <w:t>etropolitan conveyance allowance boundary</w:t>
      </w:r>
    </w:p>
    <w:p w14:paraId="7D7F42A1" w14:textId="77777777" w:rsidR="00787D35" w:rsidRDefault="00787D35">
      <w:pPr>
        <w:pStyle w:val="TOC2"/>
        <w:rPr>
          <w:rFonts w:asciiTheme="minorHAnsi" w:eastAsiaTheme="minorEastAsia" w:hAnsiTheme="minorHAnsi" w:cstheme="minorBidi"/>
          <w:noProof/>
          <w:color w:val="auto"/>
          <w:sz w:val="22"/>
          <w:szCs w:val="22"/>
          <w:lang w:eastAsia="en-AU"/>
        </w:rPr>
      </w:pPr>
      <w:r>
        <w:rPr>
          <w:noProof/>
        </w:rPr>
        <w:t>Public transport accessibility measures</w:t>
      </w:r>
      <w:r>
        <w:rPr>
          <w:noProof/>
        </w:rPr>
        <w:tab/>
      </w:r>
      <w:r>
        <w:rPr>
          <w:noProof/>
        </w:rPr>
        <w:fldChar w:fldCharType="begin"/>
      </w:r>
      <w:r>
        <w:rPr>
          <w:noProof/>
        </w:rPr>
        <w:instrText xml:space="preserve"> PAGEREF _Toc408317589 \h </w:instrText>
      </w:r>
      <w:r>
        <w:rPr>
          <w:noProof/>
        </w:rPr>
      </w:r>
      <w:r>
        <w:rPr>
          <w:noProof/>
        </w:rPr>
        <w:fldChar w:fldCharType="separate"/>
      </w:r>
      <w:r w:rsidR="007A4647">
        <w:rPr>
          <w:noProof/>
        </w:rPr>
        <w:t>18</w:t>
      </w:r>
      <w:r>
        <w:rPr>
          <w:noProof/>
        </w:rPr>
        <w:fldChar w:fldCharType="end"/>
      </w:r>
    </w:p>
    <w:p w14:paraId="162C2230" w14:textId="77777777" w:rsidR="00787D35" w:rsidRDefault="00787D35">
      <w:pPr>
        <w:pStyle w:val="TOC2"/>
        <w:rPr>
          <w:rFonts w:asciiTheme="minorHAnsi" w:eastAsiaTheme="minorEastAsia" w:hAnsiTheme="minorHAnsi" w:cstheme="minorBidi"/>
          <w:noProof/>
          <w:color w:val="auto"/>
          <w:sz w:val="22"/>
          <w:szCs w:val="22"/>
          <w:lang w:eastAsia="en-AU"/>
        </w:rPr>
      </w:pPr>
      <w:r>
        <w:rPr>
          <w:noProof/>
        </w:rPr>
        <w:t>Changed accessibility index score</w:t>
      </w:r>
      <w:r>
        <w:rPr>
          <w:noProof/>
        </w:rPr>
        <w:tab/>
      </w:r>
      <w:r>
        <w:rPr>
          <w:noProof/>
        </w:rPr>
        <w:fldChar w:fldCharType="begin"/>
      </w:r>
      <w:r>
        <w:rPr>
          <w:noProof/>
        </w:rPr>
        <w:instrText xml:space="preserve"> PAGEREF _Toc408317590 \h </w:instrText>
      </w:r>
      <w:r>
        <w:rPr>
          <w:noProof/>
        </w:rPr>
      </w:r>
      <w:r>
        <w:rPr>
          <w:noProof/>
        </w:rPr>
        <w:fldChar w:fldCharType="separate"/>
      </w:r>
      <w:r w:rsidR="007A4647">
        <w:rPr>
          <w:noProof/>
        </w:rPr>
        <w:t>18</w:t>
      </w:r>
      <w:r>
        <w:rPr>
          <w:noProof/>
        </w:rPr>
        <w:fldChar w:fldCharType="end"/>
      </w:r>
    </w:p>
    <w:p w14:paraId="36283D1E" w14:textId="77777777" w:rsidR="00787D35" w:rsidRDefault="00787D35">
      <w:pPr>
        <w:pStyle w:val="TOC2"/>
        <w:rPr>
          <w:rFonts w:asciiTheme="minorHAnsi" w:eastAsiaTheme="minorEastAsia" w:hAnsiTheme="minorHAnsi" w:cstheme="minorBidi"/>
          <w:noProof/>
          <w:color w:val="auto"/>
          <w:sz w:val="22"/>
          <w:szCs w:val="22"/>
          <w:lang w:eastAsia="en-AU"/>
        </w:rPr>
      </w:pPr>
      <w:r>
        <w:rPr>
          <w:noProof/>
          <w:lang w:eastAsia="en-AU"/>
        </w:rPr>
        <w:t>Transition arrangements (grandfathering)</w:t>
      </w:r>
      <w:r>
        <w:rPr>
          <w:noProof/>
        </w:rPr>
        <w:tab/>
      </w:r>
      <w:r>
        <w:rPr>
          <w:noProof/>
        </w:rPr>
        <w:fldChar w:fldCharType="begin"/>
      </w:r>
      <w:r>
        <w:rPr>
          <w:noProof/>
        </w:rPr>
        <w:instrText xml:space="preserve"> PAGEREF _Toc408317591 \h </w:instrText>
      </w:r>
      <w:r>
        <w:rPr>
          <w:noProof/>
        </w:rPr>
      </w:r>
      <w:r>
        <w:rPr>
          <w:noProof/>
        </w:rPr>
        <w:fldChar w:fldCharType="separate"/>
      </w:r>
      <w:r w:rsidR="007A4647">
        <w:rPr>
          <w:noProof/>
        </w:rPr>
        <w:t>19</w:t>
      </w:r>
      <w:r>
        <w:rPr>
          <w:noProof/>
        </w:rPr>
        <w:fldChar w:fldCharType="end"/>
      </w:r>
    </w:p>
    <w:p w14:paraId="40BD6BC9" w14:textId="77777777" w:rsidR="00787D35" w:rsidRDefault="00787D35">
      <w:pPr>
        <w:pStyle w:val="TOC1"/>
        <w:rPr>
          <w:rFonts w:asciiTheme="minorHAnsi" w:eastAsiaTheme="minorEastAsia" w:hAnsiTheme="minorHAnsi" w:cstheme="minorBidi"/>
          <w:b w:val="0"/>
          <w:color w:val="auto"/>
          <w:sz w:val="22"/>
          <w:szCs w:val="22"/>
          <w:lang w:eastAsia="en-AU"/>
        </w:rPr>
      </w:pPr>
      <w:r>
        <w:t>Appendix 1 – Conveyance allowance rates</w:t>
      </w:r>
    </w:p>
    <w:p w14:paraId="3DDCC73A" w14:textId="77777777" w:rsidR="00787D35" w:rsidRDefault="00787D35" w:rsidP="002306C7">
      <w:pPr>
        <w:pStyle w:val="TOC1"/>
        <w:rPr>
          <w:rFonts w:asciiTheme="minorHAnsi" w:eastAsiaTheme="minorEastAsia" w:hAnsiTheme="minorHAnsi" w:cstheme="minorBidi"/>
          <w:b w:val="0"/>
          <w:color w:val="auto"/>
          <w:sz w:val="22"/>
          <w:szCs w:val="22"/>
          <w:lang w:eastAsia="en-AU"/>
        </w:rPr>
      </w:pPr>
      <w:r>
        <w:t>Appendix 2 – Denomination information for non-government schools</w:t>
      </w:r>
    </w:p>
    <w:p w14:paraId="59D3C14E" w14:textId="77777777" w:rsidR="00787D35" w:rsidRDefault="00787D35">
      <w:pPr>
        <w:pStyle w:val="TOC1"/>
        <w:rPr>
          <w:rFonts w:asciiTheme="minorHAnsi" w:eastAsiaTheme="minorEastAsia" w:hAnsiTheme="minorHAnsi" w:cstheme="minorBidi"/>
          <w:b w:val="0"/>
          <w:color w:val="auto"/>
          <w:sz w:val="22"/>
          <w:szCs w:val="22"/>
          <w:lang w:eastAsia="en-AU"/>
        </w:rPr>
      </w:pPr>
      <w:r>
        <w:t>Appendix 3 – Glossary</w:t>
      </w:r>
    </w:p>
    <w:p w14:paraId="2BABA0E2" w14:textId="77777777" w:rsidR="00FF0082" w:rsidRDefault="00787D35" w:rsidP="003761C3">
      <w:pPr>
        <w:pStyle w:val="TOC1"/>
      </w:pPr>
      <w:r>
        <w:t>Appendix 4 – Contact information</w:t>
      </w:r>
      <w:r w:rsidR="00AF50E2">
        <w:fldChar w:fldCharType="end"/>
      </w:r>
    </w:p>
    <w:p w14:paraId="3FB1F218" w14:textId="77777777" w:rsidR="00385DBA" w:rsidRDefault="00385DBA">
      <w:pPr>
        <w:sectPr w:rsidR="00385DBA" w:rsidSect="00BB22D9">
          <w:headerReference w:type="even" r:id="rId19"/>
          <w:headerReference w:type="default" r:id="rId20"/>
          <w:footerReference w:type="even" r:id="rId21"/>
          <w:footerReference w:type="default" r:id="rId22"/>
          <w:headerReference w:type="first" r:id="rId23"/>
          <w:footerReference w:type="first" r:id="rId24"/>
          <w:type w:val="oddPage"/>
          <w:pgSz w:w="11907" w:h="16840" w:code="9"/>
          <w:pgMar w:top="2829" w:right="1417" w:bottom="1440" w:left="4876" w:header="2194" w:footer="709" w:gutter="0"/>
          <w:cols w:space="708"/>
          <w:titlePg/>
          <w:docGrid w:linePitch="360"/>
        </w:sectPr>
      </w:pPr>
    </w:p>
    <w:p w14:paraId="28A14FE6" w14:textId="77777777" w:rsidR="00481BF1" w:rsidRPr="00481BF1" w:rsidRDefault="00481BF1" w:rsidP="00481BF1">
      <w:pPr>
        <w:pStyle w:val="Heading1"/>
      </w:pPr>
      <w:bookmarkStart w:id="0" w:name="_Toc387243262"/>
      <w:bookmarkStart w:id="1" w:name="_Toc387243282"/>
      <w:bookmarkStart w:id="2" w:name="_Toc387244335"/>
      <w:bookmarkStart w:id="3" w:name="_Toc392230925"/>
      <w:bookmarkStart w:id="4" w:name="_Toc392232319"/>
      <w:bookmarkStart w:id="5" w:name="_Toc392233283"/>
      <w:bookmarkStart w:id="6" w:name="_Toc396387049"/>
      <w:bookmarkStart w:id="7" w:name="_Toc396388165"/>
      <w:bookmarkStart w:id="8" w:name="_Toc396389269"/>
      <w:bookmarkStart w:id="9" w:name="_Toc397587717"/>
      <w:bookmarkStart w:id="10" w:name="_Toc397698588"/>
      <w:bookmarkStart w:id="11" w:name="_Toc398206937"/>
      <w:bookmarkStart w:id="12" w:name="_Toc398209360"/>
      <w:bookmarkStart w:id="13" w:name="_Toc398796179"/>
      <w:bookmarkStart w:id="14" w:name="_Toc398816689"/>
      <w:bookmarkStart w:id="15" w:name="_Toc398886655"/>
      <w:bookmarkStart w:id="16" w:name="_Toc408317570"/>
      <w:r w:rsidRPr="00481BF1">
        <w:lastRenderedPageBreak/>
        <w:t>Introduction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4F82E17A" w14:textId="77777777" w:rsidR="00481BF1" w:rsidRPr="009D5264" w:rsidRDefault="00481BF1" w:rsidP="00481BF1">
      <w:bookmarkStart w:id="17" w:name="_Toc220431785"/>
      <w:r w:rsidRPr="00A3481D">
        <w:t xml:space="preserve">The Department of Education and </w:t>
      </w:r>
      <w:r w:rsidR="00F84302">
        <w:t>Training</w:t>
      </w:r>
      <w:r w:rsidRPr="00A3481D">
        <w:t xml:space="preserve"> (</w:t>
      </w:r>
      <w:r w:rsidR="00A150A3">
        <w:t>the Department</w:t>
      </w:r>
      <w:r w:rsidRPr="00A3481D">
        <w:t xml:space="preserve">) provides </w:t>
      </w:r>
      <w:r w:rsidR="00685544">
        <w:t>travel</w:t>
      </w:r>
      <w:r w:rsidRPr="00A3481D">
        <w:t xml:space="preserve"> assistance in the form of a conveyance allowance to help families in rural and regional Victoria with the cost of transporting their children to their </w:t>
      </w:r>
      <w:r w:rsidR="00001AE1">
        <w:t>nearest</w:t>
      </w:r>
      <w:r w:rsidRPr="00A3481D">
        <w:t xml:space="preserve"> appropriate s</w:t>
      </w:r>
      <w:r w:rsidRPr="009D5264">
        <w:t>chool/campus.</w:t>
      </w:r>
    </w:p>
    <w:p w14:paraId="6B10E4A0" w14:textId="77777777" w:rsidR="00481BF1" w:rsidRPr="009D5264" w:rsidRDefault="00481BF1" w:rsidP="00481BF1">
      <w:r w:rsidRPr="009D5264">
        <w:t xml:space="preserve">Parents/carers have primary responsibility for transporting their children to and from school. </w:t>
      </w:r>
      <w:r w:rsidR="00F84302">
        <w:t xml:space="preserve"> </w:t>
      </w:r>
      <w:r w:rsidRPr="009D5264">
        <w:t>This includes the upfront costs associated with travel to and from school and costs not met by transport fare reimbursement, which is available as part of the conveyance allowance.</w:t>
      </w:r>
    </w:p>
    <w:p w14:paraId="021FD021" w14:textId="77777777" w:rsidR="00481BF1" w:rsidRPr="009D5264" w:rsidRDefault="00481BF1" w:rsidP="00481BF1">
      <w:r w:rsidRPr="009D5264">
        <w:t xml:space="preserve">The conveyance allowance is a contribution towards transport costs and is not intended to cover the full cost of transporting children to and from school. </w:t>
      </w:r>
      <w:r w:rsidR="00F84302">
        <w:t xml:space="preserve"> </w:t>
      </w:r>
      <w:r w:rsidRPr="009D5264">
        <w:t>The allowance is an acknowledgement of the limited government-provided transport infrastructure available outside metropolitan Melbourne.</w:t>
      </w:r>
    </w:p>
    <w:p w14:paraId="19803B29" w14:textId="77777777" w:rsidR="00481BF1" w:rsidRDefault="002A7B67" w:rsidP="00481BF1">
      <w:r w:rsidRPr="009D5264">
        <w:t xml:space="preserve">Although administratively the allowance is received through the school, the full amount is intended for the applicant.  Some schools have chosen to procure transport services on behalf </w:t>
      </w:r>
      <w:r>
        <w:t xml:space="preserve">of </w:t>
      </w:r>
      <w:r w:rsidRPr="009D5264">
        <w:t xml:space="preserve">students and retain students' conveyance allowance as payment for the procured bus services. </w:t>
      </w:r>
      <w:r w:rsidR="00F84302">
        <w:t xml:space="preserve"> </w:t>
      </w:r>
      <w:r w:rsidRPr="009D5264">
        <w:t xml:space="preserve">This </w:t>
      </w:r>
      <w:r w:rsidR="00481BF1" w:rsidRPr="009D5264">
        <w:t xml:space="preserve">conveyance allowance is provided to a student on the basis of individual eligibility. </w:t>
      </w:r>
      <w:bookmarkStart w:id="18" w:name="_Toc220431786"/>
      <w:bookmarkEnd w:id="17"/>
    </w:p>
    <w:p w14:paraId="676A5E13" w14:textId="44BDF55E" w:rsidR="00623E89" w:rsidRPr="009D5264" w:rsidRDefault="00623E89" w:rsidP="00481BF1">
      <w:pPr>
        <w:rPr>
          <w:bCs/>
          <w:iCs/>
        </w:rPr>
      </w:pPr>
      <w:r>
        <w:t>The Conveyance Allowance Program</w:t>
      </w:r>
      <w:r w:rsidR="00F84302">
        <w:t xml:space="preserve"> (CAP)</w:t>
      </w:r>
      <w:r>
        <w:t xml:space="preserve"> is guided by the relevant </w:t>
      </w:r>
      <w:r w:rsidR="00A53758">
        <w:t xml:space="preserve">sections </w:t>
      </w:r>
      <w:r>
        <w:t xml:space="preserve">of the Education and Training Reform Regulations </w:t>
      </w:r>
      <w:r w:rsidR="00685544">
        <w:t>2017</w:t>
      </w:r>
      <w:r>
        <w:t>.</w:t>
      </w:r>
    </w:p>
    <w:p w14:paraId="76A7E8FF" w14:textId="77777777" w:rsidR="00481BF1" w:rsidRPr="009D5264" w:rsidRDefault="00481BF1" w:rsidP="00481BF1">
      <w:pPr>
        <w:rPr>
          <w:bCs/>
          <w:iCs/>
        </w:rPr>
      </w:pPr>
      <w:r w:rsidRPr="009D5264">
        <w:rPr>
          <w:bCs/>
          <w:iCs/>
        </w:rPr>
        <w:t>This policy is effective from January 201</w:t>
      </w:r>
      <w:r w:rsidR="00A53758">
        <w:rPr>
          <w:bCs/>
          <w:iCs/>
        </w:rPr>
        <w:t>7</w:t>
      </w:r>
      <w:r w:rsidRPr="009D5264">
        <w:rPr>
          <w:bCs/>
          <w:iCs/>
        </w:rPr>
        <w:t xml:space="preserve"> and replaces all previously published Conveyance Allowance Program policy documents.</w:t>
      </w:r>
    </w:p>
    <w:p w14:paraId="22A286A2" w14:textId="77777777" w:rsidR="00481BF1" w:rsidRPr="00481BF1" w:rsidRDefault="00481BF1" w:rsidP="00481BF1">
      <w:pPr>
        <w:pStyle w:val="Heading1"/>
      </w:pPr>
      <w:bookmarkStart w:id="19" w:name="_Toc387243268"/>
      <w:bookmarkStart w:id="20" w:name="_Toc387243283"/>
      <w:bookmarkStart w:id="21" w:name="_Toc387244336"/>
      <w:bookmarkStart w:id="22" w:name="_Toc392230926"/>
      <w:bookmarkStart w:id="23" w:name="_Toc392232320"/>
      <w:bookmarkStart w:id="24" w:name="_Toc392233284"/>
      <w:bookmarkStart w:id="25" w:name="_Toc396387050"/>
      <w:bookmarkStart w:id="26" w:name="_Toc396388166"/>
      <w:bookmarkStart w:id="27" w:name="_Toc396389270"/>
      <w:bookmarkStart w:id="28" w:name="_Toc397587718"/>
      <w:bookmarkStart w:id="29" w:name="_Toc397698589"/>
      <w:bookmarkStart w:id="30" w:name="_Toc398206938"/>
      <w:bookmarkStart w:id="31" w:name="_Toc398209361"/>
      <w:bookmarkStart w:id="32" w:name="_Toc398796180"/>
      <w:bookmarkStart w:id="33" w:name="_Toc398816690"/>
      <w:bookmarkStart w:id="34" w:name="_Toc398886656"/>
      <w:bookmarkStart w:id="35" w:name="_Toc408317571"/>
      <w:bookmarkEnd w:id="18"/>
      <w:r w:rsidRPr="00481BF1">
        <w:lastRenderedPageBreak/>
        <w:t xml:space="preserve">Criteria determining eligibility </w:t>
      </w:r>
      <w:r w:rsidR="004645A7">
        <w:t>for</w:t>
      </w:r>
      <w:r w:rsidRPr="00481BF1">
        <w:t xml:space="preserve"> the Conveyance Allowance Program</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481BF1">
        <w:t xml:space="preserve"> </w:t>
      </w:r>
      <w:r w:rsidR="00F84302">
        <w:t>(CAP)</w:t>
      </w:r>
      <w:bookmarkEnd w:id="35"/>
    </w:p>
    <w:p w14:paraId="5013C267" w14:textId="77777777" w:rsidR="004645A7" w:rsidRDefault="001F6F94" w:rsidP="00F84302">
      <w:r w:rsidRPr="009D5264">
        <w:t>This section explains the criteria used to determine a student’s eligibility to</w:t>
      </w:r>
      <w:r>
        <w:t xml:space="preserve"> claim a conveyance allowance. </w:t>
      </w:r>
    </w:p>
    <w:p w14:paraId="2115C32F" w14:textId="77777777" w:rsidR="001F6F94" w:rsidRPr="009D5264" w:rsidRDefault="001F6F94" w:rsidP="00F84302">
      <w:r>
        <w:t>Students must meet criteria 1, 2 and 3 in all cases.</w:t>
      </w:r>
      <w:r w:rsidR="00F84302">
        <w:t xml:space="preserve"> </w:t>
      </w:r>
      <w:r>
        <w:t xml:space="preserve"> Additional criteria apply depending on the type of school or setting attended.</w:t>
      </w:r>
    </w:p>
    <w:p w14:paraId="5AEDACC7" w14:textId="77777777" w:rsidR="001F6F94" w:rsidRPr="00481BF1" w:rsidRDefault="004645A7" w:rsidP="00F84302">
      <w:r>
        <w:t>For the purposes of conveyance allowance, each school or campus is considered a separate entity. Students attending a multi-campus school have their eligibility assessed based on the campus they are attending</w:t>
      </w:r>
      <w:bookmarkStart w:id="36" w:name="_Toc396387053"/>
      <w:bookmarkStart w:id="37" w:name="_Toc397698838"/>
      <w:bookmarkStart w:id="38" w:name="_Toc396387051"/>
      <w:bookmarkStart w:id="39" w:name="_Toc397698836"/>
      <w:r>
        <w:t>.</w:t>
      </w:r>
    </w:p>
    <w:p w14:paraId="6B0A2BCD" w14:textId="77777777" w:rsidR="001F6F94" w:rsidRDefault="001F6F94" w:rsidP="001F6F94">
      <w:pPr>
        <w:pStyle w:val="Heading2"/>
      </w:pPr>
      <w:bookmarkStart w:id="40" w:name="_Toc408317572"/>
      <w:r>
        <w:t>All schools</w:t>
      </w:r>
      <w:bookmarkEnd w:id="40"/>
    </w:p>
    <w:p w14:paraId="003F4BB1" w14:textId="77777777" w:rsidR="001F6F94" w:rsidRPr="00481BF1" w:rsidRDefault="001F6F94" w:rsidP="001F6F94">
      <w:pPr>
        <w:pStyle w:val="Heading3"/>
      </w:pPr>
      <w:r w:rsidRPr="00481BF1">
        <w:t xml:space="preserve">Criteria </w:t>
      </w:r>
      <w:r>
        <w:t>1</w:t>
      </w:r>
      <w:r w:rsidRPr="00481BF1">
        <w:t xml:space="preserve"> – Reside 4.8 km or more from the school</w:t>
      </w:r>
      <w:bookmarkEnd w:id="36"/>
      <w:bookmarkEnd w:id="37"/>
    </w:p>
    <w:p w14:paraId="17476E4A" w14:textId="77777777" w:rsidR="001F6F94" w:rsidRPr="009D5264" w:rsidRDefault="001F6F94" w:rsidP="001F6F94">
      <w:r w:rsidRPr="009D5264">
        <w:t xml:space="preserve">To be eligible for </w:t>
      </w:r>
      <w:r>
        <w:t>the</w:t>
      </w:r>
      <w:r w:rsidRPr="009D5264">
        <w:t xml:space="preserve"> conveyance allowance a student must reside 4.8 km or more from the </w:t>
      </w:r>
      <w:r>
        <w:t>school/</w:t>
      </w:r>
      <w:r w:rsidRPr="009D5264">
        <w:t>camp</w:t>
      </w:r>
      <w:r>
        <w:t>u</w:t>
      </w:r>
      <w:r w:rsidRPr="009D5264">
        <w:t xml:space="preserve">s they attend. </w:t>
      </w:r>
      <w:r w:rsidR="00F84302">
        <w:t xml:space="preserve"> </w:t>
      </w:r>
      <w:r w:rsidRPr="009F222A">
        <w:t xml:space="preserve">This distance is measured as the shortest practicable route from </w:t>
      </w:r>
      <w:r w:rsidR="00F370C3" w:rsidRPr="009F222A">
        <w:t>the</w:t>
      </w:r>
      <w:r w:rsidRPr="009F222A">
        <w:t xml:space="preserve"> student’s residence to the school</w:t>
      </w:r>
      <w:r w:rsidR="004645A7" w:rsidRPr="009F222A">
        <w:t>/campus</w:t>
      </w:r>
      <w:r w:rsidRPr="009F222A">
        <w:t xml:space="preserve">. </w:t>
      </w:r>
      <w:r w:rsidR="00F84302">
        <w:t xml:space="preserve"> </w:t>
      </w:r>
      <w:r w:rsidRPr="009F222A">
        <w:t>The shortest practicable route is measured using all-weather public roads drivable by car.</w:t>
      </w:r>
    </w:p>
    <w:p w14:paraId="2A5ECE13" w14:textId="77777777" w:rsidR="001F6F94" w:rsidRPr="009D5264" w:rsidRDefault="001F6F94" w:rsidP="001F6F94">
      <w:r w:rsidRPr="009D5264">
        <w:t xml:space="preserve">By </w:t>
      </w:r>
      <w:r w:rsidR="00F84302">
        <w:t>using</w:t>
      </w:r>
      <w:r w:rsidRPr="009D5264">
        <w:t xml:space="preserve"> property coordinates and road information in a similar way to GPS devices, the Student Conveyance Allowance System (SCAS) </w:t>
      </w:r>
      <w:r>
        <w:t>determines</w:t>
      </w:r>
      <w:r w:rsidRPr="009D5264">
        <w:t xml:space="preserve"> </w:t>
      </w:r>
      <w:r>
        <w:t>a</w:t>
      </w:r>
      <w:r w:rsidRPr="009D5264">
        <w:t xml:space="preserve"> route between the student’s address and the school</w:t>
      </w:r>
      <w:r w:rsidR="004645A7">
        <w:t>/campus</w:t>
      </w:r>
      <w:r w:rsidRPr="009D5264">
        <w:t xml:space="preserve"> attended.  SCAS uses the shortest di</w:t>
      </w:r>
      <w:r w:rsidR="004645A7">
        <w:t xml:space="preserve">stance between two points whereas other public mapping tools commonly </w:t>
      </w:r>
      <w:r w:rsidRPr="009D5264">
        <w:t>use the shortest time.</w:t>
      </w:r>
    </w:p>
    <w:p w14:paraId="121471CC" w14:textId="77777777" w:rsidR="001F6F94" w:rsidRPr="009D5264" w:rsidRDefault="001F6F94" w:rsidP="001F6F94">
      <w:r w:rsidRPr="009D5264">
        <w:t>SCAS also produces a table showing distances to nearby like schools</w:t>
      </w:r>
      <w:r>
        <w:t>.  The table</w:t>
      </w:r>
      <w:r w:rsidRPr="009D5264">
        <w:t xml:space="preserve"> assist</w:t>
      </w:r>
      <w:r>
        <w:t>s</w:t>
      </w:r>
      <w:r w:rsidRPr="009D5264">
        <w:t xml:space="preserve"> schools </w:t>
      </w:r>
      <w:r>
        <w:t>to</w:t>
      </w:r>
      <w:r w:rsidRPr="009D5264">
        <w:t xml:space="preserve"> determin</w:t>
      </w:r>
      <w:r>
        <w:t>e</w:t>
      </w:r>
      <w:r w:rsidRPr="009D5264">
        <w:t xml:space="preserve"> whether the </w:t>
      </w:r>
      <w:r>
        <w:t>student is attending</w:t>
      </w:r>
      <w:r w:rsidRPr="009D5264">
        <w:t xml:space="preserve"> </w:t>
      </w:r>
      <w:r>
        <w:t>their</w:t>
      </w:r>
      <w:r w:rsidRPr="009D5264">
        <w:t xml:space="preserve"> nearest</w:t>
      </w:r>
      <w:r w:rsidR="004645A7">
        <w:t xml:space="preserve"> school/campus.</w:t>
      </w:r>
    </w:p>
    <w:p w14:paraId="355E6252" w14:textId="77777777" w:rsidR="001F6F94" w:rsidRPr="00481BF1" w:rsidRDefault="001F6F94" w:rsidP="001F6F94">
      <w:r w:rsidRPr="009D5264">
        <w:t>As with GPS devices</w:t>
      </w:r>
      <w:r w:rsidR="00F84302">
        <w:t>,</w:t>
      </w:r>
      <w:r w:rsidRPr="009D5264">
        <w:t xml:space="preserve"> it is possible the route </w:t>
      </w:r>
      <w:r>
        <w:t>determined</w:t>
      </w:r>
      <w:r w:rsidRPr="009D5264">
        <w:t xml:space="preserve"> by SCAS cannot be driven or is </w:t>
      </w:r>
      <w:r w:rsidR="00E13655">
        <w:t>inaccurate</w:t>
      </w:r>
      <w:r w:rsidRPr="009D5264">
        <w:t xml:space="preserve">. </w:t>
      </w:r>
      <w:r w:rsidR="00E13655">
        <w:t xml:space="preserve"> If this occurs, families may apply through their school to have their </w:t>
      </w:r>
      <w:r w:rsidR="008E4F7A">
        <w:t xml:space="preserve">child’s </w:t>
      </w:r>
      <w:r w:rsidR="00E13655">
        <w:t>application reviewed</w:t>
      </w:r>
      <w:r w:rsidR="00F84302">
        <w:t xml:space="preserve"> </w:t>
      </w:r>
      <w:r w:rsidR="00E13655">
        <w:t>by</w:t>
      </w:r>
      <w:r w:rsidRPr="009D5264">
        <w:t xml:space="preserve"> </w:t>
      </w:r>
      <w:r w:rsidR="00AD2633">
        <w:t>the Department</w:t>
      </w:r>
      <w:r w:rsidRPr="009D5264">
        <w:t xml:space="preserve">’s </w:t>
      </w:r>
      <w:r w:rsidR="00AD2633">
        <w:t>Conveyance Allowance</w:t>
      </w:r>
      <w:r w:rsidRPr="009D5264">
        <w:t xml:space="preserve"> Unit</w:t>
      </w:r>
      <w:r w:rsidR="00AD2633">
        <w:t xml:space="preserve"> (CAU)</w:t>
      </w:r>
      <w:r w:rsidRPr="009D5264">
        <w:t>.</w:t>
      </w:r>
      <w:r w:rsidR="00E13655">
        <w:t xml:space="preserve">  Supporting documentation of a revised route must be provided</w:t>
      </w:r>
      <w:r w:rsidRPr="009D5264">
        <w:t xml:space="preserve"> </w:t>
      </w:r>
      <w:r w:rsidR="00E13655">
        <w:t>and attached</w:t>
      </w:r>
      <w:r w:rsidRPr="009D5264">
        <w:t xml:space="preserve"> to the student’s application on SCAS by the school, or alternatively sent to </w:t>
      </w:r>
      <w:hyperlink r:id="rId25" w:history="1">
        <w:r w:rsidRPr="004F3AF9">
          <w:rPr>
            <w:rStyle w:val="Hyperlink"/>
          </w:rPr>
          <w:t>conveyance@edumail.vic.gov.au</w:t>
        </w:r>
      </w:hyperlink>
      <w:r>
        <w:t xml:space="preserve">. </w:t>
      </w:r>
    </w:p>
    <w:p w14:paraId="00EEBB03" w14:textId="77777777" w:rsidR="001F6F94" w:rsidRPr="00481BF1" w:rsidRDefault="001F6F94" w:rsidP="001F6F94">
      <w:r w:rsidRPr="00481BF1">
        <w:rPr>
          <w:b/>
        </w:rPr>
        <w:t>Note:</w:t>
      </w:r>
      <w:r w:rsidRPr="00481BF1">
        <w:t xml:space="preserve"> The distance of the route does not include private driveways. </w:t>
      </w:r>
    </w:p>
    <w:p w14:paraId="6188FFAF" w14:textId="77777777" w:rsidR="001F6F94" w:rsidRPr="00481BF1" w:rsidRDefault="001F6F94" w:rsidP="001F6F94">
      <w:pPr>
        <w:pStyle w:val="Heading3"/>
      </w:pPr>
      <w:bookmarkStart w:id="41" w:name="_Toc396387054"/>
      <w:bookmarkStart w:id="42" w:name="_Toc397698839"/>
      <w:r w:rsidRPr="00481BF1">
        <w:t xml:space="preserve">Criteria </w:t>
      </w:r>
      <w:r>
        <w:t>2</w:t>
      </w:r>
      <w:r w:rsidRPr="00481BF1">
        <w:t xml:space="preserve"> – Be of school age and reside in Victoria</w:t>
      </w:r>
      <w:bookmarkEnd w:id="41"/>
      <w:bookmarkEnd w:id="42"/>
    </w:p>
    <w:p w14:paraId="5FC5D31C" w14:textId="77777777" w:rsidR="001F6F94" w:rsidRPr="009D5264" w:rsidRDefault="001F6F94" w:rsidP="001F6F94">
      <w:r w:rsidRPr="009D5264">
        <w:t>School is compulsory for all Victorian children aged between six and 17</w:t>
      </w:r>
      <w:r w:rsidR="00043562">
        <w:t xml:space="preserve"> years of age</w:t>
      </w:r>
      <w:r w:rsidRPr="009D5264">
        <w:t xml:space="preserve">. For the purposes of conveyance allowance, students are eligible for assistance if they are </w:t>
      </w:r>
      <w:r w:rsidR="00A53758">
        <w:t xml:space="preserve">typically </w:t>
      </w:r>
      <w:r w:rsidRPr="009D5264">
        <w:t>aged between five and 18 years of age at the time of their application, and reside in Victoria.</w:t>
      </w:r>
    </w:p>
    <w:p w14:paraId="4340CC1D" w14:textId="77777777" w:rsidR="001F6F94" w:rsidRPr="00481BF1" w:rsidRDefault="001F6F94" w:rsidP="001F6F94">
      <w:pPr>
        <w:pStyle w:val="Heading3"/>
      </w:pPr>
      <w:bookmarkStart w:id="43" w:name="_Toc396387055"/>
      <w:bookmarkStart w:id="44" w:name="_Toc397698840"/>
      <w:r w:rsidRPr="00481BF1">
        <w:t xml:space="preserve">Criteria </w:t>
      </w:r>
      <w:r>
        <w:t>3</w:t>
      </w:r>
      <w:r w:rsidRPr="00481BF1">
        <w:t xml:space="preserve"> – Be enrolled in a school for three or more days per week</w:t>
      </w:r>
      <w:bookmarkEnd w:id="43"/>
      <w:bookmarkEnd w:id="44"/>
    </w:p>
    <w:p w14:paraId="27E34070" w14:textId="77777777" w:rsidR="001F6F94" w:rsidRPr="009D5264" w:rsidRDefault="001F6F94" w:rsidP="001F6F94">
      <w:r w:rsidRPr="009D5264">
        <w:t xml:space="preserve">Students who attend school for three or more days per week may be eligible to claim the conveyance allowance. </w:t>
      </w:r>
      <w:r w:rsidR="00043562">
        <w:t xml:space="preserve"> </w:t>
      </w:r>
      <w:r w:rsidRPr="009D5264">
        <w:t>Transport assistance is not available if a student is attending a temporary or short</w:t>
      </w:r>
      <w:r>
        <w:t>-</w:t>
      </w:r>
      <w:r w:rsidRPr="009D5264">
        <w:t>term program that requires attendance less than three days per week.</w:t>
      </w:r>
    </w:p>
    <w:p w14:paraId="542BE29A" w14:textId="77777777" w:rsidR="001F6F94" w:rsidRDefault="001F6F94" w:rsidP="001F6F94">
      <w:pPr>
        <w:pStyle w:val="Heading2"/>
      </w:pPr>
      <w:bookmarkStart w:id="45" w:name="_Toc408317573"/>
      <w:r>
        <w:t>Mainstream schools</w:t>
      </w:r>
      <w:bookmarkEnd w:id="45"/>
    </w:p>
    <w:p w14:paraId="32A10696" w14:textId="77777777" w:rsidR="001F6F94" w:rsidRPr="009D5264" w:rsidRDefault="001F6F94" w:rsidP="001F6F94">
      <w:pPr>
        <w:pStyle w:val="Heading3"/>
      </w:pPr>
      <w:r w:rsidRPr="009D5264">
        <w:t xml:space="preserve">Criteria </w:t>
      </w:r>
      <w:r>
        <w:t>4</w:t>
      </w:r>
      <w:r w:rsidRPr="009D5264">
        <w:t xml:space="preserve"> – School/campus is located outside the metropolitan conveyance allowance boundary</w:t>
      </w:r>
      <w:bookmarkEnd w:id="38"/>
      <w:bookmarkEnd w:id="39"/>
    </w:p>
    <w:p w14:paraId="66867DC2" w14:textId="77777777" w:rsidR="00D326CB" w:rsidRDefault="001F6F94" w:rsidP="001F6F94">
      <w:r w:rsidRPr="009D5264">
        <w:t xml:space="preserve">The map below shows the location of the metropolitan </w:t>
      </w:r>
      <w:r w:rsidR="00F370C3">
        <w:t>conveyance allowance</w:t>
      </w:r>
      <w:r w:rsidRPr="009D5264">
        <w:t xml:space="preserve"> boundary used for determining the conveyance allowance eligibility. </w:t>
      </w:r>
      <w:r w:rsidRPr="00A3481D">
        <w:t xml:space="preserve"> </w:t>
      </w:r>
    </w:p>
    <w:p w14:paraId="50937070" w14:textId="77777777" w:rsidR="00685544" w:rsidRDefault="00685544" w:rsidP="00685544">
      <w:pPr>
        <w:pStyle w:val="ListParagraph"/>
        <w:numPr>
          <w:ilvl w:val="0"/>
          <w:numId w:val="14"/>
        </w:numPr>
      </w:pPr>
      <w:r>
        <w:lastRenderedPageBreak/>
        <w:t>Postcode areas displayed outside the shaded boundary are eligible to claim the allowance.</w:t>
      </w:r>
    </w:p>
    <w:p w14:paraId="434D6748" w14:textId="77777777" w:rsidR="001F6F94" w:rsidRDefault="00D326CB" w:rsidP="00685544">
      <w:pPr>
        <w:pStyle w:val="ListParagraph"/>
        <w:numPr>
          <w:ilvl w:val="0"/>
          <w:numId w:val="14"/>
        </w:numPr>
      </w:pPr>
      <w:r>
        <w:t>P</w:t>
      </w:r>
      <w:r w:rsidR="001F6F94" w:rsidRPr="009D5264">
        <w:t xml:space="preserve">ostcode areas displayed within the </w:t>
      </w:r>
      <w:r w:rsidR="00D9763B">
        <w:t xml:space="preserve">shaded </w:t>
      </w:r>
      <w:r w:rsidR="001F6F94" w:rsidRPr="009D5264">
        <w:t xml:space="preserve">boundary are considered part of metropolitan Melbourne </w:t>
      </w:r>
      <w:r w:rsidR="00685544">
        <w:t>and ineligible to claim.</w:t>
      </w:r>
      <w:r>
        <w:t xml:space="preserve"> </w:t>
      </w:r>
      <w:r w:rsidR="00043562">
        <w:t xml:space="preserve"> </w:t>
      </w:r>
    </w:p>
    <w:p w14:paraId="0B8012E5" w14:textId="77777777" w:rsidR="00D326CB" w:rsidRPr="009D5264" w:rsidRDefault="00D326CB" w:rsidP="001F6F94"/>
    <w:p w14:paraId="4B619795" w14:textId="77777777" w:rsidR="00B11B43" w:rsidRPr="0088128B" w:rsidRDefault="001F6F94" w:rsidP="001F6F94">
      <w:pPr>
        <w:pStyle w:val="Quote"/>
      </w:pPr>
      <w:r w:rsidRPr="0088128B">
        <w:t>Map of the metropolitan conveyance allowance boundary</w:t>
      </w:r>
      <w:r w:rsidR="00E41C6C" w:rsidRPr="0088128B">
        <w:t xml:space="preserve"> (2017)</w:t>
      </w:r>
      <w:r w:rsidR="00685544" w:rsidRPr="0088128B">
        <w:t xml:space="preserve"> </w:t>
      </w:r>
    </w:p>
    <w:p w14:paraId="7A011866" w14:textId="77777777" w:rsidR="00037D50" w:rsidRPr="00B11B43" w:rsidRDefault="00B11B43" w:rsidP="001F6F94">
      <w:pPr>
        <w:pStyle w:val="Quote"/>
        <w:rPr>
          <w:b w:val="0"/>
        </w:rPr>
      </w:pPr>
      <w:r w:rsidRPr="0088128B">
        <w:rPr>
          <w:b w:val="0"/>
        </w:rPr>
        <w:t>A</w:t>
      </w:r>
      <w:r w:rsidR="00685544" w:rsidRPr="0088128B">
        <w:rPr>
          <w:b w:val="0"/>
        </w:rPr>
        <w:t>n A3 version of th</w:t>
      </w:r>
      <w:r w:rsidRPr="0088128B">
        <w:rPr>
          <w:b w:val="0"/>
        </w:rPr>
        <w:t>is</w:t>
      </w:r>
      <w:r w:rsidR="00685544" w:rsidRPr="0088128B">
        <w:rPr>
          <w:b w:val="0"/>
        </w:rPr>
        <w:t xml:space="preserve"> map </w:t>
      </w:r>
      <w:r w:rsidRPr="0088128B">
        <w:rPr>
          <w:b w:val="0"/>
        </w:rPr>
        <w:t>is available at</w:t>
      </w:r>
      <w:r w:rsidR="00685544" w:rsidRPr="0088128B">
        <w:rPr>
          <w:b w:val="0"/>
        </w:rPr>
        <w:t xml:space="preserve">: </w:t>
      </w:r>
      <w:hyperlink r:id="rId26" w:history="1">
        <w:r w:rsidR="0088128B" w:rsidRPr="00664B44">
          <w:rPr>
            <w:rStyle w:val="Hyperlink"/>
            <w:b w:val="0"/>
          </w:rPr>
          <w:t>www.education.vic.gov.au/school/principals/finance/Pages/conveyance.aspx</w:t>
        </w:r>
      </w:hyperlink>
      <w:r w:rsidR="0088128B">
        <w:rPr>
          <w:b w:val="0"/>
        </w:rPr>
        <w:t xml:space="preserve"> </w:t>
      </w:r>
      <w:r w:rsidRPr="00B11B43">
        <w:rPr>
          <w:b w:val="0"/>
        </w:rPr>
        <w:t xml:space="preserve"> </w:t>
      </w:r>
    </w:p>
    <w:p w14:paraId="17120921" w14:textId="77777777" w:rsidR="001F6F94" w:rsidRPr="009D5264" w:rsidRDefault="00626A62" w:rsidP="00037D50">
      <w:pPr>
        <w:ind w:hanging="2552"/>
      </w:pPr>
      <w:r w:rsidRPr="00626A62">
        <w:rPr>
          <w:noProof/>
          <w:lang w:eastAsia="en-AU"/>
        </w:rPr>
        <w:drawing>
          <wp:inline distT="0" distB="0" distL="0" distR="0">
            <wp:extent cx="7295514" cy="5225230"/>
            <wp:effectExtent l="0" t="0" r="1270" b="0"/>
            <wp:docPr id="4" name="Picture 4" descr="\\education.vic.gov.au\SHARE\FSD\SRA\SFU\Transport\CAP\Conveyance\General\Mapping\New CAP Boundary October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ation.vic.gov.au\SHARE\FSD\SRA\SFU\Transport\CAP\Conveyance\General\Mapping\New CAP Boundary October 2016.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326966" cy="5247756"/>
                    </a:xfrm>
                    <a:prstGeom prst="rect">
                      <a:avLst/>
                    </a:prstGeom>
                    <a:noFill/>
                    <a:ln>
                      <a:noFill/>
                    </a:ln>
                  </pic:spPr>
                </pic:pic>
              </a:graphicData>
            </a:graphic>
          </wp:inline>
        </w:drawing>
      </w:r>
    </w:p>
    <w:p w14:paraId="29F4E512" w14:textId="77777777" w:rsidR="005D5B60" w:rsidRDefault="005D5B60" w:rsidP="002666B0">
      <w:pPr>
        <w:pStyle w:val="Heading3"/>
        <w:ind w:hanging="2268"/>
      </w:pPr>
    </w:p>
    <w:p w14:paraId="3304B237" w14:textId="77777777" w:rsidR="005D5B60" w:rsidRPr="007A4647" w:rsidRDefault="005D5B60" w:rsidP="004D0AA3"/>
    <w:p w14:paraId="5635B72E" w14:textId="77777777" w:rsidR="005D5B60" w:rsidRDefault="005D5B60" w:rsidP="001F6F94">
      <w:pPr>
        <w:pStyle w:val="Heading3"/>
      </w:pPr>
    </w:p>
    <w:p w14:paraId="65C13953" w14:textId="77777777" w:rsidR="005D5B60" w:rsidRDefault="005D5B60" w:rsidP="001F6F94">
      <w:pPr>
        <w:pStyle w:val="Heading3"/>
      </w:pPr>
    </w:p>
    <w:p w14:paraId="40C10848" w14:textId="77777777" w:rsidR="001F6F94" w:rsidRPr="009D5264" w:rsidRDefault="001F6F94" w:rsidP="001F6F94">
      <w:pPr>
        <w:pStyle w:val="Heading3"/>
      </w:pPr>
      <w:r w:rsidRPr="005D5B60">
        <w:br w:type="page"/>
      </w:r>
      <w:bookmarkStart w:id="46" w:name="_Toc396387052"/>
      <w:bookmarkStart w:id="47" w:name="_Toc397698837"/>
      <w:r w:rsidRPr="00481BF1">
        <w:lastRenderedPageBreak/>
        <w:t xml:space="preserve">Criteria </w:t>
      </w:r>
      <w:r>
        <w:t>5</w:t>
      </w:r>
      <w:r w:rsidRPr="00481BF1">
        <w:t xml:space="preserve"> – </w:t>
      </w:r>
      <w:r w:rsidR="00001AE1">
        <w:t>Nearest</w:t>
      </w:r>
      <w:r w:rsidRPr="00481BF1">
        <w:t xml:space="preserve"> appropriate school/campus</w:t>
      </w:r>
      <w:bookmarkEnd w:id="46"/>
      <w:bookmarkEnd w:id="47"/>
    </w:p>
    <w:p w14:paraId="486797E9" w14:textId="77777777" w:rsidR="001F6F94" w:rsidRPr="00130C18" w:rsidRDefault="001F6F94" w:rsidP="001F6F94">
      <w:pPr>
        <w:pStyle w:val="Heading3"/>
      </w:pPr>
      <w:r w:rsidRPr="00130C18">
        <w:t>Government schools</w:t>
      </w:r>
    </w:p>
    <w:p w14:paraId="493B92BF" w14:textId="77777777" w:rsidR="001F6F94" w:rsidRPr="009D5264" w:rsidRDefault="001F6F94" w:rsidP="001F6F94">
      <w:r w:rsidRPr="009D5264">
        <w:t xml:space="preserve">To be eligible for a conveyance allowance a student must </w:t>
      </w:r>
      <w:r w:rsidR="00D326CB">
        <w:t>attend</w:t>
      </w:r>
      <w:r w:rsidRPr="009D5264">
        <w:t xml:space="preserve"> </w:t>
      </w:r>
      <w:r w:rsidR="00511A5A">
        <w:t>their nearest government school/</w:t>
      </w:r>
      <w:r w:rsidRPr="009D5264">
        <w:t>campus appropriate to their year level.</w:t>
      </w:r>
    </w:p>
    <w:p w14:paraId="0D797FB5" w14:textId="77777777" w:rsidR="001F6F94" w:rsidRPr="009D5264" w:rsidRDefault="001F6F94" w:rsidP="001F6F94">
      <w:r w:rsidRPr="009D5264">
        <w:t xml:space="preserve">The distance by shortest practicable route from the student’s residence to the school/campus is used to determine the </w:t>
      </w:r>
      <w:r w:rsidR="00001AE1">
        <w:t>nearest</w:t>
      </w:r>
      <w:r w:rsidRPr="009D5264">
        <w:t xml:space="preserve"> school/campus.</w:t>
      </w:r>
    </w:p>
    <w:p w14:paraId="0924FFD3" w14:textId="77777777" w:rsidR="001F6F94" w:rsidRDefault="001F6F94" w:rsidP="001F6F94">
      <w:r w:rsidRPr="009D5264">
        <w:t>Students not attending their nearest government school may qualify for a conveyance allowance in the circumstances listed below.</w:t>
      </w:r>
      <w:r w:rsidR="00F370C3">
        <w:t xml:space="preserve"> Sibling rights do not apply in any of these circumstances.</w:t>
      </w:r>
    </w:p>
    <w:p w14:paraId="6B76F68D" w14:textId="77777777" w:rsidR="001F6F94" w:rsidRDefault="001F6F94" w:rsidP="001F6F94"/>
    <w:p w14:paraId="4DDD6234" w14:textId="77777777" w:rsidR="001F6F94" w:rsidRPr="009D5264" w:rsidRDefault="001F6F94" w:rsidP="001F6F94">
      <w:pPr>
        <w:pStyle w:val="Quote"/>
      </w:pPr>
      <w:r w:rsidRPr="009D5264">
        <w:t>School enrolment zones</w:t>
      </w:r>
    </w:p>
    <w:p w14:paraId="410D3CC8" w14:textId="77777777" w:rsidR="001F6F94" w:rsidRPr="009D5264" w:rsidRDefault="001F6F94" w:rsidP="001F6F94">
      <w:r w:rsidRPr="009D5264">
        <w:t xml:space="preserve">Where regionally approved enrolment zones are in place, the Designated Neighbourhood School (DNS) is considered to be the </w:t>
      </w:r>
      <w:r w:rsidR="00001AE1">
        <w:t>nearest</w:t>
      </w:r>
      <w:r w:rsidRPr="009D5264">
        <w:t xml:space="preserve"> school/campus for the purposes of the </w:t>
      </w:r>
      <w:r w:rsidR="00043562">
        <w:t>CAP</w:t>
      </w:r>
      <w:r w:rsidRPr="009D5264">
        <w:t>.</w:t>
      </w:r>
    </w:p>
    <w:p w14:paraId="33E1A0F8" w14:textId="77777777" w:rsidR="001F6F94" w:rsidRPr="009D5264" w:rsidRDefault="001F6F94" w:rsidP="001F6F94">
      <w:r w:rsidRPr="009D5264">
        <w:t xml:space="preserve">An enrolment zone </w:t>
      </w:r>
      <w:r w:rsidR="00F370C3">
        <w:t xml:space="preserve">must </w:t>
      </w:r>
      <w:r w:rsidRPr="009D5264">
        <w:t>strictly limit entitlement to enrol in a school to only those students who reside in a defined geographical area. Evidence of regional approval of the zone must be provided</w:t>
      </w:r>
      <w:r w:rsidR="00D326CB">
        <w:t>.</w:t>
      </w:r>
    </w:p>
    <w:p w14:paraId="71E91B8A" w14:textId="77777777" w:rsidR="001F6F94" w:rsidRPr="009D5264" w:rsidRDefault="00B16B3B" w:rsidP="001F6F94">
      <w:pPr>
        <w:pStyle w:val="Quote"/>
      </w:pPr>
      <w:r>
        <w:t>Lack of accommodation at the</w:t>
      </w:r>
      <w:r w:rsidR="001F6F94" w:rsidRPr="009D5264">
        <w:t xml:space="preserve"> nearest government school</w:t>
      </w:r>
    </w:p>
    <w:p w14:paraId="16D267FC" w14:textId="77777777" w:rsidR="001F6F94" w:rsidRPr="009D5264" w:rsidRDefault="00800498" w:rsidP="001F6F94">
      <w:r>
        <w:t>If entry to the nearest government school/campus is refused on the grounds the school is at capacity, students may travel to the next nearest government school</w:t>
      </w:r>
      <w:r w:rsidRPr="009D5264">
        <w:t xml:space="preserve"> </w:t>
      </w:r>
      <w:r>
        <w:t>and</w:t>
      </w:r>
      <w:r w:rsidR="001F6F94" w:rsidRPr="009D5264">
        <w:t xml:space="preserve"> </w:t>
      </w:r>
      <w:r>
        <w:t>apply for a full allowance.</w:t>
      </w:r>
    </w:p>
    <w:p w14:paraId="20EBE2ED" w14:textId="77777777" w:rsidR="001F6F94" w:rsidRPr="009D5264" w:rsidRDefault="00B16B3B" w:rsidP="001F6F94">
      <w:r>
        <w:t xml:space="preserve">A letter confirming </w:t>
      </w:r>
      <w:r w:rsidR="00800498">
        <w:t xml:space="preserve">refused entry from all nearer schools is required to be submitted with the application. </w:t>
      </w:r>
      <w:r w:rsidR="00043562">
        <w:t xml:space="preserve"> </w:t>
      </w:r>
      <w:r>
        <w:t>The letter(s) should be dated prior to the commencement date of the student at the school applying for the conveyance allowance.</w:t>
      </w:r>
    </w:p>
    <w:p w14:paraId="146D504D" w14:textId="77777777" w:rsidR="001F6F94" w:rsidRPr="009D5264" w:rsidRDefault="001F6F94" w:rsidP="001F6F94">
      <w:pPr>
        <w:pStyle w:val="Quote"/>
      </w:pPr>
      <w:r w:rsidRPr="009D5264">
        <w:t>S</w:t>
      </w:r>
      <w:r w:rsidR="00AD69AF">
        <w:t>ubject choice for s</w:t>
      </w:r>
      <w:r w:rsidRPr="009D5264">
        <w:t>tudents in Years 11 and 12</w:t>
      </w:r>
    </w:p>
    <w:p w14:paraId="40AE6846" w14:textId="77777777" w:rsidR="001F6F94" w:rsidRPr="00130C18" w:rsidRDefault="001F6F94" w:rsidP="001F6F94">
      <w:r w:rsidRPr="009D5264">
        <w:t>Year 11 and 12 students may travel to a more distant school and receive the</w:t>
      </w:r>
      <w:r w:rsidRPr="00130C18">
        <w:t xml:space="preserve"> conveyance allowance if two or more subjects are not available at their </w:t>
      </w:r>
      <w:r w:rsidR="00001AE1">
        <w:t>nearest</w:t>
      </w:r>
      <w:r w:rsidRPr="00130C18">
        <w:t xml:space="preserve"> school/campus. </w:t>
      </w:r>
    </w:p>
    <w:p w14:paraId="7DE31826" w14:textId="77777777" w:rsidR="001F6F94" w:rsidRPr="009D5264" w:rsidRDefault="00AD69AF" w:rsidP="001F6F94">
      <w:pPr>
        <w:pStyle w:val="Quote"/>
      </w:pPr>
      <w:r>
        <w:t>Off campus study for students in Years 11 and 12</w:t>
      </w:r>
    </w:p>
    <w:p w14:paraId="0C225807" w14:textId="77777777" w:rsidR="001F6F94" w:rsidRPr="009D5264" w:rsidRDefault="001F6F94" w:rsidP="001F6F94">
      <w:r w:rsidRPr="009D5264">
        <w:t>An allowance is available to</w:t>
      </w:r>
      <w:r>
        <w:t xml:space="preserve"> Year 11 and 12 </w:t>
      </w:r>
      <w:r w:rsidRPr="009D5264">
        <w:t>students who are required to travel 4.8km</w:t>
      </w:r>
      <w:r>
        <w:t xml:space="preserve"> or more</w:t>
      </w:r>
      <w:r w:rsidRPr="009D5264">
        <w:t xml:space="preserve"> to a TAFE institute, Registered Training Organisation</w:t>
      </w:r>
      <w:r w:rsidR="00043562">
        <w:t xml:space="preserve"> (RTO)</w:t>
      </w:r>
      <w:r w:rsidRPr="009D5264">
        <w:t xml:space="preserve"> or alternate school to access part of their course of study. </w:t>
      </w:r>
    </w:p>
    <w:p w14:paraId="1C97BF84" w14:textId="77777777" w:rsidR="001F6F94" w:rsidRPr="009D5264" w:rsidRDefault="001F6F94" w:rsidP="001F6F94">
      <w:r w:rsidRPr="009D5264">
        <w:t>Rates are calculated according to the number of days attended away from their main campus.</w:t>
      </w:r>
    </w:p>
    <w:p w14:paraId="049ADC8F" w14:textId="77777777" w:rsidR="001F6F94" w:rsidRDefault="001F6F94" w:rsidP="001F6F94">
      <w:r w:rsidRPr="009D5264">
        <w:t>Student travel to work placement, work experience or distance education cannot be claimed.</w:t>
      </w:r>
    </w:p>
    <w:p w14:paraId="440C16DE" w14:textId="77777777" w:rsidR="001F6F94" w:rsidRPr="00481BF1" w:rsidRDefault="001F6F94" w:rsidP="001F6F94">
      <w:pPr>
        <w:pStyle w:val="Quote"/>
      </w:pPr>
      <w:r w:rsidRPr="00481BF1">
        <w:t>Single</w:t>
      </w:r>
      <w:r w:rsidR="00043562">
        <w:t>-</w:t>
      </w:r>
      <w:r w:rsidRPr="00481BF1">
        <w:t>sex government schools</w:t>
      </w:r>
    </w:p>
    <w:p w14:paraId="1ED60FFA" w14:textId="77777777" w:rsidR="001F6F94" w:rsidRPr="00481BF1" w:rsidRDefault="001F6F94" w:rsidP="001F6F94">
      <w:r w:rsidRPr="00481BF1">
        <w:t xml:space="preserve">Students attending their </w:t>
      </w:r>
      <w:r w:rsidR="00001AE1">
        <w:t>nearest</w:t>
      </w:r>
      <w:r w:rsidRPr="00481BF1">
        <w:t xml:space="preserve"> single</w:t>
      </w:r>
      <w:r w:rsidR="00043562">
        <w:t>-</w:t>
      </w:r>
      <w:r w:rsidRPr="00481BF1">
        <w:t xml:space="preserve">sex government school may apply for a conveyance allowance </w:t>
      </w:r>
      <w:r w:rsidR="00AD69AF">
        <w:t>even if there is a nearer</w:t>
      </w:r>
      <w:r w:rsidRPr="00481BF1">
        <w:t xml:space="preserve"> co-educational government school.</w:t>
      </w:r>
    </w:p>
    <w:p w14:paraId="152FAEAF" w14:textId="77777777" w:rsidR="001F6F94" w:rsidRPr="00481BF1" w:rsidRDefault="001F6F94" w:rsidP="009F48A3">
      <w:pPr>
        <w:pStyle w:val="Quote"/>
      </w:pPr>
      <w:r w:rsidRPr="00481BF1">
        <w:t xml:space="preserve">Attending a </w:t>
      </w:r>
      <w:r w:rsidR="00A150A3">
        <w:t>Department</w:t>
      </w:r>
      <w:r w:rsidRPr="00481BF1">
        <w:t>-recognised accelerated learning program</w:t>
      </w:r>
    </w:p>
    <w:p w14:paraId="614D2047" w14:textId="77777777" w:rsidR="008578E9" w:rsidRPr="008578E9" w:rsidRDefault="008578E9" w:rsidP="009F48A3">
      <w:pPr>
        <w:pStyle w:val="Quote"/>
        <w:rPr>
          <w:b w:val="0"/>
          <w:color w:val="747378"/>
          <w:szCs w:val="24"/>
        </w:rPr>
      </w:pPr>
      <w:r w:rsidRPr="008578E9">
        <w:rPr>
          <w:b w:val="0"/>
          <w:color w:val="747378"/>
          <w:szCs w:val="24"/>
        </w:rPr>
        <w:t>Students attending a Department recognised Select Entry Accelerated Learning Program (SEAL) are entitled to claim the conveyance allowance as long as the school offering the program is located outside the UGB.   All other criteria apply.</w:t>
      </w:r>
    </w:p>
    <w:p w14:paraId="66DC202D" w14:textId="77777777" w:rsidR="00184A36" w:rsidRDefault="00184A36" w:rsidP="00800498">
      <w:pPr>
        <w:pStyle w:val="Quote"/>
        <w:rPr>
          <w:b w:val="0"/>
          <w:color w:val="747378"/>
          <w:szCs w:val="24"/>
        </w:rPr>
      </w:pPr>
    </w:p>
    <w:p w14:paraId="25CB5D21" w14:textId="77777777" w:rsidR="008578E9" w:rsidRDefault="008578E9" w:rsidP="00800498">
      <w:pPr>
        <w:pStyle w:val="Quote"/>
      </w:pPr>
    </w:p>
    <w:p w14:paraId="05C07B5B" w14:textId="77777777" w:rsidR="008578E9" w:rsidRDefault="008578E9" w:rsidP="00800498">
      <w:pPr>
        <w:pStyle w:val="Quote"/>
      </w:pPr>
    </w:p>
    <w:p w14:paraId="444906A9" w14:textId="77777777" w:rsidR="009F48A3" w:rsidRDefault="009F48A3" w:rsidP="00800498">
      <w:pPr>
        <w:pStyle w:val="Quote"/>
      </w:pPr>
    </w:p>
    <w:p w14:paraId="40914880" w14:textId="77777777" w:rsidR="009F48A3" w:rsidRDefault="009F48A3" w:rsidP="00800498">
      <w:pPr>
        <w:pStyle w:val="Quote"/>
      </w:pPr>
    </w:p>
    <w:p w14:paraId="20973ECD" w14:textId="77777777" w:rsidR="001F6F94" w:rsidRPr="00481BF1" w:rsidRDefault="001F6F94" w:rsidP="00800498">
      <w:pPr>
        <w:pStyle w:val="Quote"/>
      </w:pPr>
      <w:r w:rsidRPr="00481BF1">
        <w:lastRenderedPageBreak/>
        <w:t>Progression through a split campus school</w:t>
      </w:r>
    </w:p>
    <w:p w14:paraId="65511251" w14:textId="77777777" w:rsidR="001F6F94" w:rsidRPr="00481BF1" w:rsidRDefault="001F6F94" w:rsidP="001F6F94">
      <w:r w:rsidRPr="00481BF1">
        <w:t xml:space="preserve">For continuity of education, a student progressing from the junior to senior campus of a school is able to apply for the allowance </w:t>
      </w:r>
      <w:r w:rsidR="006F526D">
        <w:t>even if there is a nearer</w:t>
      </w:r>
      <w:r w:rsidRPr="00481BF1">
        <w:t xml:space="preserve"> government school </w:t>
      </w:r>
      <w:r w:rsidR="006F526D">
        <w:t>for the same year level</w:t>
      </w:r>
      <w:r w:rsidRPr="00481BF1">
        <w:t xml:space="preserve">.  However, the senior campus must </w:t>
      </w:r>
      <w:r w:rsidR="002306C7">
        <w:t xml:space="preserve">be </w:t>
      </w:r>
      <w:r w:rsidR="00B16B3B">
        <w:t>located outside</w:t>
      </w:r>
      <w:r w:rsidRPr="00481BF1">
        <w:t xml:space="preserve"> the metropolitan conveyance </w:t>
      </w:r>
      <w:r w:rsidR="00B16B3B">
        <w:t xml:space="preserve">allowance </w:t>
      </w:r>
      <w:r w:rsidRPr="00481BF1">
        <w:t>boundary</w:t>
      </w:r>
      <w:r w:rsidR="00511A5A">
        <w:t xml:space="preserve"> or in an exempt postcode area</w:t>
      </w:r>
      <w:r w:rsidR="00B16B3B">
        <w:t xml:space="preserve"> </w:t>
      </w:r>
      <w:r w:rsidRPr="00481BF1">
        <w:t>and the student must comply with</w:t>
      </w:r>
      <w:r w:rsidR="00B16B3B">
        <w:t xml:space="preserve"> all other eligibility criteria.</w:t>
      </w:r>
    </w:p>
    <w:p w14:paraId="72389114" w14:textId="77777777" w:rsidR="001F6F94" w:rsidRPr="00481BF1" w:rsidRDefault="001F6F94" w:rsidP="001F6F94">
      <w:pPr>
        <w:pStyle w:val="Quote"/>
      </w:pPr>
      <w:r w:rsidRPr="00481BF1">
        <w:t>School amalgamation or opening</w:t>
      </w:r>
    </w:p>
    <w:p w14:paraId="7F229C6E" w14:textId="77777777" w:rsidR="00B16B3B" w:rsidRDefault="001F6F94" w:rsidP="001F6F94">
      <w:r w:rsidRPr="00481BF1">
        <w:t xml:space="preserve">Students enrolled at a school that ceases to be their </w:t>
      </w:r>
      <w:r w:rsidR="00001AE1">
        <w:t>nearest</w:t>
      </w:r>
      <w:r w:rsidRPr="00481BF1">
        <w:t xml:space="preserve"> due to an amalgamation or school opening are entitled to continue claiming the conveyance allowance. </w:t>
      </w:r>
    </w:p>
    <w:p w14:paraId="6DD82504" w14:textId="77777777" w:rsidR="001F6F94" w:rsidRPr="00481BF1" w:rsidRDefault="00B16B3B" w:rsidP="001F6F94">
      <w:r>
        <w:t>A</w:t>
      </w:r>
      <w:r w:rsidR="001F6F94" w:rsidRPr="00481BF1">
        <w:t>ll new enrolments at a new or amalgamated school will be assessed under the criteria that apply at the time of enrolment.</w:t>
      </w:r>
    </w:p>
    <w:p w14:paraId="1810EA70" w14:textId="77777777" w:rsidR="001F6F94" w:rsidRPr="00481BF1" w:rsidRDefault="001F6F94" w:rsidP="001F6F94">
      <w:pPr>
        <w:pStyle w:val="Quote"/>
      </w:pPr>
      <w:r w:rsidRPr="00481BF1">
        <w:t>Next nearest school</w:t>
      </w:r>
    </w:p>
    <w:p w14:paraId="5BFE9863" w14:textId="77777777" w:rsidR="001F6F94" w:rsidRPr="00481BF1" w:rsidRDefault="001F6F94" w:rsidP="001F6F94">
      <w:r w:rsidRPr="00481BF1">
        <w:t>Students can claim a partial allowance to assist with travel to their next nearest government school if they:</w:t>
      </w:r>
    </w:p>
    <w:p w14:paraId="5128F5AA" w14:textId="77777777" w:rsidR="001F6F94" w:rsidRPr="00481BF1" w:rsidRDefault="001F6F94" w:rsidP="001F6F94">
      <w:pPr>
        <w:numPr>
          <w:ilvl w:val="0"/>
          <w:numId w:val="5"/>
        </w:numPr>
      </w:pPr>
      <w:r w:rsidRPr="00481BF1">
        <w:t xml:space="preserve">reside 4.8km or more from their </w:t>
      </w:r>
      <w:r w:rsidR="00001AE1">
        <w:t>nearest</w:t>
      </w:r>
      <w:r w:rsidRPr="00481BF1">
        <w:t xml:space="preserve"> government school, and</w:t>
      </w:r>
    </w:p>
    <w:p w14:paraId="2B656396" w14:textId="77777777" w:rsidR="001F6F94" w:rsidRPr="00481BF1" w:rsidRDefault="001F6F94" w:rsidP="001F6F94">
      <w:pPr>
        <w:numPr>
          <w:ilvl w:val="0"/>
          <w:numId w:val="5"/>
        </w:numPr>
      </w:pPr>
      <w:r w:rsidRPr="00481BF1">
        <w:t>private car is the only means of transport to the next nearest school</w:t>
      </w:r>
    </w:p>
    <w:p w14:paraId="6BAA2963" w14:textId="77777777" w:rsidR="001F6F94" w:rsidRPr="00481BF1" w:rsidRDefault="001F6F94" w:rsidP="001F6F94">
      <w:r w:rsidRPr="00481BF1">
        <w:t xml:space="preserve">Students with access to spare seats on a </w:t>
      </w:r>
      <w:r w:rsidR="00B16B3B">
        <w:t>government funded</w:t>
      </w:r>
      <w:r w:rsidRPr="00481BF1">
        <w:t xml:space="preserve"> school bus or public transport should pay </w:t>
      </w:r>
      <w:r w:rsidR="00010A09">
        <w:t>the appropriate</w:t>
      </w:r>
      <w:r w:rsidRPr="00481BF1">
        <w:t xml:space="preserve"> fare and are ineligible for a conveyance allowance.</w:t>
      </w:r>
    </w:p>
    <w:p w14:paraId="7A02A822" w14:textId="77777777" w:rsidR="001F6F94" w:rsidRPr="00481BF1" w:rsidRDefault="001F6F94" w:rsidP="001F6F94"/>
    <w:p w14:paraId="52F91337" w14:textId="77777777" w:rsidR="001F6F94" w:rsidRPr="00481BF1" w:rsidRDefault="001F6F94" w:rsidP="001F6F94">
      <w:pPr>
        <w:pStyle w:val="Heading3"/>
      </w:pPr>
      <w:r w:rsidRPr="00481BF1">
        <w:t>Non-government schools</w:t>
      </w:r>
    </w:p>
    <w:p w14:paraId="3863105A" w14:textId="77777777" w:rsidR="001F6F94" w:rsidRPr="00481BF1" w:rsidRDefault="001F6F94" w:rsidP="001F6F94">
      <w:r w:rsidRPr="00481BF1">
        <w:t xml:space="preserve">To be eligible for the conveyance allowance a student must </w:t>
      </w:r>
      <w:r w:rsidR="00511A5A">
        <w:t>attend</w:t>
      </w:r>
      <w:r w:rsidRPr="00481BF1">
        <w:t xml:space="preserve"> their</w:t>
      </w:r>
      <w:r w:rsidR="00511A5A">
        <w:t xml:space="preserve"> nearest non- government school/</w:t>
      </w:r>
      <w:r w:rsidRPr="00481BF1">
        <w:t>campus appropriate to their year level.</w:t>
      </w:r>
    </w:p>
    <w:p w14:paraId="4B7731B3" w14:textId="77777777" w:rsidR="001F6F94" w:rsidRPr="00481BF1" w:rsidRDefault="001F6F94" w:rsidP="001F6F94">
      <w:r w:rsidRPr="00481BF1">
        <w:t xml:space="preserve">The distance by shortest practicable route from the student’s residence to the school/campus is used to determine the </w:t>
      </w:r>
      <w:r w:rsidR="00001AE1">
        <w:t>nearest</w:t>
      </w:r>
      <w:r w:rsidRPr="00481BF1">
        <w:t xml:space="preserve"> school/campus.</w:t>
      </w:r>
    </w:p>
    <w:p w14:paraId="36BA742C" w14:textId="77777777" w:rsidR="001F6F94" w:rsidRDefault="001F6F94" w:rsidP="001F6F94">
      <w:r w:rsidRPr="00481BF1">
        <w:t>The ‘</w:t>
      </w:r>
      <w:r w:rsidR="00001AE1">
        <w:t>nearest</w:t>
      </w:r>
      <w:r w:rsidRPr="00481BF1">
        <w:t xml:space="preserve"> appropriate school’ for non-government schools is determined by denomination.  </w:t>
      </w:r>
      <w:r>
        <w:t xml:space="preserve">Refer to Appendix </w:t>
      </w:r>
      <w:r w:rsidR="00511A5A">
        <w:t>2</w:t>
      </w:r>
      <w:r>
        <w:t xml:space="preserve"> for information about denomination.</w:t>
      </w:r>
    </w:p>
    <w:p w14:paraId="2A079527" w14:textId="77777777" w:rsidR="001F6F94" w:rsidRDefault="001F6F94" w:rsidP="001F6F94">
      <w:r w:rsidRPr="00481BF1">
        <w:t>Students not attending their nearest appropriate non-government school may quality for a conveyance allowance in the circumstances listed below.</w:t>
      </w:r>
      <w:r w:rsidR="00F370C3">
        <w:t xml:space="preserve"> </w:t>
      </w:r>
      <w:r w:rsidR="00A41962">
        <w:t xml:space="preserve"> </w:t>
      </w:r>
      <w:r w:rsidR="00F370C3">
        <w:t>Sibling rights do not apply in any of these circumstances.</w:t>
      </w:r>
    </w:p>
    <w:p w14:paraId="7FF1B27C" w14:textId="77777777" w:rsidR="00800498" w:rsidRPr="00481BF1" w:rsidRDefault="00800498" w:rsidP="001F6F94"/>
    <w:p w14:paraId="76593D86" w14:textId="77777777" w:rsidR="001F6F94" w:rsidRPr="00481BF1" w:rsidRDefault="00B16B3B" w:rsidP="001F6F94">
      <w:pPr>
        <w:pStyle w:val="Quote"/>
      </w:pPr>
      <w:r>
        <w:t>Lack of accommodation at the</w:t>
      </w:r>
      <w:r w:rsidR="001F6F94" w:rsidRPr="00481BF1">
        <w:t xml:space="preserve"> nearest </w:t>
      </w:r>
      <w:r w:rsidR="00511A5A">
        <w:t xml:space="preserve">appropriate </w:t>
      </w:r>
      <w:r w:rsidR="001F6F94" w:rsidRPr="00481BF1">
        <w:t>non-government school</w:t>
      </w:r>
    </w:p>
    <w:p w14:paraId="589A2EE5" w14:textId="77777777" w:rsidR="00511A5A" w:rsidRPr="009D5264" w:rsidRDefault="00511A5A" w:rsidP="00511A5A">
      <w:r>
        <w:t>If entry to the nearest appropriate non-government school/campus is refused on the grounds the school is at capacity, students may travel to the next nearest appropriate non-government school</w:t>
      </w:r>
      <w:r w:rsidRPr="009D5264">
        <w:t xml:space="preserve"> </w:t>
      </w:r>
      <w:r>
        <w:t>and</w:t>
      </w:r>
      <w:r w:rsidRPr="009D5264">
        <w:t xml:space="preserve"> </w:t>
      </w:r>
      <w:r>
        <w:t>apply for a full allowance.</w:t>
      </w:r>
    </w:p>
    <w:p w14:paraId="2E05F2B7" w14:textId="77777777" w:rsidR="001F6F94" w:rsidRPr="009D5264" w:rsidRDefault="00511A5A" w:rsidP="00511A5A">
      <w:r>
        <w:t>A letter confirming refused entry from all nearer appropriate schools is required to be submitted with the application. The letter(s) should be dated prior to the commencement date of the student at the school applying for the conveyance allowance</w:t>
      </w:r>
    </w:p>
    <w:p w14:paraId="353D230F" w14:textId="77777777" w:rsidR="001F6F94" w:rsidRPr="00481BF1" w:rsidRDefault="001F6F94" w:rsidP="001F6F94">
      <w:pPr>
        <w:pStyle w:val="Quote"/>
      </w:pPr>
      <w:r w:rsidRPr="00481BF1">
        <w:t>S</w:t>
      </w:r>
      <w:r w:rsidR="00AD69AF">
        <w:t>ubject choice for s</w:t>
      </w:r>
      <w:r w:rsidRPr="00481BF1">
        <w:t>tudents in Years 11 and 12</w:t>
      </w:r>
    </w:p>
    <w:p w14:paraId="0576C25B" w14:textId="77777777" w:rsidR="001F6F94" w:rsidRPr="009D5264" w:rsidRDefault="001F6F94" w:rsidP="001F6F94">
      <w:r w:rsidRPr="005E5BC6">
        <w:t>Year 11 and 12 students may travel to a more distant school and receive</w:t>
      </w:r>
      <w:r>
        <w:t xml:space="preserve"> the conveyance allowance i</w:t>
      </w:r>
      <w:r w:rsidRPr="009D5264">
        <w:t xml:space="preserve">f two or more subjects are not available at their </w:t>
      </w:r>
      <w:r w:rsidR="00001AE1">
        <w:t>nearest</w:t>
      </w:r>
      <w:r w:rsidRPr="009D5264">
        <w:t xml:space="preserve"> school/campus</w:t>
      </w:r>
      <w:r>
        <w:t>.</w:t>
      </w:r>
      <w:r w:rsidRPr="009D5264">
        <w:t xml:space="preserve"> </w:t>
      </w:r>
    </w:p>
    <w:p w14:paraId="380AD09C" w14:textId="77777777" w:rsidR="00AD69AF" w:rsidRPr="009D5264" w:rsidRDefault="00AD69AF" w:rsidP="00AD69AF">
      <w:pPr>
        <w:pStyle w:val="Quote"/>
      </w:pPr>
      <w:r>
        <w:t>Off campus study for students in Years 11 and 12</w:t>
      </w:r>
    </w:p>
    <w:p w14:paraId="11F1C951" w14:textId="77777777" w:rsidR="001F6F94" w:rsidRPr="009D5264" w:rsidRDefault="001F6F94" w:rsidP="001F6F94">
      <w:r w:rsidRPr="009D5264">
        <w:t>An allowance is available to students enrolled in Years 11 and 12 who are required to travel 4.8km</w:t>
      </w:r>
      <w:r>
        <w:t xml:space="preserve"> or more</w:t>
      </w:r>
      <w:r w:rsidRPr="009D5264">
        <w:t xml:space="preserve"> to a TAFE institute, Registered Training Organisation or alternate school to access part of their course of study. </w:t>
      </w:r>
    </w:p>
    <w:p w14:paraId="03C4D756" w14:textId="77777777" w:rsidR="001F6F94" w:rsidRPr="009D5264" w:rsidRDefault="001F6F94" w:rsidP="001F6F94">
      <w:r w:rsidRPr="009D5264">
        <w:lastRenderedPageBreak/>
        <w:t>Rates are calculated according to the number of days attended away from their main campus.</w:t>
      </w:r>
    </w:p>
    <w:p w14:paraId="3185A67B" w14:textId="77777777" w:rsidR="001F6F94" w:rsidRPr="009D5264" w:rsidRDefault="001F6F94" w:rsidP="001F6F94">
      <w:r w:rsidRPr="009D5264">
        <w:t>Student travel to work placement, work experience or distance education cannot be claimed.</w:t>
      </w:r>
    </w:p>
    <w:p w14:paraId="6F5084E9" w14:textId="77777777" w:rsidR="001F6F94" w:rsidRPr="00481BF1" w:rsidRDefault="001F6F94" w:rsidP="001F6F94">
      <w:pPr>
        <w:pStyle w:val="Quote"/>
      </w:pPr>
      <w:r w:rsidRPr="00481BF1">
        <w:t>Single sex non-government schools</w:t>
      </w:r>
    </w:p>
    <w:p w14:paraId="7F07E2BD" w14:textId="77777777" w:rsidR="001F6F94" w:rsidRDefault="001F6F94" w:rsidP="001F6F94">
      <w:r w:rsidRPr="009D5264">
        <w:t xml:space="preserve">Students attending their </w:t>
      </w:r>
      <w:r w:rsidR="00001AE1">
        <w:t>nearest</w:t>
      </w:r>
      <w:r w:rsidRPr="009D5264">
        <w:t xml:space="preserve"> single sex non-government school of a particular denomination may apply for the conveyance allowance </w:t>
      </w:r>
      <w:r w:rsidR="00AD69AF">
        <w:t>even if there is a nearer</w:t>
      </w:r>
      <w:r w:rsidRPr="009D5264">
        <w:t xml:space="preserve"> non-government co-educational school of the same denomination.</w:t>
      </w:r>
    </w:p>
    <w:p w14:paraId="6C9275DA" w14:textId="77777777" w:rsidR="00B16B3B" w:rsidRPr="00481BF1" w:rsidRDefault="00B16B3B" w:rsidP="00B16B3B">
      <w:pPr>
        <w:pStyle w:val="Quote"/>
      </w:pPr>
      <w:r w:rsidRPr="00481BF1">
        <w:t>Progression through a split campus school</w:t>
      </w:r>
    </w:p>
    <w:p w14:paraId="49C01C83" w14:textId="77777777" w:rsidR="00B16B3B" w:rsidRPr="009D5264" w:rsidRDefault="00B16B3B" w:rsidP="001F6F94">
      <w:r w:rsidRPr="009D5264">
        <w:t xml:space="preserve">For continuity of education, a student progressing from the junior to senior campus of a school is able to apply for the allowance </w:t>
      </w:r>
      <w:r>
        <w:t xml:space="preserve">even if there is a nearer </w:t>
      </w:r>
      <w:r w:rsidRPr="009D5264">
        <w:t xml:space="preserve">non-government school </w:t>
      </w:r>
      <w:r>
        <w:t>for</w:t>
      </w:r>
      <w:r w:rsidRPr="009D5264">
        <w:t xml:space="preserve"> the same </w:t>
      </w:r>
      <w:r>
        <w:t xml:space="preserve">year level and </w:t>
      </w:r>
      <w:r w:rsidRPr="009D5264">
        <w:t xml:space="preserve">denomination.  </w:t>
      </w:r>
      <w:r w:rsidR="00511A5A" w:rsidRPr="00481BF1">
        <w:t xml:space="preserve">However, the senior campus must </w:t>
      </w:r>
      <w:r w:rsidR="00A41962">
        <w:t xml:space="preserve">be </w:t>
      </w:r>
      <w:r w:rsidR="00511A5A">
        <w:t>located outside</w:t>
      </w:r>
      <w:r w:rsidR="00511A5A" w:rsidRPr="00481BF1">
        <w:t xml:space="preserve"> the metropolitan conveyance </w:t>
      </w:r>
      <w:r w:rsidR="00511A5A">
        <w:t xml:space="preserve">allowance </w:t>
      </w:r>
      <w:r w:rsidR="00511A5A" w:rsidRPr="00481BF1">
        <w:t>boundary</w:t>
      </w:r>
      <w:r w:rsidR="00511A5A">
        <w:t xml:space="preserve"> or in an exempt postcode area </w:t>
      </w:r>
      <w:r w:rsidR="00511A5A" w:rsidRPr="00481BF1">
        <w:t>and the student must comply with</w:t>
      </w:r>
      <w:r w:rsidR="00511A5A">
        <w:t xml:space="preserve"> all other eligibility criteria.</w:t>
      </w:r>
    </w:p>
    <w:p w14:paraId="6A12B237" w14:textId="77777777" w:rsidR="001F6F94" w:rsidRPr="00481BF1" w:rsidRDefault="001F6F94" w:rsidP="001F6F94">
      <w:pPr>
        <w:pStyle w:val="Quote"/>
      </w:pPr>
      <w:r w:rsidRPr="00481BF1">
        <w:t>School amalgamation or opening</w:t>
      </w:r>
    </w:p>
    <w:p w14:paraId="6A4BE602" w14:textId="77777777" w:rsidR="000467EE" w:rsidRDefault="001F6F94" w:rsidP="001F6F94">
      <w:r w:rsidRPr="009D5264">
        <w:t xml:space="preserve">Students enrolled at a school that ceases to be their </w:t>
      </w:r>
      <w:r w:rsidR="00001AE1">
        <w:t>nearest</w:t>
      </w:r>
      <w:r w:rsidRPr="009D5264">
        <w:t xml:space="preserve"> due to an amalgamation or school opening are entitled to continue claiming the conveyance allowance. </w:t>
      </w:r>
    </w:p>
    <w:p w14:paraId="7CC3C87E" w14:textId="77777777" w:rsidR="001F6F94" w:rsidRPr="00481BF1" w:rsidRDefault="000467EE" w:rsidP="001F6F94">
      <w:r>
        <w:t>A</w:t>
      </w:r>
      <w:r w:rsidR="001F6F94" w:rsidRPr="009D5264">
        <w:t>ll new enrolments at a</w:t>
      </w:r>
      <w:r w:rsidR="001F6F94">
        <w:t xml:space="preserve"> new or</w:t>
      </w:r>
      <w:r w:rsidR="001F6F94" w:rsidRPr="009D5264">
        <w:t xml:space="preserve"> amalgamated school will be assessed under the criteria that apply at the time of enrolment.</w:t>
      </w:r>
    </w:p>
    <w:p w14:paraId="7DEF8DF2" w14:textId="77777777" w:rsidR="001F6F94" w:rsidRDefault="001F6F94" w:rsidP="001F6F94">
      <w:pPr>
        <w:pStyle w:val="Heading2"/>
      </w:pPr>
      <w:bookmarkStart w:id="48" w:name="_Toc408317574"/>
      <w:r w:rsidRPr="00481BF1">
        <w:t>Specialist schools</w:t>
      </w:r>
      <w:bookmarkEnd w:id="48"/>
    </w:p>
    <w:p w14:paraId="6A2566A3" w14:textId="77777777" w:rsidR="00B4173D" w:rsidRDefault="00B4173D" w:rsidP="00B4173D">
      <w:r>
        <w:t>Specialist schools focus on the provision of education for students with disabilities.</w:t>
      </w:r>
    </w:p>
    <w:p w14:paraId="37DF6072" w14:textId="77777777" w:rsidR="00B4173D" w:rsidRPr="00B4173D" w:rsidRDefault="00B4173D" w:rsidP="00B4173D">
      <w:r w:rsidRPr="009D5264">
        <w:t>The metropolitan conveyance</w:t>
      </w:r>
      <w:r>
        <w:t xml:space="preserve"> allowance</w:t>
      </w:r>
      <w:r w:rsidRPr="009D5264">
        <w:t xml:space="preserve"> boundary does not apply to </w:t>
      </w:r>
      <w:r>
        <w:t>specialist</w:t>
      </w:r>
      <w:r w:rsidRPr="009D5264">
        <w:t xml:space="preserve"> schools</w:t>
      </w:r>
      <w:r>
        <w:t>.</w:t>
      </w:r>
    </w:p>
    <w:p w14:paraId="0F83B81B" w14:textId="77777777" w:rsidR="001F6F94" w:rsidRPr="00481BF1" w:rsidRDefault="001F6F94" w:rsidP="001F6F94">
      <w:pPr>
        <w:pStyle w:val="Heading3"/>
      </w:pPr>
      <w:r w:rsidRPr="00481BF1">
        <w:t>Government specialist schools</w:t>
      </w:r>
    </w:p>
    <w:p w14:paraId="4B3A8A3F" w14:textId="77777777" w:rsidR="001F6F94" w:rsidRDefault="001F6F94" w:rsidP="001F6F94">
      <w:r w:rsidRPr="009D5264">
        <w:t xml:space="preserve">For each government specialist school </w:t>
      </w:r>
      <w:r w:rsidR="00A150A3">
        <w:t>the Department</w:t>
      </w:r>
      <w:r w:rsidRPr="009D5264">
        <w:t xml:space="preserve"> has established a Designated Transport Area (DTA).  To be eligible for travel assistance</w:t>
      </w:r>
      <w:r w:rsidR="00B4173D">
        <w:t xml:space="preserve"> (including conveyance allowance)</w:t>
      </w:r>
      <w:r w:rsidRPr="009D5264">
        <w:t xml:space="preserve"> a student must reside in the DTA for the school attended.  </w:t>
      </w:r>
    </w:p>
    <w:p w14:paraId="1FD673B2" w14:textId="77777777" w:rsidR="00B4173D" w:rsidRDefault="00B4173D" w:rsidP="001F6F94">
      <w:r w:rsidRPr="009D5264">
        <w:t>Transport assistance for government specialist schools is provided under the Students with Disabilities Transport Program (SDTP). The SDTP has its own policy that must be referred to, which can be found here:</w:t>
      </w:r>
      <w:r>
        <w:t xml:space="preserve"> </w:t>
      </w:r>
      <w:hyperlink r:id="rId28" w:history="1">
        <w:r w:rsidRPr="0066005E">
          <w:rPr>
            <w:rStyle w:val="Hyperlink"/>
          </w:rPr>
          <w:t>www.education.vic.gov.au/studenttransport</w:t>
        </w:r>
      </w:hyperlink>
    </w:p>
    <w:p w14:paraId="01214138" w14:textId="77777777" w:rsidR="001F6F94" w:rsidRPr="009D5264" w:rsidRDefault="001F6F94" w:rsidP="001F6F94">
      <w:r w:rsidRPr="009D5264">
        <w:t>The type of travel assistance received depends on the individual circumstances of the student.  The conveyance allowance is one form of assistance offered to families.</w:t>
      </w:r>
    </w:p>
    <w:p w14:paraId="73CFB4BE" w14:textId="77777777" w:rsidR="001F6F94" w:rsidRPr="00481BF1" w:rsidRDefault="001F6F94" w:rsidP="001F6F94">
      <w:pPr>
        <w:pStyle w:val="Heading3"/>
      </w:pPr>
      <w:r w:rsidRPr="00481BF1">
        <w:t>Non-government specialist schools</w:t>
      </w:r>
    </w:p>
    <w:p w14:paraId="0255CE18" w14:textId="77777777" w:rsidR="001F6F94" w:rsidRPr="009D5264" w:rsidRDefault="001F6F94" w:rsidP="001F6F94">
      <w:r w:rsidRPr="009D5264">
        <w:t xml:space="preserve">The conveyance allowance is available to students attending their </w:t>
      </w:r>
      <w:r>
        <w:t>nearest</w:t>
      </w:r>
      <w:r w:rsidRPr="009D5264">
        <w:t xml:space="preserve"> appropriate n</w:t>
      </w:r>
      <w:r>
        <w:t>on-government specialist school.</w:t>
      </w:r>
    </w:p>
    <w:p w14:paraId="30D0317B" w14:textId="77777777" w:rsidR="001F6F94" w:rsidRPr="00481BF1" w:rsidRDefault="001F6F94" w:rsidP="001F6F94">
      <w:pPr>
        <w:pStyle w:val="Heading2"/>
      </w:pPr>
      <w:bookmarkStart w:id="49" w:name="_Toc408317575"/>
      <w:r w:rsidRPr="00481BF1">
        <w:t>Specialist settings</w:t>
      </w:r>
      <w:bookmarkEnd w:id="49"/>
      <w:r w:rsidRPr="00481BF1">
        <w:t xml:space="preserve"> </w:t>
      </w:r>
    </w:p>
    <w:p w14:paraId="3E070F75" w14:textId="77777777" w:rsidR="001F6F94" w:rsidRPr="009D5264" w:rsidRDefault="001F6F94" w:rsidP="001F6F94">
      <w:r w:rsidRPr="009D5264">
        <w:t>Recognised special settings are small and unique settings that provide specialist education to s</w:t>
      </w:r>
      <w:r w:rsidR="00B4173D">
        <w:t xml:space="preserve">tudents with particular needs. </w:t>
      </w:r>
      <w:r>
        <w:t xml:space="preserve"> </w:t>
      </w:r>
    </w:p>
    <w:p w14:paraId="2FE8C8D5" w14:textId="77777777" w:rsidR="001F6F94" w:rsidRDefault="001F6F94" w:rsidP="001F6F94">
      <w:r>
        <w:t xml:space="preserve">Specialist settings must be recognised by </w:t>
      </w:r>
      <w:r w:rsidR="00A150A3">
        <w:t>the Department</w:t>
      </w:r>
      <w:r>
        <w:t xml:space="preserve"> to be eligible to claim conveyance allowance outside the mainstream school policy explained above.  </w:t>
      </w:r>
      <w:r w:rsidRPr="009D5264">
        <w:t xml:space="preserve">All eligible special settings are listed </w:t>
      </w:r>
      <w:r w:rsidR="00B4173D">
        <w:t>on the conveyance website:</w:t>
      </w:r>
      <w:r w:rsidR="00A53758" w:rsidRPr="00A53758">
        <w:rPr>
          <w:rStyle w:val="Hyperlink"/>
        </w:rPr>
        <w:t>www.education.vic.gov.au/school/principals/finance/Pages/conveyance</w:t>
      </w:r>
      <w:r w:rsidR="00150661">
        <w:rPr>
          <w:rStyle w:val="Hyperlink"/>
        </w:rPr>
        <w:t>.aspx</w:t>
      </w:r>
      <w:r w:rsidR="00B4173D">
        <w:t xml:space="preserve">. </w:t>
      </w:r>
    </w:p>
    <w:p w14:paraId="106D583E" w14:textId="77777777" w:rsidR="00B4173D" w:rsidRPr="0066005E" w:rsidRDefault="00B4173D" w:rsidP="001F6F94">
      <w:r w:rsidRPr="009D5264">
        <w:t>The metropolitan conveyance</w:t>
      </w:r>
      <w:r>
        <w:t xml:space="preserve"> allowance</w:t>
      </w:r>
      <w:r w:rsidRPr="009D5264">
        <w:t xml:space="preserve"> boundary d</w:t>
      </w:r>
      <w:r>
        <w:t>oes not apply to these settings.</w:t>
      </w:r>
    </w:p>
    <w:p w14:paraId="4DDEF33A" w14:textId="77777777" w:rsidR="001F6F94" w:rsidRDefault="001F6F94" w:rsidP="001F6F94">
      <w:r w:rsidRPr="00BB32C2">
        <w:rPr>
          <w:b/>
        </w:rPr>
        <w:t>Note:</w:t>
      </w:r>
      <w:r w:rsidRPr="00BB32C2">
        <w:t xml:space="preserve"> the Student Transport and Family Allowances Branch and the Transport Special Case Consideration Panel have no authority or responsibility for determining a school’s specialist status.</w:t>
      </w:r>
      <w:r w:rsidRPr="009D5264">
        <w:t xml:space="preserve"> </w:t>
      </w:r>
    </w:p>
    <w:p w14:paraId="7D25D474" w14:textId="77777777" w:rsidR="001F6F94" w:rsidRPr="00481BF1" w:rsidRDefault="001F6F94" w:rsidP="001F6F94">
      <w:pPr>
        <w:pStyle w:val="Heading3"/>
      </w:pPr>
      <w:r w:rsidRPr="00481BF1">
        <w:lastRenderedPageBreak/>
        <w:t>Deaf facilities</w:t>
      </w:r>
    </w:p>
    <w:p w14:paraId="2F5464EC" w14:textId="77777777" w:rsidR="001F6F94" w:rsidRPr="009D5264" w:rsidRDefault="001F6F94" w:rsidP="001F6F94">
      <w:r w:rsidRPr="009D5264">
        <w:t xml:space="preserve">Deaf facilities provide a specialist setting for hearing impaired students within a mainstream school. </w:t>
      </w:r>
      <w:r w:rsidR="00A41962">
        <w:t xml:space="preserve"> </w:t>
      </w:r>
      <w:r>
        <w:t>S</w:t>
      </w:r>
      <w:r w:rsidRPr="009D5264">
        <w:t xml:space="preserve">tudents must attend their </w:t>
      </w:r>
      <w:r w:rsidR="00001AE1">
        <w:t>nearest</w:t>
      </w:r>
      <w:r w:rsidRPr="009D5264">
        <w:t xml:space="preserve"> deaf facility </w:t>
      </w:r>
      <w:r>
        <w:t>to claim conveyance allowance.</w:t>
      </w:r>
    </w:p>
    <w:p w14:paraId="53B07219" w14:textId="77777777" w:rsidR="001F6F94" w:rsidRPr="00481BF1" w:rsidRDefault="001F6F94" w:rsidP="001F6F94">
      <w:pPr>
        <w:pStyle w:val="Heading3"/>
      </w:pPr>
      <w:r w:rsidRPr="00481BF1">
        <w:t>English language schools and centres</w:t>
      </w:r>
    </w:p>
    <w:p w14:paraId="3316040C" w14:textId="77777777" w:rsidR="001F6F94" w:rsidRPr="009D5264" w:rsidRDefault="001F6F94" w:rsidP="001F6F94">
      <w:r>
        <w:t>English language schools and centres</w:t>
      </w:r>
      <w:r w:rsidRPr="009D5264">
        <w:t xml:space="preserve"> provide intensive English language courses targeted at students who have recently arrived in Australia.  </w:t>
      </w:r>
      <w:r>
        <w:t>S</w:t>
      </w:r>
      <w:r w:rsidRPr="009D5264">
        <w:t xml:space="preserve">tudents must attend their </w:t>
      </w:r>
      <w:r w:rsidR="00001AE1">
        <w:t>nearest</w:t>
      </w:r>
      <w:r w:rsidRPr="009D5264">
        <w:t xml:space="preserve"> </w:t>
      </w:r>
      <w:r>
        <w:t>English language centre or school</w:t>
      </w:r>
      <w:r w:rsidRPr="009D5264">
        <w:t xml:space="preserve"> </w:t>
      </w:r>
      <w:r>
        <w:t xml:space="preserve">to claim conveyance allowance. </w:t>
      </w:r>
    </w:p>
    <w:p w14:paraId="6EA60777" w14:textId="77777777" w:rsidR="001F6F94" w:rsidRPr="00481BF1" w:rsidRDefault="001F6F94" w:rsidP="001F6F94">
      <w:pPr>
        <w:pStyle w:val="Heading3"/>
      </w:pPr>
      <w:r w:rsidRPr="00481BF1">
        <w:t>Re-engagement centres</w:t>
      </w:r>
    </w:p>
    <w:p w14:paraId="72794887" w14:textId="77777777" w:rsidR="001F6F94" w:rsidRDefault="001F6F94" w:rsidP="001F6F94">
      <w:r w:rsidRPr="00481BF1">
        <w:t xml:space="preserve">Re-engagement programs operate outside mainstream school settings and provide tailored education and support for children and young people who are disengaged, or have been identified as at risk of disengaging, from mainstream school.  </w:t>
      </w:r>
    </w:p>
    <w:p w14:paraId="31E05D41" w14:textId="77777777" w:rsidR="001F6F94" w:rsidRPr="009D5264" w:rsidRDefault="001F6F94" w:rsidP="001F6F94">
      <w:pPr>
        <w:rPr>
          <w:highlight w:val="yellow"/>
        </w:rPr>
      </w:pPr>
      <w:r w:rsidRPr="00481BF1">
        <w:t xml:space="preserve">To claim the conveyance allowance in these settings the re-engagement program must be operating in accordance with the </w:t>
      </w:r>
      <w:r w:rsidRPr="006D098D">
        <w:t xml:space="preserve">Online Guidance for Re-engagement Programs available here: </w:t>
      </w:r>
      <w:hyperlink r:id="rId29" w:history="1">
        <w:r w:rsidR="008B01DF" w:rsidRPr="006D098D">
          <w:rPr>
            <w:rStyle w:val="Hyperlink"/>
          </w:rPr>
          <w:t>www.education.vic.gov.au/school/principals/participation/Pages/reengagement.aspx</w:t>
        </w:r>
      </w:hyperlink>
      <w:r w:rsidRPr="006D098D">
        <w:rPr>
          <w:rStyle w:val="Hyperlink"/>
        </w:rPr>
        <w:t>.</w:t>
      </w:r>
    </w:p>
    <w:p w14:paraId="076643FC" w14:textId="77777777" w:rsidR="001F6F94" w:rsidRDefault="001F6F94" w:rsidP="001F6F94">
      <w:r w:rsidRPr="009D5264">
        <w:t xml:space="preserve">Only students who are attending the re-engagement programs </w:t>
      </w:r>
      <w:r w:rsidR="00A41962">
        <w:t>at</w:t>
      </w:r>
      <w:r w:rsidRPr="009D5264">
        <w:t xml:space="preserve"> these schools and have been referred to the re-engagement program in accordance with the process outlined in the Online Guidance for Re-engagement Programs are eligible to claim the conveyance allowance.</w:t>
      </w:r>
    </w:p>
    <w:p w14:paraId="794AC4F4" w14:textId="77777777" w:rsidR="001F6F94" w:rsidRPr="009D5264" w:rsidRDefault="001F6F94" w:rsidP="001F6F94">
      <w:r>
        <w:t xml:space="preserve">Students do not have to attend their </w:t>
      </w:r>
      <w:r w:rsidR="00001AE1">
        <w:t>nearest</w:t>
      </w:r>
      <w:r>
        <w:t xml:space="preserve"> re-engagement program, but must attend the program specified in their re-engagement plan, developed in association with the </w:t>
      </w:r>
      <w:r w:rsidR="00F84302">
        <w:t>DET</w:t>
      </w:r>
      <w:r>
        <w:t xml:space="preserve"> regional office.</w:t>
      </w:r>
      <w:r w:rsidR="00F9009F">
        <w:t xml:space="preserve"> Evidence of this must be provided with the application.</w:t>
      </w:r>
    </w:p>
    <w:p w14:paraId="4472BD80" w14:textId="77777777" w:rsidR="001F6F94" w:rsidRDefault="001F6F94" w:rsidP="001F6F94">
      <w:pPr>
        <w:pStyle w:val="Heading2"/>
      </w:pPr>
      <w:bookmarkStart w:id="50" w:name="_Toc408317576"/>
      <w:r>
        <w:t>Other important information</w:t>
      </w:r>
      <w:bookmarkEnd w:id="50"/>
    </w:p>
    <w:p w14:paraId="00DCB0E5" w14:textId="77777777" w:rsidR="001F6F94" w:rsidRPr="00481BF1" w:rsidRDefault="001F6F94" w:rsidP="001F6F94">
      <w:pPr>
        <w:pStyle w:val="Heading3"/>
      </w:pPr>
      <w:r w:rsidRPr="00481BF1">
        <w:t>Change of address</w:t>
      </w:r>
    </w:p>
    <w:p w14:paraId="2D7AE90E" w14:textId="77777777" w:rsidR="001F6F94" w:rsidRDefault="001F6F94" w:rsidP="001F6F94">
      <w:r w:rsidRPr="009D5264">
        <w:t>If a student changes residential address, a new application must be made and assessed against all criteria.</w:t>
      </w:r>
    </w:p>
    <w:p w14:paraId="5F4B89D7" w14:textId="77777777" w:rsidR="001F6F94" w:rsidRPr="00F71984" w:rsidRDefault="001F6F94" w:rsidP="001F6F94">
      <w:pPr>
        <w:pStyle w:val="Heading3"/>
      </w:pPr>
      <w:r w:rsidRPr="00F71984">
        <w:t xml:space="preserve">Sibling </w:t>
      </w:r>
      <w:r>
        <w:t>e</w:t>
      </w:r>
      <w:r w:rsidRPr="00F71984">
        <w:t>ntitlement</w:t>
      </w:r>
    </w:p>
    <w:p w14:paraId="6FF3D495" w14:textId="77777777" w:rsidR="001F6F94" w:rsidRDefault="001F6F94" w:rsidP="001F6F94">
      <w:r>
        <w:t>Sibling entitlement does not apply in any circumstances.</w:t>
      </w:r>
    </w:p>
    <w:p w14:paraId="782F479E" w14:textId="77777777" w:rsidR="001F6F94" w:rsidRPr="00481BF1" w:rsidRDefault="00F9009F" w:rsidP="001F6F94">
      <w:pPr>
        <w:pStyle w:val="Heading3"/>
      </w:pPr>
      <w:r>
        <w:t>Adjustments to a conveyance allowance</w:t>
      </w:r>
    </w:p>
    <w:p w14:paraId="48DB8364" w14:textId="77777777" w:rsidR="001F6F94" w:rsidRDefault="001F6F94" w:rsidP="001F6F94">
      <w:r>
        <w:t>If a</w:t>
      </w:r>
      <w:r w:rsidRPr="009D5264">
        <w:t xml:space="preserve"> student</w:t>
      </w:r>
      <w:r w:rsidR="00A8261F">
        <w:t>’s travel period ends earlier than expected, an adjustment to the amount payable may be applied.</w:t>
      </w:r>
      <w:r>
        <w:t xml:space="preserve"> </w:t>
      </w:r>
    </w:p>
    <w:p w14:paraId="284C6B12" w14:textId="77777777" w:rsidR="001F6F94" w:rsidRPr="00481BF1" w:rsidRDefault="001F6F94" w:rsidP="001F6F94">
      <w:pPr>
        <w:pStyle w:val="Heading3"/>
      </w:pPr>
      <w:r>
        <w:t xml:space="preserve">Payments for students </w:t>
      </w:r>
      <w:r w:rsidR="000F45F9">
        <w:t>who reside at more than one address</w:t>
      </w:r>
    </w:p>
    <w:p w14:paraId="16B45FEB" w14:textId="77777777" w:rsidR="00833A6A" w:rsidRDefault="001F6F94" w:rsidP="001F6F94">
      <w:r w:rsidRPr="009D5264">
        <w:t xml:space="preserve">A student who resides at more than one address </w:t>
      </w:r>
      <w:r w:rsidR="00833A6A">
        <w:t xml:space="preserve">can </w:t>
      </w:r>
      <w:r w:rsidRPr="009D5264">
        <w:t>be assessed for eligibility from</w:t>
      </w:r>
      <w:r>
        <w:t xml:space="preserve"> </w:t>
      </w:r>
      <w:r w:rsidR="00833A6A">
        <w:t xml:space="preserve">both </w:t>
      </w:r>
      <w:r w:rsidRPr="009D5264">
        <w:t>the</w:t>
      </w:r>
      <w:r>
        <w:t xml:space="preserve"> </w:t>
      </w:r>
      <w:r w:rsidRPr="009D5264">
        <w:t>primary</w:t>
      </w:r>
      <w:r w:rsidR="00833A6A">
        <w:t xml:space="preserve"> and secondary residence.</w:t>
      </w:r>
    </w:p>
    <w:p w14:paraId="20D06DB3" w14:textId="77777777" w:rsidR="00833A6A" w:rsidRDefault="00833A6A" w:rsidP="001F6F94">
      <w:r>
        <w:t>For students who are eligible from only the primary or secondary address, p</w:t>
      </w:r>
      <w:r w:rsidR="001F6F94" w:rsidRPr="009D5264">
        <w:t xml:space="preserve">ayment will be at a pro-rata amount based on the number of days they reside at </w:t>
      </w:r>
      <w:r w:rsidR="001F6F94">
        <w:t xml:space="preserve">the </w:t>
      </w:r>
      <w:r w:rsidR="001F6F94" w:rsidRPr="009D5264">
        <w:t xml:space="preserve">address.  </w:t>
      </w:r>
    </w:p>
    <w:p w14:paraId="770D2FC2" w14:textId="77777777" w:rsidR="001F6F94" w:rsidRDefault="00833A6A" w:rsidP="001F6F94">
      <w:r>
        <w:t>For students eligible from both addresses</w:t>
      </w:r>
      <w:r w:rsidR="001F6F94" w:rsidRPr="009D5264">
        <w:t>, the school will claim a full allowance from the primary address and allocate appropriate amounts to the parents</w:t>
      </w:r>
      <w:r w:rsidR="001F6F94">
        <w:t>/</w:t>
      </w:r>
      <w:r w:rsidR="001F6F94" w:rsidRPr="009D5264">
        <w:t>guardians.</w:t>
      </w:r>
    </w:p>
    <w:p w14:paraId="4FEE2D79" w14:textId="77777777" w:rsidR="001F6F94" w:rsidRPr="009D5264" w:rsidRDefault="001F6F94" w:rsidP="001F6F94">
      <w:r>
        <w:t>This also applies for multimode allowances.</w:t>
      </w:r>
    </w:p>
    <w:p w14:paraId="7F534881" w14:textId="77777777" w:rsidR="00797E97" w:rsidRDefault="00481BF1" w:rsidP="00797E97">
      <w:pPr>
        <w:pStyle w:val="Heading2"/>
      </w:pPr>
      <w:r w:rsidRPr="00481BF1">
        <w:br w:type="page"/>
      </w:r>
      <w:bookmarkStart w:id="51" w:name="_Toc408317577"/>
      <w:bookmarkStart w:id="52" w:name="_Toc392230932"/>
      <w:bookmarkStart w:id="53" w:name="_Toc392232326"/>
      <w:bookmarkStart w:id="54" w:name="_Toc392233291"/>
      <w:bookmarkStart w:id="55" w:name="_Toc396387057"/>
      <w:bookmarkStart w:id="56" w:name="_Toc396388173"/>
      <w:bookmarkStart w:id="57" w:name="_Toc396389277"/>
      <w:bookmarkStart w:id="58" w:name="_Toc397587725"/>
      <w:bookmarkStart w:id="59" w:name="_Toc397698595"/>
      <w:r w:rsidR="00797E97">
        <w:lastRenderedPageBreak/>
        <w:t>Other exceptional circumstances or appeals or special cases</w:t>
      </w:r>
      <w:bookmarkEnd w:id="51"/>
    </w:p>
    <w:p w14:paraId="39117CFE" w14:textId="77777777" w:rsidR="00797E97" w:rsidRDefault="00797E97" w:rsidP="00797E97">
      <w:r>
        <w:t xml:space="preserve">Parents/guardians wishing to apply for special case consideration or appeal a transport decision must make an application through their school.  Government schools must have the application endorsed by their regional office prior to submitting it to the </w:t>
      </w:r>
      <w:r w:rsidR="00DC7229">
        <w:t>Student Transport Unit (</w:t>
      </w:r>
      <w:r>
        <w:t>STU</w:t>
      </w:r>
      <w:r w:rsidR="00DC7229">
        <w:t>)</w:t>
      </w:r>
      <w:r>
        <w:t xml:space="preserve"> at </w:t>
      </w:r>
      <w:hyperlink r:id="rId30" w:history="1">
        <w:r w:rsidR="00DC7229" w:rsidRPr="000E1642">
          <w:rPr>
            <w:rStyle w:val="Hyperlink"/>
          </w:rPr>
          <w:t>student.transport@edumail.vic.gov.au</w:t>
        </w:r>
      </w:hyperlink>
      <w:r>
        <w:t>.</w:t>
      </w:r>
      <w:r w:rsidR="00DC7229">
        <w:t xml:space="preserve"> </w:t>
      </w:r>
      <w:r>
        <w:t xml:space="preserve">  </w:t>
      </w:r>
    </w:p>
    <w:p w14:paraId="6EF4E720" w14:textId="77777777" w:rsidR="00797E97" w:rsidRDefault="00797E97" w:rsidP="00797E97">
      <w:r>
        <w:t>Special case applications will be considered by the STU if the application falls into one of the following categories:</w:t>
      </w:r>
    </w:p>
    <w:p w14:paraId="4453A212" w14:textId="77777777" w:rsidR="00797E97" w:rsidRDefault="00797E97" w:rsidP="004A7535">
      <w:pPr>
        <w:numPr>
          <w:ilvl w:val="0"/>
          <w:numId w:val="12"/>
        </w:numPr>
      </w:pPr>
      <w:r>
        <w:t>The student has commenced the final year of the school they attend and changes residential address locating them outside of the attended schools DTA.</w:t>
      </w:r>
    </w:p>
    <w:p w14:paraId="577D78A9" w14:textId="77777777" w:rsidR="00797E97" w:rsidRDefault="00797E97" w:rsidP="004A7535">
      <w:pPr>
        <w:numPr>
          <w:ilvl w:val="0"/>
          <w:numId w:val="12"/>
        </w:numPr>
      </w:pPr>
      <w:r>
        <w:t>Students who are the subject of specific court orders that stipulate the student must continue their education at a particular location (copy of court order is required with the application).</w:t>
      </w:r>
    </w:p>
    <w:p w14:paraId="038AC95C" w14:textId="77777777" w:rsidR="00797E97" w:rsidRDefault="00797E97" w:rsidP="004A7535">
      <w:pPr>
        <w:numPr>
          <w:ilvl w:val="0"/>
          <w:numId w:val="12"/>
        </w:numPr>
      </w:pPr>
      <w:r>
        <w:t xml:space="preserve">In circumstances where a student has moved school for reasons of: </w:t>
      </w:r>
    </w:p>
    <w:p w14:paraId="7E5B795A" w14:textId="77777777" w:rsidR="00797E97" w:rsidRDefault="00797E97" w:rsidP="004A7535">
      <w:pPr>
        <w:numPr>
          <w:ilvl w:val="1"/>
          <w:numId w:val="12"/>
        </w:numPr>
      </w:pPr>
      <w:r>
        <w:t xml:space="preserve">Genuine concern for personal safety or for the safety of other students (documentation from the original school of enrolment and the student welfare coordinator will be required to support the exemption; information will be also accepted from external welfare agencies). </w:t>
      </w:r>
    </w:p>
    <w:p w14:paraId="164B74F9" w14:textId="77777777" w:rsidR="00797E97" w:rsidRDefault="00797E97" w:rsidP="004A7535">
      <w:pPr>
        <w:numPr>
          <w:ilvl w:val="1"/>
          <w:numId w:val="12"/>
        </w:numPr>
      </w:pPr>
      <w:r>
        <w:t xml:space="preserve">Consistent with the staged approach recommended in the student engagement policy guidelines, the school has developed flexible learning options for the student, which may include transfer of a student to another school setting (this does not include intercampus movements). This recommendation must be supported by </w:t>
      </w:r>
      <w:r w:rsidR="00F84302">
        <w:t xml:space="preserve">DET’s </w:t>
      </w:r>
      <w:r>
        <w:t xml:space="preserve">regional director and the two principals of the schools involved in the student transfer. </w:t>
      </w:r>
    </w:p>
    <w:p w14:paraId="67D330EC" w14:textId="77777777" w:rsidR="00797E97" w:rsidRDefault="00797E97" w:rsidP="00797E97">
      <w:r>
        <w:t>Requests for special case approval that are complex in nature may be reviewed by an independent panel known as the Transport Special Cases Consideration Panel, and is convened by the D</w:t>
      </w:r>
      <w:r w:rsidR="00A150A3">
        <w:t>epartment</w:t>
      </w:r>
      <w:r>
        <w:t xml:space="preserve">’s chief finance officer.  Representation on the panel includes members from the Student Transport and Family Allowances Branch, practising principals, a representative from </w:t>
      </w:r>
      <w:r w:rsidR="00A150A3">
        <w:t>the Department’s</w:t>
      </w:r>
      <w:r>
        <w:t xml:space="preserve"> </w:t>
      </w:r>
      <w:r w:rsidR="00150661">
        <w:t xml:space="preserve">Wellbeing Health and Engagement </w:t>
      </w:r>
      <w:r w:rsidR="00150661" w:rsidRPr="00F015D8">
        <w:t>Division</w:t>
      </w:r>
      <w:r w:rsidR="00150661">
        <w:t>,</w:t>
      </w:r>
      <w:r>
        <w:t xml:space="preserve"> and PTV.  </w:t>
      </w:r>
    </w:p>
    <w:p w14:paraId="2C08BDFA" w14:textId="77777777" w:rsidR="00797E97" w:rsidRDefault="00797E97" w:rsidP="00797E97">
      <w:r>
        <w:t xml:space="preserve">The panel meets each month during Term 1 and once per term thereafter.  Prior to a panel hearing the STU may seek further advice from the lodging government school’s regional director.  The student’s application must include applicable supporting documentation such as recommendations from school’s student support group (as defined by the student engagement guidelines), and any individual education and/or behavioural plans. </w:t>
      </w:r>
    </w:p>
    <w:p w14:paraId="666CFD67" w14:textId="77777777" w:rsidR="00797E97" w:rsidRDefault="00797E97" w:rsidP="00797E97">
      <w:r>
        <w:t>Transport assistance is not available to a student until such time as the panel meets and considers their application.</w:t>
      </w:r>
    </w:p>
    <w:p w14:paraId="7E425399" w14:textId="77777777" w:rsidR="00797E97" w:rsidRDefault="00797E97" w:rsidP="00797E97">
      <w:r>
        <w:t>All recommendations of the panel are forwarded to D</w:t>
      </w:r>
      <w:r w:rsidR="00A150A3">
        <w:t>epartment</w:t>
      </w:r>
      <w:r>
        <w:t xml:space="preserve">’s Deputy Secretary, Infrastructure and Finance Services Group, for approval.   </w:t>
      </w:r>
    </w:p>
    <w:p w14:paraId="518E0619" w14:textId="77777777" w:rsidR="00797E97" w:rsidRDefault="00797E97" w:rsidP="00797E97">
      <w:r>
        <w:t>The following applies to special case approval:</w:t>
      </w:r>
    </w:p>
    <w:p w14:paraId="508CCE1D" w14:textId="77777777" w:rsidR="00797E97" w:rsidRDefault="00797E97" w:rsidP="004A7535">
      <w:pPr>
        <w:numPr>
          <w:ilvl w:val="0"/>
          <w:numId w:val="13"/>
        </w:numPr>
      </w:pPr>
      <w:r>
        <w:t>Special case approval is limited to the student and transport service involved in the application.  Sibling rights do not apply.</w:t>
      </w:r>
    </w:p>
    <w:p w14:paraId="44CC10FE" w14:textId="77777777" w:rsidR="00797E97" w:rsidRDefault="00797E97" w:rsidP="004A7535">
      <w:pPr>
        <w:numPr>
          <w:ilvl w:val="0"/>
          <w:numId w:val="13"/>
        </w:numPr>
      </w:pPr>
      <w:r>
        <w:t>Special case approval will cease if the student moves residential address, changes school or transport mode.</w:t>
      </w:r>
    </w:p>
    <w:p w14:paraId="63B4ADAC" w14:textId="77777777" w:rsidR="00797E97" w:rsidRDefault="00797E97" w:rsidP="004A7535">
      <w:pPr>
        <w:numPr>
          <w:ilvl w:val="0"/>
          <w:numId w:val="13"/>
        </w:numPr>
      </w:pPr>
      <w:r>
        <w:t>Special case approval is not automatic.  Each case will be considered on merit with reference to the transport infrastructure in the area and precedents established.</w:t>
      </w:r>
    </w:p>
    <w:p w14:paraId="257791AD" w14:textId="77777777" w:rsidR="00481BF1" w:rsidRPr="00481BF1" w:rsidRDefault="00481BF1" w:rsidP="00797E97">
      <w:pPr>
        <w:pStyle w:val="Heading1"/>
      </w:pPr>
      <w:bookmarkStart w:id="60" w:name="_Toc398206945"/>
      <w:bookmarkStart w:id="61" w:name="_Toc398209368"/>
      <w:bookmarkStart w:id="62" w:name="_Toc398796187"/>
      <w:bookmarkStart w:id="63" w:name="_Toc398816697"/>
      <w:bookmarkStart w:id="64" w:name="_Toc398886663"/>
      <w:bookmarkStart w:id="65" w:name="_Toc408317578"/>
      <w:r w:rsidRPr="00481BF1">
        <w:lastRenderedPageBreak/>
        <w:t xml:space="preserve">Types of </w:t>
      </w:r>
      <w:r w:rsidR="00A41962">
        <w:t>A</w:t>
      </w:r>
      <w:r w:rsidRPr="00481BF1">
        <w:t xml:space="preserve">ssistance </w:t>
      </w:r>
      <w:r w:rsidR="00A41962">
        <w:t>A</w:t>
      </w:r>
      <w:r w:rsidRPr="00481BF1">
        <w:t>vailable</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771C6CCA" w14:textId="77777777" w:rsidR="00481BF1" w:rsidRPr="009D5264" w:rsidRDefault="000800DB" w:rsidP="00481BF1">
      <w:r>
        <w:t>The CAP provides financial assistance for travel using the following transport modes.</w:t>
      </w:r>
    </w:p>
    <w:p w14:paraId="18868483" w14:textId="77777777" w:rsidR="00481BF1" w:rsidRDefault="002F2ABD" w:rsidP="00481BF1">
      <w:r w:rsidRPr="006A13D5">
        <w:rPr>
          <w:b/>
        </w:rPr>
        <w:t>Note:</w:t>
      </w:r>
      <w:r w:rsidR="00A41962">
        <w:rPr>
          <w:b/>
        </w:rPr>
        <w:t xml:space="preserve"> </w:t>
      </w:r>
      <w:r w:rsidRPr="006A13D5">
        <w:rPr>
          <w:b/>
        </w:rPr>
        <w:t xml:space="preserve"> </w:t>
      </w:r>
      <w:r w:rsidR="00481BF1" w:rsidRPr="009D5264">
        <w:t xml:space="preserve">Conveyance allowance for private car or private bus cannot be claimed if the journey to and from school can be made by public transport or a </w:t>
      </w:r>
      <w:r>
        <w:t>government funded</w:t>
      </w:r>
      <w:r w:rsidR="00EF237D">
        <w:t xml:space="preserve"> </w:t>
      </w:r>
      <w:r w:rsidR="00481BF1" w:rsidRPr="009D5264">
        <w:t>school bus.</w:t>
      </w:r>
    </w:p>
    <w:p w14:paraId="7B964444" w14:textId="77777777" w:rsidR="00725831" w:rsidRPr="009D5264" w:rsidRDefault="00725831" w:rsidP="00481BF1">
      <w:r w:rsidRPr="009D5264">
        <w:t>For details of the rates claimable, refer to Appendix 1.</w:t>
      </w:r>
    </w:p>
    <w:p w14:paraId="4EC5EB20" w14:textId="77777777" w:rsidR="00481BF1" w:rsidRPr="00481BF1" w:rsidRDefault="00481BF1" w:rsidP="00481BF1">
      <w:pPr>
        <w:pStyle w:val="Heading2"/>
      </w:pPr>
      <w:bookmarkStart w:id="66" w:name="_Toc396387058"/>
      <w:bookmarkStart w:id="67" w:name="_Toc408317579"/>
      <w:r w:rsidRPr="00481BF1">
        <w:t>Public transport</w:t>
      </w:r>
      <w:bookmarkEnd w:id="66"/>
      <w:bookmarkEnd w:id="67"/>
    </w:p>
    <w:p w14:paraId="19D9FF5F" w14:textId="77777777" w:rsidR="00481BF1" w:rsidRPr="009D5264" w:rsidRDefault="00481BF1" w:rsidP="00481BF1">
      <w:r w:rsidRPr="00481BF1">
        <w:t xml:space="preserve">To verify that public transport is available please check the Public Transport Victoria (PTV) site at </w:t>
      </w:r>
      <w:hyperlink r:id="rId31" w:history="1">
        <w:r w:rsidR="008B01DF" w:rsidRPr="0054190F">
          <w:rPr>
            <w:rStyle w:val="Hyperlink"/>
          </w:rPr>
          <w:t>www.ptv.vic.gov.au</w:t>
        </w:r>
      </w:hyperlink>
      <w:r w:rsidR="00EF237D">
        <w:t xml:space="preserve">. </w:t>
      </w:r>
      <w:r w:rsidR="000800DB">
        <w:t>T</w:t>
      </w:r>
      <w:r w:rsidR="00AD2633">
        <w:t xml:space="preserve">he </w:t>
      </w:r>
      <w:r w:rsidR="00EF237D">
        <w:t>CAU</w:t>
      </w:r>
      <w:r w:rsidR="00AD2633">
        <w:t xml:space="preserve"> </w:t>
      </w:r>
      <w:r w:rsidR="000800DB">
        <w:t>may</w:t>
      </w:r>
      <w:r w:rsidRPr="009D5264">
        <w:t xml:space="preserve"> </w:t>
      </w:r>
      <w:r>
        <w:t>contact</w:t>
      </w:r>
      <w:r w:rsidRPr="009D5264">
        <w:t xml:space="preserve"> PTV to determine whether the journey could be made using public transport</w:t>
      </w:r>
      <w:r w:rsidR="006A13D5">
        <w:t xml:space="preserve">. </w:t>
      </w:r>
      <w:r w:rsidR="00EF237D">
        <w:t>P</w:t>
      </w:r>
      <w:r w:rsidRPr="009D5264">
        <w:t xml:space="preserve">ublic transport is </w:t>
      </w:r>
      <w:r w:rsidR="00EF237D">
        <w:t xml:space="preserve">considered </w:t>
      </w:r>
      <w:r w:rsidRPr="009D5264">
        <w:t xml:space="preserve">available if PTV indicates the service is available in the hours before and after school i.e. 7–9am and 3–5pm.  </w:t>
      </w:r>
    </w:p>
    <w:p w14:paraId="5B26A3B2" w14:textId="77777777" w:rsidR="00481BF1" w:rsidRPr="009D5264" w:rsidRDefault="00EF237D" w:rsidP="00481BF1">
      <w:r>
        <w:t xml:space="preserve">The Department will only pay an allowance for the most economical ticket available. </w:t>
      </w:r>
      <w:r w:rsidR="00481BF1" w:rsidRPr="009D5264">
        <w:t xml:space="preserve">  </w:t>
      </w:r>
    </w:p>
    <w:p w14:paraId="7462C8BD" w14:textId="77777777" w:rsidR="00481BF1" w:rsidRPr="009D5264" w:rsidRDefault="00481BF1" w:rsidP="00481BF1">
      <w:r w:rsidRPr="009D5264">
        <w:t>Schools must sight confirmation of ticket</w:t>
      </w:r>
      <w:r>
        <w:t>/pass</w:t>
      </w:r>
      <w:r w:rsidRPr="009D5264">
        <w:t xml:space="preserve"> purchase before approving any application.</w:t>
      </w:r>
    </w:p>
    <w:p w14:paraId="0CBBFC24" w14:textId="77777777" w:rsidR="00481BF1" w:rsidRPr="009D5264" w:rsidRDefault="00481BF1" w:rsidP="00481BF1">
      <w:r w:rsidRPr="009D5264">
        <w:t>Students who are privately transported 4.8km or more to a public transport</w:t>
      </w:r>
      <w:r w:rsidR="000800DB">
        <w:t xml:space="preserve"> or government funded school bus</w:t>
      </w:r>
      <w:r w:rsidRPr="009D5264">
        <w:t xml:space="preserve"> stop may be able to claim a private car conveyance allowance as well</w:t>
      </w:r>
      <w:r w:rsidR="001D4AA1">
        <w:t xml:space="preserve"> to cover this distance (see multi-mode allowances)</w:t>
      </w:r>
      <w:r w:rsidRPr="009D5264">
        <w:t>.</w:t>
      </w:r>
    </w:p>
    <w:p w14:paraId="22C49FC3" w14:textId="77777777" w:rsidR="00481BF1" w:rsidRPr="00481BF1" w:rsidRDefault="00481BF1" w:rsidP="00481BF1">
      <w:pPr>
        <w:pStyle w:val="Heading2"/>
      </w:pPr>
      <w:bookmarkStart w:id="68" w:name="_Toc396387059"/>
      <w:bookmarkStart w:id="69" w:name="_Toc408317580"/>
      <w:r w:rsidRPr="00481BF1">
        <w:t>Private bus</w:t>
      </w:r>
      <w:bookmarkEnd w:id="68"/>
      <w:bookmarkEnd w:id="69"/>
    </w:p>
    <w:p w14:paraId="6C31B588" w14:textId="77777777" w:rsidR="00481BF1" w:rsidRPr="009D5264" w:rsidRDefault="00481BF1" w:rsidP="00481BF1">
      <w:r w:rsidRPr="009D5264">
        <w:t>Where schools assume responsibility for the provision of school bus</w:t>
      </w:r>
      <w:r>
        <w:t>es</w:t>
      </w:r>
      <w:r w:rsidRPr="009D5264">
        <w:t xml:space="preserve"> for students</w:t>
      </w:r>
      <w:r>
        <w:t>,</w:t>
      </w:r>
      <w:r w:rsidRPr="009D5264">
        <w:t xml:space="preserve"> either by operating their own services or by organising charter services</w:t>
      </w:r>
      <w:r>
        <w:t>,</w:t>
      </w:r>
      <w:r w:rsidRPr="009D5264">
        <w:t xml:space="preserve"> </w:t>
      </w:r>
      <w:r w:rsidR="001D4AA1">
        <w:t>an allowance can be claimed based on the distance from a student’s residence to the school/campus attended.</w:t>
      </w:r>
    </w:p>
    <w:p w14:paraId="4A0E1D5D" w14:textId="77777777" w:rsidR="00481BF1" w:rsidRPr="009D5264" w:rsidRDefault="00CE433C" w:rsidP="00481BF1">
      <w:r>
        <w:t>Rates are calculated using the shortest practicable route (measure</w:t>
      </w:r>
      <w:r w:rsidR="009E3612">
        <w:t>d</w:t>
      </w:r>
      <w:r>
        <w:t xml:space="preserve"> in kilometres) from the student’s residence to the</w:t>
      </w:r>
      <w:r w:rsidR="000F0D88">
        <w:t xml:space="preserve"> </w:t>
      </w:r>
      <w:r w:rsidR="00481BF1" w:rsidRPr="009D5264">
        <w:t>school</w:t>
      </w:r>
      <w:r w:rsidR="00481BF1">
        <w:t>/campus</w:t>
      </w:r>
      <w:r w:rsidR="00481BF1" w:rsidRPr="009D5264">
        <w:t xml:space="preserve"> attended. </w:t>
      </w:r>
      <w:r w:rsidR="00481BF1">
        <w:t xml:space="preserve"> </w:t>
      </w:r>
    </w:p>
    <w:p w14:paraId="1A895579" w14:textId="77777777" w:rsidR="00481BF1" w:rsidRPr="00481BF1" w:rsidRDefault="00481BF1" w:rsidP="00481BF1">
      <w:pPr>
        <w:pStyle w:val="Heading2"/>
      </w:pPr>
      <w:bookmarkStart w:id="70" w:name="_Toc396387060"/>
      <w:bookmarkStart w:id="71" w:name="_Toc408317581"/>
      <w:r w:rsidRPr="00481BF1">
        <w:t>Private car</w:t>
      </w:r>
      <w:bookmarkEnd w:id="70"/>
      <w:bookmarkEnd w:id="71"/>
    </w:p>
    <w:p w14:paraId="21A0D0E2" w14:textId="77777777" w:rsidR="009E3612" w:rsidRDefault="000F0D88" w:rsidP="00CE433C">
      <w:r>
        <w:t xml:space="preserve">Where parents/guardians </w:t>
      </w:r>
      <w:r w:rsidR="00CE433C">
        <w:t>drive</w:t>
      </w:r>
      <w:r>
        <w:t xml:space="preserve"> their child to and from school, a priva</w:t>
      </w:r>
      <w:r w:rsidR="00CE433C">
        <w:t>te car allowance can be claimed</w:t>
      </w:r>
      <w:r w:rsidR="009E3612">
        <w:t xml:space="preserve"> based on the distance from a student’s residence to the school/campus attended</w:t>
      </w:r>
      <w:r w:rsidR="00CE433C">
        <w:t xml:space="preserve">.  </w:t>
      </w:r>
    </w:p>
    <w:p w14:paraId="317A4458" w14:textId="77777777" w:rsidR="00CE433C" w:rsidRPr="009D5264" w:rsidRDefault="00CE433C" w:rsidP="00CE433C">
      <w:r>
        <w:t xml:space="preserve">Rates are calculated using the shortest practicable route (measured in kilometres) from the student’s residence to the </w:t>
      </w:r>
      <w:r w:rsidRPr="009D5264">
        <w:t>school</w:t>
      </w:r>
      <w:r>
        <w:t>/campus</w:t>
      </w:r>
      <w:r w:rsidRPr="009D5264">
        <w:t xml:space="preserve"> attended. </w:t>
      </w:r>
      <w:r>
        <w:t xml:space="preserve"> </w:t>
      </w:r>
    </w:p>
    <w:p w14:paraId="3A9CC06E" w14:textId="77777777" w:rsidR="00481BF1" w:rsidRPr="009D5264" w:rsidRDefault="009E3612" w:rsidP="00481BF1">
      <w:r>
        <w:t xml:space="preserve">Where there is more than one student in a vehicle, there are two rates claimable: ‘furthermost’ and ‘additional.’ The student travelling the furthest distance to school is identified as the </w:t>
      </w:r>
      <w:r w:rsidR="00481BF1" w:rsidRPr="009D5264">
        <w:t>‘furthermost’</w:t>
      </w:r>
      <w:r>
        <w:t xml:space="preserve"> student. Any other students are identified as ‘additional’ students. Each student must submit an individual application</w:t>
      </w:r>
      <w:r w:rsidR="000F0D88" w:rsidRPr="009D5264">
        <w:t>.</w:t>
      </w:r>
    </w:p>
    <w:p w14:paraId="2A8F1B59" w14:textId="77777777" w:rsidR="00481BF1" w:rsidRPr="00481BF1" w:rsidRDefault="00481BF1" w:rsidP="00481BF1">
      <w:pPr>
        <w:pStyle w:val="Heading2"/>
      </w:pPr>
      <w:bookmarkStart w:id="72" w:name="_Toc396387061"/>
      <w:bookmarkStart w:id="73" w:name="_Toc408317582"/>
      <w:r w:rsidRPr="00481BF1">
        <w:t>Multimode conveyance allowances</w:t>
      </w:r>
      <w:bookmarkEnd w:id="72"/>
      <w:bookmarkEnd w:id="73"/>
    </w:p>
    <w:p w14:paraId="4F18E193" w14:textId="77777777" w:rsidR="00481BF1" w:rsidRPr="009D5264" w:rsidRDefault="00481BF1" w:rsidP="00481BF1">
      <w:r w:rsidRPr="009D5264">
        <w:t xml:space="preserve">Multimode conveyance allowance applies when a student uses more than one mode of transport (e.g. private car and public transport) for a journey between home and school. </w:t>
      </w:r>
    </w:p>
    <w:p w14:paraId="08929FBE" w14:textId="77777777" w:rsidR="00481BF1" w:rsidRPr="009D5264" w:rsidRDefault="00481BF1" w:rsidP="00481BF1">
      <w:r w:rsidRPr="009D5264">
        <w:t xml:space="preserve">A conveyance allowance may be granted at the appropriate rate for private </w:t>
      </w:r>
      <w:r w:rsidR="00207162">
        <w:t xml:space="preserve">transport </w:t>
      </w:r>
      <w:r w:rsidR="009A6E27">
        <w:t xml:space="preserve">or </w:t>
      </w:r>
      <w:r w:rsidRPr="009D5264">
        <w:t xml:space="preserve">public </w:t>
      </w:r>
      <w:r w:rsidR="002D4DD7">
        <w:t>transport</w:t>
      </w:r>
      <w:r w:rsidR="002D4DD7" w:rsidRPr="009D5264">
        <w:t xml:space="preserve"> </w:t>
      </w:r>
      <w:r w:rsidRPr="009D5264">
        <w:t xml:space="preserve">where the distance travelled is 4.8km or more for each leg of the journey.  This provision does not apply if the journey could have been undertaken using a single mode transport or one leg of the journey is less than 4.8km. </w:t>
      </w:r>
    </w:p>
    <w:p w14:paraId="7C06FF9B" w14:textId="77777777" w:rsidR="00481BF1" w:rsidRDefault="00481BF1" w:rsidP="00481BF1">
      <w:r w:rsidRPr="009D5264">
        <w:lastRenderedPageBreak/>
        <w:t xml:space="preserve">Where two modes of private </w:t>
      </w:r>
      <w:r w:rsidR="002D4DD7">
        <w:t>transport</w:t>
      </w:r>
      <w:r w:rsidR="002D4DD7" w:rsidRPr="009D5264">
        <w:t xml:space="preserve"> </w:t>
      </w:r>
      <w:r w:rsidRPr="009D5264">
        <w:t>are used (private car and private bus), the amount payable is based on the distance</w:t>
      </w:r>
      <w:r w:rsidR="002D4DD7">
        <w:t xml:space="preserve"> from the student’s residence to the school/campus</w:t>
      </w:r>
      <w:r w:rsidRPr="009D5264">
        <w:t xml:space="preserve"> at the private bus rate.</w:t>
      </w:r>
    </w:p>
    <w:p w14:paraId="3388D75E" w14:textId="77777777" w:rsidR="009E3612" w:rsidRDefault="009E3612" w:rsidP="00481BF1">
      <w:r>
        <w:t xml:space="preserve">Rates are calculated using the shortest practicable route (measured in kilometres) from the student’s residence to the </w:t>
      </w:r>
      <w:r w:rsidRPr="009D5264">
        <w:t>school</w:t>
      </w:r>
      <w:r>
        <w:t>/campus</w:t>
      </w:r>
      <w:r w:rsidRPr="009D5264">
        <w:t xml:space="preserve"> attended. </w:t>
      </w:r>
      <w:r>
        <w:t xml:space="preserve"> </w:t>
      </w:r>
    </w:p>
    <w:p w14:paraId="23BB06F2" w14:textId="77777777" w:rsidR="00CE433C" w:rsidRPr="009D5264" w:rsidRDefault="00481BF1" w:rsidP="00481BF1">
      <w:r w:rsidRPr="009D5264">
        <w:t>Multimode is not applicable under the 'next nearest' school allowance or to attend a more distant school.</w:t>
      </w:r>
    </w:p>
    <w:p w14:paraId="59062490" w14:textId="77777777" w:rsidR="00481BF1" w:rsidRPr="00481BF1" w:rsidRDefault="002F2ABD" w:rsidP="00481BF1">
      <w:pPr>
        <w:pStyle w:val="Heading2"/>
      </w:pPr>
      <w:bookmarkStart w:id="74" w:name="_Toc408317583"/>
      <w:r>
        <w:t>Other transport modes</w:t>
      </w:r>
      <w:bookmarkEnd w:id="74"/>
    </w:p>
    <w:p w14:paraId="5BB5A06C" w14:textId="77777777" w:rsidR="002F2ABD" w:rsidRDefault="00481BF1" w:rsidP="00481BF1">
      <w:r w:rsidRPr="009D5264">
        <w:t xml:space="preserve">An allowance is available where students choose to use other modes of transport including bicycles and motorcycles. </w:t>
      </w:r>
    </w:p>
    <w:p w14:paraId="61D82F97" w14:textId="77777777" w:rsidR="00481BF1" w:rsidRPr="009D5264" w:rsidRDefault="00481BF1" w:rsidP="00481BF1">
      <w:r w:rsidRPr="009D5264">
        <w:t>A</w:t>
      </w:r>
      <w:r w:rsidR="009E3612">
        <w:t xml:space="preserve"> private</w:t>
      </w:r>
      <w:r w:rsidRPr="009D5264">
        <w:t xml:space="preserve"> taxi rate </w:t>
      </w:r>
      <w:r w:rsidR="009E3612">
        <w:t>may be</w:t>
      </w:r>
      <w:r w:rsidRPr="009D5264">
        <w:t xml:space="preserve"> available for students </w:t>
      </w:r>
      <w:r w:rsidR="002F2ABD">
        <w:t xml:space="preserve">who are deaf, blind </w:t>
      </w:r>
      <w:r w:rsidRPr="009D5264">
        <w:t xml:space="preserve">or severely physically disabled. </w:t>
      </w:r>
    </w:p>
    <w:p w14:paraId="3DA6A453" w14:textId="77777777" w:rsidR="004D56F2" w:rsidRDefault="004D56F2" w:rsidP="00481BF1"/>
    <w:p w14:paraId="3CFAD048" w14:textId="77777777" w:rsidR="00481BF1" w:rsidRPr="00481BF1" w:rsidRDefault="00481BF1" w:rsidP="00481BF1">
      <w:pPr>
        <w:pStyle w:val="Heading1"/>
      </w:pPr>
      <w:bookmarkStart w:id="75" w:name="_Toc392232333"/>
      <w:bookmarkStart w:id="76" w:name="_Toc392233298"/>
      <w:bookmarkStart w:id="77" w:name="_Toc396387064"/>
      <w:bookmarkStart w:id="78" w:name="_Toc396388180"/>
      <w:bookmarkStart w:id="79" w:name="_Toc396389284"/>
      <w:bookmarkStart w:id="80" w:name="_Toc397587732"/>
      <w:bookmarkStart w:id="81" w:name="_Toc397698601"/>
      <w:bookmarkStart w:id="82" w:name="_Toc398206951"/>
      <w:bookmarkStart w:id="83" w:name="_Toc398209374"/>
      <w:bookmarkStart w:id="84" w:name="_Toc398796193"/>
      <w:bookmarkStart w:id="85" w:name="_Toc398816703"/>
      <w:bookmarkStart w:id="86" w:name="_Toc398886669"/>
      <w:bookmarkStart w:id="87" w:name="_Toc408317584"/>
      <w:r w:rsidRPr="00481BF1">
        <w:lastRenderedPageBreak/>
        <w:t>Administration</w:t>
      </w:r>
      <w:bookmarkEnd w:id="75"/>
      <w:bookmarkEnd w:id="76"/>
      <w:bookmarkEnd w:id="77"/>
      <w:bookmarkEnd w:id="78"/>
      <w:bookmarkEnd w:id="79"/>
      <w:bookmarkEnd w:id="80"/>
      <w:r w:rsidRPr="00481BF1">
        <w:t xml:space="preserve"> </w:t>
      </w:r>
      <w:r w:rsidR="003E6471">
        <w:t>of the Conveyance Allowance Program</w:t>
      </w:r>
      <w:bookmarkEnd w:id="81"/>
      <w:bookmarkEnd w:id="82"/>
      <w:bookmarkEnd w:id="83"/>
      <w:bookmarkEnd w:id="84"/>
      <w:bookmarkEnd w:id="85"/>
      <w:bookmarkEnd w:id="86"/>
      <w:bookmarkEnd w:id="87"/>
    </w:p>
    <w:p w14:paraId="7D15229C" w14:textId="77777777" w:rsidR="00481BF1" w:rsidRDefault="002624B7" w:rsidP="00481BF1">
      <w:pPr>
        <w:pStyle w:val="Heading2"/>
      </w:pPr>
      <w:bookmarkStart w:id="88" w:name="_Toc396387066"/>
      <w:bookmarkStart w:id="89" w:name="_Toc408317585"/>
      <w:r>
        <w:t xml:space="preserve">Responsibilities of </w:t>
      </w:r>
      <w:r w:rsidR="00481BF1" w:rsidRPr="00481BF1">
        <w:t>schools</w:t>
      </w:r>
      <w:bookmarkEnd w:id="88"/>
      <w:bookmarkEnd w:id="89"/>
    </w:p>
    <w:p w14:paraId="2EDDAD50" w14:textId="77777777" w:rsidR="003E6471" w:rsidRPr="003E6471" w:rsidRDefault="003E6471" w:rsidP="00105380">
      <w:r w:rsidRPr="00481BF1">
        <w:t xml:space="preserve">Schools are responsible for the day-to-day administration of the conveyance allowance.  </w:t>
      </w:r>
    </w:p>
    <w:p w14:paraId="094EAC9C" w14:textId="77777777" w:rsidR="002624B7" w:rsidRPr="002624B7" w:rsidRDefault="005C46F6" w:rsidP="00105380">
      <w:pPr>
        <w:pStyle w:val="Heading3"/>
      </w:pPr>
      <w:r>
        <w:t xml:space="preserve">VRQA </w:t>
      </w:r>
      <w:r w:rsidR="004A7535">
        <w:t>r</w:t>
      </w:r>
      <w:r>
        <w:t>egistration</w:t>
      </w:r>
    </w:p>
    <w:p w14:paraId="2A408848" w14:textId="77777777" w:rsidR="00481BF1" w:rsidRDefault="003E6471" w:rsidP="005C46F6">
      <w:r>
        <w:t>Schools must e</w:t>
      </w:r>
      <w:r w:rsidR="002624B7" w:rsidRPr="009D5264">
        <w:t>nsur</w:t>
      </w:r>
      <w:r>
        <w:t>e</w:t>
      </w:r>
      <w:r w:rsidR="002624B7" w:rsidRPr="009D5264">
        <w:t xml:space="preserve"> </w:t>
      </w:r>
      <w:r w:rsidR="00481BF1">
        <w:t>the</w:t>
      </w:r>
      <w:r w:rsidR="00481BF1" w:rsidRPr="009D5264">
        <w:t xml:space="preserve"> school and each campus and/or special setting is registered with the VRQA</w:t>
      </w:r>
      <w:r>
        <w:t xml:space="preserve">, and </w:t>
      </w:r>
      <w:r w:rsidR="001A3511">
        <w:t xml:space="preserve">check </w:t>
      </w:r>
      <w:r w:rsidR="001A3511" w:rsidRPr="009D5264">
        <w:t>the</w:t>
      </w:r>
      <w:r w:rsidR="00481BF1">
        <w:t xml:space="preserve"> school/campus</w:t>
      </w:r>
      <w:r w:rsidR="00481BF1" w:rsidRPr="009D5264">
        <w:t xml:space="preserve"> physical and postal address is correctly listed with the VRQA and on the </w:t>
      </w:r>
      <w:r w:rsidR="00AD2633">
        <w:t>Department’s</w:t>
      </w:r>
      <w:r w:rsidR="00481BF1" w:rsidRPr="009D5264">
        <w:t xml:space="preserve"> Entity Register.</w:t>
      </w:r>
    </w:p>
    <w:p w14:paraId="08B9010F" w14:textId="77777777" w:rsidR="003E6471" w:rsidRDefault="004A7535" w:rsidP="005C46F6">
      <w:r w:rsidRPr="00481BF1">
        <w:t>SCAS</w:t>
      </w:r>
      <w:r w:rsidR="00AD2633">
        <w:t xml:space="preserve"> </w:t>
      </w:r>
      <w:r w:rsidR="000C4C8D">
        <w:t xml:space="preserve">uses </w:t>
      </w:r>
      <w:r w:rsidR="003E6471">
        <w:t xml:space="preserve">the VRQA database </w:t>
      </w:r>
      <w:r w:rsidR="000C4C8D">
        <w:t xml:space="preserve">for </w:t>
      </w:r>
      <w:r w:rsidR="00D55C82">
        <w:t xml:space="preserve">certain </w:t>
      </w:r>
      <w:r w:rsidR="000C4C8D">
        <w:t xml:space="preserve">school information </w:t>
      </w:r>
      <w:r w:rsidR="003E6471">
        <w:t xml:space="preserve">so any incorrect </w:t>
      </w:r>
      <w:r w:rsidR="000C4C8D">
        <w:t>entry</w:t>
      </w:r>
      <w:r w:rsidR="003E6471">
        <w:t xml:space="preserve"> may result in claims being </w:t>
      </w:r>
      <w:r w:rsidR="001A3511">
        <w:t xml:space="preserve">inaccurately </w:t>
      </w:r>
      <w:r w:rsidR="003E6471">
        <w:t>assessed.</w:t>
      </w:r>
    </w:p>
    <w:p w14:paraId="3C6A5A31" w14:textId="77777777" w:rsidR="001A3511" w:rsidRDefault="001A3511" w:rsidP="00105380">
      <w:pPr>
        <w:pStyle w:val="Heading3"/>
      </w:pPr>
      <w:r>
        <w:t xml:space="preserve">Communication with </w:t>
      </w:r>
      <w:r w:rsidR="004A7535">
        <w:t>p</w:t>
      </w:r>
      <w:r>
        <w:t>arents</w:t>
      </w:r>
    </w:p>
    <w:p w14:paraId="5712D70D" w14:textId="77777777" w:rsidR="001A3511" w:rsidRDefault="001A3511" w:rsidP="005C46F6">
      <w:r>
        <w:t>Schools are responsible for communicating the travel options that exist in the area to parents at enrolment. Schools must familiarise themselves with the policy in order to respond to general enquiries made by parents about the program.</w:t>
      </w:r>
    </w:p>
    <w:p w14:paraId="08D0F1FB" w14:textId="77777777" w:rsidR="003F3EEE" w:rsidRDefault="001A3511" w:rsidP="005C46F6">
      <w:r>
        <w:t xml:space="preserve">Schools are responsible for providing application forms </w:t>
      </w:r>
      <w:r w:rsidR="003F3EEE" w:rsidRPr="009D5264">
        <w:t>to eligible families.</w:t>
      </w:r>
    </w:p>
    <w:p w14:paraId="52DFDF02" w14:textId="77777777" w:rsidR="001A3511" w:rsidRDefault="001A3511" w:rsidP="00105380">
      <w:pPr>
        <w:pStyle w:val="Heading3"/>
      </w:pPr>
      <w:r>
        <w:t>The application process</w:t>
      </w:r>
    </w:p>
    <w:p w14:paraId="717B2BBC" w14:textId="77777777" w:rsidR="001A3511" w:rsidRDefault="001A3511" w:rsidP="001A3511">
      <w:pPr>
        <w:rPr>
          <w:rStyle w:val="Hyperlink"/>
        </w:rPr>
      </w:pPr>
      <w:r w:rsidRPr="00481BF1">
        <w:t xml:space="preserve">All claims must be processed through SCAS.  Training and system support is available for SCAS by contacting the </w:t>
      </w:r>
      <w:r w:rsidR="004A7535">
        <w:t>CAU</w:t>
      </w:r>
      <w:r w:rsidRPr="00481BF1">
        <w:t xml:space="preserve"> on 1800 060 970 or </w:t>
      </w:r>
      <w:hyperlink r:id="rId32" w:history="1">
        <w:r w:rsidRPr="0066005E">
          <w:rPr>
            <w:rStyle w:val="Hyperlink"/>
          </w:rPr>
          <w:t>conveyance@edumail.vic.gov.au</w:t>
        </w:r>
      </w:hyperlink>
      <w:r w:rsidRPr="0066005E">
        <w:rPr>
          <w:rStyle w:val="Hyperlink"/>
        </w:rPr>
        <w:t>.</w:t>
      </w:r>
    </w:p>
    <w:p w14:paraId="1D49CD9A" w14:textId="77777777" w:rsidR="001A3511" w:rsidRDefault="00512811" w:rsidP="00512811">
      <w:r>
        <w:t>Schools must c</w:t>
      </w:r>
      <w:r w:rsidR="00481BF1" w:rsidRPr="009D5264">
        <w:t>heck, verify and sign each application confirming the information provided by parents/guardians is correct including checking each application for the availability of public transport and distance travelled.</w:t>
      </w:r>
      <w:r w:rsidR="005C46F6">
        <w:t xml:space="preserve"> </w:t>
      </w:r>
    </w:p>
    <w:p w14:paraId="33613BA0" w14:textId="77777777" w:rsidR="00512811" w:rsidRDefault="005C46F6" w:rsidP="00512811">
      <w:r w:rsidRPr="009D5264">
        <w:t xml:space="preserve">Schools are responsible for ensuring the details provided in </w:t>
      </w:r>
      <w:r>
        <w:t>a</w:t>
      </w:r>
      <w:r w:rsidRPr="009D5264">
        <w:t xml:space="preserve"> conveyance allowance application are correct.  </w:t>
      </w:r>
      <w:r w:rsidRPr="005C46F6">
        <w:t>Incorrect information may result in payment of the claim being delayed.</w:t>
      </w:r>
      <w:r w:rsidR="001A3511">
        <w:t xml:space="preserve"> </w:t>
      </w:r>
      <w:r w:rsidR="00AD2633">
        <w:t>The Department</w:t>
      </w:r>
      <w:r w:rsidR="00512811" w:rsidRPr="009D5264">
        <w:t xml:space="preserve"> reserves the right to decline applications and/or claims that contain incorrect information and/or ineligible students. </w:t>
      </w:r>
    </w:p>
    <w:p w14:paraId="3439492F" w14:textId="77777777" w:rsidR="00481BF1" w:rsidRDefault="00512811" w:rsidP="00512811">
      <w:pPr>
        <w:rPr>
          <w:rStyle w:val="Hyperlink"/>
        </w:rPr>
      </w:pPr>
      <w:r>
        <w:t xml:space="preserve">Closing dates for applications apply </w:t>
      </w:r>
      <w:r w:rsidRPr="002073D3">
        <w:t xml:space="preserve">each term. </w:t>
      </w:r>
      <w:r w:rsidR="00481BF1" w:rsidRPr="002073D3">
        <w:t xml:space="preserve">For the relevant closing dates, refer to </w:t>
      </w:r>
      <w:hyperlink r:id="rId33" w:history="1">
        <w:r w:rsidR="004D0AA3" w:rsidRPr="00FD01ED">
          <w:rPr>
            <w:rStyle w:val="Hyperlink"/>
          </w:rPr>
          <w:t>http://www.education.vic.gov.au/school/principals/finance/Pages/conveyance.aspx</w:t>
        </w:r>
      </w:hyperlink>
      <w:r w:rsidR="004D0AA3">
        <w:rPr>
          <w:rStyle w:val="Hyperlink"/>
        </w:rPr>
        <w:t xml:space="preserve"> </w:t>
      </w:r>
      <w:r w:rsidR="002073D3">
        <w:rPr>
          <w:rStyle w:val="Hyperlink"/>
        </w:rPr>
        <w:t xml:space="preserve"> </w:t>
      </w:r>
    </w:p>
    <w:p w14:paraId="14B964AC" w14:textId="77777777" w:rsidR="000C4C8D" w:rsidRDefault="00512811" w:rsidP="00105380">
      <w:r>
        <w:t xml:space="preserve">Conveyance allowance is paid by </w:t>
      </w:r>
      <w:r w:rsidR="002306C7">
        <w:t>the Department</w:t>
      </w:r>
      <w:r>
        <w:t xml:space="preserve"> to students’ families via the school. Schools are responsible for distributing </w:t>
      </w:r>
      <w:r w:rsidRPr="009D5264">
        <w:t xml:space="preserve">conveyance allowance funds in a timely manner to families. </w:t>
      </w:r>
    </w:p>
    <w:p w14:paraId="2757D0BC" w14:textId="77777777" w:rsidR="000C4C8D" w:rsidRPr="0088128B" w:rsidRDefault="000C4C8D" w:rsidP="000C4C8D">
      <w:pPr>
        <w:pStyle w:val="Heading3"/>
      </w:pPr>
      <w:r w:rsidRPr="0088128B">
        <w:t>Withholding of the conveyance allowance by schools</w:t>
      </w:r>
    </w:p>
    <w:p w14:paraId="6EEF8340" w14:textId="77777777" w:rsidR="000C4C8D" w:rsidRDefault="000C4C8D" w:rsidP="000C4C8D">
      <w:r w:rsidRPr="0088128B">
        <w:t xml:space="preserve">The conveyance allowance is for the student named on the application form and cannot be withheld by the school in lieu of fees or late payments.  However, </w:t>
      </w:r>
      <w:r w:rsidR="00E468DB" w:rsidRPr="0088128B">
        <w:t>parents/</w:t>
      </w:r>
      <w:r w:rsidR="00DC3D99" w:rsidRPr="0088128B">
        <w:t>guardians may</w:t>
      </w:r>
      <w:r w:rsidR="00E468DB" w:rsidRPr="0088128B">
        <w:t xml:space="preserve"> </w:t>
      </w:r>
      <w:r w:rsidR="00DC3D99" w:rsidRPr="0088128B">
        <w:t xml:space="preserve">authorise the school </w:t>
      </w:r>
      <w:r w:rsidR="00E468DB" w:rsidRPr="0088128B">
        <w:t xml:space="preserve">to use their conveyance allowance </w:t>
      </w:r>
      <w:r w:rsidRPr="0088128B">
        <w:t>towards procured bus services</w:t>
      </w:r>
      <w:r w:rsidR="00DC3D99" w:rsidRPr="0088128B">
        <w:t>/tickets by providing written consent</w:t>
      </w:r>
      <w:r w:rsidRPr="0088128B">
        <w:t xml:space="preserve">.  </w:t>
      </w:r>
      <w:r w:rsidR="00DC3D99" w:rsidRPr="0088128B">
        <w:t>The application form contains a section for parents/guardians to provide this authority.</w:t>
      </w:r>
    </w:p>
    <w:p w14:paraId="758B2EF9" w14:textId="77777777" w:rsidR="00F82BFF" w:rsidRPr="009D5264" w:rsidRDefault="000C4C8D" w:rsidP="000C4C8D">
      <w:r w:rsidRPr="009D5264">
        <w:t>The conveyance allowance cannot be withheld or contribute towards procured bus services for school excursions.</w:t>
      </w:r>
    </w:p>
    <w:p w14:paraId="7796090E" w14:textId="77777777" w:rsidR="00512811" w:rsidRDefault="00512811" w:rsidP="00105380">
      <w:pPr>
        <w:pStyle w:val="Heading3"/>
      </w:pPr>
      <w:r>
        <w:t>Communication with the CAU</w:t>
      </w:r>
    </w:p>
    <w:p w14:paraId="51E64F01" w14:textId="77777777" w:rsidR="00481BF1" w:rsidRPr="009D5264" w:rsidRDefault="00512811" w:rsidP="005C46F6">
      <w:r>
        <w:t>School</w:t>
      </w:r>
      <w:r w:rsidR="00207162">
        <w:t>s</w:t>
      </w:r>
      <w:r>
        <w:t xml:space="preserve"> must r</w:t>
      </w:r>
      <w:r w:rsidRPr="009D5264">
        <w:t xml:space="preserve">espond </w:t>
      </w:r>
      <w:r w:rsidR="00481BF1" w:rsidRPr="009D5264">
        <w:t xml:space="preserve">to any queries from the </w:t>
      </w:r>
      <w:r w:rsidR="003F3EEE">
        <w:t>CAU</w:t>
      </w:r>
      <w:r w:rsidR="003F3EEE" w:rsidRPr="009D5264">
        <w:t xml:space="preserve"> </w:t>
      </w:r>
      <w:r w:rsidR="00481BF1" w:rsidRPr="009D5264">
        <w:t>and provide more information regarding individual applications within seven</w:t>
      </w:r>
      <w:r w:rsidR="00481BF1">
        <w:t xml:space="preserve"> (7)</w:t>
      </w:r>
      <w:r w:rsidR="00481BF1" w:rsidRPr="009D5264">
        <w:t xml:space="preserve"> days of the request. </w:t>
      </w:r>
    </w:p>
    <w:p w14:paraId="0B71A904" w14:textId="77777777" w:rsidR="005C46F6" w:rsidRPr="00481BF1" w:rsidRDefault="005C46F6" w:rsidP="00105380">
      <w:pPr>
        <w:pStyle w:val="Heading3"/>
      </w:pPr>
      <w:r w:rsidRPr="00481BF1">
        <w:t>Audit process</w:t>
      </w:r>
    </w:p>
    <w:p w14:paraId="226DB527" w14:textId="77777777" w:rsidR="005C46F6" w:rsidRPr="00105380" w:rsidRDefault="005C46F6" w:rsidP="005C46F6">
      <w:r w:rsidRPr="00105380">
        <w:t xml:space="preserve">As part of </w:t>
      </w:r>
      <w:r w:rsidR="004A7535">
        <w:t>their</w:t>
      </w:r>
      <w:r w:rsidRPr="00105380">
        <w:t xml:space="preserve"> audit process, schools are to report on compliance with this policy and note any case of overpayment.  </w:t>
      </w:r>
    </w:p>
    <w:p w14:paraId="65CB6392" w14:textId="77777777" w:rsidR="005C46F6" w:rsidRPr="00C445B4" w:rsidRDefault="005C46F6" w:rsidP="005C46F6">
      <w:r w:rsidRPr="00C445B4">
        <w:lastRenderedPageBreak/>
        <w:t xml:space="preserve">Auditors must report on a sample of 20 applications or 20 per cent of all applications, whichever is the greater. It is essential for audit purposes that schools retain the application forms signed by parents/guardians for a period of </w:t>
      </w:r>
      <w:r w:rsidR="00F57CDB" w:rsidRPr="004D0AA3">
        <w:t xml:space="preserve">seven </w:t>
      </w:r>
      <w:r w:rsidRPr="00C445B4">
        <w:t>years.</w:t>
      </w:r>
    </w:p>
    <w:p w14:paraId="46B7C00A" w14:textId="77777777" w:rsidR="005C46F6" w:rsidRDefault="005C46F6" w:rsidP="005C46F6">
      <w:r w:rsidRPr="00C445B4">
        <w:t>There is no requirement to forward copies of the application forms to the CAU</w:t>
      </w:r>
      <w:r w:rsidR="00F57CDB" w:rsidRPr="004D0AA3">
        <w:t>, unless requested</w:t>
      </w:r>
      <w:r w:rsidRPr="00C445B4">
        <w:t xml:space="preserve">. </w:t>
      </w:r>
    </w:p>
    <w:p w14:paraId="124F1DF8" w14:textId="77777777" w:rsidR="00870F30" w:rsidRPr="0088128B" w:rsidRDefault="00870F30" w:rsidP="00870F30">
      <w:pPr>
        <w:pStyle w:val="Heading3"/>
      </w:pPr>
      <w:r w:rsidRPr="0088128B">
        <w:t xml:space="preserve">CAU Program Audits </w:t>
      </w:r>
    </w:p>
    <w:p w14:paraId="003D80E0" w14:textId="77777777" w:rsidR="005C46F6" w:rsidRPr="0088128B" w:rsidRDefault="005C46F6" w:rsidP="005C46F6">
      <w:r w:rsidRPr="0088128B">
        <w:t>The CAU will conduct a</w:t>
      </w:r>
      <w:r w:rsidR="0020508B" w:rsidRPr="0088128B">
        <w:t>n annual</w:t>
      </w:r>
      <w:r w:rsidRPr="0088128B">
        <w:t xml:space="preserve"> audit by randomly selecting </w:t>
      </w:r>
      <w:r w:rsidR="00F57CDB" w:rsidRPr="0088128B">
        <w:t xml:space="preserve">a number of </w:t>
      </w:r>
      <w:r w:rsidRPr="0088128B">
        <w:t xml:space="preserve">school claims to be checked for compliance. </w:t>
      </w:r>
      <w:r w:rsidR="0020508B" w:rsidRPr="0088128B">
        <w:t>The audits will review a sample of completed application forms (including evidence of ticket purchases where applicable)</w:t>
      </w:r>
      <w:r w:rsidR="00F57CDB" w:rsidRPr="0088128B">
        <w:t>.</w:t>
      </w:r>
    </w:p>
    <w:p w14:paraId="5285B351" w14:textId="77777777" w:rsidR="005C46F6" w:rsidRDefault="00F57CDB" w:rsidP="005C46F6">
      <w:r w:rsidRPr="0088128B">
        <w:t>In addition, s</w:t>
      </w:r>
      <w:r w:rsidR="005C46F6" w:rsidRPr="0088128B">
        <w:t>chools may be asked to provide a certificate from the school’s auditor or an extract from the school audit concerning compliance with this policy.  Schools are required to provide this information on request.</w:t>
      </w:r>
    </w:p>
    <w:p w14:paraId="6E3D0F21" w14:textId="77777777" w:rsidR="002624B7" w:rsidRDefault="002624B7" w:rsidP="002624B7">
      <w:pPr>
        <w:pStyle w:val="Heading2"/>
      </w:pPr>
      <w:bookmarkStart w:id="90" w:name="_Toc408317586"/>
      <w:bookmarkStart w:id="91" w:name="_Toc396387067"/>
      <w:r>
        <w:t>Responsibilities of</w:t>
      </w:r>
      <w:r w:rsidRPr="00481BF1">
        <w:t xml:space="preserve"> parents/guardians</w:t>
      </w:r>
      <w:bookmarkEnd w:id="90"/>
    </w:p>
    <w:p w14:paraId="377A5203" w14:textId="77777777" w:rsidR="002624B7" w:rsidRPr="002624B7" w:rsidRDefault="002624B7" w:rsidP="00105380">
      <w:r>
        <w:t>The process for parents/guardians to follow is:</w:t>
      </w:r>
    </w:p>
    <w:p w14:paraId="6AA8FBA7" w14:textId="77777777" w:rsidR="002624B7" w:rsidRPr="009D5264" w:rsidRDefault="002624B7" w:rsidP="004A7535">
      <w:pPr>
        <w:numPr>
          <w:ilvl w:val="0"/>
          <w:numId w:val="7"/>
        </w:numPr>
      </w:pPr>
      <w:r w:rsidRPr="009D5264">
        <w:t>Request a conveyance allowance application from the school.</w:t>
      </w:r>
    </w:p>
    <w:p w14:paraId="6FCB2934" w14:textId="77777777" w:rsidR="002624B7" w:rsidRPr="009D5264" w:rsidRDefault="002624B7" w:rsidP="004A7535">
      <w:pPr>
        <w:numPr>
          <w:ilvl w:val="0"/>
          <w:numId w:val="7"/>
        </w:numPr>
      </w:pPr>
      <w:r w:rsidRPr="009D5264">
        <w:t xml:space="preserve">Estimate travel distances using an online mapping tool.  Be aware these public domain tools may not provide the shortest practicable route between home and the </w:t>
      </w:r>
      <w:r>
        <w:t>school/</w:t>
      </w:r>
      <w:r w:rsidRPr="009D5264">
        <w:t xml:space="preserve">campus attended but give a good indication. </w:t>
      </w:r>
    </w:p>
    <w:p w14:paraId="5FF8B38A" w14:textId="77777777" w:rsidR="002624B7" w:rsidRPr="009D5264" w:rsidRDefault="002624B7" w:rsidP="004A7535">
      <w:pPr>
        <w:numPr>
          <w:ilvl w:val="0"/>
          <w:numId w:val="7"/>
        </w:numPr>
      </w:pPr>
      <w:r w:rsidRPr="009D5264">
        <w:t>Validate travel options online at PTV (</w:t>
      </w:r>
      <w:hyperlink r:id="rId34" w:history="1">
        <w:r w:rsidRPr="00D512E4">
          <w:rPr>
            <w:rStyle w:val="Hyperlink"/>
          </w:rPr>
          <w:t>www.ptv.vic.gov.au</w:t>
        </w:r>
      </w:hyperlink>
      <w:r>
        <w:t>)</w:t>
      </w:r>
      <w:r w:rsidRPr="009D5264">
        <w:t xml:space="preserve">. </w:t>
      </w:r>
    </w:p>
    <w:p w14:paraId="630C9484" w14:textId="77777777" w:rsidR="002624B7" w:rsidRPr="009D5264" w:rsidRDefault="002624B7" w:rsidP="004A7535">
      <w:pPr>
        <w:numPr>
          <w:ilvl w:val="0"/>
          <w:numId w:val="7"/>
        </w:numPr>
      </w:pPr>
      <w:r w:rsidRPr="009D5264">
        <w:t>Fill in, verify, and lodge the conveyance allowance application form with the school.</w:t>
      </w:r>
    </w:p>
    <w:p w14:paraId="74AA6E8E" w14:textId="77777777" w:rsidR="004D56F2" w:rsidRDefault="002624B7" w:rsidP="004A7535">
      <w:pPr>
        <w:numPr>
          <w:ilvl w:val="0"/>
          <w:numId w:val="7"/>
        </w:numPr>
      </w:pPr>
      <w:r w:rsidRPr="009D5264">
        <w:t xml:space="preserve">Notify the school within seven (7) days if your </w:t>
      </w:r>
      <w:r>
        <w:t xml:space="preserve">child’s </w:t>
      </w:r>
      <w:r w:rsidRPr="009D5264">
        <w:t xml:space="preserve">residential or travel circumstances change during the year. </w:t>
      </w:r>
      <w:bookmarkEnd w:id="91"/>
    </w:p>
    <w:p w14:paraId="49603F49" w14:textId="77777777" w:rsidR="004D56F2" w:rsidRPr="00481BF1" w:rsidRDefault="004D56F2" w:rsidP="00105380">
      <w:pPr>
        <w:pStyle w:val="Heading2"/>
      </w:pPr>
      <w:bookmarkStart w:id="92" w:name="_Toc408317587"/>
      <w:r w:rsidRPr="00481BF1">
        <w:t>Late payments</w:t>
      </w:r>
      <w:bookmarkEnd w:id="92"/>
    </w:p>
    <w:p w14:paraId="0C68BD8C" w14:textId="77777777" w:rsidR="004D56F2" w:rsidRDefault="00833A6A" w:rsidP="004D56F2">
      <w:r>
        <w:t>All claims must be submitted during the current calendar year.</w:t>
      </w:r>
      <w:r w:rsidR="004D56F2" w:rsidRPr="009D5264">
        <w:t xml:space="preserve">  </w:t>
      </w:r>
      <w:r>
        <w:t>Late claims cannot be accepted after the Term 4 closing date.</w:t>
      </w:r>
    </w:p>
    <w:p w14:paraId="293C5829" w14:textId="77777777" w:rsidR="00833A6A" w:rsidRPr="00481BF1" w:rsidRDefault="00833A6A" w:rsidP="004D56F2">
      <w:r>
        <w:t>Retrospective payments for prior years are not accepted.</w:t>
      </w:r>
    </w:p>
    <w:p w14:paraId="0B0EEE7F" w14:textId="77777777" w:rsidR="00481BF1" w:rsidRPr="00481BF1" w:rsidRDefault="00470CFF" w:rsidP="00481BF1">
      <w:pPr>
        <w:pStyle w:val="Heading1"/>
      </w:pPr>
      <w:bookmarkStart w:id="93" w:name="_Toc396387069"/>
      <w:bookmarkStart w:id="94" w:name="_Toc396388185"/>
      <w:bookmarkStart w:id="95" w:name="_Toc396389289"/>
      <w:bookmarkStart w:id="96" w:name="_Toc397587737"/>
      <w:bookmarkStart w:id="97" w:name="_Toc397698605"/>
      <w:bookmarkStart w:id="98" w:name="_Toc398206955"/>
      <w:bookmarkStart w:id="99" w:name="_Toc398209378"/>
      <w:bookmarkStart w:id="100" w:name="_Toc398796197"/>
      <w:bookmarkStart w:id="101" w:name="_Toc398816707"/>
      <w:bookmarkStart w:id="102" w:name="_Toc398886673"/>
      <w:bookmarkStart w:id="103" w:name="_Toc408317588"/>
      <w:r>
        <w:lastRenderedPageBreak/>
        <w:t>M</w:t>
      </w:r>
      <w:r w:rsidR="00481BF1" w:rsidRPr="00481BF1">
        <w:t>etropolitan conveyance allowance boundary</w:t>
      </w:r>
      <w:bookmarkEnd w:id="93"/>
      <w:bookmarkEnd w:id="94"/>
      <w:bookmarkEnd w:id="95"/>
      <w:bookmarkEnd w:id="96"/>
      <w:bookmarkEnd w:id="97"/>
      <w:bookmarkEnd w:id="98"/>
      <w:bookmarkEnd w:id="99"/>
      <w:bookmarkEnd w:id="100"/>
      <w:bookmarkEnd w:id="101"/>
      <w:bookmarkEnd w:id="102"/>
      <w:bookmarkEnd w:id="103"/>
    </w:p>
    <w:p w14:paraId="56E02A32" w14:textId="77777777" w:rsidR="00481BF1" w:rsidRPr="0088128B" w:rsidRDefault="00481BF1" w:rsidP="00481BF1">
      <w:r w:rsidRPr="0088128B">
        <w:t>This section provides further information about the metropolitan conveyance allowance boundary, which is used to differentiate metropolitan postcode areas (</w:t>
      </w:r>
      <w:r w:rsidR="00470CFF" w:rsidRPr="0088128B">
        <w:t xml:space="preserve">not </w:t>
      </w:r>
      <w:r w:rsidRPr="0088128B">
        <w:t xml:space="preserve">entitled to claim) from rural and regional postcode areas (entitled to claim).  </w:t>
      </w:r>
    </w:p>
    <w:p w14:paraId="70BF9282" w14:textId="77777777" w:rsidR="00481BF1" w:rsidRPr="0088128B" w:rsidRDefault="00481BF1" w:rsidP="00481BF1">
      <w:r w:rsidRPr="0088128B">
        <w:t xml:space="preserve">The conveyance allowance boundary is based on the Urban Growth Boundary (UGB), which is determined by the Department of </w:t>
      </w:r>
      <w:r w:rsidR="002306C7" w:rsidRPr="0088128B">
        <w:t xml:space="preserve">Environment, Land, Water and </w:t>
      </w:r>
      <w:r w:rsidRPr="0088128B">
        <w:t>Planning.</w:t>
      </w:r>
      <w:r w:rsidR="002306C7" w:rsidRPr="0088128B">
        <w:t xml:space="preserve"> </w:t>
      </w:r>
    </w:p>
    <w:p w14:paraId="006476F9" w14:textId="77777777" w:rsidR="00481BF1" w:rsidRPr="0088128B" w:rsidRDefault="00481BF1" w:rsidP="00481BF1">
      <w:r w:rsidRPr="0088128B">
        <w:t xml:space="preserve">An Accessibility Index (AI), developed by </w:t>
      </w:r>
      <w:r w:rsidR="00AD2633" w:rsidRPr="0088128B">
        <w:t>the Department</w:t>
      </w:r>
      <w:r w:rsidRPr="0088128B">
        <w:t>, measures the accessibility of schools based on the proximity to and the frequency of public transport serving each metropolitan postcode area.  The index determines whether schools within metropolitan conveyance allowance postcode areas remain eligible for conveyance allowance</w:t>
      </w:r>
      <w:r w:rsidR="00E26C6A" w:rsidRPr="0088128B">
        <w:t>.</w:t>
      </w:r>
    </w:p>
    <w:p w14:paraId="2934D7BF" w14:textId="77777777" w:rsidR="00481BF1" w:rsidRPr="009D5264" w:rsidRDefault="00481BF1" w:rsidP="00481BF1">
      <w:r w:rsidRPr="0088128B">
        <w:t xml:space="preserve">Refer to page </w:t>
      </w:r>
      <w:r w:rsidR="002073D3" w:rsidRPr="0088128B">
        <w:t>5</w:t>
      </w:r>
      <w:r w:rsidRPr="0088128B">
        <w:t xml:space="preserve"> of this document for a map of the conveyance allowance boundary.</w:t>
      </w:r>
      <w:r w:rsidR="00870F30" w:rsidRPr="0088128B">
        <w:t xml:space="preserve"> A larger sized map is available on the website at: </w:t>
      </w:r>
      <w:hyperlink r:id="rId35" w:history="1">
        <w:r w:rsidR="00870F30" w:rsidRPr="0088128B">
          <w:rPr>
            <w:rStyle w:val="Hyperlink"/>
          </w:rPr>
          <w:t>www.education.vic.gov.au/school/principals/finance/Pages/conveyance.aspx</w:t>
        </w:r>
      </w:hyperlink>
      <w:r w:rsidR="00870F30">
        <w:t xml:space="preserve"> </w:t>
      </w:r>
    </w:p>
    <w:p w14:paraId="6B457115" w14:textId="77777777" w:rsidR="00481BF1" w:rsidRPr="00481BF1" w:rsidRDefault="00481BF1" w:rsidP="00481BF1">
      <w:pPr>
        <w:pStyle w:val="Heading2"/>
      </w:pPr>
      <w:bookmarkStart w:id="104" w:name="_Toc396387070"/>
      <w:bookmarkStart w:id="105" w:name="_Toc408317589"/>
      <w:r w:rsidRPr="00481BF1">
        <w:t>Public transport accessibility measures</w:t>
      </w:r>
      <w:bookmarkEnd w:id="104"/>
      <w:bookmarkEnd w:id="105"/>
    </w:p>
    <w:p w14:paraId="621031C8" w14:textId="77777777" w:rsidR="00481BF1" w:rsidRPr="009D5264" w:rsidRDefault="00A150A3" w:rsidP="00481BF1">
      <w:r>
        <w:t>The Department</w:t>
      </w:r>
      <w:r w:rsidR="00481BF1" w:rsidRPr="009D5264">
        <w:t xml:space="preserve"> acknowledges that</w:t>
      </w:r>
      <w:r w:rsidR="00481BF1">
        <w:t xml:space="preserve"> </w:t>
      </w:r>
      <w:r w:rsidR="00481BF1" w:rsidRPr="009D5264">
        <w:t xml:space="preserve">public transport options to travel to and from school may be limited for some postcode areas within the metropolitan conveyance </w:t>
      </w:r>
      <w:r w:rsidR="00E26C6A">
        <w:t xml:space="preserve">allowance </w:t>
      </w:r>
      <w:r w:rsidR="00481BF1" w:rsidRPr="009D5264">
        <w:t>boundary.</w:t>
      </w:r>
    </w:p>
    <w:p w14:paraId="2252A8F0" w14:textId="77777777" w:rsidR="00481BF1" w:rsidRPr="009D5264" w:rsidRDefault="00481BF1" w:rsidP="00481BF1">
      <w:r w:rsidRPr="009D5264">
        <w:t>A school transport accessibility index identifies postcode areas within the boundary where there might be limited public transport options for travel to and from school.</w:t>
      </w:r>
    </w:p>
    <w:p w14:paraId="5827CC83" w14:textId="77777777" w:rsidR="00481BF1" w:rsidRPr="009D5264" w:rsidRDefault="00481BF1" w:rsidP="00481BF1">
      <w:r w:rsidRPr="009D5264">
        <w:t xml:space="preserve">Postcodes areas are given a score. The lower the score the more limited the access. </w:t>
      </w:r>
    </w:p>
    <w:p w14:paraId="09DDA8D1" w14:textId="77777777" w:rsidR="00481BF1" w:rsidRPr="009D5264" w:rsidRDefault="00481BF1" w:rsidP="00481BF1">
      <w:r w:rsidRPr="009D5264">
        <w:t>The standardised accessibility factors are:</w:t>
      </w:r>
    </w:p>
    <w:p w14:paraId="17A20AA2" w14:textId="77777777" w:rsidR="00481BF1" w:rsidRPr="009D5264" w:rsidRDefault="00481BF1" w:rsidP="004A7535">
      <w:pPr>
        <w:numPr>
          <w:ilvl w:val="0"/>
          <w:numId w:val="8"/>
        </w:numPr>
      </w:pPr>
      <w:r w:rsidRPr="009D5264">
        <w:t xml:space="preserve">School catchment – public transport </w:t>
      </w:r>
      <w:r w:rsidR="002F2ABD" w:rsidRPr="009D5264">
        <w:t>and</w:t>
      </w:r>
      <w:r w:rsidR="002F2ABD">
        <w:t xml:space="preserve"> government funded </w:t>
      </w:r>
      <w:r w:rsidRPr="009D5264">
        <w:t>school buses within a 400 metre catchment of a school.</w:t>
      </w:r>
    </w:p>
    <w:p w14:paraId="3E7E9EE0" w14:textId="77777777" w:rsidR="00481BF1" w:rsidRPr="009D5264" w:rsidRDefault="00481BF1" w:rsidP="004A7535">
      <w:pPr>
        <w:numPr>
          <w:ilvl w:val="0"/>
          <w:numId w:val="8"/>
        </w:numPr>
      </w:pPr>
      <w:r w:rsidRPr="009D5264">
        <w:t>Network</w:t>
      </w:r>
      <w:r>
        <w:t xml:space="preserve"> coverage – the proportion of the population (by postcode)</w:t>
      </w:r>
      <w:r w:rsidRPr="009D5264">
        <w:t xml:space="preserve"> residing within a 400 metre catchment transport routes.</w:t>
      </w:r>
    </w:p>
    <w:p w14:paraId="1AA1CFCB" w14:textId="77777777" w:rsidR="00481BF1" w:rsidRPr="009D5264" w:rsidRDefault="00481BF1" w:rsidP="004A7535">
      <w:pPr>
        <w:numPr>
          <w:ilvl w:val="0"/>
          <w:numId w:val="8"/>
        </w:numPr>
      </w:pPr>
      <w:r w:rsidRPr="009D5264">
        <w:t>Quality of service – if transport services are supplied during periods of peak student demand and the frequency on these routes during that time</w:t>
      </w:r>
      <w:r>
        <w:t>.</w:t>
      </w:r>
    </w:p>
    <w:p w14:paraId="4CAD5F1C" w14:textId="77777777" w:rsidR="00481BF1" w:rsidRPr="009D5264" w:rsidRDefault="00481BF1" w:rsidP="00481BF1">
      <w:r w:rsidRPr="009D5264">
        <w:t xml:space="preserve">The </w:t>
      </w:r>
      <w:r>
        <w:t>AI</w:t>
      </w:r>
      <w:r w:rsidRPr="009D5264">
        <w:t xml:space="preserve"> takes into account school start and finish times and its alignment with a postcode area’s public transport</w:t>
      </w:r>
      <w:r>
        <w:t>.</w:t>
      </w:r>
    </w:p>
    <w:p w14:paraId="32269023" w14:textId="77777777" w:rsidR="00481BF1" w:rsidRPr="009D5264" w:rsidRDefault="00481BF1" w:rsidP="00481BF1">
      <w:r w:rsidRPr="009D5264">
        <w:t>By combining</w:t>
      </w:r>
      <w:r w:rsidR="00A150A3">
        <w:t xml:space="preserve"> all these factors, the Department </w:t>
      </w:r>
      <w:r w:rsidRPr="009D5264">
        <w:t xml:space="preserve">is able to determine the accessibility of public transport to schools in a postcode area.  Students attending schools or campuses located in postcode areas ranked as having limited public transport options may be able to continue to claim </w:t>
      </w:r>
      <w:r w:rsidR="003E5055">
        <w:t xml:space="preserve">the </w:t>
      </w:r>
      <w:r w:rsidRPr="009D5264">
        <w:t>conveyance allowance until such time as public transport improve</w:t>
      </w:r>
      <w:r w:rsidR="003E5055">
        <w:t>ments are identified in the Department</w:t>
      </w:r>
      <w:r w:rsidR="00821451">
        <w:t>’</w:t>
      </w:r>
      <w:r w:rsidR="003E5055">
        <w:t xml:space="preserve">s next </w:t>
      </w:r>
      <w:r w:rsidR="00821451">
        <w:t>metropolitan boundary</w:t>
      </w:r>
      <w:r w:rsidR="003E5055">
        <w:t xml:space="preserve"> review</w:t>
      </w:r>
      <w:r w:rsidRPr="009D5264">
        <w:t xml:space="preserve">.  </w:t>
      </w:r>
    </w:p>
    <w:p w14:paraId="0C7455D3" w14:textId="77777777" w:rsidR="00481BF1" w:rsidRPr="0088128B" w:rsidRDefault="00481BF1" w:rsidP="00481BF1">
      <w:pPr>
        <w:pStyle w:val="Heading2"/>
      </w:pPr>
      <w:bookmarkStart w:id="106" w:name="_Toc396387071"/>
      <w:bookmarkStart w:id="107" w:name="_Toc408317590"/>
      <w:r w:rsidRPr="0088128B">
        <w:t>Changed accessibility index score</w:t>
      </w:r>
      <w:bookmarkEnd w:id="106"/>
      <w:bookmarkEnd w:id="107"/>
    </w:p>
    <w:p w14:paraId="660D4196" w14:textId="77777777" w:rsidR="005528CF" w:rsidRPr="0088128B" w:rsidRDefault="00A150A3" w:rsidP="00481BF1">
      <w:r w:rsidRPr="0088128B">
        <w:t>The Department</w:t>
      </w:r>
      <w:r w:rsidR="00481BF1" w:rsidRPr="0088128B">
        <w:t xml:space="preserve"> review</w:t>
      </w:r>
      <w:r w:rsidR="00AB32D1" w:rsidRPr="0088128B">
        <w:t>s</w:t>
      </w:r>
      <w:r w:rsidR="00481BF1" w:rsidRPr="0088128B">
        <w:t xml:space="preserve"> the </w:t>
      </w:r>
      <w:r w:rsidR="00E26C6A" w:rsidRPr="0088128B">
        <w:t>accessibility of public transport to schools in postcode area</w:t>
      </w:r>
      <w:r w:rsidR="00BD3C96" w:rsidRPr="0088128B">
        <w:t>s bordering the UGB</w:t>
      </w:r>
      <w:r w:rsidR="00E26C6A" w:rsidRPr="0088128B">
        <w:t xml:space="preserve"> </w:t>
      </w:r>
      <w:r w:rsidR="00481BF1" w:rsidRPr="0088128B">
        <w:t xml:space="preserve">every four years and </w:t>
      </w:r>
      <w:r w:rsidR="00821451" w:rsidRPr="0088128B">
        <w:t xml:space="preserve">will </w:t>
      </w:r>
      <w:r w:rsidR="00481BF1" w:rsidRPr="0088128B">
        <w:t>provide schools</w:t>
      </w:r>
      <w:r w:rsidR="00BD3C96" w:rsidRPr="0088128B">
        <w:t xml:space="preserve"> participating in the Conveyance Allowance Program</w:t>
      </w:r>
      <w:r w:rsidR="00481BF1" w:rsidRPr="0088128B">
        <w:t xml:space="preserve"> with at least six months’ notice of any change to </w:t>
      </w:r>
      <w:r w:rsidR="00821451" w:rsidRPr="0088128B">
        <w:t xml:space="preserve">their claim </w:t>
      </w:r>
      <w:r w:rsidR="00481BF1" w:rsidRPr="0088128B">
        <w:t>status</w:t>
      </w:r>
      <w:r w:rsidR="00AB32D1" w:rsidRPr="0088128B">
        <w:t xml:space="preserve"> for conveyance allowance eligibility purposes</w:t>
      </w:r>
      <w:r w:rsidR="00481BF1" w:rsidRPr="0088128B">
        <w:t xml:space="preserve">.  </w:t>
      </w:r>
      <w:r w:rsidR="009F48A3" w:rsidRPr="0088128B">
        <w:t xml:space="preserve">The next review will be conducted in </w:t>
      </w:r>
      <w:r w:rsidR="00821451" w:rsidRPr="0088128B">
        <w:t>2020</w:t>
      </w:r>
      <w:r w:rsidR="009F48A3" w:rsidRPr="0088128B">
        <w:t xml:space="preserve"> for introduction in </w:t>
      </w:r>
      <w:r w:rsidR="00821451" w:rsidRPr="0088128B">
        <w:t>2021</w:t>
      </w:r>
      <w:r w:rsidR="009F48A3" w:rsidRPr="0088128B">
        <w:t xml:space="preserve">. </w:t>
      </w:r>
    </w:p>
    <w:p w14:paraId="259A11B4" w14:textId="77777777" w:rsidR="00481BF1" w:rsidRPr="009D5264" w:rsidRDefault="00481BF1" w:rsidP="00481BF1">
      <w:r w:rsidRPr="0088128B">
        <w:t xml:space="preserve">Once </w:t>
      </w:r>
      <w:r w:rsidR="00821451" w:rsidRPr="0088128B">
        <w:t xml:space="preserve">a postcode </w:t>
      </w:r>
      <w:r w:rsidRPr="0088128B">
        <w:t xml:space="preserve">area </w:t>
      </w:r>
      <w:r w:rsidR="00821451" w:rsidRPr="0088128B">
        <w:t xml:space="preserve">within the metropolitan boundary is deemed to have an AI which indicates an appropriate level of public transport </w:t>
      </w:r>
      <w:r w:rsidR="00AB32D1" w:rsidRPr="0088128B">
        <w:t xml:space="preserve">exists </w:t>
      </w:r>
      <w:r w:rsidR="00821451" w:rsidRPr="0088128B">
        <w:t>for travel to and from school</w:t>
      </w:r>
      <w:r w:rsidR="00AB32D1" w:rsidRPr="0088128B">
        <w:t xml:space="preserve">, schools within the postcode area will no longer be eligible to </w:t>
      </w:r>
      <w:r w:rsidRPr="0088128B">
        <w:t>claim the allowance.</w:t>
      </w:r>
    </w:p>
    <w:p w14:paraId="22A5E3AF" w14:textId="77777777" w:rsidR="00481BF1" w:rsidRDefault="00481BF1" w:rsidP="00481BF1"/>
    <w:p w14:paraId="511C7A61" w14:textId="77777777" w:rsidR="005D6AB7" w:rsidRDefault="005D6AB7" w:rsidP="005D6AB7">
      <w:pPr>
        <w:pStyle w:val="Heading2"/>
        <w:rPr>
          <w:lang w:eastAsia="en-AU"/>
        </w:rPr>
      </w:pPr>
      <w:bookmarkStart w:id="108" w:name="_Toc378852758"/>
      <w:bookmarkStart w:id="109" w:name="_Toc408317591"/>
      <w:r w:rsidRPr="00606D9A">
        <w:rPr>
          <w:lang w:eastAsia="en-AU"/>
        </w:rPr>
        <w:t>Transition arrangements (grandfathering) for students receiving a conveyance allowance in 2012</w:t>
      </w:r>
      <w:bookmarkEnd w:id="108"/>
      <w:bookmarkEnd w:id="109"/>
    </w:p>
    <w:p w14:paraId="4C8FB1DB" w14:textId="77777777" w:rsidR="005D6AB7" w:rsidRDefault="005D6AB7" w:rsidP="005D6AB7">
      <w:pPr>
        <w:rPr>
          <w:lang w:eastAsia="en-AU"/>
        </w:rPr>
      </w:pPr>
      <w:r>
        <w:rPr>
          <w:lang w:eastAsia="en-AU"/>
        </w:rPr>
        <w:t xml:space="preserve">The Minister for Education directed the following transition arrangements, </w:t>
      </w:r>
      <w:r w:rsidR="009E3612">
        <w:rPr>
          <w:lang w:eastAsia="en-AU"/>
        </w:rPr>
        <w:t xml:space="preserve">also </w:t>
      </w:r>
      <w:r>
        <w:rPr>
          <w:lang w:eastAsia="en-AU"/>
        </w:rPr>
        <w:t xml:space="preserve">referred to as grandfathering, apply to students </w:t>
      </w:r>
      <w:r w:rsidR="00716F40">
        <w:rPr>
          <w:lang w:eastAsia="en-AU"/>
        </w:rPr>
        <w:t xml:space="preserve">who were </w:t>
      </w:r>
      <w:r>
        <w:rPr>
          <w:lang w:eastAsia="en-AU"/>
        </w:rPr>
        <w:t xml:space="preserve">receiving a conveyance allowance in 2012, and deemed ineligible due to the changed metropolitan </w:t>
      </w:r>
      <w:r w:rsidR="009E3612">
        <w:rPr>
          <w:lang w:eastAsia="en-AU"/>
        </w:rPr>
        <w:t xml:space="preserve">conveyance allowance </w:t>
      </w:r>
      <w:r>
        <w:rPr>
          <w:lang w:eastAsia="en-AU"/>
        </w:rPr>
        <w:t>boundary</w:t>
      </w:r>
      <w:r w:rsidR="00C4140B">
        <w:rPr>
          <w:lang w:eastAsia="en-AU"/>
        </w:rPr>
        <w:t xml:space="preserve"> implemented in 2013</w:t>
      </w:r>
      <w:r>
        <w:rPr>
          <w:lang w:eastAsia="en-AU"/>
        </w:rPr>
        <w:t>.</w:t>
      </w:r>
    </w:p>
    <w:p w14:paraId="3FA6F780" w14:textId="77777777" w:rsidR="005D6AB7" w:rsidRDefault="005D6AB7" w:rsidP="005D6AB7">
      <w:pPr>
        <w:rPr>
          <w:lang w:eastAsia="en-AU"/>
        </w:rPr>
      </w:pPr>
      <w:r>
        <w:rPr>
          <w:lang w:eastAsia="en-AU"/>
        </w:rPr>
        <w:t>Eligible students, who claimed the conveyance allowance in 2012 while attending a school</w:t>
      </w:r>
      <w:r w:rsidR="003F3EEE">
        <w:rPr>
          <w:lang w:eastAsia="en-AU"/>
        </w:rPr>
        <w:t>/campus</w:t>
      </w:r>
      <w:r>
        <w:rPr>
          <w:lang w:eastAsia="en-AU"/>
        </w:rPr>
        <w:t xml:space="preserve"> inside the metropolitan Melbourne area as defined in the current conveyance allowance policy, may continue to claim the conveyance allowance </w:t>
      </w:r>
      <w:r w:rsidR="00C4140B">
        <w:rPr>
          <w:lang w:eastAsia="en-AU"/>
        </w:rPr>
        <w:t>in the following circumstances</w:t>
      </w:r>
      <w:r>
        <w:rPr>
          <w:lang w:eastAsia="en-AU"/>
        </w:rPr>
        <w:t>:</w:t>
      </w:r>
    </w:p>
    <w:p w14:paraId="0371B448" w14:textId="77777777" w:rsidR="005D6AB7" w:rsidRDefault="005D6AB7" w:rsidP="004A7535">
      <w:pPr>
        <w:numPr>
          <w:ilvl w:val="0"/>
          <w:numId w:val="9"/>
        </w:numPr>
        <w:rPr>
          <w:lang w:eastAsia="en-AU"/>
        </w:rPr>
      </w:pPr>
      <w:r>
        <w:rPr>
          <w:lang w:eastAsia="en-AU"/>
        </w:rPr>
        <w:t>For the duration of their primary school years (prep to Year 6) if they were in their primary years in 2012.</w:t>
      </w:r>
    </w:p>
    <w:p w14:paraId="3C1DEC46" w14:textId="77777777" w:rsidR="005D6AB7" w:rsidRDefault="005D6AB7" w:rsidP="004A7535">
      <w:pPr>
        <w:numPr>
          <w:ilvl w:val="0"/>
          <w:numId w:val="9"/>
        </w:numPr>
        <w:rPr>
          <w:lang w:eastAsia="en-AU"/>
        </w:rPr>
      </w:pPr>
      <w:r>
        <w:rPr>
          <w:lang w:eastAsia="en-AU"/>
        </w:rPr>
        <w:t>For duration of their secondary school years (Years 7 to 12) if they were in their secondary school years in 2012.</w:t>
      </w:r>
    </w:p>
    <w:p w14:paraId="62FE0328" w14:textId="77777777" w:rsidR="005D6AB7" w:rsidRDefault="005D6AB7" w:rsidP="004A7535">
      <w:pPr>
        <w:numPr>
          <w:ilvl w:val="0"/>
          <w:numId w:val="9"/>
        </w:numPr>
        <w:rPr>
          <w:lang w:eastAsia="en-AU"/>
        </w:rPr>
      </w:pPr>
      <w:r>
        <w:rPr>
          <w:lang w:eastAsia="en-AU"/>
        </w:rPr>
        <w:t>For primary students attending a P-12 until they complete Year 6.</w:t>
      </w:r>
    </w:p>
    <w:p w14:paraId="45CC0B8B" w14:textId="77777777" w:rsidR="005D6AB7" w:rsidRDefault="005D6AB7" w:rsidP="005D6AB7">
      <w:pPr>
        <w:rPr>
          <w:lang w:eastAsia="en-AU"/>
        </w:rPr>
      </w:pPr>
      <w:r>
        <w:rPr>
          <w:lang w:eastAsia="en-AU"/>
        </w:rPr>
        <w:t>These students will have no ongoing entitlement to the allowance under this transition arrangement if they:</w:t>
      </w:r>
    </w:p>
    <w:p w14:paraId="3FE3B08F" w14:textId="77777777" w:rsidR="005D6AB7" w:rsidRDefault="005D6AB7" w:rsidP="004A7535">
      <w:pPr>
        <w:numPr>
          <w:ilvl w:val="0"/>
          <w:numId w:val="10"/>
        </w:numPr>
        <w:rPr>
          <w:lang w:eastAsia="en-AU"/>
        </w:rPr>
      </w:pPr>
      <w:r>
        <w:rPr>
          <w:lang w:eastAsia="en-AU"/>
        </w:rPr>
        <w:t>commence at a new school or move campus within their current school</w:t>
      </w:r>
    </w:p>
    <w:p w14:paraId="1CF9285B" w14:textId="77777777" w:rsidR="005D6AB7" w:rsidRDefault="005D6AB7" w:rsidP="004A7535">
      <w:pPr>
        <w:numPr>
          <w:ilvl w:val="0"/>
          <w:numId w:val="10"/>
        </w:numPr>
        <w:rPr>
          <w:lang w:eastAsia="en-AU"/>
        </w:rPr>
      </w:pPr>
      <w:r>
        <w:rPr>
          <w:lang w:eastAsia="en-AU"/>
        </w:rPr>
        <w:t>leave school</w:t>
      </w:r>
    </w:p>
    <w:p w14:paraId="1D8DECB3" w14:textId="77777777" w:rsidR="005D6AB7" w:rsidRDefault="005D6AB7" w:rsidP="004A7535">
      <w:pPr>
        <w:numPr>
          <w:ilvl w:val="0"/>
          <w:numId w:val="10"/>
        </w:numPr>
        <w:rPr>
          <w:lang w:eastAsia="en-AU"/>
        </w:rPr>
      </w:pPr>
      <w:r>
        <w:rPr>
          <w:lang w:eastAsia="en-AU"/>
        </w:rPr>
        <w:t>transition into Year 7</w:t>
      </w:r>
    </w:p>
    <w:p w14:paraId="68BE46FF" w14:textId="77777777" w:rsidR="005D6AB7" w:rsidRDefault="005D6AB7" w:rsidP="004A7535">
      <w:pPr>
        <w:numPr>
          <w:ilvl w:val="0"/>
          <w:numId w:val="10"/>
        </w:numPr>
        <w:rPr>
          <w:lang w:eastAsia="en-AU"/>
        </w:rPr>
      </w:pPr>
      <w:r>
        <w:rPr>
          <w:lang w:eastAsia="en-AU"/>
        </w:rPr>
        <w:t>change residential address.</w:t>
      </w:r>
    </w:p>
    <w:p w14:paraId="66B698C6" w14:textId="77777777" w:rsidR="005D6AB7" w:rsidRDefault="005D6AB7" w:rsidP="005D6AB7">
      <w:pPr>
        <w:rPr>
          <w:lang w:eastAsia="en-AU"/>
        </w:rPr>
      </w:pPr>
    </w:p>
    <w:p w14:paraId="060FD29A" w14:textId="77777777" w:rsidR="005D6AB7" w:rsidRDefault="005D6AB7" w:rsidP="005D6AB7">
      <w:pPr>
        <w:rPr>
          <w:lang w:eastAsia="en-AU"/>
        </w:rPr>
      </w:pPr>
      <w:r>
        <w:rPr>
          <w:lang w:eastAsia="en-AU"/>
        </w:rPr>
        <w:t>If one of the above events occurs then the transition arrangements will cease for that student and the student’s eligibility for any subsequent conveyance allowance will be subject to the current eligibility</w:t>
      </w:r>
      <w:r w:rsidR="009E3612">
        <w:rPr>
          <w:lang w:eastAsia="en-AU"/>
        </w:rPr>
        <w:t xml:space="preserve"> criteria</w:t>
      </w:r>
      <w:r>
        <w:rPr>
          <w:lang w:eastAsia="en-AU"/>
        </w:rPr>
        <w:t>.</w:t>
      </w:r>
    </w:p>
    <w:p w14:paraId="280F1C4A" w14:textId="77777777" w:rsidR="005D6AB7" w:rsidRDefault="005D6AB7" w:rsidP="005D6AB7">
      <w:pPr>
        <w:rPr>
          <w:lang w:eastAsia="en-AU"/>
        </w:rPr>
      </w:pPr>
      <w:r w:rsidRPr="005D6AB7">
        <w:rPr>
          <w:b/>
          <w:lang w:eastAsia="en-AU"/>
        </w:rPr>
        <w:t>Note:</w:t>
      </w:r>
      <w:r>
        <w:rPr>
          <w:lang w:eastAsia="en-AU"/>
        </w:rPr>
        <w:t xml:space="preserve"> For transition arrangements (grandfathering), students who claimed the conveyance allowance on public transport in 2012 will not be able to continue to claim if they changed to private transport in 2013 or beyond, except where the public transport service has ceased.  </w:t>
      </w:r>
    </w:p>
    <w:p w14:paraId="66BCFB27" w14:textId="77777777" w:rsidR="005D6AB7" w:rsidRPr="005D6AB7" w:rsidRDefault="005D6AB7" w:rsidP="005D6AB7">
      <w:pPr>
        <w:rPr>
          <w:lang w:eastAsia="en-AU"/>
        </w:rPr>
      </w:pPr>
      <w:r>
        <w:rPr>
          <w:lang w:eastAsia="en-AU"/>
        </w:rPr>
        <w:t>Students who claimed the conveyance allowance for private transport in 2012 will be transitioned if they changed to public transport in 2013.  Transitioned students are also able to change between private car and private bus.</w:t>
      </w:r>
    </w:p>
    <w:p w14:paraId="7AFBF0D0" w14:textId="77777777" w:rsidR="00481BF1" w:rsidRPr="00481BF1" w:rsidRDefault="00481BF1" w:rsidP="00C33A72">
      <w:pPr>
        <w:pStyle w:val="Heading1"/>
        <w:numPr>
          <w:ilvl w:val="0"/>
          <w:numId w:val="0"/>
        </w:numPr>
        <w:ind w:left="646" w:hanging="646"/>
      </w:pPr>
      <w:bookmarkStart w:id="110" w:name="_Toc396387072"/>
      <w:bookmarkStart w:id="111" w:name="_Toc396388188"/>
      <w:bookmarkStart w:id="112" w:name="_Toc396389292"/>
      <w:bookmarkStart w:id="113" w:name="_Toc397587741"/>
      <w:bookmarkStart w:id="114" w:name="_Toc397698609"/>
      <w:bookmarkStart w:id="115" w:name="_Toc398206959"/>
      <w:bookmarkStart w:id="116" w:name="_Toc398209382"/>
      <w:bookmarkStart w:id="117" w:name="_Toc398796201"/>
      <w:bookmarkStart w:id="118" w:name="_Toc398816711"/>
      <w:bookmarkStart w:id="119" w:name="_Toc398886677"/>
      <w:bookmarkStart w:id="120" w:name="_Toc408317592"/>
      <w:r w:rsidRPr="00481BF1">
        <w:lastRenderedPageBreak/>
        <w:t>Appendix 1 – Conveyance allowance rates</w:t>
      </w:r>
      <w:bookmarkEnd w:id="110"/>
      <w:bookmarkEnd w:id="111"/>
      <w:bookmarkEnd w:id="112"/>
      <w:bookmarkEnd w:id="113"/>
      <w:bookmarkEnd w:id="114"/>
      <w:bookmarkEnd w:id="115"/>
      <w:bookmarkEnd w:id="116"/>
      <w:bookmarkEnd w:id="117"/>
      <w:bookmarkEnd w:id="118"/>
      <w:bookmarkEnd w:id="119"/>
      <w:bookmarkEnd w:id="120"/>
    </w:p>
    <w:p w14:paraId="2E52601D" w14:textId="77777777" w:rsidR="00481BF1" w:rsidRPr="00481BF1" w:rsidRDefault="00481BF1" w:rsidP="00481BF1">
      <w:pPr>
        <w:pStyle w:val="Heading3"/>
      </w:pPr>
      <w:r w:rsidRPr="00481BF1">
        <w:t>Private car conveyance allowance rates</w:t>
      </w:r>
    </w:p>
    <w:tbl>
      <w:tblPr>
        <w:tblW w:w="5000" w:type="pct"/>
        <w:tblBorders>
          <w:top w:val="single" w:sz="8" w:space="0" w:color="B3CC82"/>
          <w:left w:val="single" w:sz="8" w:space="0" w:color="B3CC82"/>
          <w:bottom w:val="single" w:sz="8" w:space="0" w:color="B3CC82"/>
          <w:right w:val="single" w:sz="8" w:space="0" w:color="B3CC82"/>
          <w:insideH w:val="single" w:sz="8" w:space="0" w:color="B3CC82"/>
        </w:tblBorders>
        <w:tblLook w:val="04A0" w:firstRow="1" w:lastRow="0" w:firstColumn="1" w:lastColumn="0" w:noHBand="0" w:noVBand="1"/>
      </w:tblPr>
      <w:tblGrid>
        <w:gridCol w:w="3793"/>
        <w:gridCol w:w="3794"/>
      </w:tblGrid>
      <w:tr w:rsidR="007E7843" w:rsidRPr="009D5264" w14:paraId="1596BC15" w14:textId="77777777" w:rsidTr="007E7843">
        <w:tc>
          <w:tcPr>
            <w:tcW w:w="2500" w:type="pct"/>
            <w:tcBorders>
              <w:top w:val="single" w:sz="8" w:space="0" w:color="B3CC82"/>
              <w:left w:val="single" w:sz="8" w:space="0" w:color="B3CC82"/>
              <w:bottom w:val="single" w:sz="8" w:space="0" w:color="B3CC82"/>
            </w:tcBorders>
            <w:shd w:val="clear" w:color="auto" w:fill="9BBB59"/>
            <w:vAlign w:val="center"/>
          </w:tcPr>
          <w:p w14:paraId="293DF873" w14:textId="77777777" w:rsidR="00481BF1" w:rsidRPr="007E7843" w:rsidRDefault="00481BF1" w:rsidP="00481BF1">
            <w:pPr>
              <w:rPr>
                <w:b/>
                <w:bCs/>
                <w:color w:val="FFFFFF"/>
              </w:rPr>
            </w:pPr>
            <w:r w:rsidRPr="007E7843">
              <w:rPr>
                <w:b/>
                <w:bCs/>
                <w:color w:val="FFFFFF"/>
              </w:rPr>
              <w:t>Distance (kilometres)</w:t>
            </w:r>
          </w:p>
        </w:tc>
        <w:tc>
          <w:tcPr>
            <w:tcW w:w="2500" w:type="pct"/>
            <w:tcBorders>
              <w:top w:val="single" w:sz="8" w:space="0" w:color="B3CC82"/>
              <w:bottom w:val="single" w:sz="8" w:space="0" w:color="B3CC82"/>
              <w:right w:val="single" w:sz="8" w:space="0" w:color="B3CC82"/>
            </w:tcBorders>
            <w:shd w:val="clear" w:color="auto" w:fill="9BBB59"/>
            <w:vAlign w:val="center"/>
          </w:tcPr>
          <w:p w14:paraId="49712B4B" w14:textId="77777777" w:rsidR="00481BF1" w:rsidRPr="007E7843" w:rsidRDefault="00481BF1" w:rsidP="00481BF1">
            <w:pPr>
              <w:rPr>
                <w:b/>
                <w:bCs/>
                <w:color w:val="FFFFFF"/>
              </w:rPr>
            </w:pPr>
            <w:r w:rsidRPr="007E7843">
              <w:rPr>
                <w:b/>
                <w:bCs/>
                <w:color w:val="FFFFFF"/>
              </w:rPr>
              <w:t>Amount paid annually</w:t>
            </w:r>
          </w:p>
        </w:tc>
      </w:tr>
      <w:tr w:rsidR="00481BF1" w:rsidRPr="009D5264" w14:paraId="245B0A41" w14:textId="77777777" w:rsidTr="007E7843">
        <w:tc>
          <w:tcPr>
            <w:tcW w:w="2500" w:type="pct"/>
            <w:shd w:val="clear" w:color="auto" w:fill="E6EED5"/>
            <w:vAlign w:val="center"/>
          </w:tcPr>
          <w:p w14:paraId="52BA3151" w14:textId="77777777" w:rsidR="00481BF1" w:rsidRPr="007E7843" w:rsidRDefault="00481BF1" w:rsidP="00481BF1">
            <w:pPr>
              <w:rPr>
                <w:b/>
                <w:bCs/>
              </w:rPr>
            </w:pPr>
            <w:r w:rsidRPr="007E7843">
              <w:rPr>
                <w:b/>
                <w:bCs/>
              </w:rPr>
              <w:t>4.8</w:t>
            </w:r>
            <w:r w:rsidR="00113EF6" w:rsidRPr="007E7843">
              <w:rPr>
                <w:b/>
                <w:bCs/>
              </w:rPr>
              <w:t>–</w:t>
            </w:r>
            <w:r w:rsidRPr="007E7843">
              <w:rPr>
                <w:b/>
                <w:bCs/>
              </w:rPr>
              <w:t>10</w:t>
            </w:r>
          </w:p>
        </w:tc>
        <w:tc>
          <w:tcPr>
            <w:tcW w:w="2500" w:type="pct"/>
            <w:shd w:val="clear" w:color="auto" w:fill="E6EED5"/>
            <w:vAlign w:val="center"/>
          </w:tcPr>
          <w:p w14:paraId="4C02D966" w14:textId="77777777" w:rsidR="00481BF1" w:rsidRPr="009D5264" w:rsidRDefault="00481BF1" w:rsidP="00481BF1">
            <w:r w:rsidRPr="009D5264">
              <w:t>$439.20</w:t>
            </w:r>
          </w:p>
        </w:tc>
      </w:tr>
      <w:tr w:rsidR="00481BF1" w:rsidRPr="009D5264" w14:paraId="5366BCC0" w14:textId="77777777" w:rsidTr="007E7843">
        <w:tc>
          <w:tcPr>
            <w:tcW w:w="2500" w:type="pct"/>
            <w:tcBorders>
              <w:right w:val="nil"/>
            </w:tcBorders>
            <w:shd w:val="clear" w:color="auto" w:fill="auto"/>
            <w:vAlign w:val="center"/>
          </w:tcPr>
          <w:p w14:paraId="53A51E2D" w14:textId="77777777" w:rsidR="00481BF1" w:rsidRPr="007E7843" w:rsidRDefault="00481BF1" w:rsidP="00481BF1">
            <w:pPr>
              <w:rPr>
                <w:b/>
                <w:bCs/>
              </w:rPr>
            </w:pPr>
            <w:r w:rsidRPr="007E7843">
              <w:rPr>
                <w:b/>
                <w:bCs/>
              </w:rPr>
              <w:t>&gt;10–15</w:t>
            </w:r>
          </w:p>
        </w:tc>
        <w:tc>
          <w:tcPr>
            <w:tcW w:w="2500" w:type="pct"/>
            <w:tcBorders>
              <w:left w:val="nil"/>
            </w:tcBorders>
            <w:shd w:val="clear" w:color="auto" w:fill="auto"/>
            <w:vAlign w:val="center"/>
          </w:tcPr>
          <w:p w14:paraId="008397E4" w14:textId="77777777" w:rsidR="00481BF1" w:rsidRPr="009D5264" w:rsidRDefault="00481BF1" w:rsidP="00481BF1">
            <w:r w:rsidRPr="009D5264">
              <w:t>$549.50</w:t>
            </w:r>
          </w:p>
        </w:tc>
      </w:tr>
      <w:tr w:rsidR="00481BF1" w:rsidRPr="009D5264" w14:paraId="34ABFFAA" w14:textId="77777777" w:rsidTr="007E7843">
        <w:tc>
          <w:tcPr>
            <w:tcW w:w="2500" w:type="pct"/>
            <w:shd w:val="clear" w:color="auto" w:fill="E6EED5"/>
            <w:vAlign w:val="center"/>
          </w:tcPr>
          <w:p w14:paraId="2763F110" w14:textId="77777777" w:rsidR="00481BF1" w:rsidRPr="007E7843" w:rsidRDefault="00481BF1" w:rsidP="00481BF1">
            <w:pPr>
              <w:rPr>
                <w:b/>
                <w:bCs/>
              </w:rPr>
            </w:pPr>
            <w:r w:rsidRPr="007E7843">
              <w:rPr>
                <w:b/>
                <w:bCs/>
              </w:rPr>
              <w:t>&gt;15–20</w:t>
            </w:r>
          </w:p>
        </w:tc>
        <w:tc>
          <w:tcPr>
            <w:tcW w:w="2500" w:type="pct"/>
            <w:shd w:val="clear" w:color="auto" w:fill="E6EED5"/>
            <w:vAlign w:val="center"/>
          </w:tcPr>
          <w:p w14:paraId="4023B38D" w14:textId="77777777" w:rsidR="00481BF1" w:rsidRPr="009D5264" w:rsidRDefault="00481BF1" w:rsidP="00481BF1">
            <w:r w:rsidRPr="009D5264">
              <w:t>$658.70</w:t>
            </w:r>
          </w:p>
        </w:tc>
      </w:tr>
      <w:tr w:rsidR="00481BF1" w:rsidRPr="009D5264" w14:paraId="48CBBF6D" w14:textId="77777777" w:rsidTr="007E7843">
        <w:tc>
          <w:tcPr>
            <w:tcW w:w="2500" w:type="pct"/>
            <w:tcBorders>
              <w:right w:val="nil"/>
            </w:tcBorders>
            <w:shd w:val="clear" w:color="auto" w:fill="auto"/>
            <w:vAlign w:val="center"/>
          </w:tcPr>
          <w:p w14:paraId="457BF59F" w14:textId="77777777" w:rsidR="00481BF1" w:rsidRPr="007E7843" w:rsidRDefault="00481BF1" w:rsidP="006947B6">
            <w:pPr>
              <w:rPr>
                <w:b/>
                <w:bCs/>
              </w:rPr>
            </w:pPr>
            <w:r w:rsidRPr="007E7843">
              <w:rPr>
                <w:b/>
                <w:bCs/>
              </w:rPr>
              <w:t>&gt;2</w:t>
            </w:r>
            <w:r w:rsidR="00C4140B">
              <w:rPr>
                <w:b/>
                <w:bCs/>
              </w:rPr>
              <w:t>0</w:t>
            </w:r>
            <w:r w:rsidR="00113EF6" w:rsidRPr="007E7843">
              <w:rPr>
                <w:b/>
                <w:bCs/>
              </w:rPr>
              <w:t>–</w:t>
            </w:r>
            <w:r w:rsidR="00C4140B">
              <w:rPr>
                <w:b/>
                <w:bCs/>
              </w:rPr>
              <w:t>25</w:t>
            </w:r>
          </w:p>
        </w:tc>
        <w:tc>
          <w:tcPr>
            <w:tcW w:w="2500" w:type="pct"/>
            <w:tcBorders>
              <w:left w:val="nil"/>
            </w:tcBorders>
            <w:shd w:val="clear" w:color="auto" w:fill="auto"/>
            <w:vAlign w:val="center"/>
          </w:tcPr>
          <w:p w14:paraId="3F8ABEEF" w14:textId="77777777" w:rsidR="00481BF1" w:rsidRPr="009D5264" w:rsidRDefault="00481BF1" w:rsidP="00481BF1">
            <w:r w:rsidRPr="009D5264">
              <w:t>$769.10</w:t>
            </w:r>
          </w:p>
        </w:tc>
      </w:tr>
      <w:tr w:rsidR="00481BF1" w:rsidRPr="009D5264" w14:paraId="020436DF" w14:textId="77777777" w:rsidTr="007E7843">
        <w:tc>
          <w:tcPr>
            <w:tcW w:w="2500" w:type="pct"/>
            <w:shd w:val="clear" w:color="auto" w:fill="E6EED5"/>
            <w:vAlign w:val="center"/>
          </w:tcPr>
          <w:p w14:paraId="4B7B81F4" w14:textId="77777777" w:rsidR="00481BF1" w:rsidRPr="007E7843" w:rsidRDefault="00481BF1" w:rsidP="00481BF1">
            <w:pPr>
              <w:rPr>
                <w:b/>
                <w:bCs/>
              </w:rPr>
            </w:pPr>
            <w:r w:rsidRPr="007E7843">
              <w:rPr>
                <w:b/>
                <w:bCs/>
              </w:rPr>
              <w:t>&gt;25–30</w:t>
            </w:r>
          </w:p>
        </w:tc>
        <w:tc>
          <w:tcPr>
            <w:tcW w:w="2500" w:type="pct"/>
            <w:shd w:val="clear" w:color="auto" w:fill="E6EED5"/>
            <w:vAlign w:val="center"/>
          </w:tcPr>
          <w:p w14:paraId="5C3540CF" w14:textId="77777777" w:rsidR="00481BF1" w:rsidRPr="009D5264" w:rsidRDefault="00481BF1" w:rsidP="00481BF1">
            <w:r w:rsidRPr="009D5264">
              <w:t>$878.30</w:t>
            </w:r>
          </w:p>
        </w:tc>
      </w:tr>
      <w:tr w:rsidR="00481BF1" w:rsidRPr="009D5264" w14:paraId="3E8B5E47" w14:textId="77777777" w:rsidTr="007E7843">
        <w:tc>
          <w:tcPr>
            <w:tcW w:w="2500" w:type="pct"/>
            <w:tcBorders>
              <w:right w:val="nil"/>
            </w:tcBorders>
            <w:shd w:val="clear" w:color="auto" w:fill="auto"/>
            <w:vAlign w:val="center"/>
          </w:tcPr>
          <w:p w14:paraId="76B9AB2D" w14:textId="77777777" w:rsidR="00481BF1" w:rsidRPr="007E7843" w:rsidRDefault="00481BF1" w:rsidP="00481BF1">
            <w:pPr>
              <w:rPr>
                <w:b/>
                <w:bCs/>
              </w:rPr>
            </w:pPr>
            <w:r w:rsidRPr="007E7843">
              <w:rPr>
                <w:b/>
                <w:bCs/>
              </w:rPr>
              <w:t>&gt;30–35</w:t>
            </w:r>
          </w:p>
        </w:tc>
        <w:tc>
          <w:tcPr>
            <w:tcW w:w="2500" w:type="pct"/>
            <w:tcBorders>
              <w:left w:val="nil"/>
            </w:tcBorders>
            <w:shd w:val="clear" w:color="auto" w:fill="auto"/>
            <w:vAlign w:val="center"/>
          </w:tcPr>
          <w:p w14:paraId="4BE8D6F5" w14:textId="77777777" w:rsidR="00481BF1" w:rsidRPr="009D5264" w:rsidRDefault="00481BF1" w:rsidP="00481BF1">
            <w:r w:rsidRPr="009D5264">
              <w:t>$986.50</w:t>
            </w:r>
          </w:p>
        </w:tc>
      </w:tr>
      <w:tr w:rsidR="00481BF1" w:rsidRPr="009D5264" w14:paraId="27EF0F97" w14:textId="77777777" w:rsidTr="007E7843">
        <w:tc>
          <w:tcPr>
            <w:tcW w:w="2500" w:type="pct"/>
            <w:shd w:val="clear" w:color="auto" w:fill="E6EED5"/>
            <w:vAlign w:val="center"/>
          </w:tcPr>
          <w:p w14:paraId="03ACAB81" w14:textId="77777777" w:rsidR="00481BF1" w:rsidRPr="007E7843" w:rsidRDefault="00481BF1" w:rsidP="00481BF1">
            <w:pPr>
              <w:rPr>
                <w:b/>
                <w:bCs/>
              </w:rPr>
            </w:pPr>
            <w:r w:rsidRPr="007E7843">
              <w:rPr>
                <w:b/>
                <w:bCs/>
              </w:rPr>
              <w:t>&gt;35</w:t>
            </w:r>
          </w:p>
        </w:tc>
        <w:tc>
          <w:tcPr>
            <w:tcW w:w="2500" w:type="pct"/>
            <w:shd w:val="clear" w:color="auto" w:fill="E6EED5"/>
            <w:vAlign w:val="center"/>
          </w:tcPr>
          <w:p w14:paraId="123C21F3" w14:textId="77777777" w:rsidR="00481BF1" w:rsidRPr="009D5264" w:rsidRDefault="00481BF1" w:rsidP="00481BF1">
            <w:r w:rsidRPr="009D5264">
              <w:t>$1,098.90</w:t>
            </w:r>
          </w:p>
        </w:tc>
      </w:tr>
      <w:tr w:rsidR="00481BF1" w:rsidRPr="009D5264" w14:paraId="1867DB29" w14:textId="77777777" w:rsidTr="007E7843">
        <w:tc>
          <w:tcPr>
            <w:tcW w:w="2500" w:type="pct"/>
            <w:tcBorders>
              <w:right w:val="nil"/>
            </w:tcBorders>
            <w:shd w:val="clear" w:color="auto" w:fill="auto"/>
            <w:vAlign w:val="center"/>
          </w:tcPr>
          <w:p w14:paraId="1935E30F" w14:textId="77777777" w:rsidR="00481BF1" w:rsidRPr="007E7843" w:rsidRDefault="00481BF1" w:rsidP="00481BF1">
            <w:pPr>
              <w:rPr>
                <w:b/>
                <w:bCs/>
              </w:rPr>
            </w:pPr>
            <w:r w:rsidRPr="007E7843">
              <w:rPr>
                <w:b/>
                <w:bCs/>
              </w:rPr>
              <w:t>Additional student</w:t>
            </w:r>
          </w:p>
        </w:tc>
        <w:tc>
          <w:tcPr>
            <w:tcW w:w="2500" w:type="pct"/>
            <w:tcBorders>
              <w:left w:val="nil"/>
            </w:tcBorders>
            <w:shd w:val="clear" w:color="auto" w:fill="auto"/>
            <w:vAlign w:val="center"/>
          </w:tcPr>
          <w:p w14:paraId="435469B3" w14:textId="77777777" w:rsidR="00481BF1" w:rsidRPr="009D5264" w:rsidRDefault="00481BF1" w:rsidP="00481BF1">
            <w:r w:rsidRPr="009D5264">
              <w:t>$219.70</w:t>
            </w:r>
          </w:p>
        </w:tc>
      </w:tr>
      <w:tr w:rsidR="00481BF1" w:rsidRPr="009D5264" w14:paraId="671A9E14" w14:textId="77777777" w:rsidTr="007E7843">
        <w:tc>
          <w:tcPr>
            <w:tcW w:w="2500" w:type="pct"/>
            <w:shd w:val="clear" w:color="auto" w:fill="E6EED5"/>
            <w:vAlign w:val="center"/>
          </w:tcPr>
          <w:p w14:paraId="634F7348" w14:textId="77777777" w:rsidR="00481BF1" w:rsidRPr="007E7843" w:rsidRDefault="00481BF1" w:rsidP="00481BF1">
            <w:pPr>
              <w:rPr>
                <w:b/>
                <w:bCs/>
              </w:rPr>
            </w:pPr>
            <w:r w:rsidRPr="007E7843">
              <w:rPr>
                <w:b/>
                <w:bCs/>
              </w:rPr>
              <w:t>Next nearest school (government schools only)</w:t>
            </w:r>
          </w:p>
        </w:tc>
        <w:tc>
          <w:tcPr>
            <w:tcW w:w="2500" w:type="pct"/>
            <w:shd w:val="clear" w:color="auto" w:fill="E6EED5"/>
            <w:vAlign w:val="center"/>
          </w:tcPr>
          <w:p w14:paraId="7A06849E" w14:textId="77777777" w:rsidR="00481BF1" w:rsidRPr="009D5264" w:rsidRDefault="00481BF1" w:rsidP="00481BF1">
            <w:r w:rsidRPr="009D5264">
              <w:t>$329.50</w:t>
            </w:r>
          </w:p>
        </w:tc>
      </w:tr>
      <w:tr w:rsidR="00481BF1" w:rsidRPr="009D5264" w14:paraId="76DDFA14" w14:textId="77777777" w:rsidTr="007E7843">
        <w:tc>
          <w:tcPr>
            <w:tcW w:w="2500" w:type="pct"/>
            <w:tcBorders>
              <w:right w:val="nil"/>
            </w:tcBorders>
            <w:shd w:val="clear" w:color="auto" w:fill="auto"/>
            <w:vAlign w:val="center"/>
          </w:tcPr>
          <w:p w14:paraId="032F48B3" w14:textId="77777777" w:rsidR="00481BF1" w:rsidRPr="007E7843" w:rsidRDefault="00481BF1" w:rsidP="00481BF1">
            <w:pPr>
              <w:rPr>
                <w:b/>
                <w:bCs/>
              </w:rPr>
            </w:pPr>
            <w:r w:rsidRPr="007E7843">
              <w:rPr>
                <w:b/>
                <w:bCs/>
              </w:rPr>
              <w:t>Next nearest additional student</w:t>
            </w:r>
            <w:r w:rsidR="002D4DD7" w:rsidRPr="007E7843">
              <w:rPr>
                <w:b/>
                <w:bCs/>
              </w:rPr>
              <w:t xml:space="preserve"> (government schools only)</w:t>
            </w:r>
          </w:p>
        </w:tc>
        <w:tc>
          <w:tcPr>
            <w:tcW w:w="2500" w:type="pct"/>
            <w:tcBorders>
              <w:left w:val="nil"/>
            </w:tcBorders>
            <w:shd w:val="clear" w:color="auto" w:fill="auto"/>
            <w:vAlign w:val="center"/>
          </w:tcPr>
          <w:p w14:paraId="4804AFED" w14:textId="77777777" w:rsidR="00481BF1" w:rsidRPr="009D5264" w:rsidRDefault="00481BF1" w:rsidP="00481BF1">
            <w:r w:rsidRPr="009D5264">
              <w:t>$164.70</w:t>
            </w:r>
          </w:p>
        </w:tc>
      </w:tr>
    </w:tbl>
    <w:p w14:paraId="3CCFC016" w14:textId="77777777" w:rsidR="00481BF1" w:rsidRPr="00481BF1" w:rsidRDefault="00481BF1" w:rsidP="00481BF1">
      <w:pPr>
        <w:pStyle w:val="Heading3"/>
      </w:pPr>
    </w:p>
    <w:p w14:paraId="0908D859" w14:textId="77777777" w:rsidR="00481BF1" w:rsidRPr="00481BF1" w:rsidRDefault="00481BF1" w:rsidP="00481BF1">
      <w:pPr>
        <w:pStyle w:val="Heading3"/>
      </w:pPr>
      <w:r w:rsidRPr="00481BF1">
        <w:t xml:space="preserve">Private bus conveyance allowance rates </w:t>
      </w:r>
    </w:p>
    <w:tbl>
      <w:tblPr>
        <w:tblW w:w="5000" w:type="pct"/>
        <w:tblBorders>
          <w:top w:val="single" w:sz="8" w:space="0" w:color="B3CC82"/>
          <w:left w:val="single" w:sz="8" w:space="0" w:color="B3CC82"/>
          <w:bottom w:val="single" w:sz="8" w:space="0" w:color="B3CC82"/>
          <w:right w:val="single" w:sz="8" w:space="0" w:color="B3CC82"/>
          <w:insideH w:val="single" w:sz="8" w:space="0" w:color="B3CC82"/>
        </w:tblBorders>
        <w:tblLook w:val="04A0" w:firstRow="1" w:lastRow="0" w:firstColumn="1" w:lastColumn="0" w:noHBand="0" w:noVBand="1"/>
      </w:tblPr>
      <w:tblGrid>
        <w:gridCol w:w="3793"/>
        <w:gridCol w:w="3794"/>
      </w:tblGrid>
      <w:tr w:rsidR="007E7843" w:rsidRPr="009D5264" w14:paraId="0FCEBC44" w14:textId="77777777" w:rsidTr="007E7843">
        <w:tc>
          <w:tcPr>
            <w:tcW w:w="2500" w:type="pct"/>
            <w:tcBorders>
              <w:top w:val="single" w:sz="8" w:space="0" w:color="B3CC82"/>
              <w:left w:val="single" w:sz="8" w:space="0" w:color="B3CC82"/>
              <w:bottom w:val="single" w:sz="8" w:space="0" w:color="B3CC82"/>
            </w:tcBorders>
            <w:shd w:val="clear" w:color="auto" w:fill="9BBB59"/>
            <w:vAlign w:val="center"/>
          </w:tcPr>
          <w:p w14:paraId="33608555" w14:textId="77777777" w:rsidR="00481BF1" w:rsidRPr="007E7843" w:rsidRDefault="00481BF1" w:rsidP="00481BF1">
            <w:pPr>
              <w:rPr>
                <w:b/>
                <w:bCs/>
                <w:color w:val="FFFFFF"/>
              </w:rPr>
            </w:pPr>
            <w:r w:rsidRPr="007E7843">
              <w:rPr>
                <w:b/>
                <w:bCs/>
                <w:color w:val="FFFFFF"/>
              </w:rPr>
              <w:t>Distance (kilometres)</w:t>
            </w:r>
          </w:p>
        </w:tc>
        <w:tc>
          <w:tcPr>
            <w:tcW w:w="2500" w:type="pct"/>
            <w:tcBorders>
              <w:top w:val="single" w:sz="8" w:space="0" w:color="B3CC82"/>
              <w:bottom w:val="single" w:sz="8" w:space="0" w:color="B3CC82"/>
              <w:right w:val="single" w:sz="8" w:space="0" w:color="B3CC82"/>
            </w:tcBorders>
            <w:shd w:val="clear" w:color="auto" w:fill="9BBB59"/>
            <w:vAlign w:val="center"/>
          </w:tcPr>
          <w:p w14:paraId="18E7CDCC" w14:textId="77777777" w:rsidR="00481BF1" w:rsidRPr="007E7843" w:rsidRDefault="00481BF1" w:rsidP="00481BF1">
            <w:pPr>
              <w:rPr>
                <w:b/>
                <w:bCs/>
                <w:color w:val="FFFFFF"/>
              </w:rPr>
            </w:pPr>
            <w:r w:rsidRPr="007E7843">
              <w:rPr>
                <w:b/>
                <w:bCs/>
                <w:color w:val="FFFFFF"/>
              </w:rPr>
              <w:t>Amount paid annually</w:t>
            </w:r>
          </w:p>
        </w:tc>
      </w:tr>
      <w:tr w:rsidR="00481BF1" w:rsidRPr="009D5264" w14:paraId="61806E3E" w14:textId="77777777" w:rsidTr="007E7843">
        <w:tc>
          <w:tcPr>
            <w:tcW w:w="2500" w:type="pct"/>
            <w:shd w:val="clear" w:color="auto" w:fill="E6EED5"/>
            <w:vAlign w:val="center"/>
          </w:tcPr>
          <w:p w14:paraId="0919362D" w14:textId="77777777" w:rsidR="00481BF1" w:rsidRPr="007E7843" w:rsidRDefault="00481BF1" w:rsidP="00481BF1">
            <w:pPr>
              <w:rPr>
                <w:b/>
                <w:bCs/>
              </w:rPr>
            </w:pPr>
            <w:r w:rsidRPr="007E7843">
              <w:rPr>
                <w:b/>
                <w:bCs/>
              </w:rPr>
              <w:t>4.8-10</w:t>
            </w:r>
          </w:p>
        </w:tc>
        <w:tc>
          <w:tcPr>
            <w:tcW w:w="2500" w:type="pct"/>
            <w:shd w:val="clear" w:color="auto" w:fill="E6EED5"/>
            <w:vAlign w:val="center"/>
          </w:tcPr>
          <w:p w14:paraId="27401C0A" w14:textId="77777777" w:rsidR="00481BF1" w:rsidRPr="009D5264" w:rsidRDefault="00481BF1" w:rsidP="00481BF1">
            <w:r w:rsidRPr="009D5264">
              <w:t>$493.80</w:t>
            </w:r>
          </w:p>
        </w:tc>
      </w:tr>
      <w:tr w:rsidR="00481BF1" w:rsidRPr="009D5264" w14:paraId="5648401B" w14:textId="77777777" w:rsidTr="007E7843">
        <w:tc>
          <w:tcPr>
            <w:tcW w:w="2500" w:type="pct"/>
            <w:tcBorders>
              <w:right w:val="nil"/>
            </w:tcBorders>
            <w:shd w:val="clear" w:color="auto" w:fill="auto"/>
            <w:vAlign w:val="center"/>
          </w:tcPr>
          <w:p w14:paraId="17122CB9" w14:textId="77777777" w:rsidR="00481BF1" w:rsidRPr="007E7843" w:rsidRDefault="00481BF1" w:rsidP="00481BF1">
            <w:pPr>
              <w:rPr>
                <w:b/>
                <w:bCs/>
              </w:rPr>
            </w:pPr>
            <w:r w:rsidRPr="007E7843">
              <w:rPr>
                <w:b/>
                <w:bCs/>
              </w:rPr>
              <w:t>&gt;10–15</w:t>
            </w:r>
          </w:p>
        </w:tc>
        <w:tc>
          <w:tcPr>
            <w:tcW w:w="2500" w:type="pct"/>
            <w:tcBorders>
              <w:left w:val="nil"/>
            </w:tcBorders>
            <w:shd w:val="clear" w:color="auto" w:fill="auto"/>
            <w:vAlign w:val="center"/>
          </w:tcPr>
          <w:p w14:paraId="2F4A73C6" w14:textId="77777777" w:rsidR="00481BF1" w:rsidRPr="009D5264" w:rsidRDefault="00481BF1" w:rsidP="00481BF1">
            <w:r w:rsidRPr="009D5264">
              <w:t>$604.20</w:t>
            </w:r>
          </w:p>
        </w:tc>
      </w:tr>
      <w:tr w:rsidR="00481BF1" w:rsidRPr="009D5264" w14:paraId="568EB12E" w14:textId="77777777" w:rsidTr="007E7843">
        <w:tc>
          <w:tcPr>
            <w:tcW w:w="2500" w:type="pct"/>
            <w:shd w:val="clear" w:color="auto" w:fill="E6EED5"/>
            <w:vAlign w:val="center"/>
          </w:tcPr>
          <w:p w14:paraId="2CD02919" w14:textId="77777777" w:rsidR="00481BF1" w:rsidRPr="007E7843" w:rsidRDefault="00481BF1" w:rsidP="00481BF1">
            <w:pPr>
              <w:rPr>
                <w:b/>
                <w:bCs/>
              </w:rPr>
            </w:pPr>
            <w:r w:rsidRPr="007E7843">
              <w:rPr>
                <w:b/>
                <w:bCs/>
              </w:rPr>
              <w:t>&gt;15–20</w:t>
            </w:r>
          </w:p>
        </w:tc>
        <w:tc>
          <w:tcPr>
            <w:tcW w:w="2500" w:type="pct"/>
            <w:shd w:val="clear" w:color="auto" w:fill="E6EED5"/>
            <w:vAlign w:val="center"/>
          </w:tcPr>
          <w:p w14:paraId="48C55D07" w14:textId="77777777" w:rsidR="00481BF1" w:rsidRPr="009D5264" w:rsidRDefault="00481BF1" w:rsidP="00481BF1">
            <w:r w:rsidRPr="009D5264">
              <w:t>$713.40</w:t>
            </w:r>
          </w:p>
        </w:tc>
      </w:tr>
      <w:tr w:rsidR="00481BF1" w:rsidRPr="009D5264" w14:paraId="74E8BD61" w14:textId="77777777" w:rsidTr="007E7843">
        <w:tc>
          <w:tcPr>
            <w:tcW w:w="2500" w:type="pct"/>
            <w:tcBorders>
              <w:right w:val="nil"/>
            </w:tcBorders>
            <w:shd w:val="clear" w:color="auto" w:fill="auto"/>
            <w:vAlign w:val="center"/>
          </w:tcPr>
          <w:p w14:paraId="3B30112C" w14:textId="77777777" w:rsidR="00481BF1" w:rsidRPr="007E7843" w:rsidRDefault="00481BF1" w:rsidP="006947B6">
            <w:pPr>
              <w:rPr>
                <w:b/>
                <w:bCs/>
              </w:rPr>
            </w:pPr>
            <w:r w:rsidRPr="007E7843">
              <w:rPr>
                <w:b/>
                <w:bCs/>
              </w:rPr>
              <w:t>&gt;2</w:t>
            </w:r>
            <w:r w:rsidR="00C4140B">
              <w:rPr>
                <w:b/>
                <w:bCs/>
              </w:rPr>
              <w:t>0</w:t>
            </w:r>
            <w:r w:rsidR="00113EF6" w:rsidRPr="007E7843">
              <w:rPr>
                <w:b/>
                <w:bCs/>
              </w:rPr>
              <w:t>–</w:t>
            </w:r>
            <w:r w:rsidRPr="007E7843">
              <w:rPr>
                <w:b/>
                <w:bCs/>
              </w:rPr>
              <w:t>25</w:t>
            </w:r>
          </w:p>
        </w:tc>
        <w:tc>
          <w:tcPr>
            <w:tcW w:w="2500" w:type="pct"/>
            <w:tcBorders>
              <w:left w:val="nil"/>
            </w:tcBorders>
            <w:shd w:val="clear" w:color="auto" w:fill="auto"/>
            <w:vAlign w:val="center"/>
          </w:tcPr>
          <w:p w14:paraId="3E0F8832" w14:textId="77777777" w:rsidR="00481BF1" w:rsidRPr="009D5264" w:rsidRDefault="00481BF1" w:rsidP="00481BF1">
            <w:r w:rsidRPr="009D5264">
              <w:t>$823.60</w:t>
            </w:r>
          </w:p>
        </w:tc>
      </w:tr>
      <w:tr w:rsidR="00481BF1" w:rsidRPr="009D5264" w14:paraId="4E20AC65" w14:textId="77777777" w:rsidTr="007E7843">
        <w:tc>
          <w:tcPr>
            <w:tcW w:w="2500" w:type="pct"/>
            <w:shd w:val="clear" w:color="auto" w:fill="E6EED5"/>
            <w:vAlign w:val="center"/>
          </w:tcPr>
          <w:p w14:paraId="1FB61C90" w14:textId="77777777" w:rsidR="00481BF1" w:rsidRPr="007E7843" w:rsidRDefault="00481BF1" w:rsidP="00481BF1">
            <w:pPr>
              <w:rPr>
                <w:b/>
                <w:bCs/>
              </w:rPr>
            </w:pPr>
            <w:r w:rsidRPr="007E7843">
              <w:rPr>
                <w:b/>
                <w:bCs/>
              </w:rPr>
              <w:t>&gt;25–30</w:t>
            </w:r>
          </w:p>
        </w:tc>
        <w:tc>
          <w:tcPr>
            <w:tcW w:w="2500" w:type="pct"/>
            <w:shd w:val="clear" w:color="auto" w:fill="E6EED5"/>
            <w:vAlign w:val="center"/>
          </w:tcPr>
          <w:p w14:paraId="28729090" w14:textId="77777777" w:rsidR="00481BF1" w:rsidRPr="009D5264" w:rsidRDefault="00481BF1" w:rsidP="00481BF1">
            <w:r w:rsidRPr="009D5264">
              <w:t>$933.00</w:t>
            </w:r>
          </w:p>
        </w:tc>
      </w:tr>
      <w:tr w:rsidR="00481BF1" w:rsidRPr="009D5264" w14:paraId="71DE2A4E" w14:textId="77777777" w:rsidTr="007E7843">
        <w:tc>
          <w:tcPr>
            <w:tcW w:w="2500" w:type="pct"/>
            <w:tcBorders>
              <w:right w:val="nil"/>
            </w:tcBorders>
            <w:shd w:val="clear" w:color="auto" w:fill="auto"/>
            <w:vAlign w:val="center"/>
          </w:tcPr>
          <w:p w14:paraId="56826E7D" w14:textId="77777777" w:rsidR="00481BF1" w:rsidRPr="007E7843" w:rsidRDefault="00481BF1" w:rsidP="00481BF1">
            <w:pPr>
              <w:rPr>
                <w:b/>
                <w:bCs/>
              </w:rPr>
            </w:pPr>
            <w:r w:rsidRPr="007E7843">
              <w:rPr>
                <w:b/>
                <w:bCs/>
              </w:rPr>
              <w:t>&gt;30–35</w:t>
            </w:r>
          </w:p>
        </w:tc>
        <w:tc>
          <w:tcPr>
            <w:tcW w:w="2500" w:type="pct"/>
            <w:tcBorders>
              <w:left w:val="nil"/>
            </w:tcBorders>
            <w:shd w:val="clear" w:color="auto" w:fill="auto"/>
            <w:vAlign w:val="center"/>
          </w:tcPr>
          <w:p w14:paraId="64D59C68" w14:textId="77777777" w:rsidR="00481BF1" w:rsidRPr="009D5264" w:rsidRDefault="00481BF1" w:rsidP="00481BF1">
            <w:r w:rsidRPr="009D5264">
              <w:t>$1,043.20</w:t>
            </w:r>
          </w:p>
        </w:tc>
      </w:tr>
      <w:tr w:rsidR="00481BF1" w:rsidRPr="009D5264" w14:paraId="53982543" w14:textId="77777777" w:rsidTr="007E7843">
        <w:tc>
          <w:tcPr>
            <w:tcW w:w="2500" w:type="pct"/>
            <w:shd w:val="clear" w:color="auto" w:fill="E6EED5"/>
            <w:vAlign w:val="center"/>
          </w:tcPr>
          <w:p w14:paraId="7309DB15" w14:textId="77777777" w:rsidR="00481BF1" w:rsidRPr="007E7843" w:rsidRDefault="00481BF1" w:rsidP="00481BF1">
            <w:pPr>
              <w:rPr>
                <w:b/>
                <w:bCs/>
              </w:rPr>
            </w:pPr>
            <w:r w:rsidRPr="007E7843">
              <w:rPr>
                <w:b/>
                <w:bCs/>
              </w:rPr>
              <w:t>&gt;35</w:t>
            </w:r>
          </w:p>
        </w:tc>
        <w:tc>
          <w:tcPr>
            <w:tcW w:w="2500" w:type="pct"/>
            <w:shd w:val="clear" w:color="auto" w:fill="E6EED5"/>
            <w:vAlign w:val="center"/>
          </w:tcPr>
          <w:p w14:paraId="5C26B26F" w14:textId="77777777" w:rsidR="00481BF1" w:rsidRPr="009D5264" w:rsidRDefault="00481BF1" w:rsidP="00481BF1">
            <w:r w:rsidRPr="009D5264">
              <w:t>$1,153.60</w:t>
            </w:r>
          </w:p>
        </w:tc>
      </w:tr>
    </w:tbl>
    <w:p w14:paraId="0EDA6C7C" w14:textId="77777777" w:rsidR="00481BF1" w:rsidRPr="00481BF1" w:rsidRDefault="00481BF1" w:rsidP="00481BF1">
      <w:pPr>
        <w:pStyle w:val="Heading3"/>
      </w:pPr>
    </w:p>
    <w:p w14:paraId="6C808F29" w14:textId="77777777" w:rsidR="00481BF1" w:rsidRPr="00481BF1" w:rsidRDefault="00481BF1" w:rsidP="00481BF1">
      <w:pPr>
        <w:pStyle w:val="Heading3"/>
      </w:pPr>
      <w:r w:rsidRPr="00481BF1">
        <w:t>Other modes of transport for the conveyance allowance</w:t>
      </w:r>
    </w:p>
    <w:tbl>
      <w:tblPr>
        <w:tblW w:w="0" w:type="auto"/>
        <w:tblBorders>
          <w:top w:val="single" w:sz="8" w:space="0" w:color="B3CC82"/>
          <w:left w:val="single" w:sz="8" w:space="0" w:color="B3CC82"/>
          <w:bottom w:val="single" w:sz="8" w:space="0" w:color="B3CC82"/>
          <w:right w:val="single" w:sz="8" w:space="0" w:color="B3CC82"/>
          <w:insideH w:val="single" w:sz="8" w:space="0" w:color="B3CC82"/>
        </w:tblBorders>
        <w:tblLook w:val="04A0" w:firstRow="1" w:lastRow="0" w:firstColumn="1" w:lastColumn="0" w:noHBand="0" w:noVBand="1"/>
      </w:tblPr>
      <w:tblGrid>
        <w:gridCol w:w="3300"/>
        <w:gridCol w:w="4287"/>
      </w:tblGrid>
      <w:tr w:rsidR="007E7843" w:rsidRPr="009D5264" w14:paraId="32FEFF03" w14:textId="77777777" w:rsidTr="007E7843">
        <w:tc>
          <w:tcPr>
            <w:tcW w:w="4810" w:type="dxa"/>
            <w:tcBorders>
              <w:top w:val="single" w:sz="8" w:space="0" w:color="B3CC82"/>
              <w:left w:val="single" w:sz="8" w:space="0" w:color="B3CC82"/>
              <w:bottom w:val="single" w:sz="8" w:space="0" w:color="B3CC82"/>
            </w:tcBorders>
            <w:shd w:val="clear" w:color="auto" w:fill="9BBB59"/>
          </w:tcPr>
          <w:p w14:paraId="1B0107FD" w14:textId="77777777" w:rsidR="00481BF1" w:rsidRPr="007E7843" w:rsidRDefault="00481BF1" w:rsidP="00481BF1">
            <w:pPr>
              <w:rPr>
                <w:b/>
                <w:bCs/>
                <w:color w:val="FFFFFF"/>
              </w:rPr>
            </w:pPr>
            <w:r w:rsidRPr="007E7843">
              <w:rPr>
                <w:b/>
                <w:bCs/>
                <w:color w:val="FFFFFF"/>
              </w:rPr>
              <w:t>Mode</w:t>
            </w:r>
          </w:p>
        </w:tc>
        <w:tc>
          <w:tcPr>
            <w:tcW w:w="4810" w:type="dxa"/>
            <w:tcBorders>
              <w:top w:val="single" w:sz="8" w:space="0" w:color="B3CC82"/>
              <w:bottom w:val="single" w:sz="8" w:space="0" w:color="B3CC82"/>
              <w:right w:val="single" w:sz="8" w:space="0" w:color="B3CC82"/>
            </w:tcBorders>
            <w:shd w:val="clear" w:color="auto" w:fill="9BBB59"/>
          </w:tcPr>
          <w:p w14:paraId="119C4490" w14:textId="77777777" w:rsidR="00481BF1" w:rsidRPr="007E7843" w:rsidRDefault="00481BF1" w:rsidP="00481BF1">
            <w:pPr>
              <w:rPr>
                <w:b/>
                <w:bCs/>
                <w:color w:val="FFFFFF"/>
              </w:rPr>
            </w:pPr>
            <w:r w:rsidRPr="007E7843">
              <w:rPr>
                <w:b/>
                <w:bCs/>
                <w:color w:val="FFFFFF"/>
              </w:rPr>
              <w:t>Amount paid annually unless otherwise stated</w:t>
            </w:r>
          </w:p>
        </w:tc>
      </w:tr>
      <w:tr w:rsidR="00481BF1" w:rsidRPr="009D5264" w14:paraId="172D6F44" w14:textId="77777777" w:rsidTr="007E7843">
        <w:tc>
          <w:tcPr>
            <w:tcW w:w="4810" w:type="dxa"/>
            <w:shd w:val="clear" w:color="auto" w:fill="E6EED5"/>
          </w:tcPr>
          <w:p w14:paraId="7B89E07E" w14:textId="77777777" w:rsidR="00481BF1" w:rsidRPr="007E7843" w:rsidRDefault="00481BF1" w:rsidP="00481BF1">
            <w:pPr>
              <w:rPr>
                <w:b/>
                <w:bCs/>
              </w:rPr>
            </w:pPr>
            <w:r w:rsidRPr="007E7843">
              <w:rPr>
                <w:b/>
                <w:bCs/>
              </w:rPr>
              <w:t>Bicycles and motorcycles</w:t>
            </w:r>
          </w:p>
        </w:tc>
        <w:tc>
          <w:tcPr>
            <w:tcW w:w="4810" w:type="dxa"/>
            <w:shd w:val="clear" w:color="auto" w:fill="E6EED5"/>
          </w:tcPr>
          <w:p w14:paraId="737629C5" w14:textId="77777777" w:rsidR="00481BF1" w:rsidRPr="009D5264" w:rsidRDefault="00481BF1" w:rsidP="00481BF1">
            <w:r w:rsidRPr="009D5264">
              <w:t>$50.00</w:t>
            </w:r>
          </w:p>
        </w:tc>
      </w:tr>
      <w:tr w:rsidR="00481BF1" w:rsidRPr="009D5264" w14:paraId="36026F81" w14:textId="77777777" w:rsidTr="007E7843">
        <w:tc>
          <w:tcPr>
            <w:tcW w:w="4810" w:type="dxa"/>
            <w:tcBorders>
              <w:right w:val="nil"/>
            </w:tcBorders>
            <w:shd w:val="clear" w:color="auto" w:fill="auto"/>
          </w:tcPr>
          <w:p w14:paraId="4512518E" w14:textId="77777777" w:rsidR="00481BF1" w:rsidRPr="007E7843" w:rsidRDefault="00481BF1" w:rsidP="00481BF1">
            <w:pPr>
              <w:rPr>
                <w:b/>
                <w:bCs/>
              </w:rPr>
            </w:pPr>
            <w:r w:rsidRPr="007E7843">
              <w:rPr>
                <w:b/>
                <w:bCs/>
              </w:rPr>
              <w:t>Taxi for deaf, blind, or for severely physically disabled</w:t>
            </w:r>
          </w:p>
        </w:tc>
        <w:tc>
          <w:tcPr>
            <w:tcW w:w="4810" w:type="dxa"/>
            <w:tcBorders>
              <w:left w:val="nil"/>
            </w:tcBorders>
            <w:shd w:val="clear" w:color="auto" w:fill="auto"/>
          </w:tcPr>
          <w:p w14:paraId="6ACF83DC" w14:textId="77777777" w:rsidR="00481BF1" w:rsidRPr="009D5264" w:rsidRDefault="00481BF1" w:rsidP="00481BF1">
            <w:r w:rsidRPr="009D5264">
              <w:t>$2,196.80</w:t>
            </w:r>
          </w:p>
        </w:tc>
      </w:tr>
      <w:tr w:rsidR="00481BF1" w:rsidRPr="009D5264" w14:paraId="59E53B8C" w14:textId="77777777" w:rsidTr="007E7843">
        <w:tc>
          <w:tcPr>
            <w:tcW w:w="4810" w:type="dxa"/>
            <w:shd w:val="clear" w:color="auto" w:fill="E6EED5"/>
          </w:tcPr>
          <w:p w14:paraId="167C86F3" w14:textId="77777777" w:rsidR="00481BF1" w:rsidRPr="007E7843" w:rsidRDefault="00481BF1" w:rsidP="00481BF1">
            <w:pPr>
              <w:rPr>
                <w:b/>
                <w:bCs/>
              </w:rPr>
            </w:pPr>
            <w:r w:rsidRPr="007E7843">
              <w:rPr>
                <w:b/>
                <w:bCs/>
              </w:rPr>
              <w:t>Students in Years 11/12 off-campus settings</w:t>
            </w:r>
          </w:p>
        </w:tc>
        <w:tc>
          <w:tcPr>
            <w:tcW w:w="4810" w:type="dxa"/>
            <w:shd w:val="clear" w:color="auto" w:fill="E6EED5"/>
          </w:tcPr>
          <w:p w14:paraId="4251DF03" w14:textId="77777777" w:rsidR="00481BF1" w:rsidRPr="009D5264" w:rsidRDefault="00481BF1" w:rsidP="00481BF1">
            <w:r w:rsidRPr="009D5264">
              <w:t>$2.10 per day</w:t>
            </w:r>
          </w:p>
        </w:tc>
      </w:tr>
      <w:tr w:rsidR="00481BF1" w:rsidRPr="009D5264" w14:paraId="018E7DA4" w14:textId="77777777" w:rsidTr="007E7843">
        <w:tc>
          <w:tcPr>
            <w:tcW w:w="4810" w:type="dxa"/>
            <w:tcBorders>
              <w:right w:val="nil"/>
            </w:tcBorders>
            <w:shd w:val="clear" w:color="auto" w:fill="auto"/>
          </w:tcPr>
          <w:p w14:paraId="4A2A524F" w14:textId="77777777" w:rsidR="00481BF1" w:rsidRPr="007E7843" w:rsidRDefault="00481BF1" w:rsidP="00481BF1">
            <w:pPr>
              <w:rPr>
                <w:b/>
                <w:bCs/>
              </w:rPr>
            </w:pPr>
            <w:r w:rsidRPr="007E7843">
              <w:rPr>
                <w:b/>
                <w:bCs/>
              </w:rPr>
              <w:t>Victorian Student Pass (first half year, second half year or yearly )</w:t>
            </w:r>
          </w:p>
        </w:tc>
        <w:tc>
          <w:tcPr>
            <w:tcW w:w="4810" w:type="dxa"/>
            <w:tcBorders>
              <w:left w:val="nil"/>
            </w:tcBorders>
            <w:shd w:val="clear" w:color="auto" w:fill="auto"/>
          </w:tcPr>
          <w:p w14:paraId="54A4827B" w14:textId="77777777" w:rsidR="00481BF1" w:rsidRPr="009D5264" w:rsidRDefault="00481BF1" w:rsidP="00481BF1">
            <w:r w:rsidRPr="009D5264">
              <w:t>Fares set by PTV each year</w:t>
            </w:r>
          </w:p>
          <w:p w14:paraId="462E8419" w14:textId="77777777" w:rsidR="00481BF1" w:rsidRPr="009D5264" w:rsidRDefault="00481BF1" w:rsidP="00481BF1">
            <w:r w:rsidRPr="009D5264">
              <w:t>http://ptv.vic.gov.au/tickets/metropolitan-myki-fares/</w:t>
            </w:r>
          </w:p>
        </w:tc>
      </w:tr>
    </w:tbl>
    <w:p w14:paraId="5276A5CA" w14:textId="77777777" w:rsidR="00481BF1" w:rsidRDefault="00481BF1" w:rsidP="00770CE4">
      <w:pPr>
        <w:pStyle w:val="Heading1"/>
        <w:numPr>
          <w:ilvl w:val="0"/>
          <w:numId w:val="0"/>
        </w:numPr>
      </w:pPr>
      <w:bookmarkStart w:id="121" w:name="_Toc396387075"/>
      <w:bookmarkStart w:id="122" w:name="_Toc396388191"/>
      <w:bookmarkStart w:id="123" w:name="_Toc396389295"/>
      <w:bookmarkStart w:id="124" w:name="_Toc397587744"/>
      <w:bookmarkStart w:id="125" w:name="_Toc397698612"/>
      <w:bookmarkStart w:id="126" w:name="_Toc398206962"/>
      <w:bookmarkStart w:id="127" w:name="_Toc398209385"/>
      <w:bookmarkStart w:id="128" w:name="_Toc398796202"/>
      <w:bookmarkStart w:id="129" w:name="_Toc398816712"/>
      <w:bookmarkStart w:id="130" w:name="_Toc398886678"/>
      <w:bookmarkStart w:id="131" w:name="_Toc408317593"/>
      <w:r w:rsidRPr="00481BF1">
        <w:lastRenderedPageBreak/>
        <w:t xml:space="preserve">Appendix </w:t>
      </w:r>
      <w:r w:rsidR="00511A5A">
        <w:t>2</w:t>
      </w:r>
      <w:r w:rsidRPr="00481BF1">
        <w:t xml:space="preserve"> – Denomination information</w:t>
      </w:r>
      <w:bookmarkEnd w:id="121"/>
      <w:bookmarkEnd w:id="122"/>
      <w:bookmarkEnd w:id="123"/>
      <w:bookmarkEnd w:id="124"/>
      <w:r w:rsidR="00EA6B6F">
        <w:t xml:space="preserve"> for</w:t>
      </w:r>
      <w:r w:rsidR="00770CE4">
        <w:t xml:space="preserve"> </w:t>
      </w:r>
      <w:r w:rsidR="00EA6B6F">
        <w:t>non-government schools</w:t>
      </w:r>
      <w:bookmarkEnd w:id="125"/>
      <w:bookmarkEnd w:id="126"/>
      <w:bookmarkEnd w:id="127"/>
      <w:bookmarkEnd w:id="128"/>
      <w:bookmarkEnd w:id="129"/>
      <w:bookmarkEnd w:id="130"/>
      <w:bookmarkEnd w:id="131"/>
    </w:p>
    <w:p w14:paraId="2CC30C7A" w14:textId="52A04BF9" w:rsidR="00EA6B6F" w:rsidRPr="00481BF1" w:rsidRDefault="00EA6B6F" w:rsidP="00EA6B6F">
      <w:r w:rsidRPr="00481BF1">
        <w:t xml:space="preserve">The </w:t>
      </w:r>
      <w:r>
        <w:t>Education and Training Reform Regulations 20</w:t>
      </w:r>
      <w:r w:rsidR="00AC6958">
        <w:t>1</w:t>
      </w:r>
      <w:bookmarkStart w:id="132" w:name="_GoBack"/>
      <w:bookmarkEnd w:id="132"/>
      <w:r>
        <w:t xml:space="preserve">7 </w:t>
      </w:r>
      <w:r w:rsidRPr="00481BF1">
        <w:t xml:space="preserve">provide scope for the Minister for Education to provide travel assistance to students attending their </w:t>
      </w:r>
      <w:r w:rsidR="00001AE1">
        <w:t>nearest</w:t>
      </w:r>
      <w:r w:rsidRPr="00481BF1">
        <w:t xml:space="preserve"> ‘appropriate’ non-government school.  The 2001 School Bus Review and the Regulatory Impact Statement for the </w:t>
      </w:r>
      <w:r>
        <w:t xml:space="preserve">Education and Training Reform Regulations </w:t>
      </w:r>
      <w:r w:rsidRPr="00481BF1">
        <w:t>stated that ‘appropriate’ meant ‘appropriate religious denomination’ for the school.</w:t>
      </w:r>
    </w:p>
    <w:p w14:paraId="51C27E4F" w14:textId="77777777" w:rsidR="00EA6B6F" w:rsidRPr="00481BF1" w:rsidRDefault="00A150A3" w:rsidP="00EA6B6F">
      <w:r>
        <w:t>The Department</w:t>
      </w:r>
      <w:r w:rsidR="00EA6B6F" w:rsidRPr="00481BF1">
        <w:t xml:space="preserve">, in consultation with Independent Schools Victoria (ISV), the Catholic Education Office and the Victorian Registration and Qualifications Authority (VRQA), agreed to adopt the Australian Bureau of Statistics’ (ABS) Australian Standard for Classification of Religious Groups 2011 (ASCRG).   </w:t>
      </w:r>
    </w:p>
    <w:p w14:paraId="2D747C4F" w14:textId="77777777" w:rsidR="00EA6B6F" w:rsidRPr="00481BF1" w:rsidRDefault="00EA6B6F" w:rsidP="00EA6B6F">
      <w:r w:rsidRPr="00481BF1">
        <w:t xml:space="preserve">Using census data the ABS publishes lists of recognised denominations at three levels, with each list progressively more detailed. For the purposes of the </w:t>
      </w:r>
      <w:r w:rsidR="00770CE4">
        <w:t>CAP,</w:t>
      </w:r>
      <w:r w:rsidRPr="00481BF1">
        <w:t xml:space="preserve"> </w:t>
      </w:r>
      <w:r w:rsidR="00A150A3">
        <w:t>the Department</w:t>
      </w:r>
      <w:r w:rsidRPr="00481BF1">
        <w:t xml:space="preserve"> selected the ‘narrow’ group of denominations as permissible. </w:t>
      </w:r>
    </w:p>
    <w:p w14:paraId="68D1B3D8" w14:textId="77777777" w:rsidR="00113EF6" w:rsidRPr="0088128B" w:rsidRDefault="00A150A3" w:rsidP="00EA6B6F">
      <w:r w:rsidRPr="0088128B">
        <w:t>The Department</w:t>
      </w:r>
      <w:r w:rsidR="00EA6B6F" w:rsidRPr="0088128B">
        <w:t xml:space="preserve"> currently uses the denomination registered by the school to best describe the denomination of their school and maps to the ABS Narrow Groups. If a school </w:t>
      </w:r>
      <w:r w:rsidR="00113EF6" w:rsidRPr="0088128B">
        <w:t>identifies</w:t>
      </w:r>
      <w:r w:rsidR="00EA6B6F" w:rsidRPr="0088128B">
        <w:t xml:space="preserve"> as a category not included as a narrow group, the school may need to confirm the ABS narrow group category to be mapped to. </w:t>
      </w:r>
    </w:p>
    <w:p w14:paraId="4FED5ACE" w14:textId="77777777" w:rsidR="00770CE4" w:rsidRDefault="00113EF6" w:rsidP="00EA6B6F">
      <w:r w:rsidRPr="0088128B">
        <w:t>Schools must advise the Department in writing of any change to the school’s registered denomination, together with written evidence supporting the reason for the change.</w:t>
      </w:r>
      <w:r w:rsidR="00EA6B6F">
        <w:t xml:space="preserve"> </w:t>
      </w:r>
    </w:p>
    <w:p w14:paraId="5FC17BE8" w14:textId="77777777" w:rsidR="004F465E" w:rsidRDefault="00EA6B6F" w:rsidP="004F465E">
      <w:r>
        <w:t>N</w:t>
      </w:r>
      <w:r w:rsidRPr="00481BF1">
        <w:t>o inference should be made that this policy applies to other government departments and/or authorities including the Victorian Registration and Qualifications Authority. Please refer to their individual policies for their approach to religious denominations.</w:t>
      </w:r>
    </w:p>
    <w:p w14:paraId="1CBB62C7" w14:textId="77777777" w:rsidR="009E3612" w:rsidRDefault="009E3612" w:rsidP="009E3612">
      <w:r w:rsidRPr="00481BF1">
        <w:t xml:space="preserve">Any changes to the ‘narrow’ group will be incorporated into the </w:t>
      </w:r>
      <w:r>
        <w:t>CAP</w:t>
      </w:r>
      <w:r w:rsidRPr="00481BF1">
        <w:t>.</w:t>
      </w:r>
      <w:r>
        <w:t xml:space="preserve">  For the most up-to-date religious groups and information from the ABS please see: </w:t>
      </w:r>
      <w:hyperlink r:id="rId36" w:history="1">
        <w:r w:rsidR="008B01DF" w:rsidRPr="0054190F">
          <w:rPr>
            <w:rStyle w:val="Hyperlink"/>
          </w:rPr>
          <w:t>www.abs.gov.au</w:t>
        </w:r>
      </w:hyperlink>
      <w:r>
        <w:t xml:space="preserve">. </w:t>
      </w:r>
    </w:p>
    <w:p w14:paraId="5BC92A8F" w14:textId="77777777" w:rsidR="009E3612" w:rsidRDefault="009E3612" w:rsidP="004F465E"/>
    <w:p w14:paraId="4F72879D" w14:textId="77777777" w:rsidR="004F465E" w:rsidRPr="0088128B" w:rsidRDefault="004F465E" w:rsidP="004F465E">
      <w:pPr>
        <w:rPr>
          <w:b/>
        </w:rPr>
      </w:pPr>
      <w:r w:rsidRPr="0088128B">
        <w:rPr>
          <w:b/>
        </w:rPr>
        <w:t>1266.0 Australian Standard Classification of Religious Groups, 201</w:t>
      </w:r>
      <w:r w:rsidR="008E3CEF" w:rsidRPr="0088128B">
        <w:rPr>
          <w:b/>
        </w:rPr>
        <w:t>6</w:t>
      </w:r>
    </w:p>
    <w:p w14:paraId="77C97FCD" w14:textId="77777777" w:rsidR="004F465E" w:rsidRPr="004F465E" w:rsidRDefault="004F465E" w:rsidP="004F465E">
      <w:r w:rsidRPr="0088128B">
        <w:t>Table 1.2 Classification structure, Broad groups, Narrow groups</w:t>
      </w:r>
    </w:p>
    <w:tbl>
      <w:tblPr>
        <w:tblW w:w="8217" w:type="dxa"/>
        <w:tblInd w:w="-885" w:type="dxa"/>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1207"/>
        <w:gridCol w:w="2117"/>
        <w:gridCol w:w="712"/>
        <w:gridCol w:w="4181"/>
      </w:tblGrid>
      <w:tr w:rsidR="004D56F2" w:rsidRPr="004F465E" w14:paraId="604EACE9" w14:textId="77777777" w:rsidTr="004D0AA3">
        <w:trPr>
          <w:trHeight w:val="300"/>
        </w:trPr>
        <w:tc>
          <w:tcPr>
            <w:tcW w:w="3324" w:type="dxa"/>
            <w:gridSpan w:val="2"/>
            <w:shd w:val="clear" w:color="auto" w:fill="9BBB59"/>
            <w:noWrap/>
            <w:hideMark/>
          </w:tcPr>
          <w:p w14:paraId="0838DFA6" w14:textId="77777777" w:rsidR="004D56F2" w:rsidRPr="007E7843" w:rsidRDefault="004D56F2" w:rsidP="004F465E">
            <w:pPr>
              <w:rPr>
                <w:b/>
                <w:bCs/>
                <w:color w:val="FFFFFF"/>
              </w:rPr>
            </w:pPr>
            <w:r w:rsidRPr="007E7843">
              <w:rPr>
                <w:b/>
                <w:bCs/>
                <w:color w:val="FFFFFF"/>
              </w:rPr>
              <w:t>Broad group</w:t>
            </w:r>
          </w:p>
        </w:tc>
        <w:tc>
          <w:tcPr>
            <w:tcW w:w="4893" w:type="dxa"/>
            <w:gridSpan w:val="2"/>
            <w:shd w:val="clear" w:color="auto" w:fill="9BBB59"/>
            <w:noWrap/>
            <w:hideMark/>
          </w:tcPr>
          <w:p w14:paraId="08E8A6AB" w14:textId="77777777" w:rsidR="004D56F2" w:rsidRPr="007E7843" w:rsidRDefault="004D56F2" w:rsidP="004F465E">
            <w:pPr>
              <w:rPr>
                <w:b/>
                <w:bCs/>
                <w:color w:val="FFFFFF"/>
              </w:rPr>
            </w:pPr>
            <w:r w:rsidRPr="007E7843">
              <w:rPr>
                <w:b/>
                <w:bCs/>
                <w:color w:val="FFFFFF"/>
              </w:rPr>
              <w:t>Narrow group</w:t>
            </w:r>
          </w:p>
        </w:tc>
      </w:tr>
      <w:tr w:rsidR="007E7843" w:rsidRPr="004F465E" w14:paraId="282362AC" w14:textId="77777777" w:rsidTr="004D0AA3">
        <w:trPr>
          <w:trHeight w:val="300"/>
        </w:trPr>
        <w:tc>
          <w:tcPr>
            <w:tcW w:w="1207" w:type="dxa"/>
            <w:tcBorders>
              <w:top w:val="single" w:sz="8" w:space="0" w:color="9BBB59"/>
              <w:left w:val="single" w:sz="8" w:space="0" w:color="9BBB59"/>
              <w:bottom w:val="single" w:sz="8" w:space="0" w:color="9BBB59"/>
            </w:tcBorders>
            <w:shd w:val="clear" w:color="auto" w:fill="auto"/>
            <w:noWrap/>
            <w:hideMark/>
          </w:tcPr>
          <w:p w14:paraId="454C48BA" w14:textId="77777777" w:rsidR="004D56F2" w:rsidRPr="007E7843" w:rsidRDefault="004D56F2" w:rsidP="004F465E">
            <w:pPr>
              <w:rPr>
                <w:b/>
                <w:bCs/>
              </w:rPr>
            </w:pPr>
            <w:r w:rsidRPr="007E7843">
              <w:rPr>
                <w:b/>
                <w:bCs/>
              </w:rPr>
              <w:t>1</w:t>
            </w:r>
          </w:p>
        </w:tc>
        <w:tc>
          <w:tcPr>
            <w:tcW w:w="2117" w:type="dxa"/>
            <w:tcBorders>
              <w:top w:val="single" w:sz="8" w:space="0" w:color="9BBB59"/>
              <w:bottom w:val="single" w:sz="8" w:space="0" w:color="9BBB59"/>
            </w:tcBorders>
            <w:shd w:val="clear" w:color="auto" w:fill="auto"/>
            <w:noWrap/>
            <w:hideMark/>
          </w:tcPr>
          <w:p w14:paraId="1A8ED87F" w14:textId="77777777" w:rsidR="004D56F2" w:rsidRPr="007E7843" w:rsidRDefault="004D56F2" w:rsidP="004F465E">
            <w:pPr>
              <w:rPr>
                <w:b/>
              </w:rPr>
            </w:pPr>
            <w:r w:rsidRPr="007E7843">
              <w:rPr>
                <w:b/>
              </w:rPr>
              <w:t>BUDDHISM</w:t>
            </w:r>
          </w:p>
        </w:tc>
        <w:tc>
          <w:tcPr>
            <w:tcW w:w="712" w:type="dxa"/>
            <w:tcBorders>
              <w:top w:val="single" w:sz="8" w:space="0" w:color="9BBB59"/>
              <w:bottom w:val="single" w:sz="8" w:space="0" w:color="9BBB59"/>
            </w:tcBorders>
            <w:shd w:val="clear" w:color="auto" w:fill="auto"/>
            <w:noWrap/>
            <w:hideMark/>
          </w:tcPr>
          <w:p w14:paraId="75143A34" w14:textId="77777777" w:rsidR="004D56F2" w:rsidRPr="004F465E" w:rsidRDefault="004D56F2" w:rsidP="004F465E">
            <w:r w:rsidRPr="004F465E">
              <w:t>101</w:t>
            </w:r>
          </w:p>
        </w:tc>
        <w:tc>
          <w:tcPr>
            <w:tcW w:w="4181" w:type="dxa"/>
            <w:tcBorders>
              <w:top w:val="single" w:sz="8" w:space="0" w:color="9BBB59"/>
              <w:bottom w:val="single" w:sz="8" w:space="0" w:color="9BBB59"/>
              <w:right w:val="single" w:sz="8" w:space="0" w:color="9BBB59"/>
            </w:tcBorders>
            <w:shd w:val="clear" w:color="auto" w:fill="auto"/>
            <w:noWrap/>
            <w:hideMark/>
          </w:tcPr>
          <w:p w14:paraId="2409D454" w14:textId="77777777" w:rsidR="004D56F2" w:rsidRPr="004F465E" w:rsidRDefault="004D56F2" w:rsidP="004F465E">
            <w:r w:rsidRPr="004F465E">
              <w:t>Buddhism</w:t>
            </w:r>
          </w:p>
        </w:tc>
      </w:tr>
      <w:tr w:rsidR="004D56F2" w:rsidRPr="004F465E" w14:paraId="707F1D2A" w14:textId="77777777" w:rsidTr="004D0AA3">
        <w:trPr>
          <w:trHeight w:val="300"/>
        </w:trPr>
        <w:tc>
          <w:tcPr>
            <w:tcW w:w="1207" w:type="dxa"/>
            <w:vMerge w:val="restart"/>
            <w:shd w:val="clear" w:color="auto" w:fill="auto"/>
            <w:noWrap/>
            <w:hideMark/>
          </w:tcPr>
          <w:p w14:paraId="708D3740" w14:textId="77777777" w:rsidR="004D56F2" w:rsidRPr="007E7843" w:rsidRDefault="004D56F2" w:rsidP="004F465E">
            <w:pPr>
              <w:rPr>
                <w:b/>
                <w:bCs/>
              </w:rPr>
            </w:pPr>
            <w:r w:rsidRPr="007E7843">
              <w:rPr>
                <w:b/>
                <w:bCs/>
              </w:rPr>
              <w:t>2</w:t>
            </w:r>
          </w:p>
        </w:tc>
        <w:tc>
          <w:tcPr>
            <w:tcW w:w="2117" w:type="dxa"/>
            <w:vMerge w:val="restart"/>
            <w:shd w:val="clear" w:color="auto" w:fill="auto"/>
            <w:noWrap/>
            <w:hideMark/>
          </w:tcPr>
          <w:p w14:paraId="748D7920" w14:textId="77777777" w:rsidR="004D56F2" w:rsidRPr="007E7843" w:rsidRDefault="004D56F2" w:rsidP="004F465E">
            <w:pPr>
              <w:rPr>
                <w:b/>
              </w:rPr>
            </w:pPr>
            <w:r w:rsidRPr="007E7843">
              <w:rPr>
                <w:b/>
              </w:rPr>
              <w:t>CHRISTIANITY</w:t>
            </w:r>
          </w:p>
        </w:tc>
        <w:tc>
          <w:tcPr>
            <w:tcW w:w="712" w:type="dxa"/>
            <w:shd w:val="clear" w:color="auto" w:fill="auto"/>
            <w:noWrap/>
            <w:hideMark/>
          </w:tcPr>
          <w:p w14:paraId="726CA999" w14:textId="77777777" w:rsidR="004D56F2" w:rsidRPr="004F465E" w:rsidRDefault="004D56F2" w:rsidP="004F465E">
            <w:r w:rsidRPr="004F465E">
              <w:t>201</w:t>
            </w:r>
          </w:p>
        </w:tc>
        <w:tc>
          <w:tcPr>
            <w:tcW w:w="4181" w:type="dxa"/>
            <w:shd w:val="clear" w:color="auto" w:fill="auto"/>
            <w:noWrap/>
            <w:hideMark/>
          </w:tcPr>
          <w:p w14:paraId="4DB33EDA" w14:textId="77777777" w:rsidR="004D56F2" w:rsidRPr="004F465E" w:rsidRDefault="004D56F2" w:rsidP="004F465E">
            <w:r w:rsidRPr="004F465E">
              <w:t>Anglican</w:t>
            </w:r>
          </w:p>
        </w:tc>
      </w:tr>
      <w:tr w:rsidR="007E7843" w:rsidRPr="004F465E" w14:paraId="08DD07C6" w14:textId="77777777" w:rsidTr="004D0AA3">
        <w:trPr>
          <w:trHeight w:val="300"/>
        </w:trPr>
        <w:tc>
          <w:tcPr>
            <w:tcW w:w="1207" w:type="dxa"/>
            <w:vMerge/>
            <w:tcBorders>
              <w:top w:val="single" w:sz="8" w:space="0" w:color="9BBB59"/>
              <w:left w:val="single" w:sz="8" w:space="0" w:color="9BBB59"/>
              <w:bottom w:val="single" w:sz="8" w:space="0" w:color="9BBB59"/>
            </w:tcBorders>
            <w:shd w:val="clear" w:color="auto" w:fill="auto"/>
            <w:hideMark/>
          </w:tcPr>
          <w:p w14:paraId="578ECAA5" w14:textId="77777777" w:rsidR="004D56F2" w:rsidRPr="007E7843" w:rsidRDefault="004D56F2" w:rsidP="004F465E">
            <w:pPr>
              <w:rPr>
                <w:b/>
                <w:bCs/>
              </w:rPr>
            </w:pPr>
          </w:p>
        </w:tc>
        <w:tc>
          <w:tcPr>
            <w:tcW w:w="2117" w:type="dxa"/>
            <w:vMerge/>
            <w:tcBorders>
              <w:top w:val="single" w:sz="8" w:space="0" w:color="9BBB59"/>
              <w:bottom w:val="single" w:sz="8" w:space="0" w:color="9BBB59"/>
            </w:tcBorders>
            <w:shd w:val="clear" w:color="auto" w:fill="auto"/>
            <w:hideMark/>
          </w:tcPr>
          <w:p w14:paraId="1C00F57C" w14:textId="77777777" w:rsidR="004D56F2" w:rsidRPr="007E7843" w:rsidRDefault="004D56F2" w:rsidP="004F465E">
            <w:pPr>
              <w:rPr>
                <w:b/>
              </w:rPr>
            </w:pPr>
          </w:p>
        </w:tc>
        <w:tc>
          <w:tcPr>
            <w:tcW w:w="712" w:type="dxa"/>
            <w:tcBorders>
              <w:top w:val="single" w:sz="8" w:space="0" w:color="9BBB59"/>
              <w:bottom w:val="single" w:sz="8" w:space="0" w:color="9BBB59"/>
            </w:tcBorders>
            <w:shd w:val="clear" w:color="auto" w:fill="auto"/>
            <w:noWrap/>
            <w:hideMark/>
          </w:tcPr>
          <w:p w14:paraId="6BD64BD8" w14:textId="77777777" w:rsidR="004D56F2" w:rsidRPr="004F465E" w:rsidRDefault="004D56F2" w:rsidP="004F465E">
            <w:r w:rsidRPr="004F465E">
              <w:t>203</w:t>
            </w:r>
          </w:p>
        </w:tc>
        <w:tc>
          <w:tcPr>
            <w:tcW w:w="4181" w:type="dxa"/>
            <w:tcBorders>
              <w:top w:val="single" w:sz="8" w:space="0" w:color="9BBB59"/>
              <w:bottom w:val="single" w:sz="8" w:space="0" w:color="9BBB59"/>
              <w:right w:val="single" w:sz="8" w:space="0" w:color="9BBB59"/>
            </w:tcBorders>
            <w:shd w:val="clear" w:color="auto" w:fill="auto"/>
            <w:noWrap/>
            <w:hideMark/>
          </w:tcPr>
          <w:p w14:paraId="17288758" w14:textId="77777777" w:rsidR="004D56F2" w:rsidRPr="004F465E" w:rsidRDefault="004D56F2" w:rsidP="004F465E">
            <w:r w:rsidRPr="004F465E">
              <w:t>Baptist</w:t>
            </w:r>
          </w:p>
        </w:tc>
      </w:tr>
      <w:tr w:rsidR="007E7843" w:rsidRPr="004F465E" w14:paraId="6B80C2EB" w14:textId="77777777" w:rsidTr="004D0AA3">
        <w:trPr>
          <w:trHeight w:val="300"/>
        </w:trPr>
        <w:tc>
          <w:tcPr>
            <w:tcW w:w="1207" w:type="dxa"/>
            <w:vMerge/>
            <w:shd w:val="clear" w:color="auto" w:fill="auto"/>
            <w:hideMark/>
          </w:tcPr>
          <w:p w14:paraId="227FF160" w14:textId="77777777" w:rsidR="004D56F2" w:rsidRPr="007E7843" w:rsidRDefault="004D56F2" w:rsidP="004F465E">
            <w:pPr>
              <w:rPr>
                <w:b/>
                <w:bCs/>
              </w:rPr>
            </w:pPr>
          </w:p>
        </w:tc>
        <w:tc>
          <w:tcPr>
            <w:tcW w:w="2117" w:type="dxa"/>
            <w:vMerge/>
            <w:shd w:val="clear" w:color="auto" w:fill="auto"/>
            <w:hideMark/>
          </w:tcPr>
          <w:p w14:paraId="215BBD6E" w14:textId="77777777" w:rsidR="004D56F2" w:rsidRPr="007E7843" w:rsidRDefault="004D56F2" w:rsidP="004F465E">
            <w:pPr>
              <w:rPr>
                <w:b/>
              </w:rPr>
            </w:pPr>
          </w:p>
        </w:tc>
        <w:tc>
          <w:tcPr>
            <w:tcW w:w="712" w:type="dxa"/>
            <w:shd w:val="clear" w:color="auto" w:fill="auto"/>
            <w:noWrap/>
            <w:hideMark/>
          </w:tcPr>
          <w:p w14:paraId="577ED85C" w14:textId="77777777" w:rsidR="004D56F2" w:rsidRPr="004F465E" w:rsidRDefault="004D56F2" w:rsidP="004F465E">
            <w:r w:rsidRPr="004F465E">
              <w:t>205</w:t>
            </w:r>
          </w:p>
        </w:tc>
        <w:tc>
          <w:tcPr>
            <w:tcW w:w="4181" w:type="dxa"/>
            <w:shd w:val="clear" w:color="auto" w:fill="auto"/>
            <w:noWrap/>
            <w:hideMark/>
          </w:tcPr>
          <w:p w14:paraId="383F327D" w14:textId="77777777" w:rsidR="004D56F2" w:rsidRPr="004F465E" w:rsidRDefault="004D56F2" w:rsidP="004F465E">
            <w:r w:rsidRPr="004F465E">
              <w:t>Brethren</w:t>
            </w:r>
          </w:p>
        </w:tc>
      </w:tr>
      <w:tr w:rsidR="007E7843" w:rsidRPr="004F465E" w14:paraId="0C5F21E0" w14:textId="77777777" w:rsidTr="004D0AA3">
        <w:trPr>
          <w:trHeight w:val="300"/>
        </w:trPr>
        <w:tc>
          <w:tcPr>
            <w:tcW w:w="1207" w:type="dxa"/>
            <w:vMerge/>
            <w:tcBorders>
              <w:top w:val="single" w:sz="8" w:space="0" w:color="9BBB59"/>
              <w:left w:val="single" w:sz="8" w:space="0" w:color="9BBB59"/>
              <w:bottom w:val="single" w:sz="8" w:space="0" w:color="9BBB59"/>
            </w:tcBorders>
            <w:shd w:val="clear" w:color="auto" w:fill="auto"/>
            <w:hideMark/>
          </w:tcPr>
          <w:p w14:paraId="45C2A596" w14:textId="77777777" w:rsidR="004D56F2" w:rsidRPr="007E7843" w:rsidRDefault="004D56F2" w:rsidP="004F465E">
            <w:pPr>
              <w:rPr>
                <w:b/>
                <w:bCs/>
              </w:rPr>
            </w:pPr>
          </w:p>
        </w:tc>
        <w:tc>
          <w:tcPr>
            <w:tcW w:w="2117" w:type="dxa"/>
            <w:vMerge/>
            <w:tcBorders>
              <w:top w:val="single" w:sz="8" w:space="0" w:color="9BBB59"/>
              <w:bottom w:val="single" w:sz="8" w:space="0" w:color="9BBB59"/>
            </w:tcBorders>
            <w:shd w:val="clear" w:color="auto" w:fill="auto"/>
            <w:hideMark/>
          </w:tcPr>
          <w:p w14:paraId="57573AD7" w14:textId="77777777" w:rsidR="004D56F2" w:rsidRPr="007E7843" w:rsidRDefault="004D56F2" w:rsidP="004F465E">
            <w:pPr>
              <w:rPr>
                <w:b/>
              </w:rPr>
            </w:pPr>
          </w:p>
        </w:tc>
        <w:tc>
          <w:tcPr>
            <w:tcW w:w="712" w:type="dxa"/>
            <w:tcBorders>
              <w:top w:val="single" w:sz="8" w:space="0" w:color="9BBB59"/>
              <w:bottom w:val="single" w:sz="8" w:space="0" w:color="9BBB59"/>
            </w:tcBorders>
            <w:shd w:val="clear" w:color="auto" w:fill="auto"/>
            <w:noWrap/>
            <w:hideMark/>
          </w:tcPr>
          <w:p w14:paraId="487931A8" w14:textId="77777777" w:rsidR="004D56F2" w:rsidRPr="004F465E" w:rsidRDefault="004D56F2" w:rsidP="004F465E">
            <w:r w:rsidRPr="004F465E">
              <w:t>207</w:t>
            </w:r>
          </w:p>
        </w:tc>
        <w:tc>
          <w:tcPr>
            <w:tcW w:w="4181" w:type="dxa"/>
            <w:tcBorders>
              <w:top w:val="single" w:sz="8" w:space="0" w:color="9BBB59"/>
              <w:bottom w:val="single" w:sz="8" w:space="0" w:color="9BBB59"/>
              <w:right w:val="single" w:sz="8" w:space="0" w:color="9BBB59"/>
            </w:tcBorders>
            <w:shd w:val="clear" w:color="auto" w:fill="auto"/>
            <w:noWrap/>
            <w:hideMark/>
          </w:tcPr>
          <w:p w14:paraId="6C72D4EB" w14:textId="77777777" w:rsidR="004D56F2" w:rsidRPr="004F465E" w:rsidRDefault="004D56F2" w:rsidP="004F465E">
            <w:r w:rsidRPr="004F465E">
              <w:t>Catholic</w:t>
            </w:r>
          </w:p>
        </w:tc>
      </w:tr>
      <w:tr w:rsidR="007E7843" w:rsidRPr="004F465E" w14:paraId="112F4B0F" w14:textId="77777777" w:rsidTr="004D0AA3">
        <w:trPr>
          <w:trHeight w:val="300"/>
        </w:trPr>
        <w:tc>
          <w:tcPr>
            <w:tcW w:w="1207" w:type="dxa"/>
            <w:vMerge/>
            <w:shd w:val="clear" w:color="auto" w:fill="auto"/>
            <w:hideMark/>
          </w:tcPr>
          <w:p w14:paraId="38A3546F" w14:textId="77777777" w:rsidR="004D56F2" w:rsidRPr="007E7843" w:rsidRDefault="004D56F2" w:rsidP="004F465E">
            <w:pPr>
              <w:rPr>
                <w:b/>
                <w:bCs/>
              </w:rPr>
            </w:pPr>
          </w:p>
        </w:tc>
        <w:tc>
          <w:tcPr>
            <w:tcW w:w="2117" w:type="dxa"/>
            <w:vMerge/>
            <w:shd w:val="clear" w:color="auto" w:fill="auto"/>
            <w:hideMark/>
          </w:tcPr>
          <w:p w14:paraId="6CEAF9CB" w14:textId="77777777" w:rsidR="004D56F2" w:rsidRPr="007E7843" w:rsidRDefault="004D56F2" w:rsidP="004F465E">
            <w:pPr>
              <w:rPr>
                <w:b/>
              </w:rPr>
            </w:pPr>
          </w:p>
        </w:tc>
        <w:tc>
          <w:tcPr>
            <w:tcW w:w="712" w:type="dxa"/>
            <w:shd w:val="clear" w:color="auto" w:fill="auto"/>
            <w:noWrap/>
            <w:hideMark/>
          </w:tcPr>
          <w:p w14:paraId="0D7DC7ED" w14:textId="77777777" w:rsidR="004D56F2" w:rsidRPr="004F465E" w:rsidRDefault="004D56F2" w:rsidP="004F465E">
            <w:r w:rsidRPr="004F465E">
              <w:t>211</w:t>
            </w:r>
          </w:p>
        </w:tc>
        <w:tc>
          <w:tcPr>
            <w:tcW w:w="4181" w:type="dxa"/>
            <w:shd w:val="clear" w:color="auto" w:fill="auto"/>
            <w:noWrap/>
            <w:hideMark/>
          </w:tcPr>
          <w:p w14:paraId="2D6B8738" w14:textId="77777777" w:rsidR="004D56F2" w:rsidRPr="004F465E" w:rsidRDefault="004D56F2" w:rsidP="004F465E">
            <w:r w:rsidRPr="004F465E">
              <w:t>Churches of Christ</w:t>
            </w:r>
          </w:p>
        </w:tc>
      </w:tr>
      <w:tr w:rsidR="007E7843" w:rsidRPr="004F465E" w14:paraId="3ECFC22E" w14:textId="77777777" w:rsidTr="004D0AA3">
        <w:trPr>
          <w:trHeight w:val="300"/>
        </w:trPr>
        <w:tc>
          <w:tcPr>
            <w:tcW w:w="1207" w:type="dxa"/>
            <w:vMerge/>
            <w:tcBorders>
              <w:top w:val="single" w:sz="8" w:space="0" w:color="9BBB59"/>
              <w:left w:val="single" w:sz="8" w:space="0" w:color="9BBB59"/>
              <w:bottom w:val="single" w:sz="8" w:space="0" w:color="9BBB59"/>
            </w:tcBorders>
            <w:shd w:val="clear" w:color="auto" w:fill="auto"/>
            <w:hideMark/>
          </w:tcPr>
          <w:p w14:paraId="5E5F3E83" w14:textId="77777777" w:rsidR="004D56F2" w:rsidRPr="007E7843" w:rsidRDefault="004D56F2" w:rsidP="004F465E">
            <w:pPr>
              <w:rPr>
                <w:b/>
                <w:bCs/>
              </w:rPr>
            </w:pPr>
          </w:p>
        </w:tc>
        <w:tc>
          <w:tcPr>
            <w:tcW w:w="2117" w:type="dxa"/>
            <w:vMerge/>
            <w:tcBorders>
              <w:top w:val="single" w:sz="8" w:space="0" w:color="9BBB59"/>
              <w:bottom w:val="single" w:sz="8" w:space="0" w:color="9BBB59"/>
            </w:tcBorders>
            <w:shd w:val="clear" w:color="auto" w:fill="auto"/>
            <w:hideMark/>
          </w:tcPr>
          <w:p w14:paraId="06EE0D0C" w14:textId="77777777" w:rsidR="004D56F2" w:rsidRPr="007E7843" w:rsidRDefault="004D56F2" w:rsidP="004F465E">
            <w:pPr>
              <w:rPr>
                <w:b/>
              </w:rPr>
            </w:pPr>
          </w:p>
        </w:tc>
        <w:tc>
          <w:tcPr>
            <w:tcW w:w="712" w:type="dxa"/>
            <w:tcBorders>
              <w:top w:val="single" w:sz="8" w:space="0" w:color="9BBB59"/>
              <w:bottom w:val="single" w:sz="8" w:space="0" w:color="9BBB59"/>
            </w:tcBorders>
            <w:shd w:val="clear" w:color="auto" w:fill="auto"/>
            <w:noWrap/>
            <w:hideMark/>
          </w:tcPr>
          <w:p w14:paraId="75773696" w14:textId="77777777" w:rsidR="004D56F2" w:rsidRPr="004F465E" w:rsidRDefault="004D56F2" w:rsidP="004F465E">
            <w:r w:rsidRPr="004F465E">
              <w:t>213</w:t>
            </w:r>
          </w:p>
        </w:tc>
        <w:tc>
          <w:tcPr>
            <w:tcW w:w="4181" w:type="dxa"/>
            <w:tcBorders>
              <w:top w:val="single" w:sz="8" w:space="0" w:color="9BBB59"/>
              <w:bottom w:val="single" w:sz="8" w:space="0" w:color="9BBB59"/>
              <w:right w:val="single" w:sz="8" w:space="0" w:color="9BBB59"/>
            </w:tcBorders>
            <w:shd w:val="clear" w:color="auto" w:fill="auto"/>
            <w:noWrap/>
            <w:hideMark/>
          </w:tcPr>
          <w:p w14:paraId="7975FF4A" w14:textId="77777777" w:rsidR="004D56F2" w:rsidRPr="004F465E" w:rsidRDefault="004D56F2" w:rsidP="004F465E">
            <w:r w:rsidRPr="004F465E">
              <w:t>Jehovah's Witnesses</w:t>
            </w:r>
          </w:p>
        </w:tc>
      </w:tr>
      <w:tr w:rsidR="007E7843" w:rsidRPr="004F465E" w14:paraId="330C74A3" w14:textId="77777777" w:rsidTr="004D0AA3">
        <w:trPr>
          <w:trHeight w:val="300"/>
        </w:trPr>
        <w:tc>
          <w:tcPr>
            <w:tcW w:w="1207" w:type="dxa"/>
            <w:vMerge/>
            <w:shd w:val="clear" w:color="auto" w:fill="auto"/>
            <w:hideMark/>
          </w:tcPr>
          <w:p w14:paraId="435921C6" w14:textId="77777777" w:rsidR="004D56F2" w:rsidRPr="007E7843" w:rsidRDefault="004D56F2" w:rsidP="004F465E">
            <w:pPr>
              <w:rPr>
                <w:b/>
                <w:bCs/>
              </w:rPr>
            </w:pPr>
          </w:p>
        </w:tc>
        <w:tc>
          <w:tcPr>
            <w:tcW w:w="2117" w:type="dxa"/>
            <w:vMerge/>
            <w:shd w:val="clear" w:color="auto" w:fill="auto"/>
            <w:hideMark/>
          </w:tcPr>
          <w:p w14:paraId="4D717236" w14:textId="77777777" w:rsidR="004D56F2" w:rsidRPr="007E7843" w:rsidRDefault="004D56F2" w:rsidP="004F465E">
            <w:pPr>
              <w:rPr>
                <w:b/>
              </w:rPr>
            </w:pPr>
          </w:p>
        </w:tc>
        <w:tc>
          <w:tcPr>
            <w:tcW w:w="712" w:type="dxa"/>
            <w:shd w:val="clear" w:color="auto" w:fill="auto"/>
            <w:noWrap/>
            <w:hideMark/>
          </w:tcPr>
          <w:p w14:paraId="14374DD2" w14:textId="77777777" w:rsidR="004D56F2" w:rsidRPr="004F465E" w:rsidRDefault="004D56F2" w:rsidP="004F465E">
            <w:r w:rsidRPr="004F465E">
              <w:t>215</w:t>
            </w:r>
          </w:p>
        </w:tc>
        <w:tc>
          <w:tcPr>
            <w:tcW w:w="4181" w:type="dxa"/>
            <w:shd w:val="clear" w:color="auto" w:fill="auto"/>
            <w:noWrap/>
            <w:hideMark/>
          </w:tcPr>
          <w:p w14:paraId="28B140B7" w14:textId="77777777" w:rsidR="004D56F2" w:rsidRPr="004F465E" w:rsidRDefault="004D56F2" w:rsidP="004F465E">
            <w:r w:rsidRPr="004F465E">
              <w:t>Latter-day Saints</w:t>
            </w:r>
          </w:p>
        </w:tc>
      </w:tr>
      <w:tr w:rsidR="007E7843" w:rsidRPr="004F465E" w14:paraId="205542E4" w14:textId="77777777" w:rsidTr="004D0AA3">
        <w:trPr>
          <w:trHeight w:val="300"/>
        </w:trPr>
        <w:tc>
          <w:tcPr>
            <w:tcW w:w="1207" w:type="dxa"/>
            <w:vMerge/>
            <w:tcBorders>
              <w:top w:val="single" w:sz="8" w:space="0" w:color="9BBB59"/>
              <w:left w:val="single" w:sz="8" w:space="0" w:color="9BBB59"/>
              <w:bottom w:val="single" w:sz="8" w:space="0" w:color="9BBB59"/>
            </w:tcBorders>
            <w:shd w:val="clear" w:color="auto" w:fill="auto"/>
            <w:hideMark/>
          </w:tcPr>
          <w:p w14:paraId="7FE367FA" w14:textId="77777777" w:rsidR="004D56F2" w:rsidRPr="007E7843" w:rsidRDefault="004D56F2" w:rsidP="004F465E">
            <w:pPr>
              <w:rPr>
                <w:b/>
                <w:bCs/>
              </w:rPr>
            </w:pPr>
          </w:p>
        </w:tc>
        <w:tc>
          <w:tcPr>
            <w:tcW w:w="2117" w:type="dxa"/>
            <w:vMerge/>
            <w:tcBorders>
              <w:top w:val="single" w:sz="8" w:space="0" w:color="9BBB59"/>
              <w:bottom w:val="single" w:sz="8" w:space="0" w:color="9BBB59"/>
            </w:tcBorders>
            <w:shd w:val="clear" w:color="auto" w:fill="auto"/>
            <w:hideMark/>
          </w:tcPr>
          <w:p w14:paraId="5218EF0F" w14:textId="77777777" w:rsidR="004D56F2" w:rsidRPr="007E7843" w:rsidRDefault="004D56F2" w:rsidP="004F465E">
            <w:pPr>
              <w:rPr>
                <w:b/>
              </w:rPr>
            </w:pPr>
          </w:p>
        </w:tc>
        <w:tc>
          <w:tcPr>
            <w:tcW w:w="712" w:type="dxa"/>
            <w:tcBorders>
              <w:top w:val="single" w:sz="8" w:space="0" w:color="9BBB59"/>
              <w:bottom w:val="single" w:sz="8" w:space="0" w:color="9BBB59"/>
            </w:tcBorders>
            <w:shd w:val="clear" w:color="auto" w:fill="auto"/>
            <w:noWrap/>
            <w:hideMark/>
          </w:tcPr>
          <w:p w14:paraId="2197FB6D" w14:textId="77777777" w:rsidR="004D56F2" w:rsidRPr="004F465E" w:rsidRDefault="004D56F2" w:rsidP="004F465E">
            <w:r w:rsidRPr="004F465E">
              <w:t>217</w:t>
            </w:r>
          </w:p>
        </w:tc>
        <w:tc>
          <w:tcPr>
            <w:tcW w:w="4181" w:type="dxa"/>
            <w:tcBorders>
              <w:top w:val="single" w:sz="8" w:space="0" w:color="9BBB59"/>
              <w:bottom w:val="single" w:sz="8" w:space="0" w:color="9BBB59"/>
              <w:right w:val="single" w:sz="8" w:space="0" w:color="9BBB59"/>
            </w:tcBorders>
            <w:shd w:val="clear" w:color="auto" w:fill="auto"/>
            <w:noWrap/>
            <w:hideMark/>
          </w:tcPr>
          <w:p w14:paraId="5E954A6E" w14:textId="77777777" w:rsidR="004D56F2" w:rsidRPr="004F465E" w:rsidRDefault="004D56F2" w:rsidP="004F465E">
            <w:r w:rsidRPr="004F465E">
              <w:t>Lutheran</w:t>
            </w:r>
          </w:p>
        </w:tc>
      </w:tr>
      <w:tr w:rsidR="007E7843" w:rsidRPr="004F465E" w14:paraId="3A21F444" w14:textId="77777777" w:rsidTr="004D0AA3">
        <w:trPr>
          <w:trHeight w:val="300"/>
        </w:trPr>
        <w:tc>
          <w:tcPr>
            <w:tcW w:w="1207" w:type="dxa"/>
            <w:vMerge/>
            <w:shd w:val="clear" w:color="auto" w:fill="auto"/>
            <w:hideMark/>
          </w:tcPr>
          <w:p w14:paraId="01F3F202" w14:textId="77777777" w:rsidR="004D56F2" w:rsidRPr="007E7843" w:rsidRDefault="004D56F2" w:rsidP="004F465E">
            <w:pPr>
              <w:rPr>
                <w:b/>
                <w:bCs/>
              </w:rPr>
            </w:pPr>
          </w:p>
        </w:tc>
        <w:tc>
          <w:tcPr>
            <w:tcW w:w="2117" w:type="dxa"/>
            <w:vMerge/>
            <w:shd w:val="clear" w:color="auto" w:fill="auto"/>
            <w:hideMark/>
          </w:tcPr>
          <w:p w14:paraId="0697EDA7" w14:textId="77777777" w:rsidR="004D56F2" w:rsidRPr="007E7843" w:rsidRDefault="004D56F2" w:rsidP="004F465E">
            <w:pPr>
              <w:rPr>
                <w:b/>
              </w:rPr>
            </w:pPr>
          </w:p>
        </w:tc>
        <w:tc>
          <w:tcPr>
            <w:tcW w:w="712" w:type="dxa"/>
            <w:shd w:val="clear" w:color="auto" w:fill="auto"/>
            <w:noWrap/>
            <w:hideMark/>
          </w:tcPr>
          <w:p w14:paraId="0D84D89F" w14:textId="77777777" w:rsidR="004D56F2" w:rsidRPr="004F465E" w:rsidRDefault="004D56F2" w:rsidP="004F465E">
            <w:r w:rsidRPr="004F465E">
              <w:t>221</w:t>
            </w:r>
          </w:p>
        </w:tc>
        <w:tc>
          <w:tcPr>
            <w:tcW w:w="4181" w:type="dxa"/>
            <w:shd w:val="clear" w:color="auto" w:fill="auto"/>
            <w:noWrap/>
            <w:hideMark/>
          </w:tcPr>
          <w:p w14:paraId="3C76F1AB" w14:textId="77777777" w:rsidR="004D56F2" w:rsidRPr="004F465E" w:rsidRDefault="004D56F2" w:rsidP="004F465E">
            <w:r w:rsidRPr="004F465E">
              <w:t>Oriental Orthodox</w:t>
            </w:r>
          </w:p>
        </w:tc>
      </w:tr>
      <w:tr w:rsidR="007E7843" w:rsidRPr="004F465E" w14:paraId="4A326DE8" w14:textId="77777777" w:rsidTr="004D0AA3">
        <w:trPr>
          <w:trHeight w:val="300"/>
        </w:trPr>
        <w:tc>
          <w:tcPr>
            <w:tcW w:w="1207" w:type="dxa"/>
            <w:vMerge/>
            <w:tcBorders>
              <w:top w:val="single" w:sz="8" w:space="0" w:color="9BBB59"/>
              <w:left w:val="single" w:sz="8" w:space="0" w:color="9BBB59"/>
              <w:bottom w:val="single" w:sz="8" w:space="0" w:color="9BBB59"/>
            </w:tcBorders>
            <w:shd w:val="clear" w:color="auto" w:fill="auto"/>
            <w:hideMark/>
          </w:tcPr>
          <w:p w14:paraId="43A4AD45" w14:textId="77777777" w:rsidR="004D56F2" w:rsidRPr="007E7843" w:rsidRDefault="004D56F2" w:rsidP="004F465E">
            <w:pPr>
              <w:rPr>
                <w:b/>
                <w:bCs/>
              </w:rPr>
            </w:pPr>
          </w:p>
        </w:tc>
        <w:tc>
          <w:tcPr>
            <w:tcW w:w="2117" w:type="dxa"/>
            <w:vMerge/>
            <w:tcBorders>
              <w:top w:val="single" w:sz="8" w:space="0" w:color="9BBB59"/>
              <w:bottom w:val="single" w:sz="8" w:space="0" w:color="9BBB59"/>
            </w:tcBorders>
            <w:shd w:val="clear" w:color="auto" w:fill="auto"/>
            <w:hideMark/>
          </w:tcPr>
          <w:p w14:paraId="1F97FE5E" w14:textId="77777777" w:rsidR="004D56F2" w:rsidRPr="007E7843" w:rsidRDefault="004D56F2" w:rsidP="004F465E">
            <w:pPr>
              <w:rPr>
                <w:b/>
              </w:rPr>
            </w:pPr>
          </w:p>
        </w:tc>
        <w:tc>
          <w:tcPr>
            <w:tcW w:w="712" w:type="dxa"/>
            <w:tcBorders>
              <w:top w:val="single" w:sz="8" w:space="0" w:color="9BBB59"/>
              <w:bottom w:val="single" w:sz="8" w:space="0" w:color="9BBB59"/>
            </w:tcBorders>
            <w:shd w:val="clear" w:color="auto" w:fill="auto"/>
            <w:noWrap/>
            <w:hideMark/>
          </w:tcPr>
          <w:p w14:paraId="25062EDF" w14:textId="77777777" w:rsidR="004D56F2" w:rsidRPr="004F465E" w:rsidRDefault="004D56F2" w:rsidP="004F465E">
            <w:r w:rsidRPr="004F465E">
              <w:t>222</w:t>
            </w:r>
          </w:p>
        </w:tc>
        <w:tc>
          <w:tcPr>
            <w:tcW w:w="4181" w:type="dxa"/>
            <w:tcBorders>
              <w:top w:val="single" w:sz="8" w:space="0" w:color="9BBB59"/>
              <w:bottom w:val="single" w:sz="8" w:space="0" w:color="9BBB59"/>
              <w:right w:val="single" w:sz="8" w:space="0" w:color="9BBB59"/>
            </w:tcBorders>
            <w:shd w:val="clear" w:color="auto" w:fill="auto"/>
            <w:noWrap/>
            <w:hideMark/>
          </w:tcPr>
          <w:p w14:paraId="7940E8DD" w14:textId="77777777" w:rsidR="004D56F2" w:rsidRPr="004F465E" w:rsidRDefault="004D56F2" w:rsidP="004F465E">
            <w:r w:rsidRPr="004F465E">
              <w:t>Assyrian Apostolic</w:t>
            </w:r>
          </w:p>
        </w:tc>
      </w:tr>
      <w:tr w:rsidR="007E7843" w:rsidRPr="004F465E" w14:paraId="040C3135" w14:textId="77777777" w:rsidTr="004D0AA3">
        <w:trPr>
          <w:trHeight w:val="300"/>
        </w:trPr>
        <w:tc>
          <w:tcPr>
            <w:tcW w:w="1207" w:type="dxa"/>
            <w:vMerge/>
            <w:shd w:val="clear" w:color="auto" w:fill="auto"/>
            <w:hideMark/>
          </w:tcPr>
          <w:p w14:paraId="0BAF2E6F" w14:textId="77777777" w:rsidR="004D56F2" w:rsidRPr="007E7843" w:rsidRDefault="004D56F2" w:rsidP="004F465E">
            <w:pPr>
              <w:rPr>
                <w:b/>
                <w:bCs/>
              </w:rPr>
            </w:pPr>
          </w:p>
        </w:tc>
        <w:tc>
          <w:tcPr>
            <w:tcW w:w="2117" w:type="dxa"/>
            <w:vMerge/>
            <w:shd w:val="clear" w:color="auto" w:fill="auto"/>
            <w:hideMark/>
          </w:tcPr>
          <w:p w14:paraId="5A9500EF" w14:textId="77777777" w:rsidR="004D56F2" w:rsidRPr="007E7843" w:rsidRDefault="004D56F2" w:rsidP="004F465E">
            <w:pPr>
              <w:rPr>
                <w:b/>
              </w:rPr>
            </w:pPr>
          </w:p>
        </w:tc>
        <w:tc>
          <w:tcPr>
            <w:tcW w:w="712" w:type="dxa"/>
            <w:shd w:val="clear" w:color="auto" w:fill="auto"/>
            <w:noWrap/>
            <w:hideMark/>
          </w:tcPr>
          <w:p w14:paraId="2151BBE6" w14:textId="77777777" w:rsidR="004D56F2" w:rsidRPr="004F465E" w:rsidRDefault="004D56F2" w:rsidP="004F465E">
            <w:r w:rsidRPr="004F465E">
              <w:t>223</w:t>
            </w:r>
          </w:p>
        </w:tc>
        <w:tc>
          <w:tcPr>
            <w:tcW w:w="4181" w:type="dxa"/>
            <w:shd w:val="clear" w:color="auto" w:fill="auto"/>
            <w:noWrap/>
            <w:hideMark/>
          </w:tcPr>
          <w:p w14:paraId="57A22FAF" w14:textId="77777777" w:rsidR="004D56F2" w:rsidRPr="004F465E" w:rsidRDefault="004D56F2" w:rsidP="004F465E">
            <w:r w:rsidRPr="004F465E">
              <w:t>Eastern Orthodox</w:t>
            </w:r>
          </w:p>
        </w:tc>
      </w:tr>
      <w:tr w:rsidR="007E7843" w:rsidRPr="004F465E" w14:paraId="4862FFAA" w14:textId="77777777" w:rsidTr="004D0AA3">
        <w:trPr>
          <w:trHeight w:val="300"/>
        </w:trPr>
        <w:tc>
          <w:tcPr>
            <w:tcW w:w="1207" w:type="dxa"/>
            <w:vMerge/>
            <w:tcBorders>
              <w:top w:val="single" w:sz="8" w:space="0" w:color="9BBB59"/>
              <w:left w:val="single" w:sz="8" w:space="0" w:color="9BBB59"/>
              <w:bottom w:val="single" w:sz="8" w:space="0" w:color="9BBB59"/>
            </w:tcBorders>
            <w:shd w:val="clear" w:color="auto" w:fill="auto"/>
            <w:hideMark/>
          </w:tcPr>
          <w:p w14:paraId="62C86F8E" w14:textId="77777777" w:rsidR="004D56F2" w:rsidRPr="007E7843" w:rsidRDefault="004D56F2" w:rsidP="004F465E">
            <w:pPr>
              <w:rPr>
                <w:b/>
                <w:bCs/>
              </w:rPr>
            </w:pPr>
          </w:p>
        </w:tc>
        <w:tc>
          <w:tcPr>
            <w:tcW w:w="2117" w:type="dxa"/>
            <w:vMerge/>
            <w:tcBorders>
              <w:top w:val="single" w:sz="8" w:space="0" w:color="9BBB59"/>
              <w:bottom w:val="single" w:sz="8" w:space="0" w:color="9BBB59"/>
            </w:tcBorders>
            <w:shd w:val="clear" w:color="auto" w:fill="auto"/>
            <w:hideMark/>
          </w:tcPr>
          <w:p w14:paraId="3E6C885B" w14:textId="77777777" w:rsidR="004D56F2" w:rsidRPr="007E7843" w:rsidRDefault="004D56F2" w:rsidP="004F465E">
            <w:pPr>
              <w:rPr>
                <w:b/>
              </w:rPr>
            </w:pPr>
          </w:p>
        </w:tc>
        <w:tc>
          <w:tcPr>
            <w:tcW w:w="712" w:type="dxa"/>
            <w:tcBorders>
              <w:top w:val="single" w:sz="8" w:space="0" w:color="9BBB59"/>
              <w:bottom w:val="single" w:sz="8" w:space="0" w:color="9BBB59"/>
            </w:tcBorders>
            <w:shd w:val="clear" w:color="auto" w:fill="auto"/>
            <w:noWrap/>
            <w:hideMark/>
          </w:tcPr>
          <w:p w14:paraId="64B7E8DE" w14:textId="77777777" w:rsidR="004D56F2" w:rsidRPr="004F465E" w:rsidRDefault="004D56F2" w:rsidP="004F465E">
            <w:r w:rsidRPr="004F465E">
              <w:t>225</w:t>
            </w:r>
          </w:p>
        </w:tc>
        <w:tc>
          <w:tcPr>
            <w:tcW w:w="4181" w:type="dxa"/>
            <w:tcBorders>
              <w:top w:val="single" w:sz="8" w:space="0" w:color="9BBB59"/>
              <w:bottom w:val="single" w:sz="8" w:space="0" w:color="9BBB59"/>
              <w:right w:val="single" w:sz="8" w:space="0" w:color="9BBB59"/>
            </w:tcBorders>
            <w:shd w:val="clear" w:color="auto" w:fill="auto"/>
            <w:noWrap/>
            <w:hideMark/>
          </w:tcPr>
          <w:p w14:paraId="7E6D765E" w14:textId="77777777" w:rsidR="004D56F2" w:rsidRPr="004F465E" w:rsidRDefault="004D56F2" w:rsidP="004F465E">
            <w:r w:rsidRPr="004F465E">
              <w:t>Presbyterian and Reformed</w:t>
            </w:r>
          </w:p>
        </w:tc>
      </w:tr>
      <w:tr w:rsidR="007E7843" w:rsidRPr="004F465E" w14:paraId="3D2969F0" w14:textId="77777777" w:rsidTr="004D0AA3">
        <w:trPr>
          <w:trHeight w:val="300"/>
        </w:trPr>
        <w:tc>
          <w:tcPr>
            <w:tcW w:w="1207" w:type="dxa"/>
            <w:vMerge/>
            <w:shd w:val="clear" w:color="auto" w:fill="auto"/>
            <w:hideMark/>
          </w:tcPr>
          <w:p w14:paraId="18F6FEFE" w14:textId="77777777" w:rsidR="004D56F2" w:rsidRPr="007E7843" w:rsidRDefault="004D56F2" w:rsidP="004F465E">
            <w:pPr>
              <w:rPr>
                <w:b/>
                <w:bCs/>
              </w:rPr>
            </w:pPr>
          </w:p>
        </w:tc>
        <w:tc>
          <w:tcPr>
            <w:tcW w:w="2117" w:type="dxa"/>
            <w:vMerge/>
            <w:shd w:val="clear" w:color="auto" w:fill="auto"/>
            <w:hideMark/>
          </w:tcPr>
          <w:p w14:paraId="56A10EC5" w14:textId="77777777" w:rsidR="004D56F2" w:rsidRPr="007E7843" w:rsidRDefault="004D56F2" w:rsidP="004F465E">
            <w:pPr>
              <w:rPr>
                <w:b/>
              </w:rPr>
            </w:pPr>
          </w:p>
        </w:tc>
        <w:tc>
          <w:tcPr>
            <w:tcW w:w="712" w:type="dxa"/>
            <w:shd w:val="clear" w:color="auto" w:fill="auto"/>
            <w:noWrap/>
            <w:hideMark/>
          </w:tcPr>
          <w:p w14:paraId="7BC073C1" w14:textId="77777777" w:rsidR="004D56F2" w:rsidRPr="004F465E" w:rsidRDefault="004D56F2" w:rsidP="004F465E">
            <w:r w:rsidRPr="004F465E">
              <w:t>227</w:t>
            </w:r>
          </w:p>
        </w:tc>
        <w:tc>
          <w:tcPr>
            <w:tcW w:w="4181" w:type="dxa"/>
            <w:shd w:val="clear" w:color="auto" w:fill="auto"/>
            <w:noWrap/>
            <w:hideMark/>
          </w:tcPr>
          <w:p w14:paraId="2125AB4D" w14:textId="77777777" w:rsidR="004D56F2" w:rsidRPr="004F465E" w:rsidRDefault="004D56F2" w:rsidP="004F465E">
            <w:r w:rsidRPr="004F465E">
              <w:t>Salvation Army</w:t>
            </w:r>
          </w:p>
        </w:tc>
      </w:tr>
      <w:tr w:rsidR="007E7843" w:rsidRPr="004F465E" w14:paraId="3BE27485" w14:textId="77777777" w:rsidTr="004D0AA3">
        <w:trPr>
          <w:trHeight w:val="300"/>
        </w:trPr>
        <w:tc>
          <w:tcPr>
            <w:tcW w:w="1207" w:type="dxa"/>
            <w:vMerge/>
            <w:tcBorders>
              <w:top w:val="single" w:sz="8" w:space="0" w:color="9BBB59"/>
              <w:left w:val="single" w:sz="8" w:space="0" w:color="9BBB59"/>
              <w:bottom w:val="single" w:sz="8" w:space="0" w:color="9BBB59"/>
            </w:tcBorders>
            <w:shd w:val="clear" w:color="auto" w:fill="auto"/>
            <w:hideMark/>
          </w:tcPr>
          <w:p w14:paraId="78D1E22B" w14:textId="77777777" w:rsidR="004D56F2" w:rsidRPr="007E7843" w:rsidRDefault="004D56F2" w:rsidP="004F465E">
            <w:pPr>
              <w:rPr>
                <w:b/>
                <w:bCs/>
              </w:rPr>
            </w:pPr>
          </w:p>
        </w:tc>
        <w:tc>
          <w:tcPr>
            <w:tcW w:w="2117" w:type="dxa"/>
            <w:vMerge/>
            <w:tcBorders>
              <w:top w:val="single" w:sz="8" w:space="0" w:color="9BBB59"/>
              <w:bottom w:val="single" w:sz="8" w:space="0" w:color="9BBB59"/>
            </w:tcBorders>
            <w:shd w:val="clear" w:color="auto" w:fill="auto"/>
            <w:hideMark/>
          </w:tcPr>
          <w:p w14:paraId="26DE7E7D" w14:textId="77777777" w:rsidR="004D56F2" w:rsidRPr="007E7843" w:rsidRDefault="004D56F2" w:rsidP="004F465E">
            <w:pPr>
              <w:rPr>
                <w:b/>
              </w:rPr>
            </w:pPr>
          </w:p>
        </w:tc>
        <w:tc>
          <w:tcPr>
            <w:tcW w:w="712" w:type="dxa"/>
            <w:tcBorders>
              <w:top w:val="single" w:sz="8" w:space="0" w:color="9BBB59"/>
              <w:bottom w:val="single" w:sz="8" w:space="0" w:color="9BBB59"/>
            </w:tcBorders>
            <w:shd w:val="clear" w:color="auto" w:fill="auto"/>
            <w:noWrap/>
            <w:hideMark/>
          </w:tcPr>
          <w:p w14:paraId="40A7466B" w14:textId="77777777" w:rsidR="004D56F2" w:rsidRPr="004F465E" w:rsidRDefault="004D56F2" w:rsidP="004F465E">
            <w:r w:rsidRPr="004F465E">
              <w:t>231</w:t>
            </w:r>
          </w:p>
        </w:tc>
        <w:tc>
          <w:tcPr>
            <w:tcW w:w="4181" w:type="dxa"/>
            <w:tcBorders>
              <w:top w:val="single" w:sz="8" w:space="0" w:color="9BBB59"/>
              <w:bottom w:val="single" w:sz="8" w:space="0" w:color="9BBB59"/>
              <w:right w:val="single" w:sz="8" w:space="0" w:color="9BBB59"/>
            </w:tcBorders>
            <w:shd w:val="clear" w:color="auto" w:fill="auto"/>
            <w:noWrap/>
            <w:hideMark/>
          </w:tcPr>
          <w:p w14:paraId="6C455BDF" w14:textId="77777777" w:rsidR="004D56F2" w:rsidRPr="004F465E" w:rsidRDefault="004D56F2" w:rsidP="004F465E">
            <w:r w:rsidRPr="004F465E">
              <w:t>Seventh-day Adventist</w:t>
            </w:r>
          </w:p>
        </w:tc>
      </w:tr>
      <w:tr w:rsidR="007E7843" w:rsidRPr="004F465E" w14:paraId="0CFB4C30" w14:textId="77777777" w:rsidTr="004D0AA3">
        <w:trPr>
          <w:trHeight w:val="300"/>
        </w:trPr>
        <w:tc>
          <w:tcPr>
            <w:tcW w:w="1207" w:type="dxa"/>
            <w:vMerge/>
            <w:shd w:val="clear" w:color="auto" w:fill="auto"/>
            <w:hideMark/>
          </w:tcPr>
          <w:p w14:paraId="799CEB8E" w14:textId="77777777" w:rsidR="004D56F2" w:rsidRPr="007E7843" w:rsidRDefault="004D56F2" w:rsidP="004F465E">
            <w:pPr>
              <w:rPr>
                <w:b/>
                <w:bCs/>
              </w:rPr>
            </w:pPr>
          </w:p>
        </w:tc>
        <w:tc>
          <w:tcPr>
            <w:tcW w:w="2117" w:type="dxa"/>
            <w:vMerge/>
            <w:shd w:val="clear" w:color="auto" w:fill="auto"/>
            <w:hideMark/>
          </w:tcPr>
          <w:p w14:paraId="14058D3E" w14:textId="77777777" w:rsidR="004D56F2" w:rsidRPr="007E7843" w:rsidRDefault="004D56F2" w:rsidP="004F465E">
            <w:pPr>
              <w:rPr>
                <w:b/>
              </w:rPr>
            </w:pPr>
          </w:p>
        </w:tc>
        <w:tc>
          <w:tcPr>
            <w:tcW w:w="712" w:type="dxa"/>
            <w:shd w:val="clear" w:color="auto" w:fill="auto"/>
            <w:noWrap/>
            <w:hideMark/>
          </w:tcPr>
          <w:p w14:paraId="3408314E" w14:textId="77777777" w:rsidR="004D56F2" w:rsidRPr="004F465E" w:rsidRDefault="004D56F2" w:rsidP="004F465E">
            <w:r w:rsidRPr="004F465E">
              <w:t>233</w:t>
            </w:r>
          </w:p>
        </w:tc>
        <w:tc>
          <w:tcPr>
            <w:tcW w:w="4181" w:type="dxa"/>
            <w:shd w:val="clear" w:color="auto" w:fill="auto"/>
            <w:noWrap/>
            <w:hideMark/>
          </w:tcPr>
          <w:p w14:paraId="39585680" w14:textId="77777777" w:rsidR="004D56F2" w:rsidRPr="004F465E" w:rsidRDefault="004D56F2" w:rsidP="004F465E">
            <w:r w:rsidRPr="004F465E">
              <w:t>Uniting Church</w:t>
            </w:r>
          </w:p>
        </w:tc>
      </w:tr>
      <w:tr w:rsidR="007E7843" w:rsidRPr="004F465E" w14:paraId="5EEE5A53" w14:textId="77777777" w:rsidTr="004D0AA3">
        <w:trPr>
          <w:trHeight w:val="300"/>
        </w:trPr>
        <w:tc>
          <w:tcPr>
            <w:tcW w:w="1207" w:type="dxa"/>
            <w:vMerge/>
            <w:tcBorders>
              <w:top w:val="single" w:sz="8" w:space="0" w:color="9BBB59"/>
              <w:left w:val="single" w:sz="8" w:space="0" w:color="9BBB59"/>
              <w:bottom w:val="single" w:sz="8" w:space="0" w:color="9BBB59"/>
            </w:tcBorders>
            <w:shd w:val="clear" w:color="auto" w:fill="auto"/>
            <w:hideMark/>
          </w:tcPr>
          <w:p w14:paraId="1FA67F31" w14:textId="77777777" w:rsidR="004D56F2" w:rsidRPr="007E7843" w:rsidRDefault="004D56F2" w:rsidP="004F465E">
            <w:pPr>
              <w:rPr>
                <w:b/>
                <w:bCs/>
              </w:rPr>
            </w:pPr>
          </w:p>
        </w:tc>
        <w:tc>
          <w:tcPr>
            <w:tcW w:w="2117" w:type="dxa"/>
            <w:vMerge/>
            <w:tcBorders>
              <w:top w:val="single" w:sz="8" w:space="0" w:color="9BBB59"/>
              <w:bottom w:val="single" w:sz="8" w:space="0" w:color="9BBB59"/>
            </w:tcBorders>
            <w:shd w:val="clear" w:color="auto" w:fill="auto"/>
            <w:hideMark/>
          </w:tcPr>
          <w:p w14:paraId="516A45A7" w14:textId="77777777" w:rsidR="004D56F2" w:rsidRPr="007E7843" w:rsidRDefault="004D56F2" w:rsidP="004F465E">
            <w:pPr>
              <w:rPr>
                <w:b/>
              </w:rPr>
            </w:pPr>
          </w:p>
        </w:tc>
        <w:tc>
          <w:tcPr>
            <w:tcW w:w="712" w:type="dxa"/>
            <w:tcBorders>
              <w:top w:val="single" w:sz="8" w:space="0" w:color="9BBB59"/>
              <w:bottom w:val="single" w:sz="8" w:space="0" w:color="9BBB59"/>
            </w:tcBorders>
            <w:shd w:val="clear" w:color="auto" w:fill="auto"/>
            <w:noWrap/>
            <w:hideMark/>
          </w:tcPr>
          <w:p w14:paraId="74FF031D" w14:textId="77777777" w:rsidR="004D56F2" w:rsidRPr="004F465E" w:rsidRDefault="004D56F2" w:rsidP="004F465E">
            <w:r w:rsidRPr="004F465E">
              <w:t>24</w:t>
            </w:r>
          </w:p>
        </w:tc>
        <w:tc>
          <w:tcPr>
            <w:tcW w:w="4181" w:type="dxa"/>
            <w:tcBorders>
              <w:top w:val="single" w:sz="8" w:space="0" w:color="9BBB59"/>
              <w:bottom w:val="single" w:sz="8" w:space="0" w:color="9BBB59"/>
              <w:right w:val="single" w:sz="8" w:space="0" w:color="9BBB59"/>
            </w:tcBorders>
            <w:shd w:val="clear" w:color="auto" w:fill="auto"/>
            <w:noWrap/>
            <w:hideMark/>
          </w:tcPr>
          <w:p w14:paraId="76275B81" w14:textId="77777777" w:rsidR="004D56F2" w:rsidRPr="004F465E" w:rsidRDefault="004D56F2" w:rsidP="004F465E">
            <w:r w:rsidRPr="004F465E">
              <w:t>Pentecostal</w:t>
            </w:r>
          </w:p>
        </w:tc>
      </w:tr>
      <w:tr w:rsidR="007E7843" w:rsidRPr="004F465E" w14:paraId="68CBF26C" w14:textId="77777777" w:rsidTr="004D0AA3">
        <w:trPr>
          <w:trHeight w:val="300"/>
        </w:trPr>
        <w:tc>
          <w:tcPr>
            <w:tcW w:w="1207" w:type="dxa"/>
            <w:vMerge/>
            <w:shd w:val="clear" w:color="auto" w:fill="auto"/>
            <w:hideMark/>
          </w:tcPr>
          <w:p w14:paraId="790C02BB" w14:textId="77777777" w:rsidR="004D56F2" w:rsidRPr="007E7843" w:rsidRDefault="004D56F2" w:rsidP="004F465E">
            <w:pPr>
              <w:rPr>
                <w:b/>
                <w:bCs/>
              </w:rPr>
            </w:pPr>
          </w:p>
        </w:tc>
        <w:tc>
          <w:tcPr>
            <w:tcW w:w="2117" w:type="dxa"/>
            <w:vMerge/>
            <w:shd w:val="clear" w:color="auto" w:fill="auto"/>
            <w:hideMark/>
          </w:tcPr>
          <w:p w14:paraId="5CD1C54E" w14:textId="77777777" w:rsidR="004D56F2" w:rsidRPr="007E7843" w:rsidRDefault="004D56F2" w:rsidP="004F465E">
            <w:pPr>
              <w:rPr>
                <w:b/>
              </w:rPr>
            </w:pPr>
          </w:p>
        </w:tc>
        <w:tc>
          <w:tcPr>
            <w:tcW w:w="712" w:type="dxa"/>
            <w:shd w:val="clear" w:color="auto" w:fill="auto"/>
            <w:noWrap/>
            <w:hideMark/>
          </w:tcPr>
          <w:p w14:paraId="768B2776" w14:textId="77777777" w:rsidR="004D56F2" w:rsidRPr="004F465E" w:rsidRDefault="004D56F2" w:rsidP="004F465E">
            <w:r w:rsidRPr="004F465E">
              <w:t>28</w:t>
            </w:r>
          </w:p>
        </w:tc>
        <w:tc>
          <w:tcPr>
            <w:tcW w:w="4181" w:type="dxa"/>
            <w:shd w:val="clear" w:color="auto" w:fill="auto"/>
            <w:noWrap/>
            <w:hideMark/>
          </w:tcPr>
          <w:p w14:paraId="5375C9CF" w14:textId="77777777" w:rsidR="004D56F2" w:rsidRPr="004F465E" w:rsidRDefault="004D56F2" w:rsidP="004F465E">
            <w:r w:rsidRPr="004F465E">
              <w:t>Other Protestant</w:t>
            </w:r>
          </w:p>
        </w:tc>
      </w:tr>
      <w:tr w:rsidR="007E7843" w:rsidRPr="004F465E" w14:paraId="615A0230" w14:textId="77777777" w:rsidTr="004D0AA3">
        <w:trPr>
          <w:trHeight w:val="300"/>
        </w:trPr>
        <w:tc>
          <w:tcPr>
            <w:tcW w:w="1207" w:type="dxa"/>
            <w:vMerge/>
            <w:tcBorders>
              <w:top w:val="single" w:sz="8" w:space="0" w:color="9BBB59"/>
              <w:left w:val="single" w:sz="8" w:space="0" w:color="9BBB59"/>
              <w:bottom w:val="single" w:sz="8" w:space="0" w:color="9BBB59"/>
            </w:tcBorders>
            <w:shd w:val="clear" w:color="auto" w:fill="auto"/>
            <w:hideMark/>
          </w:tcPr>
          <w:p w14:paraId="73200C79" w14:textId="77777777" w:rsidR="004D56F2" w:rsidRPr="007E7843" w:rsidRDefault="004D56F2" w:rsidP="004F465E">
            <w:pPr>
              <w:rPr>
                <w:b/>
                <w:bCs/>
              </w:rPr>
            </w:pPr>
          </w:p>
        </w:tc>
        <w:tc>
          <w:tcPr>
            <w:tcW w:w="2117" w:type="dxa"/>
            <w:vMerge/>
            <w:tcBorders>
              <w:top w:val="single" w:sz="8" w:space="0" w:color="9BBB59"/>
              <w:bottom w:val="single" w:sz="8" w:space="0" w:color="9BBB59"/>
            </w:tcBorders>
            <w:shd w:val="clear" w:color="auto" w:fill="auto"/>
            <w:hideMark/>
          </w:tcPr>
          <w:p w14:paraId="2F8B65BC" w14:textId="77777777" w:rsidR="004D56F2" w:rsidRPr="007E7843" w:rsidRDefault="004D56F2" w:rsidP="004F465E">
            <w:pPr>
              <w:rPr>
                <w:b/>
              </w:rPr>
            </w:pPr>
          </w:p>
        </w:tc>
        <w:tc>
          <w:tcPr>
            <w:tcW w:w="712" w:type="dxa"/>
            <w:tcBorders>
              <w:top w:val="single" w:sz="8" w:space="0" w:color="9BBB59"/>
              <w:bottom w:val="single" w:sz="8" w:space="0" w:color="9BBB59"/>
            </w:tcBorders>
            <w:shd w:val="clear" w:color="auto" w:fill="auto"/>
            <w:noWrap/>
            <w:hideMark/>
          </w:tcPr>
          <w:p w14:paraId="11CAA6CE" w14:textId="77777777" w:rsidR="004D56F2" w:rsidRPr="004F465E" w:rsidRDefault="004D56F2" w:rsidP="004F465E">
            <w:r w:rsidRPr="004F465E">
              <w:t>29</w:t>
            </w:r>
          </w:p>
        </w:tc>
        <w:tc>
          <w:tcPr>
            <w:tcW w:w="4181" w:type="dxa"/>
            <w:tcBorders>
              <w:top w:val="single" w:sz="8" w:space="0" w:color="9BBB59"/>
              <w:bottom w:val="single" w:sz="8" w:space="0" w:color="9BBB59"/>
              <w:right w:val="single" w:sz="8" w:space="0" w:color="9BBB59"/>
            </w:tcBorders>
            <w:shd w:val="clear" w:color="auto" w:fill="auto"/>
            <w:noWrap/>
            <w:hideMark/>
          </w:tcPr>
          <w:p w14:paraId="266DE795" w14:textId="77777777" w:rsidR="004D56F2" w:rsidRPr="004F465E" w:rsidRDefault="004D56F2" w:rsidP="004F465E">
            <w:r w:rsidRPr="004F465E">
              <w:t>Other Christian</w:t>
            </w:r>
          </w:p>
        </w:tc>
      </w:tr>
      <w:tr w:rsidR="004D56F2" w:rsidRPr="004F465E" w14:paraId="1F3BBF0B" w14:textId="77777777" w:rsidTr="004D0AA3">
        <w:trPr>
          <w:trHeight w:val="300"/>
        </w:trPr>
        <w:tc>
          <w:tcPr>
            <w:tcW w:w="1207" w:type="dxa"/>
            <w:shd w:val="clear" w:color="auto" w:fill="auto"/>
            <w:noWrap/>
            <w:hideMark/>
          </w:tcPr>
          <w:p w14:paraId="5512DB14" w14:textId="77777777" w:rsidR="004D56F2" w:rsidRPr="007E7843" w:rsidRDefault="004D56F2" w:rsidP="004F465E">
            <w:pPr>
              <w:rPr>
                <w:b/>
                <w:bCs/>
              </w:rPr>
            </w:pPr>
            <w:r w:rsidRPr="007E7843">
              <w:rPr>
                <w:b/>
                <w:bCs/>
              </w:rPr>
              <w:t>3</w:t>
            </w:r>
          </w:p>
        </w:tc>
        <w:tc>
          <w:tcPr>
            <w:tcW w:w="2117" w:type="dxa"/>
            <w:shd w:val="clear" w:color="auto" w:fill="auto"/>
            <w:noWrap/>
            <w:hideMark/>
          </w:tcPr>
          <w:p w14:paraId="4F6B80D5" w14:textId="77777777" w:rsidR="004D56F2" w:rsidRPr="007E7843" w:rsidRDefault="004D56F2" w:rsidP="004F465E">
            <w:pPr>
              <w:rPr>
                <w:b/>
              </w:rPr>
            </w:pPr>
            <w:r w:rsidRPr="007E7843">
              <w:rPr>
                <w:b/>
              </w:rPr>
              <w:t>HINDUISM</w:t>
            </w:r>
          </w:p>
        </w:tc>
        <w:tc>
          <w:tcPr>
            <w:tcW w:w="712" w:type="dxa"/>
            <w:shd w:val="clear" w:color="auto" w:fill="auto"/>
            <w:noWrap/>
            <w:hideMark/>
          </w:tcPr>
          <w:p w14:paraId="6A3A3ACD" w14:textId="77777777" w:rsidR="004D56F2" w:rsidRPr="004F465E" w:rsidRDefault="004D56F2" w:rsidP="004F465E">
            <w:r w:rsidRPr="004F465E">
              <w:t>301</w:t>
            </w:r>
          </w:p>
        </w:tc>
        <w:tc>
          <w:tcPr>
            <w:tcW w:w="4181" w:type="dxa"/>
            <w:shd w:val="clear" w:color="auto" w:fill="auto"/>
            <w:noWrap/>
            <w:hideMark/>
          </w:tcPr>
          <w:p w14:paraId="56EEB8FE" w14:textId="77777777" w:rsidR="004D56F2" w:rsidRPr="004F465E" w:rsidRDefault="004D56F2" w:rsidP="004F465E">
            <w:r w:rsidRPr="004F465E">
              <w:t>Hinduism</w:t>
            </w:r>
          </w:p>
        </w:tc>
      </w:tr>
      <w:tr w:rsidR="007E7843" w:rsidRPr="004F465E" w14:paraId="5E913ED6" w14:textId="77777777" w:rsidTr="004D0AA3">
        <w:trPr>
          <w:trHeight w:val="300"/>
        </w:trPr>
        <w:tc>
          <w:tcPr>
            <w:tcW w:w="1207" w:type="dxa"/>
            <w:tcBorders>
              <w:top w:val="single" w:sz="8" w:space="0" w:color="9BBB59"/>
              <w:left w:val="single" w:sz="8" w:space="0" w:color="9BBB59"/>
              <w:bottom w:val="single" w:sz="8" w:space="0" w:color="9BBB59"/>
            </w:tcBorders>
            <w:shd w:val="clear" w:color="auto" w:fill="auto"/>
            <w:noWrap/>
            <w:hideMark/>
          </w:tcPr>
          <w:p w14:paraId="521CC982" w14:textId="77777777" w:rsidR="004D56F2" w:rsidRPr="007E7843" w:rsidRDefault="004D56F2" w:rsidP="004F465E">
            <w:pPr>
              <w:rPr>
                <w:b/>
                <w:bCs/>
              </w:rPr>
            </w:pPr>
            <w:r w:rsidRPr="007E7843">
              <w:rPr>
                <w:b/>
                <w:bCs/>
              </w:rPr>
              <w:t>4</w:t>
            </w:r>
          </w:p>
        </w:tc>
        <w:tc>
          <w:tcPr>
            <w:tcW w:w="2117" w:type="dxa"/>
            <w:tcBorders>
              <w:top w:val="single" w:sz="8" w:space="0" w:color="9BBB59"/>
              <w:bottom w:val="single" w:sz="8" w:space="0" w:color="9BBB59"/>
            </w:tcBorders>
            <w:shd w:val="clear" w:color="auto" w:fill="auto"/>
            <w:noWrap/>
            <w:hideMark/>
          </w:tcPr>
          <w:p w14:paraId="356B6921" w14:textId="77777777" w:rsidR="004D56F2" w:rsidRPr="007E7843" w:rsidRDefault="004D56F2" w:rsidP="004F465E">
            <w:pPr>
              <w:rPr>
                <w:b/>
              </w:rPr>
            </w:pPr>
            <w:r w:rsidRPr="007E7843">
              <w:rPr>
                <w:b/>
              </w:rPr>
              <w:t>ISLAM</w:t>
            </w:r>
          </w:p>
        </w:tc>
        <w:tc>
          <w:tcPr>
            <w:tcW w:w="712" w:type="dxa"/>
            <w:tcBorders>
              <w:top w:val="single" w:sz="8" w:space="0" w:color="9BBB59"/>
              <w:bottom w:val="single" w:sz="8" w:space="0" w:color="9BBB59"/>
            </w:tcBorders>
            <w:shd w:val="clear" w:color="auto" w:fill="auto"/>
            <w:noWrap/>
            <w:hideMark/>
          </w:tcPr>
          <w:p w14:paraId="74ACD5DA" w14:textId="77777777" w:rsidR="004D56F2" w:rsidRPr="004F465E" w:rsidRDefault="004D56F2" w:rsidP="004F465E">
            <w:r w:rsidRPr="004F465E">
              <w:t>401</w:t>
            </w:r>
          </w:p>
        </w:tc>
        <w:tc>
          <w:tcPr>
            <w:tcW w:w="4181" w:type="dxa"/>
            <w:tcBorders>
              <w:top w:val="single" w:sz="8" w:space="0" w:color="9BBB59"/>
              <w:bottom w:val="single" w:sz="8" w:space="0" w:color="9BBB59"/>
              <w:right w:val="single" w:sz="8" w:space="0" w:color="9BBB59"/>
            </w:tcBorders>
            <w:shd w:val="clear" w:color="auto" w:fill="auto"/>
            <w:noWrap/>
            <w:hideMark/>
          </w:tcPr>
          <w:p w14:paraId="2594F53F" w14:textId="77777777" w:rsidR="004D56F2" w:rsidRPr="004F465E" w:rsidRDefault="004D56F2" w:rsidP="004F465E">
            <w:r w:rsidRPr="004F465E">
              <w:t>Islam</w:t>
            </w:r>
          </w:p>
        </w:tc>
      </w:tr>
      <w:tr w:rsidR="004D56F2" w:rsidRPr="004F465E" w14:paraId="2B32B44B" w14:textId="77777777" w:rsidTr="004D0AA3">
        <w:trPr>
          <w:trHeight w:val="300"/>
        </w:trPr>
        <w:tc>
          <w:tcPr>
            <w:tcW w:w="1207" w:type="dxa"/>
            <w:shd w:val="clear" w:color="auto" w:fill="auto"/>
            <w:noWrap/>
            <w:hideMark/>
          </w:tcPr>
          <w:p w14:paraId="0524867D" w14:textId="77777777" w:rsidR="004D56F2" w:rsidRPr="007E7843" w:rsidRDefault="004D56F2" w:rsidP="004F465E">
            <w:pPr>
              <w:rPr>
                <w:b/>
                <w:bCs/>
              </w:rPr>
            </w:pPr>
            <w:r w:rsidRPr="007E7843">
              <w:rPr>
                <w:b/>
                <w:bCs/>
              </w:rPr>
              <w:t>5</w:t>
            </w:r>
          </w:p>
        </w:tc>
        <w:tc>
          <w:tcPr>
            <w:tcW w:w="2117" w:type="dxa"/>
            <w:shd w:val="clear" w:color="auto" w:fill="auto"/>
            <w:noWrap/>
            <w:hideMark/>
          </w:tcPr>
          <w:p w14:paraId="65482EB8" w14:textId="77777777" w:rsidR="004D56F2" w:rsidRPr="007E7843" w:rsidRDefault="004D56F2" w:rsidP="004F465E">
            <w:pPr>
              <w:rPr>
                <w:b/>
              </w:rPr>
            </w:pPr>
            <w:r w:rsidRPr="007E7843">
              <w:rPr>
                <w:b/>
              </w:rPr>
              <w:t>JUDAISM</w:t>
            </w:r>
          </w:p>
        </w:tc>
        <w:tc>
          <w:tcPr>
            <w:tcW w:w="712" w:type="dxa"/>
            <w:shd w:val="clear" w:color="auto" w:fill="auto"/>
            <w:noWrap/>
            <w:hideMark/>
          </w:tcPr>
          <w:p w14:paraId="1D35235C" w14:textId="77777777" w:rsidR="004D56F2" w:rsidRPr="004F465E" w:rsidRDefault="004D56F2" w:rsidP="004F465E">
            <w:r w:rsidRPr="004F465E">
              <w:t>501</w:t>
            </w:r>
          </w:p>
        </w:tc>
        <w:tc>
          <w:tcPr>
            <w:tcW w:w="4181" w:type="dxa"/>
            <w:shd w:val="clear" w:color="auto" w:fill="auto"/>
            <w:noWrap/>
            <w:hideMark/>
          </w:tcPr>
          <w:p w14:paraId="1A9A4416" w14:textId="77777777" w:rsidR="004D56F2" w:rsidRPr="004F465E" w:rsidRDefault="004D56F2" w:rsidP="004F465E">
            <w:r w:rsidRPr="004F465E">
              <w:t>Judaism</w:t>
            </w:r>
          </w:p>
        </w:tc>
      </w:tr>
      <w:tr w:rsidR="007E7843" w:rsidRPr="004F465E" w14:paraId="270D1B39" w14:textId="77777777" w:rsidTr="004D0AA3">
        <w:trPr>
          <w:trHeight w:val="300"/>
        </w:trPr>
        <w:tc>
          <w:tcPr>
            <w:tcW w:w="1207" w:type="dxa"/>
            <w:vMerge w:val="restart"/>
            <w:tcBorders>
              <w:top w:val="single" w:sz="8" w:space="0" w:color="9BBB59"/>
              <w:left w:val="single" w:sz="8" w:space="0" w:color="9BBB59"/>
              <w:bottom w:val="single" w:sz="8" w:space="0" w:color="9BBB59"/>
            </w:tcBorders>
            <w:shd w:val="clear" w:color="auto" w:fill="auto"/>
            <w:noWrap/>
            <w:hideMark/>
          </w:tcPr>
          <w:p w14:paraId="533B72D8" w14:textId="77777777" w:rsidR="004D56F2" w:rsidRPr="007E7843" w:rsidRDefault="004D56F2" w:rsidP="004F465E">
            <w:pPr>
              <w:rPr>
                <w:b/>
                <w:bCs/>
              </w:rPr>
            </w:pPr>
            <w:r w:rsidRPr="007E7843">
              <w:rPr>
                <w:b/>
                <w:bCs/>
              </w:rPr>
              <w:t>6</w:t>
            </w:r>
          </w:p>
        </w:tc>
        <w:tc>
          <w:tcPr>
            <w:tcW w:w="2117" w:type="dxa"/>
            <w:vMerge w:val="restart"/>
            <w:tcBorders>
              <w:top w:val="single" w:sz="8" w:space="0" w:color="9BBB59"/>
              <w:bottom w:val="single" w:sz="8" w:space="0" w:color="9BBB59"/>
            </w:tcBorders>
            <w:shd w:val="clear" w:color="auto" w:fill="auto"/>
            <w:noWrap/>
            <w:hideMark/>
          </w:tcPr>
          <w:p w14:paraId="2AB19AE4" w14:textId="77777777" w:rsidR="004D56F2" w:rsidRPr="007E7843" w:rsidRDefault="004D56F2" w:rsidP="004F465E">
            <w:pPr>
              <w:rPr>
                <w:b/>
              </w:rPr>
            </w:pPr>
            <w:r w:rsidRPr="007E7843">
              <w:rPr>
                <w:b/>
              </w:rPr>
              <w:t>OTHER RELIGIONS</w:t>
            </w:r>
          </w:p>
        </w:tc>
        <w:tc>
          <w:tcPr>
            <w:tcW w:w="712" w:type="dxa"/>
            <w:tcBorders>
              <w:top w:val="single" w:sz="8" w:space="0" w:color="9BBB59"/>
              <w:bottom w:val="single" w:sz="8" w:space="0" w:color="9BBB59"/>
            </w:tcBorders>
            <w:shd w:val="clear" w:color="auto" w:fill="auto"/>
            <w:noWrap/>
            <w:hideMark/>
          </w:tcPr>
          <w:p w14:paraId="7A8FEF2C" w14:textId="77777777" w:rsidR="004D56F2" w:rsidRPr="004F465E" w:rsidRDefault="004D56F2" w:rsidP="004F465E">
            <w:r w:rsidRPr="004F465E">
              <w:t>601</w:t>
            </w:r>
          </w:p>
        </w:tc>
        <w:tc>
          <w:tcPr>
            <w:tcW w:w="4181" w:type="dxa"/>
            <w:tcBorders>
              <w:top w:val="single" w:sz="8" w:space="0" w:color="9BBB59"/>
              <w:bottom w:val="single" w:sz="8" w:space="0" w:color="9BBB59"/>
              <w:right w:val="single" w:sz="8" w:space="0" w:color="9BBB59"/>
            </w:tcBorders>
            <w:shd w:val="clear" w:color="auto" w:fill="auto"/>
            <w:noWrap/>
            <w:hideMark/>
          </w:tcPr>
          <w:p w14:paraId="7ED75CB9" w14:textId="77777777" w:rsidR="004D56F2" w:rsidRPr="004F465E" w:rsidRDefault="004D56F2" w:rsidP="004F465E">
            <w:r w:rsidRPr="004F465E">
              <w:t>Australian Aboriginal Traditional Religions</w:t>
            </w:r>
          </w:p>
        </w:tc>
      </w:tr>
      <w:tr w:rsidR="007E7843" w:rsidRPr="004F465E" w14:paraId="52ABFF4E" w14:textId="77777777" w:rsidTr="004D0AA3">
        <w:trPr>
          <w:trHeight w:val="300"/>
        </w:trPr>
        <w:tc>
          <w:tcPr>
            <w:tcW w:w="1207" w:type="dxa"/>
            <w:vMerge/>
            <w:shd w:val="clear" w:color="auto" w:fill="auto"/>
            <w:hideMark/>
          </w:tcPr>
          <w:p w14:paraId="3CDA107B" w14:textId="77777777" w:rsidR="004D56F2" w:rsidRPr="007E7843" w:rsidRDefault="004D56F2" w:rsidP="004F465E">
            <w:pPr>
              <w:rPr>
                <w:b/>
                <w:bCs/>
              </w:rPr>
            </w:pPr>
          </w:p>
        </w:tc>
        <w:tc>
          <w:tcPr>
            <w:tcW w:w="2117" w:type="dxa"/>
            <w:vMerge/>
            <w:shd w:val="clear" w:color="auto" w:fill="auto"/>
            <w:hideMark/>
          </w:tcPr>
          <w:p w14:paraId="14B7100F" w14:textId="77777777" w:rsidR="004D56F2" w:rsidRPr="007E7843" w:rsidRDefault="004D56F2" w:rsidP="004F465E">
            <w:pPr>
              <w:rPr>
                <w:b/>
              </w:rPr>
            </w:pPr>
          </w:p>
        </w:tc>
        <w:tc>
          <w:tcPr>
            <w:tcW w:w="712" w:type="dxa"/>
            <w:shd w:val="clear" w:color="auto" w:fill="auto"/>
            <w:noWrap/>
            <w:hideMark/>
          </w:tcPr>
          <w:p w14:paraId="4DEFCCF7" w14:textId="77777777" w:rsidR="004D56F2" w:rsidRPr="004F465E" w:rsidRDefault="004D56F2" w:rsidP="004F465E">
            <w:r w:rsidRPr="004F465E">
              <w:t>603</w:t>
            </w:r>
          </w:p>
        </w:tc>
        <w:tc>
          <w:tcPr>
            <w:tcW w:w="4181" w:type="dxa"/>
            <w:shd w:val="clear" w:color="auto" w:fill="auto"/>
            <w:noWrap/>
            <w:hideMark/>
          </w:tcPr>
          <w:p w14:paraId="0396FE72" w14:textId="77777777" w:rsidR="004D56F2" w:rsidRPr="004F465E" w:rsidRDefault="004D56F2" w:rsidP="004F465E">
            <w:r w:rsidRPr="004F465E">
              <w:t>Baha'i</w:t>
            </w:r>
          </w:p>
        </w:tc>
      </w:tr>
      <w:tr w:rsidR="007E7843" w:rsidRPr="004F465E" w14:paraId="7176D18A" w14:textId="77777777" w:rsidTr="004D0AA3">
        <w:trPr>
          <w:trHeight w:val="300"/>
        </w:trPr>
        <w:tc>
          <w:tcPr>
            <w:tcW w:w="1207" w:type="dxa"/>
            <w:vMerge/>
            <w:tcBorders>
              <w:top w:val="single" w:sz="8" w:space="0" w:color="9BBB59"/>
              <w:left w:val="single" w:sz="8" w:space="0" w:color="9BBB59"/>
              <w:bottom w:val="single" w:sz="8" w:space="0" w:color="9BBB59"/>
            </w:tcBorders>
            <w:shd w:val="clear" w:color="auto" w:fill="auto"/>
            <w:hideMark/>
          </w:tcPr>
          <w:p w14:paraId="2B6E2D67" w14:textId="77777777" w:rsidR="004D56F2" w:rsidRPr="007E7843" w:rsidRDefault="004D56F2" w:rsidP="004F465E">
            <w:pPr>
              <w:rPr>
                <w:b/>
                <w:bCs/>
              </w:rPr>
            </w:pPr>
          </w:p>
        </w:tc>
        <w:tc>
          <w:tcPr>
            <w:tcW w:w="2117" w:type="dxa"/>
            <w:vMerge/>
            <w:tcBorders>
              <w:top w:val="single" w:sz="8" w:space="0" w:color="9BBB59"/>
              <w:bottom w:val="single" w:sz="8" w:space="0" w:color="9BBB59"/>
            </w:tcBorders>
            <w:shd w:val="clear" w:color="auto" w:fill="auto"/>
            <w:hideMark/>
          </w:tcPr>
          <w:p w14:paraId="3CD088A2" w14:textId="77777777" w:rsidR="004D56F2" w:rsidRPr="007E7843" w:rsidRDefault="004D56F2" w:rsidP="004F465E">
            <w:pPr>
              <w:rPr>
                <w:b/>
              </w:rPr>
            </w:pPr>
          </w:p>
        </w:tc>
        <w:tc>
          <w:tcPr>
            <w:tcW w:w="712" w:type="dxa"/>
            <w:tcBorders>
              <w:top w:val="single" w:sz="8" w:space="0" w:color="9BBB59"/>
              <w:bottom w:val="single" w:sz="8" w:space="0" w:color="9BBB59"/>
            </w:tcBorders>
            <w:shd w:val="clear" w:color="auto" w:fill="auto"/>
            <w:noWrap/>
            <w:hideMark/>
          </w:tcPr>
          <w:p w14:paraId="27167BE1" w14:textId="77777777" w:rsidR="004D56F2" w:rsidRPr="004F465E" w:rsidRDefault="004D56F2" w:rsidP="004F465E">
            <w:r w:rsidRPr="004F465E">
              <w:t>605</w:t>
            </w:r>
          </w:p>
        </w:tc>
        <w:tc>
          <w:tcPr>
            <w:tcW w:w="4181" w:type="dxa"/>
            <w:tcBorders>
              <w:top w:val="single" w:sz="8" w:space="0" w:color="9BBB59"/>
              <w:bottom w:val="single" w:sz="8" w:space="0" w:color="9BBB59"/>
              <w:right w:val="single" w:sz="8" w:space="0" w:color="9BBB59"/>
            </w:tcBorders>
            <w:shd w:val="clear" w:color="auto" w:fill="auto"/>
            <w:noWrap/>
            <w:hideMark/>
          </w:tcPr>
          <w:p w14:paraId="249B3617" w14:textId="77777777" w:rsidR="004D56F2" w:rsidRPr="004F465E" w:rsidRDefault="004D56F2" w:rsidP="004F465E">
            <w:r w:rsidRPr="004F465E">
              <w:t>Chinese Religions</w:t>
            </w:r>
          </w:p>
        </w:tc>
      </w:tr>
      <w:tr w:rsidR="007E7843" w:rsidRPr="004F465E" w14:paraId="02923B2C" w14:textId="77777777" w:rsidTr="004D0AA3">
        <w:trPr>
          <w:trHeight w:val="300"/>
        </w:trPr>
        <w:tc>
          <w:tcPr>
            <w:tcW w:w="1207" w:type="dxa"/>
            <w:vMerge/>
            <w:shd w:val="clear" w:color="auto" w:fill="auto"/>
            <w:hideMark/>
          </w:tcPr>
          <w:p w14:paraId="76519C62" w14:textId="77777777" w:rsidR="004D56F2" w:rsidRPr="007E7843" w:rsidRDefault="004D56F2" w:rsidP="004F465E">
            <w:pPr>
              <w:rPr>
                <w:b/>
                <w:bCs/>
              </w:rPr>
            </w:pPr>
          </w:p>
        </w:tc>
        <w:tc>
          <w:tcPr>
            <w:tcW w:w="2117" w:type="dxa"/>
            <w:vMerge/>
            <w:shd w:val="clear" w:color="auto" w:fill="auto"/>
            <w:hideMark/>
          </w:tcPr>
          <w:p w14:paraId="33E9422E" w14:textId="77777777" w:rsidR="004D56F2" w:rsidRPr="007E7843" w:rsidRDefault="004D56F2" w:rsidP="004F465E">
            <w:pPr>
              <w:rPr>
                <w:b/>
              </w:rPr>
            </w:pPr>
          </w:p>
        </w:tc>
        <w:tc>
          <w:tcPr>
            <w:tcW w:w="712" w:type="dxa"/>
            <w:shd w:val="clear" w:color="auto" w:fill="auto"/>
            <w:noWrap/>
            <w:hideMark/>
          </w:tcPr>
          <w:p w14:paraId="169CABD1" w14:textId="77777777" w:rsidR="004D56F2" w:rsidRPr="004F465E" w:rsidRDefault="004D56F2" w:rsidP="004F465E">
            <w:r w:rsidRPr="004F465E">
              <w:t>607</w:t>
            </w:r>
          </w:p>
        </w:tc>
        <w:tc>
          <w:tcPr>
            <w:tcW w:w="4181" w:type="dxa"/>
            <w:shd w:val="clear" w:color="auto" w:fill="auto"/>
            <w:noWrap/>
            <w:hideMark/>
          </w:tcPr>
          <w:p w14:paraId="137820E2" w14:textId="77777777" w:rsidR="004D56F2" w:rsidRPr="004F465E" w:rsidRDefault="004D56F2" w:rsidP="004F465E">
            <w:r w:rsidRPr="004F465E">
              <w:t>Druse</w:t>
            </w:r>
          </w:p>
        </w:tc>
      </w:tr>
      <w:tr w:rsidR="007E7843" w:rsidRPr="004F465E" w14:paraId="5346FB7A" w14:textId="77777777" w:rsidTr="004D0AA3">
        <w:trPr>
          <w:trHeight w:val="300"/>
        </w:trPr>
        <w:tc>
          <w:tcPr>
            <w:tcW w:w="1207" w:type="dxa"/>
            <w:vMerge/>
            <w:tcBorders>
              <w:top w:val="single" w:sz="8" w:space="0" w:color="9BBB59"/>
              <w:left w:val="single" w:sz="8" w:space="0" w:color="9BBB59"/>
              <w:bottom w:val="single" w:sz="8" w:space="0" w:color="9BBB59"/>
            </w:tcBorders>
            <w:shd w:val="clear" w:color="auto" w:fill="auto"/>
            <w:hideMark/>
          </w:tcPr>
          <w:p w14:paraId="3EF4BBE2" w14:textId="77777777" w:rsidR="004D56F2" w:rsidRPr="007E7843" w:rsidRDefault="004D56F2" w:rsidP="004F465E">
            <w:pPr>
              <w:rPr>
                <w:b/>
                <w:bCs/>
              </w:rPr>
            </w:pPr>
          </w:p>
        </w:tc>
        <w:tc>
          <w:tcPr>
            <w:tcW w:w="2117" w:type="dxa"/>
            <w:vMerge/>
            <w:tcBorders>
              <w:top w:val="single" w:sz="8" w:space="0" w:color="9BBB59"/>
              <w:bottom w:val="single" w:sz="8" w:space="0" w:color="9BBB59"/>
            </w:tcBorders>
            <w:shd w:val="clear" w:color="auto" w:fill="auto"/>
            <w:hideMark/>
          </w:tcPr>
          <w:p w14:paraId="4DD8B015" w14:textId="77777777" w:rsidR="004D56F2" w:rsidRPr="007E7843" w:rsidRDefault="004D56F2" w:rsidP="004F465E">
            <w:pPr>
              <w:rPr>
                <w:b/>
              </w:rPr>
            </w:pPr>
          </w:p>
        </w:tc>
        <w:tc>
          <w:tcPr>
            <w:tcW w:w="712" w:type="dxa"/>
            <w:tcBorders>
              <w:top w:val="single" w:sz="8" w:space="0" w:color="9BBB59"/>
              <w:bottom w:val="single" w:sz="8" w:space="0" w:color="9BBB59"/>
            </w:tcBorders>
            <w:shd w:val="clear" w:color="auto" w:fill="auto"/>
            <w:noWrap/>
            <w:hideMark/>
          </w:tcPr>
          <w:p w14:paraId="0CE80474" w14:textId="77777777" w:rsidR="004D56F2" w:rsidRPr="004F465E" w:rsidRDefault="004D56F2" w:rsidP="004F465E">
            <w:r w:rsidRPr="004F465E">
              <w:t>611</w:t>
            </w:r>
          </w:p>
        </w:tc>
        <w:tc>
          <w:tcPr>
            <w:tcW w:w="4181" w:type="dxa"/>
            <w:tcBorders>
              <w:top w:val="single" w:sz="8" w:space="0" w:color="9BBB59"/>
              <w:bottom w:val="single" w:sz="8" w:space="0" w:color="9BBB59"/>
              <w:right w:val="single" w:sz="8" w:space="0" w:color="9BBB59"/>
            </w:tcBorders>
            <w:shd w:val="clear" w:color="auto" w:fill="auto"/>
            <w:noWrap/>
            <w:hideMark/>
          </w:tcPr>
          <w:p w14:paraId="3BFF7C0E" w14:textId="77777777" w:rsidR="004D56F2" w:rsidRPr="004F465E" w:rsidRDefault="004D56F2" w:rsidP="004F465E">
            <w:r w:rsidRPr="004F465E">
              <w:t>Japanese Religions</w:t>
            </w:r>
          </w:p>
        </w:tc>
      </w:tr>
      <w:tr w:rsidR="007E7843" w:rsidRPr="004F465E" w14:paraId="0901FCB9" w14:textId="77777777" w:rsidTr="004D0AA3">
        <w:trPr>
          <w:trHeight w:val="300"/>
        </w:trPr>
        <w:tc>
          <w:tcPr>
            <w:tcW w:w="1207" w:type="dxa"/>
            <w:vMerge/>
            <w:shd w:val="clear" w:color="auto" w:fill="auto"/>
            <w:hideMark/>
          </w:tcPr>
          <w:p w14:paraId="652A61B7" w14:textId="77777777" w:rsidR="004D56F2" w:rsidRPr="007E7843" w:rsidRDefault="004D56F2" w:rsidP="004F465E">
            <w:pPr>
              <w:rPr>
                <w:b/>
                <w:bCs/>
              </w:rPr>
            </w:pPr>
          </w:p>
        </w:tc>
        <w:tc>
          <w:tcPr>
            <w:tcW w:w="2117" w:type="dxa"/>
            <w:vMerge/>
            <w:shd w:val="clear" w:color="auto" w:fill="auto"/>
            <w:hideMark/>
          </w:tcPr>
          <w:p w14:paraId="25F3A6FD" w14:textId="77777777" w:rsidR="004D56F2" w:rsidRPr="007E7843" w:rsidRDefault="004D56F2" w:rsidP="004F465E">
            <w:pPr>
              <w:rPr>
                <w:b/>
              </w:rPr>
            </w:pPr>
          </w:p>
        </w:tc>
        <w:tc>
          <w:tcPr>
            <w:tcW w:w="712" w:type="dxa"/>
            <w:shd w:val="clear" w:color="auto" w:fill="auto"/>
            <w:noWrap/>
            <w:hideMark/>
          </w:tcPr>
          <w:p w14:paraId="0F59F4E8" w14:textId="77777777" w:rsidR="004D56F2" w:rsidRPr="004F465E" w:rsidRDefault="004D56F2" w:rsidP="004F465E">
            <w:r w:rsidRPr="004F465E">
              <w:t>613</w:t>
            </w:r>
          </w:p>
        </w:tc>
        <w:tc>
          <w:tcPr>
            <w:tcW w:w="4181" w:type="dxa"/>
            <w:shd w:val="clear" w:color="auto" w:fill="auto"/>
            <w:noWrap/>
            <w:hideMark/>
          </w:tcPr>
          <w:p w14:paraId="09151637" w14:textId="77777777" w:rsidR="004D56F2" w:rsidRPr="004F465E" w:rsidRDefault="004D56F2" w:rsidP="004F465E">
            <w:r w:rsidRPr="004F465E">
              <w:t>Nature Religions</w:t>
            </w:r>
          </w:p>
        </w:tc>
      </w:tr>
      <w:tr w:rsidR="007E7843" w:rsidRPr="004F465E" w14:paraId="253AD2C3" w14:textId="77777777" w:rsidTr="004D0AA3">
        <w:trPr>
          <w:trHeight w:val="300"/>
        </w:trPr>
        <w:tc>
          <w:tcPr>
            <w:tcW w:w="1207" w:type="dxa"/>
            <w:vMerge/>
            <w:tcBorders>
              <w:top w:val="single" w:sz="8" w:space="0" w:color="9BBB59"/>
              <w:left w:val="single" w:sz="8" w:space="0" w:color="9BBB59"/>
              <w:bottom w:val="single" w:sz="8" w:space="0" w:color="9BBB59"/>
            </w:tcBorders>
            <w:shd w:val="clear" w:color="auto" w:fill="auto"/>
            <w:hideMark/>
          </w:tcPr>
          <w:p w14:paraId="2C48F649" w14:textId="77777777" w:rsidR="004D56F2" w:rsidRPr="007E7843" w:rsidRDefault="004D56F2" w:rsidP="004F465E">
            <w:pPr>
              <w:rPr>
                <w:b/>
                <w:bCs/>
              </w:rPr>
            </w:pPr>
          </w:p>
        </w:tc>
        <w:tc>
          <w:tcPr>
            <w:tcW w:w="2117" w:type="dxa"/>
            <w:vMerge/>
            <w:tcBorders>
              <w:top w:val="single" w:sz="8" w:space="0" w:color="9BBB59"/>
              <w:bottom w:val="single" w:sz="8" w:space="0" w:color="9BBB59"/>
            </w:tcBorders>
            <w:shd w:val="clear" w:color="auto" w:fill="auto"/>
            <w:hideMark/>
          </w:tcPr>
          <w:p w14:paraId="061D2763" w14:textId="77777777" w:rsidR="004D56F2" w:rsidRPr="007E7843" w:rsidRDefault="004D56F2" w:rsidP="004F465E">
            <w:pPr>
              <w:rPr>
                <w:b/>
              </w:rPr>
            </w:pPr>
          </w:p>
        </w:tc>
        <w:tc>
          <w:tcPr>
            <w:tcW w:w="712" w:type="dxa"/>
            <w:tcBorders>
              <w:top w:val="single" w:sz="8" w:space="0" w:color="9BBB59"/>
              <w:bottom w:val="single" w:sz="8" w:space="0" w:color="9BBB59"/>
            </w:tcBorders>
            <w:shd w:val="clear" w:color="auto" w:fill="auto"/>
            <w:noWrap/>
            <w:hideMark/>
          </w:tcPr>
          <w:p w14:paraId="277CC4C7" w14:textId="77777777" w:rsidR="004D56F2" w:rsidRPr="004F465E" w:rsidRDefault="004D56F2" w:rsidP="004F465E">
            <w:r w:rsidRPr="004F465E">
              <w:t>615</w:t>
            </w:r>
          </w:p>
        </w:tc>
        <w:tc>
          <w:tcPr>
            <w:tcW w:w="4181" w:type="dxa"/>
            <w:tcBorders>
              <w:top w:val="single" w:sz="8" w:space="0" w:color="9BBB59"/>
              <w:bottom w:val="single" w:sz="8" w:space="0" w:color="9BBB59"/>
              <w:right w:val="single" w:sz="8" w:space="0" w:color="9BBB59"/>
            </w:tcBorders>
            <w:shd w:val="clear" w:color="auto" w:fill="auto"/>
            <w:noWrap/>
            <w:hideMark/>
          </w:tcPr>
          <w:p w14:paraId="7895C887" w14:textId="77777777" w:rsidR="004D56F2" w:rsidRPr="004F465E" w:rsidRDefault="004D56F2" w:rsidP="004F465E">
            <w:r w:rsidRPr="004F465E">
              <w:t>Sikhism</w:t>
            </w:r>
          </w:p>
        </w:tc>
      </w:tr>
      <w:tr w:rsidR="007E7843" w:rsidRPr="004F465E" w14:paraId="5653F248" w14:textId="77777777" w:rsidTr="004D0AA3">
        <w:trPr>
          <w:trHeight w:val="300"/>
        </w:trPr>
        <w:tc>
          <w:tcPr>
            <w:tcW w:w="1207" w:type="dxa"/>
            <w:vMerge/>
            <w:shd w:val="clear" w:color="auto" w:fill="auto"/>
            <w:hideMark/>
          </w:tcPr>
          <w:p w14:paraId="5CB45615" w14:textId="77777777" w:rsidR="004D56F2" w:rsidRPr="007E7843" w:rsidRDefault="004D56F2" w:rsidP="004F465E">
            <w:pPr>
              <w:rPr>
                <w:b/>
                <w:bCs/>
              </w:rPr>
            </w:pPr>
          </w:p>
        </w:tc>
        <w:tc>
          <w:tcPr>
            <w:tcW w:w="2117" w:type="dxa"/>
            <w:vMerge/>
            <w:shd w:val="clear" w:color="auto" w:fill="auto"/>
            <w:hideMark/>
          </w:tcPr>
          <w:p w14:paraId="0D575C44" w14:textId="77777777" w:rsidR="004D56F2" w:rsidRPr="007E7843" w:rsidRDefault="004D56F2" w:rsidP="004F465E">
            <w:pPr>
              <w:rPr>
                <w:b/>
              </w:rPr>
            </w:pPr>
          </w:p>
        </w:tc>
        <w:tc>
          <w:tcPr>
            <w:tcW w:w="712" w:type="dxa"/>
            <w:shd w:val="clear" w:color="auto" w:fill="auto"/>
            <w:noWrap/>
            <w:hideMark/>
          </w:tcPr>
          <w:p w14:paraId="6B7B611C" w14:textId="77777777" w:rsidR="004D56F2" w:rsidRPr="004F465E" w:rsidRDefault="004D56F2" w:rsidP="004F465E">
            <w:r w:rsidRPr="004F465E">
              <w:t>617</w:t>
            </w:r>
          </w:p>
        </w:tc>
        <w:tc>
          <w:tcPr>
            <w:tcW w:w="4181" w:type="dxa"/>
            <w:shd w:val="clear" w:color="auto" w:fill="auto"/>
            <w:noWrap/>
            <w:hideMark/>
          </w:tcPr>
          <w:p w14:paraId="77496927" w14:textId="77777777" w:rsidR="004D56F2" w:rsidRPr="004F465E" w:rsidRDefault="004D56F2" w:rsidP="004F465E">
            <w:r w:rsidRPr="004F465E">
              <w:t>Spiritualism</w:t>
            </w:r>
          </w:p>
        </w:tc>
      </w:tr>
      <w:tr w:rsidR="007E7843" w:rsidRPr="004F465E" w14:paraId="54D0471A" w14:textId="77777777" w:rsidTr="004D0AA3">
        <w:trPr>
          <w:trHeight w:val="300"/>
        </w:trPr>
        <w:tc>
          <w:tcPr>
            <w:tcW w:w="1207" w:type="dxa"/>
            <w:vMerge/>
            <w:tcBorders>
              <w:top w:val="single" w:sz="8" w:space="0" w:color="9BBB59"/>
              <w:left w:val="single" w:sz="8" w:space="0" w:color="9BBB59"/>
              <w:bottom w:val="single" w:sz="8" w:space="0" w:color="9BBB59"/>
            </w:tcBorders>
            <w:shd w:val="clear" w:color="auto" w:fill="auto"/>
            <w:hideMark/>
          </w:tcPr>
          <w:p w14:paraId="6D828A65" w14:textId="77777777" w:rsidR="004D56F2" w:rsidRPr="007E7843" w:rsidRDefault="004D56F2" w:rsidP="004F465E">
            <w:pPr>
              <w:rPr>
                <w:b/>
                <w:bCs/>
              </w:rPr>
            </w:pPr>
          </w:p>
        </w:tc>
        <w:tc>
          <w:tcPr>
            <w:tcW w:w="2117" w:type="dxa"/>
            <w:vMerge/>
            <w:tcBorders>
              <w:top w:val="single" w:sz="8" w:space="0" w:color="9BBB59"/>
              <w:bottom w:val="single" w:sz="8" w:space="0" w:color="9BBB59"/>
            </w:tcBorders>
            <w:shd w:val="clear" w:color="auto" w:fill="auto"/>
            <w:hideMark/>
          </w:tcPr>
          <w:p w14:paraId="44044784" w14:textId="77777777" w:rsidR="004D56F2" w:rsidRPr="007E7843" w:rsidRDefault="004D56F2" w:rsidP="004F465E">
            <w:pPr>
              <w:rPr>
                <w:b/>
              </w:rPr>
            </w:pPr>
          </w:p>
        </w:tc>
        <w:tc>
          <w:tcPr>
            <w:tcW w:w="712" w:type="dxa"/>
            <w:tcBorders>
              <w:top w:val="single" w:sz="8" w:space="0" w:color="9BBB59"/>
              <w:bottom w:val="single" w:sz="4" w:space="0" w:color="9BBB59"/>
            </w:tcBorders>
            <w:shd w:val="clear" w:color="auto" w:fill="auto"/>
            <w:noWrap/>
            <w:hideMark/>
          </w:tcPr>
          <w:p w14:paraId="7338727C" w14:textId="77777777" w:rsidR="004D56F2" w:rsidRPr="004F465E" w:rsidRDefault="004D56F2" w:rsidP="004F465E">
            <w:r w:rsidRPr="004F465E">
              <w:t>699</w:t>
            </w:r>
          </w:p>
        </w:tc>
        <w:tc>
          <w:tcPr>
            <w:tcW w:w="4181" w:type="dxa"/>
            <w:tcBorders>
              <w:top w:val="single" w:sz="8" w:space="0" w:color="9BBB59"/>
              <w:bottom w:val="single" w:sz="4" w:space="0" w:color="9BBB59"/>
              <w:right w:val="single" w:sz="8" w:space="0" w:color="9BBB59"/>
            </w:tcBorders>
            <w:shd w:val="clear" w:color="auto" w:fill="auto"/>
            <w:noWrap/>
            <w:hideMark/>
          </w:tcPr>
          <w:p w14:paraId="578CEF97" w14:textId="77777777" w:rsidR="004D56F2" w:rsidRPr="004F465E" w:rsidRDefault="004D56F2" w:rsidP="004F465E">
            <w:r w:rsidRPr="004F465E">
              <w:t>Miscellaneous Religions</w:t>
            </w:r>
          </w:p>
        </w:tc>
      </w:tr>
      <w:tr w:rsidR="009F5E4B" w:rsidRPr="0088128B" w14:paraId="19A610E9" w14:textId="77777777" w:rsidTr="004D0AA3">
        <w:trPr>
          <w:trHeight w:val="232"/>
        </w:trPr>
        <w:tc>
          <w:tcPr>
            <w:tcW w:w="3324" w:type="dxa"/>
            <w:gridSpan w:val="2"/>
            <w:vMerge w:val="restart"/>
            <w:tcBorders>
              <w:top w:val="single" w:sz="8" w:space="0" w:color="9BBB59"/>
            </w:tcBorders>
            <w:shd w:val="clear" w:color="auto" w:fill="auto"/>
            <w:noWrap/>
            <w:tcMar>
              <w:left w:w="57" w:type="dxa"/>
              <w:right w:w="57" w:type="dxa"/>
            </w:tcMar>
          </w:tcPr>
          <w:p w14:paraId="554482B7" w14:textId="77777777" w:rsidR="009F5E4B" w:rsidRPr="0088128B" w:rsidRDefault="009F5E4B" w:rsidP="00345B10">
            <w:pPr>
              <w:rPr>
                <w:b/>
                <w:bCs/>
              </w:rPr>
            </w:pPr>
            <w:r w:rsidRPr="0088128B">
              <w:rPr>
                <w:b/>
                <w:bCs/>
              </w:rPr>
              <w:t>7</w:t>
            </w:r>
            <w:r w:rsidR="00273E5D" w:rsidRPr="0088128B">
              <w:rPr>
                <w:b/>
                <w:bCs/>
              </w:rPr>
              <w:t xml:space="preserve"> </w:t>
            </w:r>
            <w:r w:rsidR="006947B6" w:rsidRPr="0088128B">
              <w:rPr>
                <w:b/>
                <w:bCs/>
              </w:rPr>
              <w:t xml:space="preserve">  </w:t>
            </w:r>
            <w:r w:rsidR="00345B10" w:rsidRPr="0088128B">
              <w:rPr>
                <w:b/>
                <w:bCs/>
              </w:rPr>
              <w:t xml:space="preserve">                  </w:t>
            </w:r>
            <w:r w:rsidRPr="0088128B">
              <w:rPr>
                <w:b/>
                <w:bCs/>
              </w:rPr>
              <w:t>SECULAR BELIEFS</w:t>
            </w:r>
            <w:r w:rsidR="006947B6" w:rsidRPr="0088128B">
              <w:rPr>
                <w:b/>
                <w:bCs/>
              </w:rPr>
              <w:t xml:space="preserve">, </w:t>
            </w:r>
            <w:r w:rsidR="00345B10" w:rsidRPr="0088128B">
              <w:rPr>
                <w:b/>
                <w:bCs/>
              </w:rPr>
              <w:t xml:space="preserve">        </w:t>
            </w:r>
            <w:r w:rsidRPr="0088128B">
              <w:rPr>
                <w:b/>
                <w:bCs/>
              </w:rPr>
              <w:t>OTHER SPIRITUAL BELIEFS &amp;  NO RELIGIOUS AFFILIATION</w:t>
            </w:r>
          </w:p>
        </w:tc>
        <w:tc>
          <w:tcPr>
            <w:tcW w:w="712" w:type="dxa"/>
            <w:tcBorders>
              <w:top w:val="single" w:sz="8" w:space="0" w:color="9BBB59"/>
              <w:left w:val="nil"/>
              <w:bottom w:val="nil"/>
              <w:right w:val="nil"/>
            </w:tcBorders>
            <w:shd w:val="clear" w:color="auto" w:fill="auto"/>
            <w:noWrap/>
          </w:tcPr>
          <w:tbl>
            <w:tblPr>
              <w:tblW w:w="496" w:type="dxa"/>
              <w:tblLook w:val="04A0" w:firstRow="1" w:lastRow="0" w:firstColumn="1" w:lastColumn="0" w:noHBand="0" w:noVBand="1"/>
            </w:tblPr>
            <w:tblGrid>
              <w:gridCol w:w="496"/>
            </w:tblGrid>
            <w:tr w:rsidR="009F5E4B" w:rsidRPr="0088128B" w14:paraId="7A6C3E3B" w14:textId="77777777" w:rsidTr="004D0AA3">
              <w:trPr>
                <w:trHeight w:val="225"/>
              </w:trPr>
              <w:tc>
                <w:tcPr>
                  <w:tcW w:w="496" w:type="dxa"/>
                  <w:shd w:val="clear" w:color="auto" w:fill="auto"/>
                  <w:noWrap/>
                  <w:vAlign w:val="bottom"/>
                  <w:hideMark/>
                </w:tcPr>
                <w:p w14:paraId="40579141" w14:textId="77777777" w:rsidR="009F5E4B" w:rsidRPr="0088128B" w:rsidRDefault="009F5E4B" w:rsidP="0020508B">
                  <w:r w:rsidRPr="0088128B">
                    <w:t>71</w:t>
                  </w:r>
                </w:p>
              </w:tc>
            </w:tr>
          </w:tbl>
          <w:p w14:paraId="259C528C" w14:textId="77777777" w:rsidR="009F5E4B" w:rsidRPr="0088128B" w:rsidRDefault="009F5E4B" w:rsidP="00B845AF"/>
        </w:tc>
        <w:tc>
          <w:tcPr>
            <w:tcW w:w="4181" w:type="dxa"/>
            <w:tcBorders>
              <w:top w:val="single" w:sz="4" w:space="0" w:color="9BBB59"/>
              <w:left w:val="nil"/>
              <w:bottom w:val="single" w:sz="4" w:space="0" w:color="9BBB59"/>
              <w:right w:val="single" w:sz="4" w:space="0" w:color="9BBB59"/>
            </w:tcBorders>
            <w:shd w:val="clear" w:color="auto" w:fill="auto"/>
            <w:noWrap/>
          </w:tcPr>
          <w:p w14:paraId="79179B19" w14:textId="77777777" w:rsidR="009F5E4B" w:rsidRPr="0088128B" w:rsidRDefault="009F5E4B" w:rsidP="006947B6">
            <w:r w:rsidRPr="0088128B">
              <w:t>No Religion, so described</w:t>
            </w:r>
          </w:p>
        </w:tc>
      </w:tr>
      <w:tr w:rsidR="009F5E4B" w:rsidRPr="0088128B" w14:paraId="15358899" w14:textId="77777777" w:rsidTr="004D0AA3">
        <w:trPr>
          <w:trHeight w:val="332"/>
        </w:trPr>
        <w:tc>
          <w:tcPr>
            <w:tcW w:w="3324" w:type="dxa"/>
            <w:gridSpan w:val="2"/>
            <w:vMerge/>
            <w:shd w:val="clear" w:color="auto" w:fill="auto"/>
            <w:noWrap/>
          </w:tcPr>
          <w:p w14:paraId="12E373D1" w14:textId="77777777" w:rsidR="009F5E4B" w:rsidRPr="0088128B" w:rsidRDefault="009F5E4B" w:rsidP="00B84903">
            <w:pPr>
              <w:rPr>
                <w:b/>
                <w:bCs/>
              </w:rPr>
            </w:pPr>
          </w:p>
        </w:tc>
        <w:tc>
          <w:tcPr>
            <w:tcW w:w="712" w:type="dxa"/>
            <w:tcBorders>
              <w:top w:val="nil"/>
              <w:left w:val="nil"/>
              <w:bottom w:val="nil"/>
              <w:right w:val="nil"/>
            </w:tcBorders>
            <w:shd w:val="clear" w:color="auto" w:fill="auto"/>
            <w:noWrap/>
          </w:tcPr>
          <w:tbl>
            <w:tblPr>
              <w:tblW w:w="496" w:type="dxa"/>
              <w:tblLook w:val="04A0" w:firstRow="1" w:lastRow="0" w:firstColumn="1" w:lastColumn="0" w:noHBand="0" w:noVBand="1"/>
            </w:tblPr>
            <w:tblGrid>
              <w:gridCol w:w="496"/>
            </w:tblGrid>
            <w:tr w:rsidR="009F5E4B" w:rsidRPr="0088128B" w14:paraId="13BB55E8" w14:textId="77777777" w:rsidTr="005D5B60">
              <w:trPr>
                <w:trHeight w:val="225"/>
              </w:trPr>
              <w:tc>
                <w:tcPr>
                  <w:tcW w:w="496" w:type="dxa"/>
                  <w:shd w:val="clear" w:color="auto" w:fill="auto"/>
                  <w:noWrap/>
                  <w:vAlign w:val="bottom"/>
                  <w:hideMark/>
                </w:tcPr>
                <w:p w14:paraId="3ADEE31B" w14:textId="77777777" w:rsidR="009F5E4B" w:rsidRPr="0088128B" w:rsidRDefault="009F5E4B" w:rsidP="005D5B60">
                  <w:r w:rsidRPr="0088128B">
                    <w:t>72</w:t>
                  </w:r>
                </w:p>
              </w:tc>
            </w:tr>
          </w:tbl>
          <w:p w14:paraId="14DB699E" w14:textId="77777777" w:rsidR="009F5E4B" w:rsidRPr="0088128B" w:rsidRDefault="009F5E4B" w:rsidP="00B845AF"/>
        </w:tc>
        <w:tc>
          <w:tcPr>
            <w:tcW w:w="4181" w:type="dxa"/>
            <w:tcBorders>
              <w:top w:val="single" w:sz="4" w:space="0" w:color="9BBB59"/>
              <w:left w:val="nil"/>
              <w:bottom w:val="single" w:sz="4" w:space="0" w:color="9BBB59"/>
              <w:right w:val="single" w:sz="4" w:space="0" w:color="9BBB59"/>
            </w:tcBorders>
            <w:shd w:val="clear" w:color="auto" w:fill="auto"/>
            <w:noWrap/>
          </w:tcPr>
          <w:p w14:paraId="406F9F0D" w14:textId="77777777" w:rsidR="009F5E4B" w:rsidRPr="0088128B" w:rsidRDefault="009F5E4B" w:rsidP="006947B6">
            <w:r w:rsidRPr="0088128B">
              <w:t>Secular Beliefs</w:t>
            </w:r>
          </w:p>
        </w:tc>
      </w:tr>
      <w:tr w:rsidR="009F5E4B" w:rsidRPr="004F465E" w14:paraId="4F6335F1" w14:textId="77777777" w:rsidTr="004D0AA3">
        <w:trPr>
          <w:trHeight w:val="331"/>
        </w:trPr>
        <w:tc>
          <w:tcPr>
            <w:tcW w:w="3324" w:type="dxa"/>
            <w:gridSpan w:val="2"/>
            <w:vMerge/>
            <w:tcBorders>
              <w:bottom w:val="single" w:sz="8" w:space="0" w:color="9BBB59"/>
            </w:tcBorders>
            <w:shd w:val="clear" w:color="auto" w:fill="auto"/>
            <w:noWrap/>
          </w:tcPr>
          <w:p w14:paraId="41C60503" w14:textId="77777777" w:rsidR="009F5E4B" w:rsidRPr="0088128B" w:rsidRDefault="009F5E4B" w:rsidP="00B84903">
            <w:pPr>
              <w:rPr>
                <w:b/>
                <w:bCs/>
              </w:rPr>
            </w:pPr>
          </w:p>
        </w:tc>
        <w:tc>
          <w:tcPr>
            <w:tcW w:w="712" w:type="dxa"/>
            <w:tcBorders>
              <w:top w:val="nil"/>
              <w:left w:val="nil"/>
              <w:bottom w:val="single" w:sz="4" w:space="0" w:color="9BBB59"/>
              <w:right w:val="nil"/>
            </w:tcBorders>
            <w:shd w:val="clear" w:color="auto" w:fill="auto"/>
            <w:noWrap/>
          </w:tcPr>
          <w:p w14:paraId="64BB1D1A" w14:textId="77777777" w:rsidR="009F5E4B" w:rsidRPr="0088128B" w:rsidRDefault="006947B6" w:rsidP="006947B6">
            <w:r w:rsidRPr="0088128B">
              <w:t xml:space="preserve">  </w:t>
            </w:r>
            <w:r w:rsidR="009F5E4B" w:rsidRPr="0088128B">
              <w:t>73</w:t>
            </w:r>
          </w:p>
        </w:tc>
        <w:tc>
          <w:tcPr>
            <w:tcW w:w="4181" w:type="dxa"/>
            <w:tcBorders>
              <w:top w:val="single" w:sz="4" w:space="0" w:color="9BBB59"/>
              <w:left w:val="nil"/>
              <w:bottom w:val="single" w:sz="4" w:space="0" w:color="9BBB59"/>
              <w:right w:val="single" w:sz="4" w:space="0" w:color="9BBB59"/>
            </w:tcBorders>
            <w:shd w:val="clear" w:color="auto" w:fill="auto"/>
            <w:noWrap/>
          </w:tcPr>
          <w:p w14:paraId="7958668D" w14:textId="77777777" w:rsidR="009F5E4B" w:rsidRPr="004F465E" w:rsidRDefault="009F5E4B" w:rsidP="00B845AF">
            <w:r w:rsidRPr="0088128B">
              <w:t>Other Spiritual Beliefs</w:t>
            </w:r>
          </w:p>
        </w:tc>
      </w:tr>
    </w:tbl>
    <w:p w14:paraId="2C194F2B" w14:textId="77777777" w:rsidR="00770CE4" w:rsidRDefault="00770CE4" w:rsidP="00770CE4"/>
    <w:p w14:paraId="61FEFEAF" w14:textId="77777777" w:rsidR="004D56F2" w:rsidRPr="004D56F2" w:rsidRDefault="004D56F2" w:rsidP="004D56F2"/>
    <w:p w14:paraId="0E7D6628" w14:textId="77777777" w:rsidR="00353123" w:rsidRDefault="00353123" w:rsidP="004F465E">
      <w:pPr>
        <w:pStyle w:val="Heading1"/>
        <w:numPr>
          <w:ilvl w:val="0"/>
          <w:numId w:val="0"/>
        </w:numPr>
        <w:ind w:left="646" w:hanging="646"/>
      </w:pPr>
      <w:bookmarkStart w:id="133" w:name="_Toc397587745"/>
      <w:bookmarkStart w:id="134" w:name="_Toc397698613"/>
      <w:bookmarkStart w:id="135" w:name="_Toc398206963"/>
      <w:bookmarkStart w:id="136" w:name="_Toc398209386"/>
      <w:bookmarkStart w:id="137" w:name="_Toc398796203"/>
      <w:bookmarkStart w:id="138" w:name="_Toc398816713"/>
      <w:bookmarkStart w:id="139" w:name="_Toc398886679"/>
      <w:bookmarkStart w:id="140" w:name="_Toc408317594"/>
      <w:r>
        <w:lastRenderedPageBreak/>
        <w:t xml:space="preserve">Appendix </w:t>
      </w:r>
      <w:r w:rsidR="00511A5A">
        <w:t>3</w:t>
      </w:r>
      <w:r>
        <w:t xml:space="preserve"> – Glossary</w:t>
      </w:r>
      <w:bookmarkEnd w:id="133"/>
      <w:bookmarkEnd w:id="134"/>
      <w:bookmarkEnd w:id="135"/>
      <w:bookmarkEnd w:id="136"/>
      <w:bookmarkEnd w:id="137"/>
      <w:bookmarkEnd w:id="138"/>
      <w:bookmarkEnd w:id="139"/>
      <w:bookmarkEnd w:id="140"/>
    </w:p>
    <w:p w14:paraId="7BC4B331" w14:textId="77777777" w:rsidR="00353123" w:rsidRDefault="00353123" w:rsidP="00353123">
      <w:r>
        <w:t>This glossary is intended to assist the users of this document in understanding the terms that have been used throughout this document.</w:t>
      </w:r>
    </w:p>
    <w:p w14:paraId="441B5483" w14:textId="77777777" w:rsidR="009F222A" w:rsidRDefault="009F222A" w:rsidP="00353123"/>
    <w:p w14:paraId="67860D37" w14:textId="77777777" w:rsidR="00EF6744" w:rsidRDefault="00DC7229" w:rsidP="00353123">
      <w:pPr>
        <w:rPr>
          <w:b/>
        </w:rPr>
      </w:pPr>
      <w:r>
        <w:rPr>
          <w:b/>
        </w:rPr>
        <w:t>CAU</w:t>
      </w:r>
    </w:p>
    <w:p w14:paraId="1CB5D8D7" w14:textId="77777777" w:rsidR="00EF6744" w:rsidRPr="00EF6744" w:rsidRDefault="00EF6744" w:rsidP="00353123">
      <w:r w:rsidRPr="00EF6744">
        <w:t xml:space="preserve">The Conveyance Allowance Unit within </w:t>
      </w:r>
      <w:r w:rsidR="00A150A3">
        <w:t>the Department</w:t>
      </w:r>
      <w:r w:rsidRPr="00EF6744">
        <w:t>.</w:t>
      </w:r>
      <w:r>
        <w:t xml:space="preserve"> The CAU manage the Conveyance Allowance Program which includes the Student Conveyance Allowance System (SCAS).</w:t>
      </w:r>
    </w:p>
    <w:p w14:paraId="074C6C20" w14:textId="77777777" w:rsidR="00353123" w:rsidRPr="00BB22D9" w:rsidRDefault="00F84302" w:rsidP="00353123">
      <w:pPr>
        <w:rPr>
          <w:b/>
        </w:rPr>
      </w:pPr>
      <w:r>
        <w:rPr>
          <w:b/>
        </w:rPr>
        <w:t>DET</w:t>
      </w:r>
    </w:p>
    <w:p w14:paraId="19DCCE0F" w14:textId="77777777" w:rsidR="00353123" w:rsidRDefault="00353123" w:rsidP="00353123">
      <w:r>
        <w:t xml:space="preserve">The </w:t>
      </w:r>
      <w:r w:rsidR="00F84302">
        <w:t>Department of Education and Training, which is</w:t>
      </w:r>
      <w:r w:rsidR="009F222A">
        <w:t xml:space="preserve"> </w:t>
      </w:r>
      <w:r w:rsidR="00F84302">
        <w:t>g</w:t>
      </w:r>
      <w:r w:rsidR="009F222A">
        <w:t>enerally referred to in this document as ‘the Department.’</w:t>
      </w:r>
    </w:p>
    <w:p w14:paraId="46D9E566" w14:textId="77777777" w:rsidR="00353123" w:rsidRPr="00BB22D9" w:rsidRDefault="00353123" w:rsidP="00353123">
      <w:pPr>
        <w:rPr>
          <w:b/>
        </w:rPr>
      </w:pPr>
      <w:r w:rsidRPr="00BB22D9">
        <w:rPr>
          <w:b/>
        </w:rPr>
        <w:t>Designated Neighbourhood School (DNS)</w:t>
      </w:r>
    </w:p>
    <w:p w14:paraId="30424CA0" w14:textId="77777777" w:rsidR="00353123" w:rsidRDefault="00353123" w:rsidP="00353123">
      <w:r>
        <w:t xml:space="preserve">The Designated Neighbourhood School is generally the nearest school to a residential address. Some areas have regionally approved enrolment zones in which case DNS is defined by the school that a student at a particular residential address is zoned to. For the purposes of the School Bus Program, </w:t>
      </w:r>
      <w:r w:rsidR="00A150A3">
        <w:t>the Department</w:t>
      </w:r>
      <w:r>
        <w:t xml:space="preserve"> recognises the DNS to be the nearest school by shortest practicable route unless a regionally approved enrolment zone is in place.</w:t>
      </w:r>
    </w:p>
    <w:p w14:paraId="7A827668" w14:textId="77777777" w:rsidR="00353123" w:rsidRPr="00BB22D9" w:rsidRDefault="00353123" w:rsidP="00353123">
      <w:pPr>
        <w:rPr>
          <w:b/>
        </w:rPr>
      </w:pPr>
      <w:r w:rsidRPr="00BB22D9">
        <w:rPr>
          <w:b/>
        </w:rPr>
        <w:t>Nearest appropriate school</w:t>
      </w:r>
    </w:p>
    <w:p w14:paraId="7A055D47" w14:textId="77777777" w:rsidR="00353123" w:rsidRDefault="00353123" w:rsidP="00353123">
      <w:r>
        <w:t>The nearest ‘appropriate’ school for government school students is the nearest government school</w:t>
      </w:r>
      <w:r w:rsidR="00EF6744">
        <w:t>/campus</w:t>
      </w:r>
      <w:r>
        <w:t xml:space="preserve"> to a student’s primary residence that is suitable at their year level, measured by the shortest practicable route.</w:t>
      </w:r>
    </w:p>
    <w:p w14:paraId="3AD86368" w14:textId="77777777" w:rsidR="00353123" w:rsidRDefault="00353123" w:rsidP="00353123">
      <w:r>
        <w:t>The nearest ‘appropriate’ school</w:t>
      </w:r>
      <w:r w:rsidR="00EF6744">
        <w:t>/campus</w:t>
      </w:r>
      <w:r>
        <w:t xml:space="preserve"> for students attending non-government schools is determined by the denomination of the school</w:t>
      </w:r>
      <w:r w:rsidR="00770CE4">
        <w:t xml:space="preserve"> (see Appendix 4 for more information)</w:t>
      </w:r>
      <w:r>
        <w:t>. The nearest ‘appropriate’ school</w:t>
      </w:r>
      <w:r w:rsidR="00EF6744">
        <w:t>/campus</w:t>
      </w:r>
      <w:r>
        <w:t xml:space="preserve"> for non-government school students is the nearest non-government </w:t>
      </w:r>
      <w:r w:rsidR="00EF6744">
        <w:t>campus</w:t>
      </w:r>
      <w:r>
        <w:t xml:space="preserve"> to a student’s primary residence of their chosen denomination that is suitable at their year level, measured by the shortest practicable route.</w:t>
      </w:r>
    </w:p>
    <w:p w14:paraId="1A6A54F1" w14:textId="77777777" w:rsidR="00353123" w:rsidRPr="00BB22D9" w:rsidRDefault="00353123" w:rsidP="00353123">
      <w:pPr>
        <w:rPr>
          <w:b/>
        </w:rPr>
      </w:pPr>
      <w:r w:rsidRPr="00BB22D9">
        <w:rPr>
          <w:b/>
        </w:rPr>
        <w:t>PTV</w:t>
      </w:r>
    </w:p>
    <w:p w14:paraId="7C4951F3" w14:textId="77777777" w:rsidR="00353123" w:rsidRDefault="00353123" w:rsidP="00353123">
      <w:r>
        <w:t>Public Transport Victoria.</w:t>
      </w:r>
    </w:p>
    <w:p w14:paraId="23D9E485" w14:textId="77777777" w:rsidR="009F222A" w:rsidRPr="00B34D72" w:rsidRDefault="009F222A" w:rsidP="009F222A">
      <w:pPr>
        <w:rPr>
          <w:b/>
        </w:rPr>
      </w:pPr>
      <w:r w:rsidRPr="00B34D72">
        <w:rPr>
          <w:b/>
        </w:rPr>
        <w:t>Shortest practicable route</w:t>
      </w:r>
    </w:p>
    <w:p w14:paraId="792084ED" w14:textId="77777777" w:rsidR="009F222A" w:rsidRDefault="009F222A" w:rsidP="009F222A">
      <w:r>
        <w:t>The shortest practicable route between the student’s residence to the main entrance of the school/campus they attend is measured using all-weather public roads drivable by car.</w:t>
      </w:r>
    </w:p>
    <w:p w14:paraId="6F98644B" w14:textId="77777777" w:rsidR="00DC7229" w:rsidRPr="00DC7229" w:rsidRDefault="00DC7229" w:rsidP="00353123">
      <w:pPr>
        <w:rPr>
          <w:b/>
        </w:rPr>
      </w:pPr>
      <w:r w:rsidRPr="00DC7229">
        <w:rPr>
          <w:b/>
        </w:rPr>
        <w:t>Student Transport and Family Allowances Branch</w:t>
      </w:r>
    </w:p>
    <w:p w14:paraId="444C762D" w14:textId="77777777" w:rsidR="00DC7229" w:rsidRDefault="00DC7229" w:rsidP="00353123">
      <w:r>
        <w:t>The Student Transport and Family Allowances Branch</w:t>
      </w:r>
      <w:r w:rsidR="003835AF">
        <w:t xml:space="preserve"> in </w:t>
      </w:r>
      <w:r w:rsidR="00F84302">
        <w:t>DET</w:t>
      </w:r>
      <w:r>
        <w:t xml:space="preserve"> is made up of two units; the Conveyance Allowance Unit (CAU) and the Student Transport Unit (STU).</w:t>
      </w:r>
    </w:p>
    <w:p w14:paraId="445E6999" w14:textId="77777777" w:rsidR="00353123" w:rsidRPr="00BB22D9" w:rsidRDefault="00DC7229" w:rsidP="00353123">
      <w:pPr>
        <w:rPr>
          <w:b/>
        </w:rPr>
      </w:pPr>
      <w:r>
        <w:rPr>
          <w:b/>
        </w:rPr>
        <w:t>STU</w:t>
      </w:r>
    </w:p>
    <w:p w14:paraId="7505F6D5" w14:textId="77777777" w:rsidR="00481BF1" w:rsidRDefault="00353123" w:rsidP="00353123">
      <w:r>
        <w:t xml:space="preserve">The Student Transport Unit within </w:t>
      </w:r>
      <w:r w:rsidR="00A150A3">
        <w:t>the Department</w:t>
      </w:r>
      <w:r>
        <w:t>.</w:t>
      </w:r>
      <w:r w:rsidR="00EF6744">
        <w:t xml:space="preserve"> The STU manages the </w:t>
      </w:r>
      <w:r w:rsidR="00DC7229">
        <w:t xml:space="preserve">special case consideration process and the administration for the Transport Special Case Panel. It also has responsibility for two programs; the </w:t>
      </w:r>
      <w:r w:rsidR="00EF6744">
        <w:t>School Bus Program (SBP) and Students with Disabilities Transport Program (SDTP).</w:t>
      </w:r>
    </w:p>
    <w:p w14:paraId="00DB4AEF" w14:textId="77777777" w:rsidR="00EF6744" w:rsidRPr="00EF6744" w:rsidRDefault="004346D1" w:rsidP="00353123">
      <w:pPr>
        <w:rPr>
          <w:b/>
        </w:rPr>
      </w:pPr>
      <w:r>
        <w:rPr>
          <w:b/>
        </w:rPr>
        <w:t>SCAS</w:t>
      </w:r>
    </w:p>
    <w:p w14:paraId="77D6688B" w14:textId="77777777" w:rsidR="00EF6744" w:rsidRDefault="004346D1" w:rsidP="00353123">
      <w:r>
        <w:t>The Student Conveyance Allowance system (</w:t>
      </w:r>
      <w:r w:rsidR="00EF6744">
        <w:t>SCAS</w:t>
      </w:r>
      <w:r>
        <w:t>)</w:t>
      </w:r>
      <w:r w:rsidR="00EF6744">
        <w:t xml:space="preserve"> is the online system used to process conveyance allowance claims.</w:t>
      </w:r>
    </w:p>
    <w:p w14:paraId="7775A5C3" w14:textId="77777777" w:rsidR="00481BF1" w:rsidRPr="00481BF1" w:rsidRDefault="00481BF1" w:rsidP="00C33A72">
      <w:pPr>
        <w:pStyle w:val="Heading1"/>
        <w:numPr>
          <w:ilvl w:val="0"/>
          <w:numId w:val="0"/>
        </w:numPr>
        <w:ind w:left="646" w:hanging="646"/>
      </w:pPr>
      <w:bookmarkStart w:id="141" w:name="_Toc396387076"/>
      <w:bookmarkStart w:id="142" w:name="_Toc396388192"/>
      <w:bookmarkStart w:id="143" w:name="_Toc396389296"/>
      <w:bookmarkStart w:id="144" w:name="_Toc397587746"/>
      <w:bookmarkStart w:id="145" w:name="_Toc397698614"/>
      <w:bookmarkStart w:id="146" w:name="_Toc398206964"/>
      <w:bookmarkStart w:id="147" w:name="_Toc398209387"/>
      <w:bookmarkStart w:id="148" w:name="_Toc398796204"/>
      <w:bookmarkStart w:id="149" w:name="_Toc398816714"/>
      <w:bookmarkStart w:id="150" w:name="_Toc398886680"/>
      <w:bookmarkStart w:id="151" w:name="_Toc408317595"/>
      <w:r w:rsidRPr="00481BF1">
        <w:lastRenderedPageBreak/>
        <w:t xml:space="preserve">Appendix </w:t>
      </w:r>
      <w:r w:rsidR="00511A5A">
        <w:t>4</w:t>
      </w:r>
      <w:r w:rsidRPr="00481BF1">
        <w:t xml:space="preserve"> – Contact information</w:t>
      </w:r>
      <w:bookmarkEnd w:id="141"/>
      <w:bookmarkEnd w:id="142"/>
      <w:bookmarkEnd w:id="143"/>
      <w:bookmarkEnd w:id="144"/>
      <w:bookmarkEnd w:id="145"/>
      <w:bookmarkEnd w:id="146"/>
      <w:bookmarkEnd w:id="147"/>
      <w:bookmarkEnd w:id="148"/>
      <w:bookmarkEnd w:id="149"/>
      <w:bookmarkEnd w:id="150"/>
      <w:bookmarkEnd w:id="151"/>
    </w:p>
    <w:p w14:paraId="77652C96" w14:textId="77777777" w:rsidR="004B331A" w:rsidRPr="00EA6B6F" w:rsidRDefault="00F84302" w:rsidP="00481BF1">
      <w:pPr>
        <w:rPr>
          <w:b/>
        </w:rPr>
      </w:pPr>
      <w:r>
        <w:rPr>
          <w:b/>
        </w:rPr>
        <w:t>Department of Education and Training</w:t>
      </w:r>
      <w:r w:rsidR="00481BF1" w:rsidRPr="00EA6B6F">
        <w:rPr>
          <w:b/>
        </w:rPr>
        <w:t xml:space="preserve"> (</w:t>
      </w:r>
      <w:r>
        <w:rPr>
          <w:b/>
        </w:rPr>
        <w:t>DET</w:t>
      </w:r>
      <w:r w:rsidR="00481BF1" w:rsidRPr="00EA6B6F">
        <w:rPr>
          <w:b/>
        </w:rPr>
        <w:t>)</w:t>
      </w:r>
    </w:p>
    <w:p w14:paraId="7F6C7558" w14:textId="77777777" w:rsidR="00481BF1" w:rsidRPr="009D5264" w:rsidRDefault="00EA6B6F" w:rsidP="00481BF1">
      <w:r>
        <w:t>For C</w:t>
      </w:r>
      <w:r w:rsidR="00481BF1" w:rsidRPr="009D5264">
        <w:t>onveyance Allowance Program policy advice:</w:t>
      </w:r>
    </w:p>
    <w:p w14:paraId="7EDE9EBC" w14:textId="77777777" w:rsidR="00481BF1" w:rsidRPr="009D5264" w:rsidRDefault="00481BF1" w:rsidP="00481BF1">
      <w:r w:rsidRPr="009D5264">
        <w:t>1800 060 970</w:t>
      </w:r>
    </w:p>
    <w:p w14:paraId="3D7C968C" w14:textId="77777777" w:rsidR="00481BF1" w:rsidRPr="004B331A" w:rsidRDefault="00481BF1" w:rsidP="004B331A">
      <w:r w:rsidRPr="004B331A">
        <w:t>conveyance@edumail.vic.gov.au</w:t>
      </w:r>
    </w:p>
    <w:p w14:paraId="6FA84343" w14:textId="77777777" w:rsidR="00481BF1" w:rsidRPr="00EA6B6F" w:rsidRDefault="00AC6958" w:rsidP="00481BF1">
      <w:hyperlink r:id="rId37" w:history="1">
        <w:r w:rsidR="002073D3" w:rsidRPr="0054190F">
          <w:rPr>
            <w:rStyle w:val="Hyperlink"/>
          </w:rPr>
          <w:t>www.education.vic.gov.au/conveyance</w:t>
        </w:r>
      </w:hyperlink>
      <w:r w:rsidR="00EA6B6F">
        <w:t xml:space="preserve"> </w:t>
      </w:r>
    </w:p>
    <w:p w14:paraId="25294958" w14:textId="77777777" w:rsidR="00481BF1" w:rsidRPr="009D5264" w:rsidRDefault="00481BF1" w:rsidP="00481BF1">
      <w:r w:rsidRPr="009D5264">
        <w:t xml:space="preserve">If government schools have any CASES21 related SCAS enquiries, call the </w:t>
      </w:r>
      <w:r w:rsidR="00F84302">
        <w:t>DET</w:t>
      </w:r>
      <w:r w:rsidRPr="009D5264">
        <w:t xml:space="preserve"> service desk on 1800 641 943 and follow prompts for CASES21 administration or log a service request via the Service Gateway.</w:t>
      </w:r>
    </w:p>
    <w:p w14:paraId="3BEF6CF1" w14:textId="77777777" w:rsidR="00481BF1" w:rsidRPr="009D5264" w:rsidRDefault="00EA6B6F" w:rsidP="00481BF1">
      <w:r>
        <w:t>For g</w:t>
      </w:r>
      <w:r w:rsidR="00481BF1" w:rsidRPr="009D5264">
        <w:t>eneral student transport assistance information:</w:t>
      </w:r>
    </w:p>
    <w:p w14:paraId="6B332753" w14:textId="77777777" w:rsidR="00481BF1" w:rsidRPr="009D5264" w:rsidRDefault="00481BF1" w:rsidP="00481BF1">
      <w:r w:rsidRPr="009D5264">
        <w:t>03 9637 2200</w:t>
      </w:r>
    </w:p>
    <w:p w14:paraId="247889D3" w14:textId="77777777" w:rsidR="00481BF1" w:rsidRPr="004B331A" w:rsidRDefault="00481BF1" w:rsidP="00481BF1">
      <w:r w:rsidRPr="004B331A">
        <w:t>stude</w:t>
      </w:r>
      <w:r w:rsidR="00EA6B6F">
        <w:t>nt.transport@edumail.vic.gov.au</w:t>
      </w:r>
    </w:p>
    <w:p w14:paraId="3F4C2211" w14:textId="77777777" w:rsidR="00481BF1" w:rsidRPr="00EA6B6F" w:rsidRDefault="00AC6958" w:rsidP="00481BF1">
      <w:hyperlink r:id="rId38" w:history="1">
        <w:r w:rsidR="002073D3" w:rsidRPr="0054190F">
          <w:rPr>
            <w:rStyle w:val="Hyperlink"/>
          </w:rPr>
          <w:t>www.education.vic.gov.au/studenttransport</w:t>
        </w:r>
      </w:hyperlink>
      <w:r w:rsidR="00EA6B6F">
        <w:t xml:space="preserve"> </w:t>
      </w:r>
    </w:p>
    <w:p w14:paraId="66C3CBC7" w14:textId="77777777" w:rsidR="00481BF1" w:rsidRPr="009D5264" w:rsidRDefault="00481BF1" w:rsidP="00481BF1"/>
    <w:p w14:paraId="006D76D3" w14:textId="77777777" w:rsidR="004B331A" w:rsidRPr="00EA6B6F" w:rsidRDefault="00481BF1" w:rsidP="00481BF1">
      <w:pPr>
        <w:rPr>
          <w:b/>
        </w:rPr>
      </w:pPr>
      <w:r w:rsidRPr="00EA6B6F">
        <w:rPr>
          <w:b/>
        </w:rPr>
        <w:t>Public Transport Victoria (PTV)</w:t>
      </w:r>
    </w:p>
    <w:p w14:paraId="027434DA" w14:textId="77777777" w:rsidR="00481BF1" w:rsidRPr="009D5264" w:rsidRDefault="00481BF1" w:rsidP="00481BF1">
      <w:r w:rsidRPr="009D5264">
        <w:t>Journey planner and advice on public transport options available:</w:t>
      </w:r>
    </w:p>
    <w:p w14:paraId="3F1C4B84" w14:textId="77777777" w:rsidR="00481BF1" w:rsidRPr="00EA6B6F" w:rsidRDefault="00AC6958" w:rsidP="00481BF1">
      <w:hyperlink r:id="rId39" w:history="1">
        <w:r w:rsidR="002073D3" w:rsidRPr="0054190F">
          <w:rPr>
            <w:rStyle w:val="Hyperlink"/>
          </w:rPr>
          <w:t>www.ptv.vic.gov.au</w:t>
        </w:r>
      </w:hyperlink>
      <w:r w:rsidR="00EA6B6F">
        <w:t xml:space="preserve"> </w:t>
      </w:r>
    </w:p>
    <w:p w14:paraId="3B89CE65" w14:textId="77777777" w:rsidR="00481BF1" w:rsidRPr="009D5264" w:rsidRDefault="00481BF1" w:rsidP="00481BF1"/>
    <w:p w14:paraId="30BFD634" w14:textId="77777777" w:rsidR="004B331A" w:rsidRPr="00EA6B6F" w:rsidRDefault="00481BF1" w:rsidP="00481BF1">
      <w:pPr>
        <w:rPr>
          <w:b/>
        </w:rPr>
      </w:pPr>
      <w:r w:rsidRPr="00EA6B6F">
        <w:rPr>
          <w:b/>
        </w:rPr>
        <w:t>Victorian Registration and Qualification Authority (VRQA)</w:t>
      </w:r>
    </w:p>
    <w:p w14:paraId="4A8956BE" w14:textId="77777777" w:rsidR="00481BF1" w:rsidRPr="00EA6B6F" w:rsidRDefault="00481BF1" w:rsidP="00481BF1">
      <w:r w:rsidRPr="009D5264">
        <w:t>Advice on the registered school information:</w:t>
      </w:r>
    </w:p>
    <w:p w14:paraId="11D1864D" w14:textId="77777777" w:rsidR="00481BF1" w:rsidRPr="00EA6B6F" w:rsidRDefault="00AC6958" w:rsidP="00481BF1">
      <w:hyperlink r:id="rId40" w:history="1">
        <w:r w:rsidR="002073D3" w:rsidRPr="0054190F">
          <w:rPr>
            <w:rStyle w:val="Hyperlink"/>
          </w:rPr>
          <w:t>www.vrqa.vic.gov.au</w:t>
        </w:r>
      </w:hyperlink>
      <w:r w:rsidR="00EA6B6F">
        <w:t xml:space="preserve"> </w:t>
      </w:r>
    </w:p>
    <w:p w14:paraId="2E19F232" w14:textId="77777777" w:rsidR="00481BF1" w:rsidRPr="009D5264" w:rsidRDefault="00481BF1" w:rsidP="00481BF1"/>
    <w:sectPr w:rsidR="00481BF1" w:rsidRPr="009D5264" w:rsidSect="00DB65C2">
      <w:headerReference w:type="even" r:id="rId41"/>
      <w:headerReference w:type="default" r:id="rId42"/>
      <w:footerReference w:type="even" r:id="rId43"/>
      <w:footerReference w:type="default" r:id="rId44"/>
      <w:type w:val="oddPage"/>
      <w:pgSz w:w="11907" w:h="16840" w:code="9"/>
      <w:pgMar w:top="2160" w:right="1701" w:bottom="1746" w:left="2835" w:header="992" w:footer="1004"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6F2D4" w14:textId="77777777" w:rsidR="00685544" w:rsidRDefault="00685544">
      <w:r>
        <w:separator/>
      </w:r>
    </w:p>
  </w:endnote>
  <w:endnote w:type="continuationSeparator" w:id="0">
    <w:p w14:paraId="503EAE2B" w14:textId="77777777" w:rsidR="00685544" w:rsidRDefault="0068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C8372" w14:textId="77777777" w:rsidR="00685544" w:rsidRDefault="00685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23F68" w14:textId="77777777" w:rsidR="00685544" w:rsidRDefault="006855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35A91" w14:textId="77777777" w:rsidR="00685544" w:rsidRDefault="006855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92EDE" w14:textId="77777777" w:rsidR="00685544" w:rsidRDefault="006855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CBB9E" w14:textId="77777777" w:rsidR="00685544" w:rsidRDefault="0068554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CDB32" w14:textId="77777777" w:rsidR="00685544" w:rsidRDefault="0068554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363" w:type="dxa"/>
      <w:tblLayout w:type="fixed"/>
      <w:tblCellMar>
        <w:left w:w="0" w:type="dxa"/>
        <w:right w:w="0" w:type="dxa"/>
      </w:tblCellMar>
      <w:tblLook w:val="01E0" w:firstRow="1" w:lastRow="1" w:firstColumn="1" w:lastColumn="1" w:noHBand="0" w:noVBand="0"/>
    </w:tblPr>
    <w:tblGrid>
      <w:gridCol w:w="624"/>
      <w:gridCol w:w="6739"/>
    </w:tblGrid>
    <w:tr w:rsidR="00685544" w14:paraId="23A4A9B4" w14:textId="77777777" w:rsidTr="00481BF1">
      <w:tc>
        <w:tcPr>
          <w:tcW w:w="624" w:type="dxa"/>
          <w:shd w:val="clear" w:color="auto" w:fill="auto"/>
        </w:tcPr>
        <w:p w14:paraId="77B30460" w14:textId="309E7E74" w:rsidR="00685544" w:rsidRPr="00747063" w:rsidRDefault="00685544" w:rsidP="00481BF1">
          <w:pPr>
            <w:pStyle w:val="Footer"/>
            <w:tabs>
              <w:tab w:val="clear" w:pos="8640"/>
              <w:tab w:val="left" w:pos="57"/>
              <w:tab w:val="left" w:pos="113"/>
              <w:tab w:val="left" w:pos="170"/>
              <w:tab w:val="left" w:pos="227"/>
              <w:tab w:val="left" w:pos="284"/>
              <w:tab w:val="left" w:pos="340"/>
              <w:tab w:val="left" w:pos="397"/>
              <w:tab w:val="left" w:pos="454"/>
              <w:tab w:val="left" w:pos="510"/>
              <w:tab w:val="left" w:pos="567"/>
              <w:tab w:val="left" w:pos="624"/>
              <w:tab w:val="left" w:pos="680"/>
              <w:tab w:val="left" w:pos="737"/>
              <w:tab w:val="left" w:pos="794"/>
              <w:tab w:val="left" w:pos="851"/>
              <w:tab w:val="left" w:pos="907"/>
              <w:tab w:val="left" w:pos="964"/>
              <w:tab w:val="left" w:pos="1021"/>
              <w:tab w:val="left" w:pos="1077"/>
              <w:tab w:val="left" w:pos="1134"/>
            </w:tabs>
            <w:jc w:val="left"/>
          </w:pPr>
          <w:r>
            <w:rPr>
              <w:rStyle w:val="PageNumber"/>
            </w:rPr>
            <w:fldChar w:fldCharType="begin"/>
          </w:r>
          <w:r>
            <w:rPr>
              <w:rStyle w:val="PageNumber"/>
            </w:rPr>
            <w:instrText xml:space="preserve"> PAGE </w:instrText>
          </w:r>
          <w:r>
            <w:rPr>
              <w:rStyle w:val="PageNumber"/>
            </w:rPr>
            <w:fldChar w:fldCharType="separate"/>
          </w:r>
          <w:r w:rsidR="00AC6958">
            <w:rPr>
              <w:rStyle w:val="PageNumber"/>
              <w:noProof/>
            </w:rPr>
            <w:t>16</w:t>
          </w:r>
          <w:r>
            <w:rPr>
              <w:rStyle w:val="PageNumber"/>
            </w:rPr>
            <w:fldChar w:fldCharType="end"/>
          </w:r>
        </w:p>
      </w:tc>
      <w:tc>
        <w:tcPr>
          <w:tcW w:w="6739" w:type="dxa"/>
          <w:shd w:val="clear" w:color="auto" w:fill="auto"/>
        </w:tcPr>
        <w:p w14:paraId="29BBC5EC" w14:textId="201F719F" w:rsidR="00685544" w:rsidRPr="00BB6565" w:rsidRDefault="00AC6958" w:rsidP="00481BF1">
          <w:pPr>
            <w:pStyle w:val="Footer"/>
            <w:jc w:val="left"/>
          </w:pPr>
          <w:r>
            <w:fldChar w:fldCharType="begin"/>
          </w:r>
          <w:r>
            <w:instrText xml:space="preserve"> STYLEREF "Report Title" \* MERGEFORMAT </w:instrText>
          </w:r>
          <w:r>
            <w:fldChar w:fldCharType="separate"/>
          </w:r>
          <w:r w:rsidRPr="00AC6958">
            <w:rPr>
              <w:b/>
              <w:bCs/>
              <w:noProof/>
              <w:lang w:val="en-US"/>
            </w:rPr>
            <w:t>Conveyance Allowance Program</w:t>
          </w:r>
          <w:r>
            <w:rPr>
              <w:b/>
              <w:bCs/>
              <w:noProof/>
              <w:lang w:val="en-US"/>
            </w:rPr>
            <w:fldChar w:fldCharType="end"/>
          </w:r>
        </w:p>
      </w:tc>
    </w:tr>
  </w:tbl>
  <w:p w14:paraId="7F0F365A" w14:textId="77777777" w:rsidR="00685544" w:rsidRPr="000D4779" w:rsidRDefault="00685544" w:rsidP="00F82E0A">
    <w:pPr>
      <w:pStyle w:val="Footer"/>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428" w:type="dxa"/>
      <w:tblLayout w:type="fixed"/>
      <w:tblCellMar>
        <w:left w:w="0" w:type="dxa"/>
        <w:right w:w="0" w:type="dxa"/>
      </w:tblCellMar>
      <w:tblLook w:val="01E0" w:firstRow="1" w:lastRow="1" w:firstColumn="1" w:lastColumn="1" w:noHBand="0" w:noVBand="0"/>
    </w:tblPr>
    <w:tblGrid>
      <w:gridCol w:w="6804"/>
      <w:gridCol w:w="624"/>
    </w:tblGrid>
    <w:tr w:rsidR="00685544" w14:paraId="70D25587" w14:textId="77777777" w:rsidTr="00481BF1">
      <w:tc>
        <w:tcPr>
          <w:tcW w:w="6804" w:type="dxa"/>
          <w:shd w:val="clear" w:color="auto" w:fill="auto"/>
        </w:tcPr>
        <w:p w14:paraId="2B6FEB02" w14:textId="0DDC037A" w:rsidR="00685544" w:rsidRPr="00BB6565" w:rsidRDefault="00AC6958" w:rsidP="00481BF1">
          <w:pPr>
            <w:pStyle w:val="Footer"/>
          </w:pPr>
          <w:r>
            <w:fldChar w:fldCharType="begin"/>
          </w:r>
          <w:r>
            <w:instrText xml:space="preserve"> STYLEREF "Heading 1" \* MERGEFORMAT </w:instrText>
          </w:r>
          <w:r>
            <w:fldChar w:fldCharType="separate"/>
          </w:r>
          <w:r w:rsidRPr="00AC6958">
            <w:rPr>
              <w:b/>
              <w:bCs/>
              <w:noProof/>
              <w:lang w:val="en-US"/>
            </w:rPr>
            <w:t>Appendix</w:t>
          </w:r>
          <w:r>
            <w:rPr>
              <w:noProof/>
            </w:rPr>
            <w:t xml:space="preserve"> 1 – Conveyance allowance rates</w:t>
          </w:r>
          <w:r>
            <w:rPr>
              <w:noProof/>
            </w:rPr>
            <w:fldChar w:fldCharType="end"/>
          </w:r>
        </w:p>
      </w:tc>
      <w:tc>
        <w:tcPr>
          <w:tcW w:w="624" w:type="dxa"/>
          <w:shd w:val="clear" w:color="auto" w:fill="auto"/>
        </w:tcPr>
        <w:p w14:paraId="7F97778D" w14:textId="1BE8EAAE" w:rsidR="00685544" w:rsidRPr="00BB6565" w:rsidRDefault="00685544" w:rsidP="00481BF1">
          <w:pPr>
            <w:pStyle w:val="Footer"/>
          </w:pPr>
          <w:r>
            <w:rPr>
              <w:rStyle w:val="PageNumber"/>
            </w:rPr>
            <w:fldChar w:fldCharType="begin"/>
          </w:r>
          <w:r>
            <w:rPr>
              <w:rStyle w:val="PageNumber"/>
            </w:rPr>
            <w:instrText xml:space="preserve"> PAGE </w:instrText>
          </w:r>
          <w:r>
            <w:rPr>
              <w:rStyle w:val="PageNumber"/>
            </w:rPr>
            <w:fldChar w:fldCharType="separate"/>
          </w:r>
          <w:r w:rsidR="00AC6958">
            <w:rPr>
              <w:rStyle w:val="PageNumber"/>
              <w:noProof/>
            </w:rPr>
            <w:t>17</w:t>
          </w:r>
          <w:r>
            <w:rPr>
              <w:rStyle w:val="PageNumber"/>
            </w:rPr>
            <w:fldChar w:fldCharType="end"/>
          </w:r>
        </w:p>
      </w:tc>
    </w:tr>
  </w:tbl>
  <w:p w14:paraId="50281F3E" w14:textId="77777777" w:rsidR="00685544" w:rsidRPr="00BB6565" w:rsidRDefault="00685544" w:rsidP="00BB6565">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36976" w14:textId="77777777" w:rsidR="00685544" w:rsidRDefault="00685544">
      <w:r>
        <w:separator/>
      </w:r>
    </w:p>
  </w:footnote>
  <w:footnote w:type="continuationSeparator" w:id="0">
    <w:p w14:paraId="6B31A8D5" w14:textId="77777777" w:rsidR="00685544" w:rsidRDefault="00685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D7EAE" w14:textId="77777777" w:rsidR="00685544" w:rsidRDefault="00685544" w:rsidP="008578E9">
    <w:pPr>
      <w:pStyle w:val="Header"/>
      <w:ind w:left="-7230"/>
    </w:pPr>
    <w:r>
      <w:rPr>
        <w:noProof/>
        <w:lang w:eastAsia="en-AU"/>
      </w:rPr>
      <mc:AlternateContent>
        <mc:Choice Requires="wps">
          <w:drawing>
            <wp:anchor distT="0" distB="0" distL="114300" distR="114300" simplePos="0" relativeHeight="251658239" behindDoc="1" locked="1" layoutInCell="1" allowOverlap="1" wp14:anchorId="46BDE603" wp14:editId="7E2DD1A2">
              <wp:simplePos x="0" y="0"/>
              <wp:positionH relativeFrom="page">
                <wp:posOffset>4808855</wp:posOffset>
              </wp:positionH>
              <wp:positionV relativeFrom="page">
                <wp:posOffset>3104515</wp:posOffset>
              </wp:positionV>
              <wp:extent cx="1284605" cy="1283970"/>
              <wp:effectExtent l="8255" t="8890" r="2540" b="2540"/>
              <wp:wrapNone/>
              <wp:docPr id="3" name="Logo Ever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284605" cy="1283970"/>
                      </a:xfrm>
                      <a:custGeom>
                        <a:avLst/>
                        <a:gdLst>
                          <a:gd name="T0" fmla="*/ 0 w 40176"/>
                          <a:gd name="T1" fmla="*/ 4394 h 40177"/>
                          <a:gd name="T2" fmla="*/ 4393 w 40176"/>
                          <a:gd name="T3" fmla="*/ 40177 h 40177"/>
                          <a:gd name="T4" fmla="*/ 40176 w 40176"/>
                          <a:gd name="T5" fmla="*/ 35783 h 40177"/>
                          <a:gd name="T6" fmla="*/ 35785 w 40176"/>
                          <a:gd name="T7" fmla="*/ 0 h 40177"/>
                          <a:gd name="T8" fmla="*/ 0 w 40176"/>
                          <a:gd name="T9" fmla="*/ 4394 h 40177"/>
                        </a:gdLst>
                        <a:ahLst/>
                        <a:cxnLst>
                          <a:cxn ang="0">
                            <a:pos x="T0" y="T1"/>
                          </a:cxn>
                          <a:cxn ang="0">
                            <a:pos x="T2" y="T3"/>
                          </a:cxn>
                          <a:cxn ang="0">
                            <a:pos x="T4" y="T5"/>
                          </a:cxn>
                          <a:cxn ang="0">
                            <a:pos x="T6" y="T7"/>
                          </a:cxn>
                          <a:cxn ang="0">
                            <a:pos x="T8" y="T9"/>
                          </a:cxn>
                        </a:cxnLst>
                        <a:rect l="0" t="0" r="r" b="b"/>
                        <a:pathLst>
                          <a:path w="40176" h="40177">
                            <a:moveTo>
                              <a:pt x="0" y="4394"/>
                            </a:moveTo>
                            <a:lnTo>
                              <a:pt x="4393" y="40177"/>
                            </a:lnTo>
                            <a:lnTo>
                              <a:pt x="40176" y="35783"/>
                            </a:lnTo>
                            <a:lnTo>
                              <a:pt x="35785" y="0"/>
                            </a:lnTo>
                            <a:lnTo>
                              <a:pt x="0" y="4394"/>
                            </a:lnTo>
                            <a:close/>
                          </a:path>
                        </a:pathLst>
                      </a:custGeom>
                      <a:solidFill>
                        <a:srgbClr val="87A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2DEA6" id="Logo Every" o:spid="_x0000_s1026" style="position:absolute;margin-left:378.65pt;margin-top:244.45pt;width:101.15pt;height:101.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176,40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" path="m,4394l4393,40177,40176,35783,35785,,,4394xe" fillcolor="#87af00" stroked="f">
              <v:path arrowok="t" o:connecttype="custom" o:connectlocs="0,140423;140464,1283970;1284605,1143547;1144205,0;0,140423" o:connectangles="0,0,0,0,0"/>
              <o:lock v:ext="edit" aspectratio="t"/>
              <w10:wrap anchorx="page" anchory="page"/>
              <w10:anchorlock/>
            </v:shape>
          </w:pict>
        </mc:Fallback>
      </mc:AlternateContent>
    </w:r>
    <w:r>
      <w:rPr>
        <w:noProof/>
        <w:lang w:eastAsia="en-AU"/>
      </w:rPr>
      <mc:AlternateContent>
        <mc:Choice Requires="wps">
          <w:drawing>
            <wp:anchor distT="0" distB="0" distL="114300" distR="114300" simplePos="0" relativeHeight="251656189" behindDoc="1" locked="1" layoutInCell="1" allowOverlap="1" wp14:anchorId="3ED03E2B" wp14:editId="55EDDD4C">
              <wp:simplePos x="0" y="0"/>
              <wp:positionH relativeFrom="page">
                <wp:posOffset>0</wp:posOffset>
              </wp:positionH>
              <wp:positionV relativeFrom="page">
                <wp:posOffset>-447675</wp:posOffset>
              </wp:positionV>
              <wp:extent cx="7560310" cy="10692130"/>
              <wp:effectExtent l="9525" t="0" r="2540" b="4445"/>
              <wp:wrapNone/>
              <wp:docPr id="2" name="Mas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7560310" cy="10692130"/>
                      </a:xfrm>
                      <a:custGeom>
                        <a:avLst/>
                        <a:gdLst>
                          <a:gd name="T0" fmla="*/ 0 w 40176"/>
                          <a:gd name="T1" fmla="*/ 0 h 56820"/>
                          <a:gd name="T2" fmla="*/ 0 w 40176"/>
                          <a:gd name="T3" fmla="*/ 18940 h 56820"/>
                          <a:gd name="T4" fmla="*/ 18748 w 40176"/>
                          <a:gd name="T5" fmla="*/ 18940 h 56820"/>
                          <a:gd name="T6" fmla="*/ 25126 w 40176"/>
                          <a:gd name="T7" fmla="*/ 18522 h 56820"/>
                          <a:gd name="T8" fmla="*/ 25509 w 40176"/>
                          <a:gd name="T9" fmla="*/ 25441 h 56820"/>
                          <a:gd name="T10" fmla="*/ 25509 w 40176"/>
                          <a:gd name="T11" fmla="*/ 31675 h 56820"/>
                          <a:gd name="T12" fmla="*/ 31615 w 40176"/>
                          <a:gd name="T13" fmla="*/ 31675 h 56820"/>
                          <a:gd name="T14" fmla="*/ 31615 w 40176"/>
                          <a:gd name="T15" fmla="*/ 37292 h 56820"/>
                          <a:gd name="T16" fmla="*/ 35119 w 40176"/>
                          <a:gd name="T17" fmla="*/ 37292 h 56820"/>
                          <a:gd name="T18" fmla="*/ 31856 w 40176"/>
                          <a:gd name="T19" fmla="*/ 37119 h 56820"/>
                          <a:gd name="T20" fmla="*/ 32175 w 40176"/>
                          <a:gd name="T21" fmla="*/ 31006 h 56820"/>
                          <a:gd name="T22" fmla="*/ 38291 w 40176"/>
                          <a:gd name="T23" fmla="*/ 31327 h 56820"/>
                          <a:gd name="T24" fmla="*/ 37977 w 40176"/>
                          <a:gd name="T25" fmla="*/ 37292 h 56820"/>
                          <a:gd name="T26" fmla="*/ 38263 w 40176"/>
                          <a:gd name="T27" fmla="*/ 37292 h 56820"/>
                          <a:gd name="T28" fmla="*/ 38263 w 40176"/>
                          <a:gd name="T29" fmla="*/ 56820 h 56820"/>
                          <a:gd name="T30" fmla="*/ 40176 w 40176"/>
                          <a:gd name="T31" fmla="*/ 56820 h 56820"/>
                          <a:gd name="T32" fmla="*/ 40176 w 40176"/>
                          <a:gd name="T33" fmla="*/ 0 h 56820"/>
                          <a:gd name="T34" fmla="*/ 0 w 40176"/>
                          <a:gd name="T35" fmla="*/ 0 h 56820"/>
                          <a:gd name="T36" fmla="*/ 25837 w 40176"/>
                          <a:gd name="T37" fmla="*/ 31623 h 56820"/>
                          <a:gd name="T38" fmla="*/ 25622 w 40176"/>
                          <a:gd name="T39" fmla="*/ 25505 h 56820"/>
                          <a:gd name="T40" fmla="*/ 31741 w 40176"/>
                          <a:gd name="T41" fmla="*/ 25292 h 56820"/>
                          <a:gd name="T42" fmla="*/ 31956 w 40176"/>
                          <a:gd name="T43" fmla="*/ 31410 h 56820"/>
                          <a:gd name="T44" fmla="*/ 25837 w 40176"/>
                          <a:gd name="T45" fmla="*/ 31623 h 56820"/>
                          <a:gd name="T46" fmla="*/ 38267 w 40176"/>
                          <a:gd name="T47" fmla="*/ 30999 h 56820"/>
                          <a:gd name="T48" fmla="*/ 32149 w 40176"/>
                          <a:gd name="T49" fmla="*/ 30786 h 56820"/>
                          <a:gd name="T50" fmla="*/ 32364 w 40176"/>
                          <a:gd name="T51" fmla="*/ 24668 h 56820"/>
                          <a:gd name="T52" fmla="*/ 38482 w 40176"/>
                          <a:gd name="T53" fmla="*/ 24881 h 56820"/>
                          <a:gd name="T54" fmla="*/ 38267 w 40176"/>
                          <a:gd name="T55" fmla="*/ 30999 h 56820"/>
                          <a:gd name="T56" fmla="*/ 33108 w 40176"/>
                          <a:gd name="T57" fmla="*/ 24484 h 56820"/>
                          <a:gd name="T58" fmla="*/ 32045 w 40176"/>
                          <a:gd name="T59" fmla="*/ 18453 h 56820"/>
                          <a:gd name="T60" fmla="*/ 38074 w 40176"/>
                          <a:gd name="T61" fmla="*/ 17390 h 56820"/>
                          <a:gd name="T62" fmla="*/ 39137 w 40176"/>
                          <a:gd name="T63" fmla="*/ 23421 h 56820"/>
                          <a:gd name="T64" fmla="*/ 33108 w 40176"/>
                          <a:gd name="T65" fmla="*/ 24484 h 56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0176" h="56820">
                            <a:moveTo>
                              <a:pt x="0" y="0"/>
                            </a:moveTo>
                            <a:lnTo>
                              <a:pt x="0" y="18940"/>
                            </a:lnTo>
                            <a:lnTo>
                              <a:pt x="18748" y="18940"/>
                            </a:lnTo>
                            <a:lnTo>
                              <a:pt x="25126" y="18522"/>
                            </a:lnTo>
                            <a:lnTo>
                              <a:pt x="25509" y="25441"/>
                            </a:lnTo>
                            <a:lnTo>
                              <a:pt x="25509" y="31675"/>
                            </a:lnTo>
                            <a:lnTo>
                              <a:pt x="31615" y="31675"/>
                            </a:lnTo>
                            <a:lnTo>
                              <a:pt x="31615" y="37292"/>
                            </a:lnTo>
                            <a:lnTo>
                              <a:pt x="35119" y="37292"/>
                            </a:lnTo>
                            <a:lnTo>
                              <a:pt x="31856" y="37119"/>
                            </a:lnTo>
                            <a:lnTo>
                              <a:pt x="32175" y="31006"/>
                            </a:lnTo>
                            <a:lnTo>
                              <a:pt x="38291" y="31327"/>
                            </a:lnTo>
                            <a:lnTo>
                              <a:pt x="37977" y="37292"/>
                            </a:lnTo>
                            <a:lnTo>
                              <a:pt x="38263" y="37292"/>
                            </a:lnTo>
                            <a:lnTo>
                              <a:pt x="38263" y="56820"/>
                            </a:lnTo>
                            <a:lnTo>
                              <a:pt x="40176" y="56820"/>
                            </a:lnTo>
                            <a:lnTo>
                              <a:pt x="40176" y="0"/>
                            </a:lnTo>
                            <a:lnTo>
                              <a:pt x="0" y="0"/>
                            </a:lnTo>
                            <a:close/>
                            <a:moveTo>
                              <a:pt x="25837" y="31623"/>
                            </a:moveTo>
                            <a:lnTo>
                              <a:pt x="25622" y="25505"/>
                            </a:lnTo>
                            <a:lnTo>
                              <a:pt x="31741" y="25292"/>
                            </a:lnTo>
                            <a:lnTo>
                              <a:pt x="31956" y="31410"/>
                            </a:lnTo>
                            <a:lnTo>
                              <a:pt x="25837" y="31623"/>
                            </a:lnTo>
                            <a:close/>
                            <a:moveTo>
                              <a:pt x="38267" y="30999"/>
                            </a:moveTo>
                            <a:lnTo>
                              <a:pt x="32149" y="30786"/>
                            </a:lnTo>
                            <a:lnTo>
                              <a:pt x="32364" y="24668"/>
                            </a:lnTo>
                            <a:lnTo>
                              <a:pt x="38482" y="24881"/>
                            </a:lnTo>
                            <a:lnTo>
                              <a:pt x="38267" y="30999"/>
                            </a:lnTo>
                            <a:close/>
                            <a:moveTo>
                              <a:pt x="33108" y="24484"/>
                            </a:moveTo>
                            <a:lnTo>
                              <a:pt x="32045" y="18453"/>
                            </a:lnTo>
                            <a:lnTo>
                              <a:pt x="38074" y="17390"/>
                            </a:lnTo>
                            <a:lnTo>
                              <a:pt x="39137" y="23421"/>
                            </a:lnTo>
                            <a:lnTo>
                              <a:pt x="33108" y="244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7A343" id="Mask" o:spid="_x0000_s1026" style="position:absolute;margin-left:0;margin-top:-35.25pt;width:595.3pt;height:841.9pt;z-index:-2516602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176,5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" path="m,l,18940r18748,l25126,18522r383,6919l25509,31675r6106,l31615,37292r3504,l31856,37119r319,-6113l38291,31327r-314,5965l38263,37292r,19528l40176,56820,40176,,,xm25837,31623r-215,-6118l31741,25292r215,6118l25837,31623xm38267,30999r-6118,-213l32364,24668r6118,213l38267,30999xm33108,24484l32045,18453r6029,-1063l39137,23421r-6029,1063xe" stroked="f">
              <v:path arrowok="t" o:connecttype="custom" o:connectlocs="0,0;0,3564043;3527994,3564043;4728205,3485386;4800277,4787372;4800277,5960458;5949303,5960458;5949303,7017439;6608685,7017439;5994654,6984885;6054684,5834569;7205591,5894973;7146503,7017439;7200322,7017439;7200322,10692130;7560310,10692130;7560310,0;0,0;4862000,5950673;4821542,4799415;5973014,4759334;6013472,5910591;4862000,5950673;7201075,5833251;6049791,5793170;6090250,4641912;7241533,4681994;7201075,5833251;6230255,4607288;6030220,3472402;7164756,3272371;7364791,4407258;6230255,4607288" o:connectangles="0,0,0,0,0,0,0,0,0,0,0,0,0,0,0,0,0,0,0,0,0,0,0,0,0,0,0,0,0,0,0,0,0"/>
              <o:lock v:ext="edit" aspectratio="t" verticies="t"/>
              <w10:wrap anchorx="page" anchory="page"/>
              <w10:anchorlock/>
            </v:shape>
          </w:pict>
        </mc:Fallback>
      </mc:AlternateContent>
    </w:r>
    <w:r>
      <w:rPr>
        <w:noProof/>
        <w:lang w:eastAsia="en-AU"/>
      </w:rPr>
      <w:drawing>
        <wp:anchor distT="0" distB="0" distL="114300" distR="114300" simplePos="0" relativeHeight="251655164" behindDoc="1" locked="1" layoutInCell="1" allowOverlap="1" wp14:anchorId="214F991C" wp14:editId="05B17B40">
          <wp:simplePos x="0" y="0"/>
          <wp:positionH relativeFrom="page">
            <wp:posOffset>47625</wp:posOffset>
          </wp:positionH>
          <wp:positionV relativeFrom="page">
            <wp:posOffset>3272155</wp:posOffset>
          </wp:positionV>
          <wp:extent cx="7364730" cy="7419975"/>
          <wp:effectExtent l="0" t="0" r="7620" b="9525"/>
          <wp:wrapNone/>
          <wp:docPr id="1990" name="Layout 1 Image 1" descr="Title page PIC 15odpi rgb AA Q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yout 1 Image 1" descr="Title page PIC 15odpi rgb AA Q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4730" cy="74199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04D202F2" wp14:editId="07C7B657">
          <wp:extent cx="2381250" cy="619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81250" cy="6191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84897" w14:textId="77777777" w:rsidR="00685544" w:rsidRDefault="006855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16F49" w14:textId="77777777" w:rsidR="00685544" w:rsidRDefault="006855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901B6" w14:textId="77777777" w:rsidR="00685544" w:rsidRDefault="006855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F4964" w14:textId="77777777" w:rsidR="00685544" w:rsidRPr="002A163D" w:rsidRDefault="00685544" w:rsidP="002A163D">
    <w:pPr>
      <w:pStyle w:val="TOCTitle"/>
    </w:pPr>
    <w:r w:rsidRPr="002A163D">
      <w:t>Contents</w:t>
    </w:r>
    <w:r>
      <w:t xml:space="preserve"> continued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71A4F" w14:textId="77777777" w:rsidR="00685544" w:rsidRDefault="00685544" w:rsidP="002A163D">
    <w:pPr>
      <w:pStyle w:val="TOCTitle"/>
    </w:pPr>
    <w:r w:rsidRPr="002A163D">
      <w:t>Contents cont</w:t>
    </w:r>
    <w:r w:rsidRPr="002A163D">
      <w:rPr>
        <w:rStyle w:val="TOCTitleChar"/>
      </w:rPr>
      <w:t>i</w:t>
    </w:r>
    <w:r w:rsidRPr="002A163D">
      <w:t>nued</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90BB4" w14:textId="77777777" w:rsidR="00685544" w:rsidRDefault="00685544" w:rsidP="0002637D">
    <w:pPr>
      <w:pStyle w:val="TOCTitle"/>
    </w:pPr>
    <w:r w:rsidRPr="002A163D">
      <w:t>Contents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08B53" w14:textId="77777777" w:rsidR="00685544" w:rsidRDefault="0068554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483CB" w14:textId="77777777" w:rsidR="00685544" w:rsidRDefault="006855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A76876A"/>
    <w:lvl w:ilvl="0">
      <w:start w:val="1"/>
      <w:numFmt w:val="bullet"/>
      <w:pStyle w:val="ListBullet2"/>
      <w:lvlText w:val="–"/>
      <w:lvlJc w:val="left"/>
      <w:pPr>
        <w:tabs>
          <w:tab w:val="num" w:pos="340"/>
        </w:tabs>
        <w:ind w:left="340" w:hanging="170"/>
      </w:pPr>
      <w:rPr>
        <w:rFonts w:ascii="Arial" w:hAnsi="Arial" w:hint="default"/>
      </w:rPr>
    </w:lvl>
  </w:abstractNum>
  <w:abstractNum w:abstractNumId="1" w15:restartNumberingAfterBreak="0">
    <w:nsid w:val="09860D43"/>
    <w:multiLevelType w:val="hybridMultilevel"/>
    <w:tmpl w:val="F1FCD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DC14C2"/>
    <w:multiLevelType w:val="hybridMultilevel"/>
    <w:tmpl w:val="2778A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096A1C"/>
    <w:multiLevelType w:val="hybridMultilevel"/>
    <w:tmpl w:val="275C7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6A47BB"/>
    <w:multiLevelType w:val="hybridMultilevel"/>
    <w:tmpl w:val="2722B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85066B"/>
    <w:multiLevelType w:val="hybridMultilevel"/>
    <w:tmpl w:val="E1062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1D77FA"/>
    <w:multiLevelType w:val="hybridMultilevel"/>
    <w:tmpl w:val="F330F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AD1448"/>
    <w:multiLevelType w:val="hybridMultilevel"/>
    <w:tmpl w:val="8084B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99582B"/>
    <w:multiLevelType w:val="hybridMultilevel"/>
    <w:tmpl w:val="DFF07C14"/>
    <w:lvl w:ilvl="0" w:tplc="3DF41458">
      <w:start w:val="1"/>
      <w:numFmt w:val="bullet"/>
      <w:pStyle w:val="ListBullet"/>
      <w:lvlText w:val=""/>
      <w:lvlJc w:val="left"/>
      <w:pPr>
        <w:tabs>
          <w:tab w:val="num" w:pos="170"/>
        </w:tabs>
        <w:ind w:left="170" w:hanging="170"/>
      </w:pPr>
      <w:rPr>
        <w:rFonts w:ascii="Symbol" w:hAnsi="Symbol" w:hint="default"/>
        <w:b w:val="0"/>
        <w:i w:val="0"/>
        <w:position w:val="2"/>
        <w:sz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1D4E9F"/>
    <w:multiLevelType w:val="hybridMultilevel"/>
    <w:tmpl w:val="DF185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9E30100"/>
    <w:multiLevelType w:val="hybridMultilevel"/>
    <w:tmpl w:val="34621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EA27D81"/>
    <w:multiLevelType w:val="hybridMultilevel"/>
    <w:tmpl w:val="0FC8A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1F50215"/>
    <w:multiLevelType w:val="multilevel"/>
    <w:tmpl w:val="AB987CBA"/>
    <w:lvl w:ilvl="0">
      <w:start w:val="1"/>
      <w:numFmt w:val="decimal"/>
      <w:pStyle w:val="Heading1"/>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13" w15:restartNumberingAfterBreak="0">
    <w:nsid w:val="72BA2A44"/>
    <w:multiLevelType w:val="hybridMultilevel"/>
    <w:tmpl w:val="55DEAA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0"/>
  </w:num>
  <w:num w:numId="4">
    <w:abstractNumId w:val="6"/>
  </w:num>
  <w:num w:numId="5">
    <w:abstractNumId w:val="5"/>
  </w:num>
  <w:num w:numId="6">
    <w:abstractNumId w:val="1"/>
  </w:num>
  <w:num w:numId="7">
    <w:abstractNumId w:val="11"/>
  </w:num>
  <w:num w:numId="8">
    <w:abstractNumId w:val="10"/>
  </w:num>
  <w:num w:numId="9">
    <w:abstractNumId w:val="7"/>
  </w:num>
  <w:num w:numId="10">
    <w:abstractNumId w:val="3"/>
  </w:num>
  <w:num w:numId="11">
    <w:abstractNumId w:val="9"/>
  </w:num>
  <w:num w:numId="12">
    <w:abstractNumId w:val="13"/>
  </w:num>
  <w:num w:numId="13">
    <w:abstractNumId w:val="4"/>
  </w:num>
  <w:num w:numId="1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evenAndOddHeaders/>
  <w:characterSpacingControl w:val="doNotCompress"/>
  <w:hdrShapeDefaults>
    <o:shapedefaults v:ext="edit" spidmax="21505">
      <o:colormru v:ext="edit" colors="#944697"/>
      <o:colormenu v:ext="edit"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BF1"/>
    <w:rsid w:val="00001AE1"/>
    <w:rsid w:val="00001B6B"/>
    <w:rsid w:val="000031E0"/>
    <w:rsid w:val="00003D97"/>
    <w:rsid w:val="00004483"/>
    <w:rsid w:val="00004E42"/>
    <w:rsid w:val="00005DDA"/>
    <w:rsid w:val="00010A09"/>
    <w:rsid w:val="000112AC"/>
    <w:rsid w:val="000115DF"/>
    <w:rsid w:val="00011895"/>
    <w:rsid w:val="00014D81"/>
    <w:rsid w:val="00014EAE"/>
    <w:rsid w:val="00024CC6"/>
    <w:rsid w:val="000261F4"/>
    <w:rsid w:val="0002637D"/>
    <w:rsid w:val="00032D7D"/>
    <w:rsid w:val="000331E2"/>
    <w:rsid w:val="00037D50"/>
    <w:rsid w:val="00040DBD"/>
    <w:rsid w:val="00043562"/>
    <w:rsid w:val="00044D34"/>
    <w:rsid w:val="000467EE"/>
    <w:rsid w:val="00051DF6"/>
    <w:rsid w:val="0005496D"/>
    <w:rsid w:val="00055924"/>
    <w:rsid w:val="0006144D"/>
    <w:rsid w:val="0006334B"/>
    <w:rsid w:val="00066151"/>
    <w:rsid w:val="000669AB"/>
    <w:rsid w:val="000674EA"/>
    <w:rsid w:val="00070701"/>
    <w:rsid w:val="00070FBB"/>
    <w:rsid w:val="000800DB"/>
    <w:rsid w:val="00086C04"/>
    <w:rsid w:val="00086DCD"/>
    <w:rsid w:val="0008750F"/>
    <w:rsid w:val="000904E5"/>
    <w:rsid w:val="00093E20"/>
    <w:rsid w:val="00095DBA"/>
    <w:rsid w:val="00096336"/>
    <w:rsid w:val="0009634D"/>
    <w:rsid w:val="0009644C"/>
    <w:rsid w:val="000A3AFA"/>
    <w:rsid w:val="000A4428"/>
    <w:rsid w:val="000A4698"/>
    <w:rsid w:val="000B20BC"/>
    <w:rsid w:val="000B4E4D"/>
    <w:rsid w:val="000B5151"/>
    <w:rsid w:val="000C1529"/>
    <w:rsid w:val="000C1F9E"/>
    <w:rsid w:val="000C24B9"/>
    <w:rsid w:val="000C3C27"/>
    <w:rsid w:val="000C4C8D"/>
    <w:rsid w:val="000D0125"/>
    <w:rsid w:val="000D26FA"/>
    <w:rsid w:val="000D2E28"/>
    <w:rsid w:val="000D3D11"/>
    <w:rsid w:val="000D4779"/>
    <w:rsid w:val="000D650C"/>
    <w:rsid w:val="000D7B6E"/>
    <w:rsid w:val="000E008B"/>
    <w:rsid w:val="000E15F7"/>
    <w:rsid w:val="000E5152"/>
    <w:rsid w:val="000E6E8E"/>
    <w:rsid w:val="000F0D88"/>
    <w:rsid w:val="000F2173"/>
    <w:rsid w:val="000F2294"/>
    <w:rsid w:val="000F45F9"/>
    <w:rsid w:val="000F4DDF"/>
    <w:rsid w:val="000F5582"/>
    <w:rsid w:val="000F5F74"/>
    <w:rsid w:val="000F7F86"/>
    <w:rsid w:val="0010054C"/>
    <w:rsid w:val="00102584"/>
    <w:rsid w:val="00102589"/>
    <w:rsid w:val="00103CBB"/>
    <w:rsid w:val="00105380"/>
    <w:rsid w:val="001132E2"/>
    <w:rsid w:val="001134F7"/>
    <w:rsid w:val="00113EF6"/>
    <w:rsid w:val="00117EA7"/>
    <w:rsid w:val="0012014F"/>
    <w:rsid w:val="00120CAF"/>
    <w:rsid w:val="0012135F"/>
    <w:rsid w:val="00126DCF"/>
    <w:rsid w:val="00140050"/>
    <w:rsid w:val="0014153F"/>
    <w:rsid w:val="00150661"/>
    <w:rsid w:val="00152DF0"/>
    <w:rsid w:val="00161755"/>
    <w:rsid w:val="00163E95"/>
    <w:rsid w:val="00166CF5"/>
    <w:rsid w:val="00170CD7"/>
    <w:rsid w:val="00171037"/>
    <w:rsid w:val="0018175E"/>
    <w:rsid w:val="00184A36"/>
    <w:rsid w:val="00190CE0"/>
    <w:rsid w:val="00191FD9"/>
    <w:rsid w:val="00193029"/>
    <w:rsid w:val="0019346B"/>
    <w:rsid w:val="00193D82"/>
    <w:rsid w:val="0019492E"/>
    <w:rsid w:val="001962EA"/>
    <w:rsid w:val="001A3511"/>
    <w:rsid w:val="001B6DD3"/>
    <w:rsid w:val="001C215C"/>
    <w:rsid w:val="001C265A"/>
    <w:rsid w:val="001D2792"/>
    <w:rsid w:val="001D2CF4"/>
    <w:rsid w:val="001D3585"/>
    <w:rsid w:val="001D4AA1"/>
    <w:rsid w:val="001E08B8"/>
    <w:rsid w:val="001F39A4"/>
    <w:rsid w:val="001F3DC5"/>
    <w:rsid w:val="001F4261"/>
    <w:rsid w:val="001F5431"/>
    <w:rsid w:val="001F580F"/>
    <w:rsid w:val="001F64A9"/>
    <w:rsid w:val="001F6F94"/>
    <w:rsid w:val="002044DF"/>
    <w:rsid w:val="0020508B"/>
    <w:rsid w:val="00205A58"/>
    <w:rsid w:val="00205A9D"/>
    <w:rsid w:val="00207162"/>
    <w:rsid w:val="002073D3"/>
    <w:rsid w:val="002076C3"/>
    <w:rsid w:val="002249EB"/>
    <w:rsid w:val="0022744F"/>
    <w:rsid w:val="002306C7"/>
    <w:rsid w:val="00232544"/>
    <w:rsid w:val="002358FE"/>
    <w:rsid w:val="00236CCD"/>
    <w:rsid w:val="0024209D"/>
    <w:rsid w:val="0024706D"/>
    <w:rsid w:val="002508E9"/>
    <w:rsid w:val="00251427"/>
    <w:rsid w:val="00252000"/>
    <w:rsid w:val="0026038D"/>
    <w:rsid w:val="00261F1A"/>
    <w:rsid w:val="002624B7"/>
    <w:rsid w:val="002666B0"/>
    <w:rsid w:val="00271552"/>
    <w:rsid w:val="00273E5D"/>
    <w:rsid w:val="00282704"/>
    <w:rsid w:val="002865B6"/>
    <w:rsid w:val="00290A13"/>
    <w:rsid w:val="00295E3C"/>
    <w:rsid w:val="002A163D"/>
    <w:rsid w:val="002A238F"/>
    <w:rsid w:val="002A4123"/>
    <w:rsid w:val="002A6C3C"/>
    <w:rsid w:val="002A7B67"/>
    <w:rsid w:val="002B0508"/>
    <w:rsid w:val="002B1F57"/>
    <w:rsid w:val="002B5C35"/>
    <w:rsid w:val="002B5FFA"/>
    <w:rsid w:val="002C004A"/>
    <w:rsid w:val="002C13AE"/>
    <w:rsid w:val="002C1ABF"/>
    <w:rsid w:val="002C4DC2"/>
    <w:rsid w:val="002C6C8C"/>
    <w:rsid w:val="002C7EC1"/>
    <w:rsid w:val="002D2025"/>
    <w:rsid w:val="002D431B"/>
    <w:rsid w:val="002D4DD7"/>
    <w:rsid w:val="002E4F0C"/>
    <w:rsid w:val="002E6786"/>
    <w:rsid w:val="002E7DBC"/>
    <w:rsid w:val="002F1BD2"/>
    <w:rsid w:val="002F2ABD"/>
    <w:rsid w:val="002F2B7B"/>
    <w:rsid w:val="002F3C54"/>
    <w:rsid w:val="002F45D5"/>
    <w:rsid w:val="002F6D3E"/>
    <w:rsid w:val="002F7DB2"/>
    <w:rsid w:val="0030086D"/>
    <w:rsid w:val="00300BBC"/>
    <w:rsid w:val="003013F7"/>
    <w:rsid w:val="003054BD"/>
    <w:rsid w:val="00307966"/>
    <w:rsid w:val="00307A13"/>
    <w:rsid w:val="00310751"/>
    <w:rsid w:val="00310976"/>
    <w:rsid w:val="00310BCF"/>
    <w:rsid w:val="00311297"/>
    <w:rsid w:val="00312DC6"/>
    <w:rsid w:val="003144B4"/>
    <w:rsid w:val="003152CC"/>
    <w:rsid w:val="0032113E"/>
    <w:rsid w:val="00327B56"/>
    <w:rsid w:val="0033017F"/>
    <w:rsid w:val="00331A90"/>
    <w:rsid w:val="00334F99"/>
    <w:rsid w:val="003402E1"/>
    <w:rsid w:val="00342B0F"/>
    <w:rsid w:val="00342CAF"/>
    <w:rsid w:val="003432FF"/>
    <w:rsid w:val="00345B10"/>
    <w:rsid w:val="003503D9"/>
    <w:rsid w:val="00350D9B"/>
    <w:rsid w:val="00351D4D"/>
    <w:rsid w:val="00352375"/>
    <w:rsid w:val="00353123"/>
    <w:rsid w:val="003659C6"/>
    <w:rsid w:val="003670E8"/>
    <w:rsid w:val="00367A84"/>
    <w:rsid w:val="00367E19"/>
    <w:rsid w:val="003761C3"/>
    <w:rsid w:val="00382960"/>
    <w:rsid w:val="003835AF"/>
    <w:rsid w:val="00385DBA"/>
    <w:rsid w:val="003863F2"/>
    <w:rsid w:val="003941C8"/>
    <w:rsid w:val="003962B9"/>
    <w:rsid w:val="003B0652"/>
    <w:rsid w:val="003B7A52"/>
    <w:rsid w:val="003B7A75"/>
    <w:rsid w:val="003C4E57"/>
    <w:rsid w:val="003C638E"/>
    <w:rsid w:val="003C6BC3"/>
    <w:rsid w:val="003D5B53"/>
    <w:rsid w:val="003E1898"/>
    <w:rsid w:val="003E5055"/>
    <w:rsid w:val="003E5E52"/>
    <w:rsid w:val="003E6471"/>
    <w:rsid w:val="003F0B8D"/>
    <w:rsid w:val="003F0BDE"/>
    <w:rsid w:val="003F3426"/>
    <w:rsid w:val="003F3ABA"/>
    <w:rsid w:val="003F3EEE"/>
    <w:rsid w:val="003F5D03"/>
    <w:rsid w:val="00402872"/>
    <w:rsid w:val="00402AE8"/>
    <w:rsid w:val="00405349"/>
    <w:rsid w:val="00407310"/>
    <w:rsid w:val="0042105E"/>
    <w:rsid w:val="0043232D"/>
    <w:rsid w:val="004324BC"/>
    <w:rsid w:val="00432790"/>
    <w:rsid w:val="00433794"/>
    <w:rsid w:val="004346D1"/>
    <w:rsid w:val="00434910"/>
    <w:rsid w:val="004571B4"/>
    <w:rsid w:val="004645A7"/>
    <w:rsid w:val="00470CFF"/>
    <w:rsid w:val="00481BF1"/>
    <w:rsid w:val="00483ED3"/>
    <w:rsid w:val="004855FD"/>
    <w:rsid w:val="004873CA"/>
    <w:rsid w:val="00491308"/>
    <w:rsid w:val="0049336A"/>
    <w:rsid w:val="00494659"/>
    <w:rsid w:val="004957F9"/>
    <w:rsid w:val="0049613A"/>
    <w:rsid w:val="004A1216"/>
    <w:rsid w:val="004A6167"/>
    <w:rsid w:val="004A7171"/>
    <w:rsid w:val="004A7535"/>
    <w:rsid w:val="004B331A"/>
    <w:rsid w:val="004B4CDC"/>
    <w:rsid w:val="004B5382"/>
    <w:rsid w:val="004B63DD"/>
    <w:rsid w:val="004B699C"/>
    <w:rsid w:val="004C0232"/>
    <w:rsid w:val="004C0778"/>
    <w:rsid w:val="004C28F6"/>
    <w:rsid w:val="004C76C6"/>
    <w:rsid w:val="004D0AA3"/>
    <w:rsid w:val="004D1BB9"/>
    <w:rsid w:val="004D44FA"/>
    <w:rsid w:val="004D56F2"/>
    <w:rsid w:val="004D5841"/>
    <w:rsid w:val="004D5C63"/>
    <w:rsid w:val="004D6CEB"/>
    <w:rsid w:val="004E18BC"/>
    <w:rsid w:val="004F2BC4"/>
    <w:rsid w:val="004F465E"/>
    <w:rsid w:val="00500B47"/>
    <w:rsid w:val="0050584F"/>
    <w:rsid w:val="00511A5A"/>
    <w:rsid w:val="00512811"/>
    <w:rsid w:val="00514DC6"/>
    <w:rsid w:val="00516259"/>
    <w:rsid w:val="0052300B"/>
    <w:rsid w:val="005248E0"/>
    <w:rsid w:val="005274A3"/>
    <w:rsid w:val="00535298"/>
    <w:rsid w:val="005449D6"/>
    <w:rsid w:val="005528CF"/>
    <w:rsid w:val="00553FE6"/>
    <w:rsid w:val="00554A9A"/>
    <w:rsid w:val="00554D80"/>
    <w:rsid w:val="005608BE"/>
    <w:rsid w:val="00563711"/>
    <w:rsid w:val="00563A19"/>
    <w:rsid w:val="00563B93"/>
    <w:rsid w:val="00564627"/>
    <w:rsid w:val="00572277"/>
    <w:rsid w:val="00572EA9"/>
    <w:rsid w:val="00576008"/>
    <w:rsid w:val="005840FC"/>
    <w:rsid w:val="005844A6"/>
    <w:rsid w:val="005979E6"/>
    <w:rsid w:val="005A06D0"/>
    <w:rsid w:val="005A5787"/>
    <w:rsid w:val="005A59CC"/>
    <w:rsid w:val="005A778A"/>
    <w:rsid w:val="005B1A83"/>
    <w:rsid w:val="005B210A"/>
    <w:rsid w:val="005B3DDA"/>
    <w:rsid w:val="005B3DF7"/>
    <w:rsid w:val="005B47FC"/>
    <w:rsid w:val="005B48EA"/>
    <w:rsid w:val="005C3749"/>
    <w:rsid w:val="005C46F6"/>
    <w:rsid w:val="005C5078"/>
    <w:rsid w:val="005D33B6"/>
    <w:rsid w:val="005D38A8"/>
    <w:rsid w:val="005D5B60"/>
    <w:rsid w:val="005D5D3C"/>
    <w:rsid w:val="005D6AB7"/>
    <w:rsid w:val="005E0511"/>
    <w:rsid w:val="005E5093"/>
    <w:rsid w:val="005E5417"/>
    <w:rsid w:val="005F038B"/>
    <w:rsid w:val="005F3805"/>
    <w:rsid w:val="005F405E"/>
    <w:rsid w:val="005F4CA6"/>
    <w:rsid w:val="005F733A"/>
    <w:rsid w:val="005F7A4D"/>
    <w:rsid w:val="00603687"/>
    <w:rsid w:val="00604B3B"/>
    <w:rsid w:val="00607FB0"/>
    <w:rsid w:val="00615DE1"/>
    <w:rsid w:val="00616C28"/>
    <w:rsid w:val="00623E89"/>
    <w:rsid w:val="00624E82"/>
    <w:rsid w:val="0062690C"/>
    <w:rsid w:val="00626A62"/>
    <w:rsid w:val="00626E65"/>
    <w:rsid w:val="0062734E"/>
    <w:rsid w:val="00631DB2"/>
    <w:rsid w:val="00640521"/>
    <w:rsid w:val="00640ACA"/>
    <w:rsid w:val="00641DB4"/>
    <w:rsid w:val="0064229D"/>
    <w:rsid w:val="00643A84"/>
    <w:rsid w:val="00644AF7"/>
    <w:rsid w:val="00645DDE"/>
    <w:rsid w:val="00653634"/>
    <w:rsid w:val="006549C2"/>
    <w:rsid w:val="0065735E"/>
    <w:rsid w:val="00657ECA"/>
    <w:rsid w:val="0066005E"/>
    <w:rsid w:val="00664548"/>
    <w:rsid w:val="00667E1C"/>
    <w:rsid w:val="00673ED3"/>
    <w:rsid w:val="0068024D"/>
    <w:rsid w:val="006802BF"/>
    <w:rsid w:val="006832E1"/>
    <w:rsid w:val="00684217"/>
    <w:rsid w:val="006849DA"/>
    <w:rsid w:val="00685544"/>
    <w:rsid w:val="00685C00"/>
    <w:rsid w:val="00686593"/>
    <w:rsid w:val="0068755B"/>
    <w:rsid w:val="00691DEA"/>
    <w:rsid w:val="006947B6"/>
    <w:rsid w:val="006A13D5"/>
    <w:rsid w:val="006A6E38"/>
    <w:rsid w:val="006B1A8B"/>
    <w:rsid w:val="006B1B53"/>
    <w:rsid w:val="006B2205"/>
    <w:rsid w:val="006B56C2"/>
    <w:rsid w:val="006C0A1B"/>
    <w:rsid w:val="006C1D5C"/>
    <w:rsid w:val="006C3A42"/>
    <w:rsid w:val="006C5152"/>
    <w:rsid w:val="006D098D"/>
    <w:rsid w:val="006E3D45"/>
    <w:rsid w:val="006E5D40"/>
    <w:rsid w:val="006E7CD7"/>
    <w:rsid w:val="006F1B03"/>
    <w:rsid w:val="006F4AA2"/>
    <w:rsid w:val="006F526D"/>
    <w:rsid w:val="0070481F"/>
    <w:rsid w:val="00704A0F"/>
    <w:rsid w:val="0070517A"/>
    <w:rsid w:val="007108D9"/>
    <w:rsid w:val="007152A9"/>
    <w:rsid w:val="00716F40"/>
    <w:rsid w:val="0071728F"/>
    <w:rsid w:val="00725831"/>
    <w:rsid w:val="00726E48"/>
    <w:rsid w:val="0072709D"/>
    <w:rsid w:val="00731ED4"/>
    <w:rsid w:val="00732A64"/>
    <w:rsid w:val="0073405C"/>
    <w:rsid w:val="0073570C"/>
    <w:rsid w:val="0074182E"/>
    <w:rsid w:val="007442A5"/>
    <w:rsid w:val="00746F99"/>
    <w:rsid w:val="00747063"/>
    <w:rsid w:val="00751C3E"/>
    <w:rsid w:val="0075280B"/>
    <w:rsid w:val="0075523B"/>
    <w:rsid w:val="00756574"/>
    <w:rsid w:val="007707BC"/>
    <w:rsid w:val="00770CE4"/>
    <w:rsid w:val="00774E17"/>
    <w:rsid w:val="007845FA"/>
    <w:rsid w:val="00787D35"/>
    <w:rsid w:val="0079603E"/>
    <w:rsid w:val="00797E97"/>
    <w:rsid w:val="007A0147"/>
    <w:rsid w:val="007A4647"/>
    <w:rsid w:val="007A4A4B"/>
    <w:rsid w:val="007A4A54"/>
    <w:rsid w:val="007B1DCB"/>
    <w:rsid w:val="007B6D52"/>
    <w:rsid w:val="007B7FAE"/>
    <w:rsid w:val="007C259F"/>
    <w:rsid w:val="007C4B49"/>
    <w:rsid w:val="007D0B9E"/>
    <w:rsid w:val="007D5EE3"/>
    <w:rsid w:val="007D64DB"/>
    <w:rsid w:val="007E45A0"/>
    <w:rsid w:val="007E63E9"/>
    <w:rsid w:val="007E7843"/>
    <w:rsid w:val="007F12D5"/>
    <w:rsid w:val="007F2CF8"/>
    <w:rsid w:val="00800498"/>
    <w:rsid w:val="008108F0"/>
    <w:rsid w:val="00810D97"/>
    <w:rsid w:val="00816027"/>
    <w:rsid w:val="00821451"/>
    <w:rsid w:val="00825637"/>
    <w:rsid w:val="0083106B"/>
    <w:rsid w:val="00833A6A"/>
    <w:rsid w:val="00842E88"/>
    <w:rsid w:val="008553C7"/>
    <w:rsid w:val="008578E9"/>
    <w:rsid w:val="00860C4B"/>
    <w:rsid w:val="008660F7"/>
    <w:rsid w:val="00870601"/>
    <w:rsid w:val="00870F30"/>
    <w:rsid w:val="00873A1E"/>
    <w:rsid w:val="00876B42"/>
    <w:rsid w:val="0088128B"/>
    <w:rsid w:val="00882D51"/>
    <w:rsid w:val="00883C2C"/>
    <w:rsid w:val="00884279"/>
    <w:rsid w:val="008A1998"/>
    <w:rsid w:val="008A3E33"/>
    <w:rsid w:val="008B01DF"/>
    <w:rsid w:val="008B2184"/>
    <w:rsid w:val="008B6318"/>
    <w:rsid w:val="008C06D6"/>
    <w:rsid w:val="008C17E4"/>
    <w:rsid w:val="008C384B"/>
    <w:rsid w:val="008C3B65"/>
    <w:rsid w:val="008C4CAE"/>
    <w:rsid w:val="008C51EE"/>
    <w:rsid w:val="008D089B"/>
    <w:rsid w:val="008D0A84"/>
    <w:rsid w:val="008D1F00"/>
    <w:rsid w:val="008D5A89"/>
    <w:rsid w:val="008E1968"/>
    <w:rsid w:val="008E2E43"/>
    <w:rsid w:val="008E3CEF"/>
    <w:rsid w:val="008E4F7A"/>
    <w:rsid w:val="008F075B"/>
    <w:rsid w:val="008F2C07"/>
    <w:rsid w:val="008F2E5E"/>
    <w:rsid w:val="008F78B2"/>
    <w:rsid w:val="00900B70"/>
    <w:rsid w:val="00901265"/>
    <w:rsid w:val="009012BC"/>
    <w:rsid w:val="00906A1A"/>
    <w:rsid w:val="009071EF"/>
    <w:rsid w:val="009072C8"/>
    <w:rsid w:val="00910212"/>
    <w:rsid w:val="009205EA"/>
    <w:rsid w:val="00921805"/>
    <w:rsid w:val="00921D2E"/>
    <w:rsid w:val="009266F7"/>
    <w:rsid w:val="00926AC1"/>
    <w:rsid w:val="00927968"/>
    <w:rsid w:val="00930138"/>
    <w:rsid w:val="00933173"/>
    <w:rsid w:val="00935B93"/>
    <w:rsid w:val="00937BBB"/>
    <w:rsid w:val="009406DC"/>
    <w:rsid w:val="00941010"/>
    <w:rsid w:val="009432F5"/>
    <w:rsid w:val="00944792"/>
    <w:rsid w:val="0094669B"/>
    <w:rsid w:val="0095153A"/>
    <w:rsid w:val="00951867"/>
    <w:rsid w:val="009558ED"/>
    <w:rsid w:val="00956B4C"/>
    <w:rsid w:val="00956EE8"/>
    <w:rsid w:val="00962237"/>
    <w:rsid w:val="0096559A"/>
    <w:rsid w:val="00966B94"/>
    <w:rsid w:val="00970C2F"/>
    <w:rsid w:val="00973310"/>
    <w:rsid w:val="00980A53"/>
    <w:rsid w:val="00984F58"/>
    <w:rsid w:val="00986F78"/>
    <w:rsid w:val="009911CF"/>
    <w:rsid w:val="009918AA"/>
    <w:rsid w:val="00994490"/>
    <w:rsid w:val="0099614A"/>
    <w:rsid w:val="00996D76"/>
    <w:rsid w:val="009A6E27"/>
    <w:rsid w:val="009A756A"/>
    <w:rsid w:val="009B2846"/>
    <w:rsid w:val="009B30E0"/>
    <w:rsid w:val="009B5BDB"/>
    <w:rsid w:val="009B734B"/>
    <w:rsid w:val="009C6D1F"/>
    <w:rsid w:val="009D4221"/>
    <w:rsid w:val="009D4D30"/>
    <w:rsid w:val="009E13B2"/>
    <w:rsid w:val="009E1EAD"/>
    <w:rsid w:val="009E3612"/>
    <w:rsid w:val="009E3A7B"/>
    <w:rsid w:val="009F222A"/>
    <w:rsid w:val="009F2531"/>
    <w:rsid w:val="009F26FA"/>
    <w:rsid w:val="009F2C5F"/>
    <w:rsid w:val="009F48A3"/>
    <w:rsid w:val="009F5E4B"/>
    <w:rsid w:val="009F60F5"/>
    <w:rsid w:val="00A01918"/>
    <w:rsid w:val="00A03FE2"/>
    <w:rsid w:val="00A11243"/>
    <w:rsid w:val="00A122C0"/>
    <w:rsid w:val="00A128A2"/>
    <w:rsid w:val="00A150A3"/>
    <w:rsid w:val="00A171E0"/>
    <w:rsid w:val="00A23A06"/>
    <w:rsid w:val="00A25A59"/>
    <w:rsid w:val="00A27409"/>
    <w:rsid w:val="00A30550"/>
    <w:rsid w:val="00A31AE1"/>
    <w:rsid w:val="00A34678"/>
    <w:rsid w:val="00A41962"/>
    <w:rsid w:val="00A425AE"/>
    <w:rsid w:val="00A46600"/>
    <w:rsid w:val="00A466E5"/>
    <w:rsid w:val="00A53758"/>
    <w:rsid w:val="00A5473F"/>
    <w:rsid w:val="00A56BF3"/>
    <w:rsid w:val="00A6102D"/>
    <w:rsid w:val="00A63C79"/>
    <w:rsid w:val="00A65AE9"/>
    <w:rsid w:val="00A70C54"/>
    <w:rsid w:val="00A71AF2"/>
    <w:rsid w:val="00A7315D"/>
    <w:rsid w:val="00A73482"/>
    <w:rsid w:val="00A7377C"/>
    <w:rsid w:val="00A73969"/>
    <w:rsid w:val="00A75B48"/>
    <w:rsid w:val="00A772F9"/>
    <w:rsid w:val="00A824FC"/>
    <w:rsid w:val="00A8261F"/>
    <w:rsid w:val="00A9155E"/>
    <w:rsid w:val="00A93133"/>
    <w:rsid w:val="00A95E02"/>
    <w:rsid w:val="00A977F2"/>
    <w:rsid w:val="00A97DF4"/>
    <w:rsid w:val="00AA11E9"/>
    <w:rsid w:val="00AA2A28"/>
    <w:rsid w:val="00AA34D3"/>
    <w:rsid w:val="00AA3672"/>
    <w:rsid w:val="00AA57CC"/>
    <w:rsid w:val="00AB1F61"/>
    <w:rsid w:val="00AB32D1"/>
    <w:rsid w:val="00AC07F3"/>
    <w:rsid w:val="00AC0E76"/>
    <w:rsid w:val="00AC37B5"/>
    <w:rsid w:val="00AC55B2"/>
    <w:rsid w:val="00AC5705"/>
    <w:rsid w:val="00AC6958"/>
    <w:rsid w:val="00AD1717"/>
    <w:rsid w:val="00AD1BBD"/>
    <w:rsid w:val="00AD2633"/>
    <w:rsid w:val="00AD4F8A"/>
    <w:rsid w:val="00AD6239"/>
    <w:rsid w:val="00AD69AF"/>
    <w:rsid w:val="00AD79A3"/>
    <w:rsid w:val="00AE0CC1"/>
    <w:rsid w:val="00AE39BF"/>
    <w:rsid w:val="00AE729E"/>
    <w:rsid w:val="00AF027F"/>
    <w:rsid w:val="00AF0721"/>
    <w:rsid w:val="00AF3F88"/>
    <w:rsid w:val="00AF50E2"/>
    <w:rsid w:val="00AF6E1F"/>
    <w:rsid w:val="00B04011"/>
    <w:rsid w:val="00B062C4"/>
    <w:rsid w:val="00B11B43"/>
    <w:rsid w:val="00B16B3B"/>
    <w:rsid w:val="00B1730F"/>
    <w:rsid w:val="00B313ED"/>
    <w:rsid w:val="00B345E6"/>
    <w:rsid w:val="00B3553E"/>
    <w:rsid w:val="00B378D9"/>
    <w:rsid w:val="00B4173D"/>
    <w:rsid w:val="00B4332E"/>
    <w:rsid w:val="00B5500F"/>
    <w:rsid w:val="00B56D27"/>
    <w:rsid w:val="00B57A56"/>
    <w:rsid w:val="00B61365"/>
    <w:rsid w:val="00B62B06"/>
    <w:rsid w:val="00B64434"/>
    <w:rsid w:val="00B677C9"/>
    <w:rsid w:val="00B8121D"/>
    <w:rsid w:val="00B813FD"/>
    <w:rsid w:val="00B845AF"/>
    <w:rsid w:val="00B84903"/>
    <w:rsid w:val="00B8799C"/>
    <w:rsid w:val="00B90580"/>
    <w:rsid w:val="00B91472"/>
    <w:rsid w:val="00B916D5"/>
    <w:rsid w:val="00B9431D"/>
    <w:rsid w:val="00B95015"/>
    <w:rsid w:val="00BA1E2D"/>
    <w:rsid w:val="00BA4541"/>
    <w:rsid w:val="00BA6359"/>
    <w:rsid w:val="00BB0B75"/>
    <w:rsid w:val="00BB0D42"/>
    <w:rsid w:val="00BB22D9"/>
    <w:rsid w:val="00BB3D3A"/>
    <w:rsid w:val="00BB4519"/>
    <w:rsid w:val="00BB5E9B"/>
    <w:rsid w:val="00BB6565"/>
    <w:rsid w:val="00BB7D39"/>
    <w:rsid w:val="00BC172B"/>
    <w:rsid w:val="00BC713E"/>
    <w:rsid w:val="00BD3C96"/>
    <w:rsid w:val="00BE29BF"/>
    <w:rsid w:val="00BF00F9"/>
    <w:rsid w:val="00BF4DD7"/>
    <w:rsid w:val="00BF544B"/>
    <w:rsid w:val="00BF5A52"/>
    <w:rsid w:val="00C024F6"/>
    <w:rsid w:val="00C028EB"/>
    <w:rsid w:val="00C03B4B"/>
    <w:rsid w:val="00C12171"/>
    <w:rsid w:val="00C24055"/>
    <w:rsid w:val="00C322E8"/>
    <w:rsid w:val="00C33A72"/>
    <w:rsid w:val="00C4140B"/>
    <w:rsid w:val="00C445B4"/>
    <w:rsid w:val="00C51937"/>
    <w:rsid w:val="00C605FF"/>
    <w:rsid w:val="00C72469"/>
    <w:rsid w:val="00C73333"/>
    <w:rsid w:val="00C75C97"/>
    <w:rsid w:val="00C77B36"/>
    <w:rsid w:val="00C8100A"/>
    <w:rsid w:val="00C84BFC"/>
    <w:rsid w:val="00C85357"/>
    <w:rsid w:val="00C85600"/>
    <w:rsid w:val="00C90DA6"/>
    <w:rsid w:val="00C91F49"/>
    <w:rsid w:val="00C9492A"/>
    <w:rsid w:val="00CA3F4F"/>
    <w:rsid w:val="00CB1117"/>
    <w:rsid w:val="00CB63CA"/>
    <w:rsid w:val="00CC00E2"/>
    <w:rsid w:val="00CD08B6"/>
    <w:rsid w:val="00CD1DC2"/>
    <w:rsid w:val="00CD260E"/>
    <w:rsid w:val="00CE051C"/>
    <w:rsid w:val="00CE12BE"/>
    <w:rsid w:val="00CE433C"/>
    <w:rsid w:val="00CF1CB9"/>
    <w:rsid w:val="00CF4AAA"/>
    <w:rsid w:val="00CF6E2C"/>
    <w:rsid w:val="00D03BB9"/>
    <w:rsid w:val="00D03C9A"/>
    <w:rsid w:val="00D04730"/>
    <w:rsid w:val="00D0594C"/>
    <w:rsid w:val="00D1237A"/>
    <w:rsid w:val="00D13205"/>
    <w:rsid w:val="00D17A78"/>
    <w:rsid w:val="00D17F7A"/>
    <w:rsid w:val="00D246A2"/>
    <w:rsid w:val="00D24E6A"/>
    <w:rsid w:val="00D27344"/>
    <w:rsid w:val="00D278CA"/>
    <w:rsid w:val="00D326CB"/>
    <w:rsid w:val="00D34BC1"/>
    <w:rsid w:val="00D41F4E"/>
    <w:rsid w:val="00D46C83"/>
    <w:rsid w:val="00D50194"/>
    <w:rsid w:val="00D51496"/>
    <w:rsid w:val="00D51D9C"/>
    <w:rsid w:val="00D52862"/>
    <w:rsid w:val="00D53BDE"/>
    <w:rsid w:val="00D55C82"/>
    <w:rsid w:val="00D63020"/>
    <w:rsid w:val="00D72ACF"/>
    <w:rsid w:val="00D76D72"/>
    <w:rsid w:val="00D813E6"/>
    <w:rsid w:val="00D84CA9"/>
    <w:rsid w:val="00D857A4"/>
    <w:rsid w:val="00D86FF6"/>
    <w:rsid w:val="00D923E1"/>
    <w:rsid w:val="00D937A8"/>
    <w:rsid w:val="00D96C09"/>
    <w:rsid w:val="00D96D9C"/>
    <w:rsid w:val="00D9763B"/>
    <w:rsid w:val="00DA1A94"/>
    <w:rsid w:val="00DA21A2"/>
    <w:rsid w:val="00DA4C20"/>
    <w:rsid w:val="00DB07E0"/>
    <w:rsid w:val="00DB1E23"/>
    <w:rsid w:val="00DB28A8"/>
    <w:rsid w:val="00DB5E06"/>
    <w:rsid w:val="00DB620F"/>
    <w:rsid w:val="00DB65C2"/>
    <w:rsid w:val="00DC3D99"/>
    <w:rsid w:val="00DC58D9"/>
    <w:rsid w:val="00DC7229"/>
    <w:rsid w:val="00DC7EAC"/>
    <w:rsid w:val="00DE0030"/>
    <w:rsid w:val="00DF1B47"/>
    <w:rsid w:val="00DF3F20"/>
    <w:rsid w:val="00E113A1"/>
    <w:rsid w:val="00E13655"/>
    <w:rsid w:val="00E1423E"/>
    <w:rsid w:val="00E159FF"/>
    <w:rsid w:val="00E17C5E"/>
    <w:rsid w:val="00E23F19"/>
    <w:rsid w:val="00E2454F"/>
    <w:rsid w:val="00E26C6A"/>
    <w:rsid w:val="00E30A70"/>
    <w:rsid w:val="00E3187C"/>
    <w:rsid w:val="00E332C7"/>
    <w:rsid w:val="00E41976"/>
    <w:rsid w:val="00E41C6C"/>
    <w:rsid w:val="00E439F5"/>
    <w:rsid w:val="00E45236"/>
    <w:rsid w:val="00E468DB"/>
    <w:rsid w:val="00E46B80"/>
    <w:rsid w:val="00E50406"/>
    <w:rsid w:val="00E51B50"/>
    <w:rsid w:val="00E554F9"/>
    <w:rsid w:val="00E6041C"/>
    <w:rsid w:val="00E60668"/>
    <w:rsid w:val="00E612FD"/>
    <w:rsid w:val="00E65959"/>
    <w:rsid w:val="00E72C99"/>
    <w:rsid w:val="00E735EB"/>
    <w:rsid w:val="00E74F75"/>
    <w:rsid w:val="00E85CCB"/>
    <w:rsid w:val="00E97395"/>
    <w:rsid w:val="00EA233A"/>
    <w:rsid w:val="00EA2372"/>
    <w:rsid w:val="00EA4562"/>
    <w:rsid w:val="00EA5A06"/>
    <w:rsid w:val="00EA6B6F"/>
    <w:rsid w:val="00EB3A86"/>
    <w:rsid w:val="00EB6633"/>
    <w:rsid w:val="00EC3C6A"/>
    <w:rsid w:val="00EC5088"/>
    <w:rsid w:val="00ED6EDF"/>
    <w:rsid w:val="00EE010A"/>
    <w:rsid w:val="00EE45D8"/>
    <w:rsid w:val="00EF237D"/>
    <w:rsid w:val="00EF6744"/>
    <w:rsid w:val="00F015D8"/>
    <w:rsid w:val="00F07595"/>
    <w:rsid w:val="00F07F49"/>
    <w:rsid w:val="00F114D2"/>
    <w:rsid w:val="00F11D45"/>
    <w:rsid w:val="00F156AB"/>
    <w:rsid w:val="00F15C1C"/>
    <w:rsid w:val="00F16F74"/>
    <w:rsid w:val="00F177BC"/>
    <w:rsid w:val="00F17E56"/>
    <w:rsid w:val="00F2332C"/>
    <w:rsid w:val="00F304D7"/>
    <w:rsid w:val="00F314C5"/>
    <w:rsid w:val="00F3262A"/>
    <w:rsid w:val="00F35EC2"/>
    <w:rsid w:val="00F370C3"/>
    <w:rsid w:val="00F44D5D"/>
    <w:rsid w:val="00F47532"/>
    <w:rsid w:val="00F50953"/>
    <w:rsid w:val="00F57CDB"/>
    <w:rsid w:val="00F61873"/>
    <w:rsid w:val="00F6205B"/>
    <w:rsid w:val="00F63A1D"/>
    <w:rsid w:val="00F642CE"/>
    <w:rsid w:val="00F64786"/>
    <w:rsid w:val="00F652BB"/>
    <w:rsid w:val="00F76310"/>
    <w:rsid w:val="00F7683C"/>
    <w:rsid w:val="00F76885"/>
    <w:rsid w:val="00F772C4"/>
    <w:rsid w:val="00F81305"/>
    <w:rsid w:val="00F824B7"/>
    <w:rsid w:val="00F82BFF"/>
    <w:rsid w:val="00F82E0A"/>
    <w:rsid w:val="00F83F6B"/>
    <w:rsid w:val="00F84302"/>
    <w:rsid w:val="00F9009F"/>
    <w:rsid w:val="00FA4508"/>
    <w:rsid w:val="00FA50E5"/>
    <w:rsid w:val="00FA591F"/>
    <w:rsid w:val="00FC662F"/>
    <w:rsid w:val="00FD21E7"/>
    <w:rsid w:val="00FD6FA2"/>
    <w:rsid w:val="00FD76C1"/>
    <w:rsid w:val="00FE0405"/>
    <w:rsid w:val="00FF0082"/>
    <w:rsid w:val="00FF51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colormru v:ext="edit" colors="#944697"/>
      <o:colormenu v:ext="edit" strokecolor="none"/>
    </o:shapedefaults>
    <o:shapelayout v:ext="edit">
      <o:idmap v:ext="edit" data="1"/>
    </o:shapelayout>
  </w:shapeDefaults>
  <w:decimalSymbol w:val="."/>
  <w:listSeparator w:val=","/>
  <w14:docId w14:val="03F96B22"/>
  <w15:docId w15:val="{C83AFCC2-BB3E-4C38-BCDF-A4960151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5C2"/>
    <w:pPr>
      <w:spacing w:after="90" w:line="220" w:lineRule="atLeast"/>
    </w:pPr>
    <w:rPr>
      <w:rFonts w:ascii="Arial" w:hAnsi="Arial"/>
      <w:color w:val="747378"/>
      <w:sz w:val="19"/>
      <w:szCs w:val="24"/>
      <w:lang w:eastAsia="en-US"/>
    </w:rPr>
  </w:style>
  <w:style w:type="paragraph" w:styleId="Heading1">
    <w:name w:val="heading 1"/>
    <w:basedOn w:val="Normal"/>
    <w:next w:val="Normal"/>
    <w:qFormat/>
    <w:rsid w:val="00DB65C2"/>
    <w:pPr>
      <w:keepNext/>
      <w:pageBreakBefore/>
      <w:numPr>
        <w:numId w:val="2"/>
      </w:numPr>
      <w:tabs>
        <w:tab w:val="clear" w:pos="720"/>
        <w:tab w:val="num" w:pos="644"/>
      </w:tabs>
      <w:spacing w:after="180" w:line="450" w:lineRule="atLeast"/>
      <w:ind w:left="646" w:hanging="646"/>
      <w:outlineLvl w:val="0"/>
    </w:pPr>
    <w:rPr>
      <w:rFonts w:cs="Arial"/>
      <w:bCs/>
      <w:color w:val="87AF00"/>
      <w:kern w:val="32"/>
      <w:sz w:val="36"/>
      <w:szCs w:val="36"/>
    </w:rPr>
  </w:style>
  <w:style w:type="paragraph" w:styleId="Heading2">
    <w:name w:val="heading 2"/>
    <w:basedOn w:val="Normal"/>
    <w:next w:val="Normal"/>
    <w:qFormat/>
    <w:rsid w:val="00311297"/>
    <w:pPr>
      <w:keepNext/>
      <w:spacing w:before="430" w:after="60" w:line="240" w:lineRule="auto"/>
      <w:outlineLvl w:val="1"/>
    </w:pPr>
    <w:rPr>
      <w:rFonts w:cs="Arial"/>
      <w:bCs/>
      <w:iCs/>
      <w:color w:val="87AF00"/>
      <w:sz w:val="28"/>
      <w:szCs w:val="28"/>
    </w:rPr>
  </w:style>
  <w:style w:type="paragraph" w:styleId="Heading3">
    <w:name w:val="heading 3"/>
    <w:basedOn w:val="Normal"/>
    <w:next w:val="Normal"/>
    <w:qFormat/>
    <w:rsid w:val="005C46F6"/>
    <w:pPr>
      <w:keepNext/>
      <w:spacing w:before="70" w:after="80"/>
      <w:outlineLvl w:val="2"/>
    </w:pPr>
    <w:rPr>
      <w:rFonts w:cs="Arial"/>
      <w:b/>
      <w:bCs/>
      <w:color w:val="9BBB59"/>
      <w:szCs w:val="19"/>
    </w:rPr>
  </w:style>
  <w:style w:type="paragraph" w:styleId="Heading4">
    <w:name w:val="heading 4"/>
    <w:basedOn w:val="Normal"/>
    <w:next w:val="Normal"/>
    <w:link w:val="Heading4Char"/>
    <w:semiHidden/>
    <w:unhideWhenUsed/>
    <w:qFormat/>
    <w:rsid w:val="00481BF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85DBA"/>
    <w:pPr>
      <w:tabs>
        <w:tab w:val="center" w:pos="4320"/>
        <w:tab w:val="right" w:pos="8640"/>
      </w:tabs>
    </w:pPr>
  </w:style>
  <w:style w:type="paragraph" w:styleId="Footer">
    <w:name w:val="footer"/>
    <w:basedOn w:val="Normal"/>
    <w:rsid w:val="000D4779"/>
    <w:pPr>
      <w:tabs>
        <w:tab w:val="right" w:pos="8640"/>
      </w:tabs>
      <w:spacing w:after="0" w:line="240" w:lineRule="auto"/>
      <w:ind w:right="57"/>
      <w:jc w:val="right"/>
    </w:pPr>
    <w:rPr>
      <w:spacing w:val="-1"/>
      <w:sz w:val="14"/>
      <w:szCs w:val="14"/>
    </w:rPr>
  </w:style>
  <w:style w:type="paragraph" w:customStyle="1" w:styleId="ReportTitle">
    <w:name w:val="Report Title"/>
    <w:basedOn w:val="Normal"/>
    <w:rsid w:val="00BB6565"/>
    <w:pPr>
      <w:spacing w:after="35" w:line="480" w:lineRule="exact"/>
    </w:pPr>
    <w:rPr>
      <w:color w:val="87AF00"/>
      <w:spacing w:val="-12"/>
      <w:sz w:val="46"/>
      <w:szCs w:val="46"/>
    </w:rPr>
  </w:style>
  <w:style w:type="paragraph" w:customStyle="1" w:styleId="ReportSub-Title">
    <w:name w:val="Report Sub-Title"/>
    <w:basedOn w:val="Normal"/>
    <w:rsid w:val="00927968"/>
    <w:pPr>
      <w:spacing w:line="330" w:lineRule="exact"/>
    </w:pPr>
    <w:rPr>
      <w:color w:val="808080"/>
      <w:spacing w:val="-6"/>
      <w:sz w:val="28"/>
      <w:szCs w:val="28"/>
    </w:rPr>
  </w:style>
  <w:style w:type="paragraph" w:customStyle="1" w:styleId="CopyrightDetailsBold">
    <w:name w:val="Copyright Details Bold"/>
    <w:basedOn w:val="Normal"/>
    <w:rsid w:val="00F015D8"/>
    <w:pPr>
      <w:spacing w:after="0" w:line="260" w:lineRule="exact"/>
    </w:pPr>
    <w:rPr>
      <w:b/>
    </w:rPr>
  </w:style>
  <w:style w:type="paragraph" w:customStyle="1" w:styleId="CopyrightDetails">
    <w:name w:val="Copyright Details"/>
    <w:basedOn w:val="Normal"/>
    <w:rsid w:val="00F015D8"/>
    <w:pPr>
      <w:spacing w:after="0" w:line="260" w:lineRule="exact"/>
    </w:pPr>
  </w:style>
  <w:style w:type="paragraph" w:customStyle="1" w:styleId="CopyrightDetails-Logo">
    <w:name w:val="Copyright Details - Logo"/>
    <w:basedOn w:val="CopyrightDetails"/>
    <w:next w:val="CopyrightDetails"/>
    <w:rsid w:val="00AA11E9"/>
    <w:pPr>
      <w:spacing w:before="56" w:after="136" w:line="240" w:lineRule="auto"/>
    </w:pPr>
  </w:style>
  <w:style w:type="paragraph" w:customStyle="1" w:styleId="TOCTitle">
    <w:name w:val="TOC Title"/>
    <w:basedOn w:val="Header"/>
    <w:link w:val="TOCTitleChar"/>
    <w:rsid w:val="0002637D"/>
    <w:pPr>
      <w:ind w:left="-336"/>
    </w:pPr>
    <w:rPr>
      <w:color w:val="87AF00"/>
      <w:sz w:val="36"/>
      <w:szCs w:val="36"/>
    </w:rPr>
  </w:style>
  <w:style w:type="character" w:customStyle="1" w:styleId="HeaderChar">
    <w:name w:val="Header Char"/>
    <w:link w:val="Header"/>
    <w:rsid w:val="002A163D"/>
    <w:rPr>
      <w:rFonts w:ascii="Arial" w:hAnsi="Arial"/>
      <w:sz w:val="18"/>
      <w:szCs w:val="24"/>
      <w:lang w:val="en-AU" w:eastAsia="en-US" w:bidi="ar-SA"/>
    </w:rPr>
  </w:style>
  <w:style w:type="character" w:customStyle="1" w:styleId="TOCTitleChar">
    <w:name w:val="TOC Title Char"/>
    <w:link w:val="TOCTitle"/>
    <w:rsid w:val="0002637D"/>
    <w:rPr>
      <w:rFonts w:ascii="Arial" w:hAnsi="Arial"/>
      <w:color w:val="87AF00"/>
      <w:sz w:val="36"/>
      <w:szCs w:val="36"/>
      <w:lang w:eastAsia="en-US"/>
    </w:rPr>
  </w:style>
  <w:style w:type="table" w:styleId="TableGrid">
    <w:name w:val="Table Grid"/>
    <w:basedOn w:val="TableNormal"/>
    <w:rsid w:val="00E72C99"/>
    <w:pPr>
      <w:spacing w:after="90"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A824FC"/>
    <w:pPr>
      <w:tabs>
        <w:tab w:val="left" w:pos="0"/>
      </w:tabs>
      <w:spacing w:after="260"/>
      <w:ind w:hanging="340"/>
    </w:pPr>
    <w:rPr>
      <w:b/>
      <w:noProof/>
    </w:rPr>
  </w:style>
  <w:style w:type="character" w:styleId="PageNumber">
    <w:name w:val="page number"/>
    <w:basedOn w:val="DefaultParagraphFont"/>
    <w:rsid w:val="00BB6565"/>
  </w:style>
  <w:style w:type="paragraph" w:styleId="ListBullet">
    <w:name w:val="List Bullet"/>
    <w:basedOn w:val="Normal"/>
    <w:rsid w:val="0099614A"/>
    <w:pPr>
      <w:numPr>
        <w:numId w:val="1"/>
      </w:numPr>
      <w:spacing w:after="84"/>
    </w:pPr>
  </w:style>
  <w:style w:type="paragraph" w:styleId="TOC3">
    <w:name w:val="toc 3"/>
    <w:basedOn w:val="Normal"/>
    <w:next w:val="Normal"/>
    <w:autoRedefine/>
    <w:semiHidden/>
    <w:rsid w:val="00AF50E2"/>
    <w:pPr>
      <w:ind w:left="360"/>
    </w:pPr>
  </w:style>
  <w:style w:type="paragraph" w:styleId="TOC2">
    <w:name w:val="toc 2"/>
    <w:basedOn w:val="Normal"/>
    <w:next w:val="Normal"/>
    <w:uiPriority w:val="39"/>
    <w:rsid w:val="00797E97"/>
    <w:pPr>
      <w:tabs>
        <w:tab w:val="right" w:pos="5954"/>
      </w:tabs>
      <w:spacing w:after="260"/>
    </w:pPr>
  </w:style>
  <w:style w:type="paragraph" w:styleId="Quote">
    <w:name w:val="Quote"/>
    <w:basedOn w:val="Normal"/>
    <w:qFormat/>
    <w:rsid w:val="005C46F6"/>
    <w:rPr>
      <w:b/>
      <w:color w:val="808080"/>
      <w:szCs w:val="19"/>
    </w:rPr>
  </w:style>
  <w:style w:type="paragraph" w:customStyle="1" w:styleId="Default">
    <w:name w:val="Default"/>
    <w:rsid w:val="00A97DF4"/>
    <w:pPr>
      <w:widowControl w:val="0"/>
      <w:autoSpaceDE w:val="0"/>
      <w:autoSpaceDN w:val="0"/>
      <w:adjustRightInd w:val="0"/>
    </w:pPr>
    <w:rPr>
      <w:rFonts w:ascii="Arial" w:hAnsi="Arial" w:cs="Arial"/>
      <w:color w:val="000000"/>
      <w:sz w:val="24"/>
      <w:szCs w:val="24"/>
      <w:lang w:val="en-US" w:eastAsia="en-US"/>
    </w:rPr>
  </w:style>
  <w:style w:type="paragraph" w:customStyle="1" w:styleId="Table-ColumnHeading">
    <w:name w:val="Table - Column Heading"/>
    <w:basedOn w:val="Default"/>
    <w:rsid w:val="00C322E8"/>
    <w:pPr>
      <w:tabs>
        <w:tab w:val="left" w:pos="205"/>
      </w:tabs>
    </w:pPr>
    <w:rPr>
      <w:b/>
      <w:bCs/>
      <w:color w:val="FFFFFF"/>
      <w:sz w:val="18"/>
      <w:szCs w:val="18"/>
    </w:rPr>
  </w:style>
  <w:style w:type="paragraph" w:styleId="Caption">
    <w:name w:val="caption"/>
    <w:basedOn w:val="Normal"/>
    <w:next w:val="Normal"/>
    <w:qFormat/>
    <w:rsid w:val="00F07595"/>
    <w:rPr>
      <w:b/>
      <w:bCs/>
      <w:color w:val="87AF00"/>
      <w:szCs w:val="19"/>
    </w:rPr>
  </w:style>
  <w:style w:type="paragraph" w:customStyle="1" w:styleId="Table-Entry">
    <w:name w:val="Table - Entry"/>
    <w:basedOn w:val="Default"/>
    <w:rsid w:val="00C322E8"/>
    <w:pPr>
      <w:tabs>
        <w:tab w:val="left" w:pos="205"/>
      </w:tabs>
    </w:pPr>
    <w:rPr>
      <w:color w:val="737277"/>
      <w:sz w:val="18"/>
      <w:szCs w:val="18"/>
    </w:rPr>
  </w:style>
  <w:style w:type="paragraph" w:customStyle="1" w:styleId="Table-RowHeading">
    <w:name w:val="Table - Row Heading"/>
    <w:basedOn w:val="Default"/>
    <w:rsid w:val="00C322E8"/>
    <w:rPr>
      <w:color w:val="737277"/>
      <w:sz w:val="18"/>
      <w:szCs w:val="18"/>
    </w:rPr>
  </w:style>
  <w:style w:type="paragraph" w:customStyle="1" w:styleId="Source">
    <w:name w:val="Source"/>
    <w:basedOn w:val="Normal"/>
    <w:rsid w:val="007D5EE3"/>
    <w:pPr>
      <w:spacing w:after="0"/>
      <w:ind w:right="-142"/>
    </w:pPr>
    <w:rPr>
      <w:sz w:val="16"/>
      <w:szCs w:val="16"/>
    </w:rPr>
  </w:style>
  <w:style w:type="paragraph" w:customStyle="1" w:styleId="Spacer">
    <w:name w:val="Spacer"/>
    <w:basedOn w:val="Normal"/>
    <w:rsid w:val="005B48EA"/>
    <w:pPr>
      <w:spacing w:after="0" w:line="240" w:lineRule="auto"/>
    </w:pPr>
    <w:rPr>
      <w:sz w:val="6"/>
      <w:szCs w:val="6"/>
    </w:rPr>
  </w:style>
  <w:style w:type="paragraph" w:customStyle="1" w:styleId="TablePhoto">
    <w:name w:val="Table Photo"/>
    <w:basedOn w:val="Normal"/>
    <w:rsid w:val="00DF1B47"/>
    <w:pPr>
      <w:spacing w:after="0" w:line="240" w:lineRule="auto"/>
    </w:pPr>
  </w:style>
  <w:style w:type="paragraph" w:styleId="ListBullet2">
    <w:name w:val="List Bullet 2"/>
    <w:basedOn w:val="Normal"/>
    <w:rsid w:val="00D27344"/>
    <w:pPr>
      <w:numPr>
        <w:numId w:val="3"/>
      </w:numPr>
      <w:spacing w:after="0"/>
    </w:pPr>
  </w:style>
  <w:style w:type="character" w:customStyle="1" w:styleId="Heading4Char">
    <w:name w:val="Heading 4 Char"/>
    <w:link w:val="Heading4"/>
    <w:semiHidden/>
    <w:rsid w:val="00481BF1"/>
    <w:rPr>
      <w:rFonts w:ascii="Calibri" w:eastAsia="Times New Roman" w:hAnsi="Calibri" w:cs="Times New Roman"/>
      <w:b/>
      <w:bCs/>
      <w:color w:val="747378"/>
      <w:sz w:val="28"/>
      <w:szCs w:val="28"/>
      <w:lang w:eastAsia="en-US"/>
    </w:rPr>
  </w:style>
  <w:style w:type="character" w:styleId="Hyperlink">
    <w:name w:val="Hyperlink"/>
    <w:rsid w:val="00481BF1"/>
    <w:rPr>
      <w:color w:val="0000FF"/>
      <w:u w:val="single"/>
    </w:rPr>
  </w:style>
  <w:style w:type="table" w:styleId="MediumShading1-Accent1">
    <w:name w:val="Medium Shading 1 Accent 1"/>
    <w:basedOn w:val="TableNormal"/>
    <w:uiPriority w:val="63"/>
    <w:rsid w:val="00481BF1"/>
    <w:rPr>
      <w:rFonts w:ascii="Calibri" w:eastAsia="Calibri" w:hAnsi="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81BF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481BF1"/>
    <w:rPr>
      <w:rFonts w:ascii="Calibri" w:eastAsia="Calibri" w:hAnsi="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BalloonText">
    <w:name w:val="Balloon Text"/>
    <w:basedOn w:val="Normal"/>
    <w:link w:val="BalloonTextChar"/>
    <w:rsid w:val="00481BF1"/>
    <w:pPr>
      <w:spacing w:after="0" w:line="240" w:lineRule="auto"/>
    </w:pPr>
    <w:rPr>
      <w:rFonts w:ascii="Tahoma" w:hAnsi="Tahoma" w:cs="Tahoma"/>
      <w:sz w:val="16"/>
      <w:szCs w:val="16"/>
    </w:rPr>
  </w:style>
  <w:style w:type="character" w:customStyle="1" w:styleId="BalloonTextChar">
    <w:name w:val="Balloon Text Char"/>
    <w:link w:val="BalloonText"/>
    <w:rsid w:val="00481BF1"/>
    <w:rPr>
      <w:rFonts w:ascii="Tahoma" w:hAnsi="Tahoma" w:cs="Tahoma"/>
      <w:color w:val="747378"/>
      <w:sz w:val="16"/>
      <w:szCs w:val="16"/>
      <w:lang w:eastAsia="en-US"/>
    </w:rPr>
  </w:style>
  <w:style w:type="character" w:styleId="CommentReference">
    <w:name w:val="annotation reference"/>
    <w:rsid w:val="00481BF1"/>
    <w:rPr>
      <w:sz w:val="16"/>
      <w:szCs w:val="16"/>
    </w:rPr>
  </w:style>
  <w:style w:type="paragraph" w:styleId="CommentText">
    <w:name w:val="annotation text"/>
    <w:basedOn w:val="Normal"/>
    <w:link w:val="CommentTextChar"/>
    <w:rsid w:val="00481BF1"/>
    <w:rPr>
      <w:sz w:val="20"/>
      <w:szCs w:val="20"/>
    </w:rPr>
  </w:style>
  <w:style w:type="character" w:customStyle="1" w:styleId="CommentTextChar">
    <w:name w:val="Comment Text Char"/>
    <w:link w:val="CommentText"/>
    <w:rsid w:val="00481BF1"/>
    <w:rPr>
      <w:rFonts w:ascii="Arial" w:hAnsi="Arial"/>
      <w:color w:val="747378"/>
      <w:lang w:eastAsia="en-US"/>
    </w:rPr>
  </w:style>
  <w:style w:type="paragraph" w:styleId="CommentSubject">
    <w:name w:val="annotation subject"/>
    <w:basedOn w:val="CommentText"/>
    <w:next w:val="CommentText"/>
    <w:link w:val="CommentSubjectChar"/>
    <w:rsid w:val="00481BF1"/>
    <w:rPr>
      <w:b/>
      <w:bCs/>
    </w:rPr>
  </w:style>
  <w:style w:type="character" w:customStyle="1" w:styleId="CommentSubjectChar">
    <w:name w:val="Comment Subject Char"/>
    <w:link w:val="CommentSubject"/>
    <w:rsid w:val="00481BF1"/>
    <w:rPr>
      <w:rFonts w:ascii="Arial" w:hAnsi="Arial"/>
      <w:b/>
      <w:bCs/>
      <w:color w:val="747378"/>
      <w:lang w:eastAsia="en-US"/>
    </w:rPr>
  </w:style>
  <w:style w:type="character" w:styleId="FollowedHyperlink">
    <w:name w:val="FollowedHyperlink"/>
    <w:rsid w:val="00481BF1"/>
    <w:rPr>
      <w:color w:val="800080"/>
      <w:u w:val="single"/>
    </w:rPr>
  </w:style>
  <w:style w:type="table" w:styleId="LightList-Accent3">
    <w:name w:val="Light List Accent 3"/>
    <w:basedOn w:val="TableNormal"/>
    <w:uiPriority w:val="61"/>
    <w:rsid w:val="004F465E"/>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Revision">
    <w:name w:val="Revision"/>
    <w:hidden/>
    <w:uiPriority w:val="99"/>
    <w:semiHidden/>
    <w:rsid w:val="006947B6"/>
    <w:rPr>
      <w:rFonts w:ascii="Arial" w:hAnsi="Arial"/>
      <w:color w:val="747378"/>
      <w:sz w:val="19"/>
      <w:szCs w:val="24"/>
      <w:lang w:eastAsia="en-US"/>
    </w:rPr>
  </w:style>
  <w:style w:type="paragraph" w:styleId="ListParagraph">
    <w:name w:val="List Paragraph"/>
    <w:basedOn w:val="Normal"/>
    <w:uiPriority w:val="34"/>
    <w:qFormat/>
    <w:rsid w:val="006855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746664">
      <w:bodyDiv w:val="1"/>
      <w:marLeft w:val="0"/>
      <w:marRight w:val="0"/>
      <w:marTop w:val="0"/>
      <w:marBottom w:val="0"/>
      <w:divBdr>
        <w:top w:val="none" w:sz="0" w:space="0" w:color="auto"/>
        <w:left w:val="none" w:sz="0" w:space="0" w:color="auto"/>
        <w:bottom w:val="none" w:sz="0" w:space="0" w:color="auto"/>
        <w:right w:val="none" w:sz="0" w:space="0" w:color="auto"/>
      </w:divBdr>
    </w:div>
    <w:div w:id="650864475">
      <w:bodyDiv w:val="1"/>
      <w:marLeft w:val="0"/>
      <w:marRight w:val="0"/>
      <w:marTop w:val="0"/>
      <w:marBottom w:val="0"/>
      <w:divBdr>
        <w:top w:val="none" w:sz="0" w:space="0" w:color="auto"/>
        <w:left w:val="none" w:sz="0" w:space="0" w:color="auto"/>
        <w:bottom w:val="none" w:sz="0" w:space="0" w:color="auto"/>
        <w:right w:val="none" w:sz="0" w:space="0" w:color="auto"/>
      </w:divBdr>
    </w:div>
    <w:div w:id="912161288">
      <w:bodyDiv w:val="1"/>
      <w:marLeft w:val="0"/>
      <w:marRight w:val="0"/>
      <w:marTop w:val="0"/>
      <w:marBottom w:val="0"/>
      <w:divBdr>
        <w:top w:val="none" w:sz="0" w:space="0" w:color="auto"/>
        <w:left w:val="none" w:sz="0" w:space="0" w:color="auto"/>
        <w:bottom w:val="none" w:sz="0" w:space="0" w:color="auto"/>
        <w:right w:val="none" w:sz="0" w:space="0" w:color="auto"/>
      </w:divBdr>
    </w:div>
    <w:div w:id="1034500531">
      <w:bodyDiv w:val="1"/>
      <w:marLeft w:val="0"/>
      <w:marRight w:val="0"/>
      <w:marTop w:val="0"/>
      <w:marBottom w:val="0"/>
      <w:divBdr>
        <w:top w:val="none" w:sz="0" w:space="0" w:color="auto"/>
        <w:left w:val="none" w:sz="0" w:space="0" w:color="auto"/>
        <w:bottom w:val="none" w:sz="0" w:space="0" w:color="auto"/>
        <w:right w:val="none" w:sz="0" w:space="0" w:color="auto"/>
      </w:divBdr>
    </w:div>
    <w:div w:id="1049189228">
      <w:bodyDiv w:val="1"/>
      <w:marLeft w:val="0"/>
      <w:marRight w:val="0"/>
      <w:marTop w:val="0"/>
      <w:marBottom w:val="0"/>
      <w:divBdr>
        <w:top w:val="none" w:sz="0" w:space="0" w:color="auto"/>
        <w:left w:val="none" w:sz="0" w:space="0" w:color="auto"/>
        <w:bottom w:val="none" w:sz="0" w:space="0" w:color="auto"/>
        <w:right w:val="none" w:sz="0" w:space="0" w:color="auto"/>
      </w:divBdr>
    </w:div>
    <w:div w:id="164588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http://www.education.vic.gov.au/school/principals/finance/Pages/conveyance.aspx" TargetMode="External"/><Relationship Id="rId39" Type="http://schemas.openxmlformats.org/officeDocument/2006/relationships/hyperlink" Target="http://www.ptv.vic.gov.au"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yperlink" Target="http://www.ptv.vic.gov.au" TargetMode="External"/><Relationship Id="rId42"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yperlink" Target="http://www.education.vic.gov.au/studenttransport" TargetMode="External"/><Relationship Id="rId17" Type="http://schemas.openxmlformats.org/officeDocument/2006/relationships/header" Target="header4.xml"/><Relationship Id="rId25" Type="http://schemas.openxmlformats.org/officeDocument/2006/relationships/hyperlink" Target="mailto:conveyance@edumail.vic.gov.au" TargetMode="External"/><Relationship Id="rId33" Type="http://schemas.openxmlformats.org/officeDocument/2006/relationships/hyperlink" Target="http://www.education.vic.gov.au/school/principals/finance/Pages/conveyance.aspx" TargetMode="External"/><Relationship Id="rId38" Type="http://schemas.openxmlformats.org/officeDocument/2006/relationships/hyperlink" Target="http://www.education.vic.gov.au/studenttransport"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hyperlink" Target="http://www.education.vic.gov.au/school/principals/participation/Pages/reengagement.aspx"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yperlink" Target="mailto:conveyance@edumail.vic.gov.au" TargetMode="External"/><Relationship Id="rId37" Type="http://schemas.openxmlformats.org/officeDocument/2006/relationships/hyperlink" Target="http://www.education.vic.gov.au/conveyance" TargetMode="External"/><Relationship Id="rId40" Type="http://schemas.openxmlformats.org/officeDocument/2006/relationships/hyperlink" Target="http://www.vrqa.vic.gov.au"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yperlink" Target="http://www.education.vic.gov.au/studenttransport" TargetMode="External"/><Relationship Id="rId36" Type="http://schemas.openxmlformats.org/officeDocument/2006/relationships/hyperlink" Target="http://www.abs.gov.au"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www.ptv.vic.gov.au" TargetMode="External"/><Relationship Id="rId44"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image" Target="media/image3.jpeg"/><Relationship Id="rId30" Type="http://schemas.openxmlformats.org/officeDocument/2006/relationships/hyperlink" Target="mailto:student.transport@edumail.vic.gov.au" TargetMode="External"/><Relationship Id="rId35" Type="http://schemas.openxmlformats.org/officeDocument/2006/relationships/hyperlink" Target="http://www.education.vic.gov.au/school/principals/finance/Pages/conveyance.aspx" TargetMode="External"/><Relationship Id="rId43" Type="http://schemas.openxmlformats.org/officeDocument/2006/relationships/footer" Target="footer7.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76b566cd-adb9-46c2-964b-22eba181fd0b" xsi:nil="true"/>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policy, cap, conveyance, conveyance allowance</DEECD_Keywords>
    <DEECD_Description xmlns="http://schemas.microsoft.com/sharepoint/v3">Conveyance Allowance Policy</DEECD_Description>
    <b1688cb4a3a940449dc8286705012a42 xmlns="76b566cd-adb9-46c2-964b-22eba181fd0b">
      <Terms xmlns="http://schemas.microsoft.com/office/infopath/2007/PartnerControls"/>
    </b1688cb4a3a940449dc8286705012a42>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3A053-44C3-4A19-824D-B58207456463}"/>
</file>

<file path=customXml/itemProps2.xml><?xml version="1.0" encoding="utf-8"?>
<ds:datastoreItem xmlns:ds="http://schemas.openxmlformats.org/officeDocument/2006/customXml" ds:itemID="{2E9B5ED3-B21F-489D-BA23-799E6C4208D3}"/>
</file>

<file path=customXml/itemProps3.xml><?xml version="1.0" encoding="utf-8"?>
<ds:datastoreItem xmlns:ds="http://schemas.openxmlformats.org/officeDocument/2006/customXml" ds:itemID="{6BBCF681-5EE5-45C4-B26D-24286FEB7CDC}"/>
</file>

<file path=customXml/itemProps4.xml><?xml version="1.0" encoding="utf-8"?>
<ds:datastoreItem xmlns:ds="http://schemas.openxmlformats.org/officeDocument/2006/customXml" ds:itemID="{89185869-FD87-40E9-B9A8-3C245A163D51}"/>
</file>

<file path=docProps/app.xml><?xml version="1.0" encoding="utf-8"?>
<Properties xmlns="http://schemas.openxmlformats.org/officeDocument/2006/extended-properties" xmlns:vt="http://schemas.openxmlformats.org/officeDocument/2006/docPropsVTypes">
  <Template>Normal</Template>
  <TotalTime>83</TotalTime>
  <Pages>23</Pages>
  <Words>6339</Words>
  <Characters>36137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Report</vt:lpstr>
    </vt:vector>
  </TitlesOfParts>
  <Company>DEECD</Company>
  <LinksUpToDate>false</LinksUpToDate>
  <CharactersWithSpaces>42392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Conveyance Allowance Policy</dc:title>
  <dc:creator>Rebecca Clark</dc:creator>
  <cp:lastModifiedBy>Wallis, Ian A</cp:lastModifiedBy>
  <cp:revision>12</cp:revision>
  <cp:lastPrinted>2016-10-20T03:54:00Z</cp:lastPrinted>
  <dcterms:created xsi:type="dcterms:W3CDTF">2016-10-20T04:06:00Z</dcterms:created>
  <dcterms:modified xsi:type="dcterms:W3CDTF">2017-08-15T03:10:00Z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 ver">
    <vt:lpwstr>19</vt:lpwstr>
  </property>
  <property fmtid="{D5CDD505-2E9C-101B-9397-08002B2CF9AE}" pid="3" name="Word Ver">
    <vt:lpwstr>2003</vt:lpwstr>
  </property>
  <property fmtid="{D5CDD505-2E9C-101B-9397-08002B2CF9AE}" pid="4" name="ContentTypeId">
    <vt:lpwstr>0x0101008840106FE30D4F50BC61A726A7CA6E3800A01D47DD30CBB54F95863B7DC80A2CEC</vt:lpwstr>
  </property>
  <property fmtid="{D5CDD505-2E9C-101B-9397-08002B2CF9AE}" pid="5" name="DEECD_Author">
    <vt:lpwstr>94;#Education|5232e41c-5101-41fe-b638-7d41d1371531</vt:lpwstr>
  </property>
  <property fmtid="{D5CDD505-2E9C-101B-9397-08002B2CF9AE}" pid="6" name="DEECD_ItemType">
    <vt:lpwstr>101;#Page|eb523acf-a821-456c-a76b-7607578309d7</vt:lpwstr>
  </property>
  <property fmtid="{D5CDD505-2E9C-101B-9397-08002B2CF9AE}" pid="7" name="DEECD_SubjectCategory">
    <vt:lpwstr/>
  </property>
  <property fmtid="{D5CDD505-2E9C-101B-9397-08002B2CF9AE}" pid="8" name="DEECD_Audience">
    <vt:lpwstr/>
  </property>
</Properties>
</file>