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157E" w14:textId="77777777" w:rsidR="00486AE5" w:rsidRDefault="00486AE5" w:rsidP="00250E24">
      <w:pPr>
        <w:autoSpaceDE w:val="0"/>
        <w:autoSpaceDN w:val="0"/>
        <w:adjustRightInd w:val="0"/>
        <w:spacing w:after="1134" w:line="240" w:lineRule="auto"/>
        <w:rPr>
          <w:rFonts w:ascii="MetaPlusBold-Roman" w:hAnsi="MetaPlusBold-Roman" w:cs="MetaPlusBold-Roman"/>
          <w:b/>
          <w:bCs/>
          <w:color w:val="502683"/>
          <w:sz w:val="28"/>
          <w:szCs w:val="28"/>
        </w:rPr>
      </w:pPr>
      <w:bookmarkStart w:id="0" w:name="_GoBack"/>
      <w:bookmarkEnd w:id="0"/>
      <w:r>
        <w:rPr>
          <w:rFonts w:ascii="MetaPlusBold-Roman" w:hAnsi="MetaPlusBold-Roman" w:cs="MetaPlusBold-Roman"/>
          <w:b/>
          <w:bCs/>
          <w:color w:val="502683"/>
          <w:sz w:val="28"/>
          <w:szCs w:val="28"/>
        </w:rPr>
        <w:t>Checklist for a host school property manager</w:t>
      </w:r>
    </w:p>
    <w:tbl>
      <w:tblPr>
        <w:tblStyle w:val="LightShading-Accent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9173"/>
        <w:gridCol w:w="498"/>
      </w:tblGrid>
      <w:tr w:rsidR="003E047E" w:rsidRPr="001B321D" w14:paraId="0010595E" w14:textId="77777777" w:rsidTr="00250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il"/>
              <w:bottom w:val="nil"/>
            </w:tcBorders>
            <w:shd w:val="clear" w:color="auto" w:fill="8BB3C4"/>
          </w:tcPr>
          <w:p w14:paraId="12955C77" w14:textId="77777777" w:rsidR="003E047E" w:rsidRPr="001B321D" w:rsidRDefault="003E047E" w:rsidP="001B321D">
            <w:pPr>
              <w:autoSpaceDE w:val="0"/>
              <w:autoSpaceDN w:val="0"/>
              <w:adjustRightInd w:val="0"/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</w:pPr>
            <w:r w:rsidRPr="001B321D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 xml:space="preserve">At </w:t>
            </w:r>
            <w:r w:rsidRPr="001B321D">
              <w:rPr>
                <w:rFonts w:ascii="MetaPlusBook-Roman" w:eastAsiaTheme="majorEastAsia" w:hAnsi="MetaPlusBook-Roman" w:cs="MetaPlusBook-Roman"/>
                <w:color w:val="FFFFFF" w:themeColor="background1"/>
                <w:sz w:val="28"/>
                <w:szCs w:val="28"/>
              </w:rPr>
              <w:t>the</w:t>
            </w:r>
            <w:r w:rsidRPr="001B321D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 xml:space="preserve"> beginning of a tenancy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8BB3C4"/>
          </w:tcPr>
          <w:p w14:paraId="070904F8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</w:pPr>
            <w:r w:rsidRPr="001B321D">
              <w:rPr>
                <w:rFonts w:ascii="MetaPlusBold-Roman" w:eastAsiaTheme="majorEastAsia" w:hAnsi="MetaPlusBold-Roman" w:cs="MetaPlusBold-Roman" w:hint="eastAsia"/>
                <w:bCs w:val="0"/>
                <w:color w:val="FFFFFF" w:themeColor="background1"/>
                <w:sz w:val="28"/>
                <w:szCs w:val="28"/>
              </w:rPr>
              <w:t>✔</w:t>
            </w:r>
          </w:p>
        </w:tc>
      </w:tr>
      <w:tr w:rsidR="003E047E" w:rsidRPr="001B321D" w14:paraId="1D1C03C2" w14:textId="77777777" w:rsidTr="003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right w:val="single" w:sz="8" w:space="0" w:color="4F81BD" w:themeColor="accent1"/>
            </w:tcBorders>
            <w:shd w:val="clear" w:color="auto" w:fill="FFFFFF" w:themeFill="background1"/>
          </w:tcPr>
          <w:p w14:paraId="0E411244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14:paraId="71666722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Give the tenant a copy of these guidelines or direct them to the website for an online version.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</w:tcBorders>
            <w:shd w:val="clear" w:color="auto" w:fill="FFFFFF" w:themeFill="background1"/>
          </w:tcPr>
          <w:p w14:paraId="008F8633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5BA04D98" w14:textId="77777777" w:rsidTr="003C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EFEDF2"/>
          </w:tcPr>
          <w:p w14:paraId="56C8E9EA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EFEDF2"/>
          </w:tcPr>
          <w:p w14:paraId="74C2A370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Witness the tenant signing two copies of the Teacher Tenancy Agreement. Return both copies to the Infrastructure and Sustainability Division for signing by a designated officer. Both copies will be returned to you, with one copy to be forwarded to the tenant and the school keeping the second copy.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EFEDF2"/>
          </w:tcPr>
          <w:p w14:paraId="6A04F7B8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2D55CE49" w14:textId="77777777" w:rsidTr="003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2FCDB4CF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14:paraId="019E34F5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Comply with all parts of the Teacher Tenancy Agreement.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2D62409F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0DF81E3F" w14:textId="77777777" w:rsidTr="003C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EFEDF2"/>
          </w:tcPr>
          <w:p w14:paraId="4FD7802D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EFEDF2"/>
          </w:tcPr>
          <w:p w14:paraId="195D22A4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Thoroughly check that the premises are completely safe and clean.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EFEDF2"/>
          </w:tcPr>
          <w:p w14:paraId="2506B91C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508352EF" w14:textId="77777777" w:rsidTr="003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02AD1DC6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14:paraId="465BE1F6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 xml:space="preserve">Complete and sign the Condition Report, give the tenant a copy to comment and sign and have them </w:t>
            </w:r>
            <w:proofErr w:type="gramStart"/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keep  a</w:t>
            </w:r>
            <w:proofErr w:type="gramEnd"/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 xml:space="preserve"> copy and return one to you. Take photos of the residence to include with the report.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4DF87A94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6F92F366" w14:textId="77777777" w:rsidTr="003C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EFEDF2"/>
          </w:tcPr>
          <w:p w14:paraId="59118C7D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EFEDF2"/>
          </w:tcPr>
          <w:p w14:paraId="1147864F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To rectify any situation, contact your tenant before taking further action.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EFEDF2"/>
          </w:tcPr>
          <w:p w14:paraId="7FF83194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056D1DEA" w14:textId="77777777" w:rsidTr="00250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8BB3C4"/>
          </w:tcPr>
          <w:p w14:paraId="73907AD3" w14:textId="77777777" w:rsidR="003E047E" w:rsidRPr="001B321D" w:rsidRDefault="003E047E" w:rsidP="009A6E83">
            <w:pPr>
              <w:autoSpaceDE w:val="0"/>
              <w:autoSpaceDN w:val="0"/>
              <w:adjustRightInd w:val="0"/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</w:pPr>
            <w:r w:rsidRPr="001B321D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 xml:space="preserve">At </w:t>
            </w:r>
            <w:r w:rsidRPr="001B321D">
              <w:rPr>
                <w:rFonts w:ascii="MetaPlusBook-Roman" w:eastAsiaTheme="majorEastAsia" w:hAnsi="MetaPlusBook-Roman" w:cs="MetaPlusBook-Roman"/>
                <w:color w:val="FFFFFF" w:themeColor="background1"/>
                <w:sz w:val="28"/>
                <w:szCs w:val="28"/>
              </w:rPr>
              <w:t>the</w:t>
            </w:r>
            <w:r w:rsidRPr="001B321D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="009A6E83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>end</w:t>
            </w:r>
            <w:r w:rsidRPr="001B321D">
              <w:rPr>
                <w:rFonts w:ascii="MetaPlusBold-Roman" w:eastAsiaTheme="majorEastAsia" w:hAnsi="MetaPlusBold-Roman" w:cs="MetaPlusBold-Roman"/>
                <w:bCs w:val="0"/>
                <w:color w:val="FFFFFF" w:themeColor="background1"/>
                <w:sz w:val="28"/>
                <w:szCs w:val="28"/>
              </w:rPr>
              <w:t xml:space="preserve"> of a tenancy </w:t>
            </w:r>
          </w:p>
        </w:tc>
        <w:tc>
          <w:tcPr>
            <w:tcW w:w="0" w:type="auto"/>
            <w:shd w:val="clear" w:color="auto" w:fill="8BB3C4"/>
          </w:tcPr>
          <w:p w14:paraId="08C4EAB7" w14:textId="77777777" w:rsidR="003E047E" w:rsidRPr="001B321D" w:rsidRDefault="009A6E83" w:rsidP="00783A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aPlusBold-Roman" w:eastAsiaTheme="majorEastAsia" w:hAnsi="MetaPlusBold-Roman" w:cs="MetaPlusBold-Roman"/>
                <w:bCs/>
                <w:color w:val="FFFFFF" w:themeColor="background1"/>
                <w:sz w:val="28"/>
                <w:szCs w:val="28"/>
              </w:rPr>
            </w:pPr>
            <w:r w:rsidRPr="001B321D">
              <w:rPr>
                <w:rFonts w:ascii="MetaPlusBold-Roman" w:eastAsiaTheme="majorEastAsia" w:hAnsi="MetaPlusBold-Roman" w:cs="MetaPlusBold-Roman" w:hint="eastAsia"/>
                <w:bCs/>
                <w:color w:val="FFFFFF" w:themeColor="background1"/>
                <w:sz w:val="28"/>
                <w:szCs w:val="28"/>
              </w:rPr>
              <w:t>✔</w:t>
            </w:r>
          </w:p>
        </w:tc>
      </w:tr>
      <w:tr w:rsidR="003E047E" w:rsidRPr="001B321D" w14:paraId="42492CCB" w14:textId="77777777" w:rsidTr="003C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14:paraId="46214CA9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14:paraId="0686C125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Keep the Condition Report in case any disputes arise.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  <w:shd w:val="clear" w:color="auto" w:fill="FFFFFF" w:themeFill="background1"/>
          </w:tcPr>
          <w:p w14:paraId="7AAC626F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4534AEA0" w14:textId="77777777" w:rsidTr="003C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single" w:sz="8" w:space="0" w:color="4F81BD" w:themeColor="accent1"/>
            </w:tcBorders>
            <w:shd w:val="clear" w:color="auto" w:fill="EFEDF2"/>
          </w:tcPr>
          <w:p w14:paraId="0C4833F4" w14:textId="77777777" w:rsidR="003E047E" w:rsidRPr="003C4F08" w:rsidRDefault="003E047E" w:rsidP="003C4F08">
            <w:pPr>
              <w:autoSpaceDE w:val="0"/>
              <w:autoSpaceDN w:val="0"/>
              <w:adjustRightInd w:val="0"/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EFEDF2"/>
          </w:tcPr>
          <w:p w14:paraId="48FDC0B3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Reach Agreement with the tenant regarding the security deposit money.</w:t>
            </w:r>
          </w:p>
        </w:tc>
        <w:tc>
          <w:tcPr>
            <w:tcW w:w="0" w:type="auto"/>
            <w:tcBorders>
              <w:left w:val="single" w:sz="8" w:space="0" w:color="4F81BD" w:themeColor="accent1"/>
              <w:bottom w:val="nil"/>
            </w:tcBorders>
            <w:shd w:val="clear" w:color="auto" w:fill="EFEDF2"/>
          </w:tcPr>
          <w:p w14:paraId="49D6818C" w14:textId="77777777" w:rsidR="003E047E" w:rsidRPr="001B321D" w:rsidRDefault="003E047E" w:rsidP="00E80D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  <w:tr w:rsidR="003E047E" w:rsidRPr="001B321D" w14:paraId="1BF5E8C8" w14:textId="77777777" w:rsidTr="003C4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111C1701" w14:textId="77777777" w:rsidR="003E047E" w:rsidRPr="003C4F08" w:rsidRDefault="003E047E" w:rsidP="003C4F08">
            <w:pPr>
              <w:jc w:val="center"/>
              <w:rPr>
                <w:rFonts w:ascii="Wingdings2" w:hAnsi="Wingdings2" w:cs="Wingdings2"/>
                <w:color w:val="000000"/>
                <w:sz w:val="28"/>
                <w:szCs w:val="28"/>
              </w:rPr>
            </w:pPr>
            <w:r w:rsidRPr="003C4F08">
              <w:rPr>
                <w:rFonts w:ascii="Wingdings 2" w:hAnsi="Wingdings 2" w:cs="Wingdings2"/>
                <w:b w:val="0"/>
                <w:color w:val="000000"/>
                <w:sz w:val="28"/>
                <w:szCs w:val="28"/>
              </w:rPr>
              <w:t>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single" w:sz="24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7DAB43E5" w14:textId="77777777" w:rsidR="003E047E" w:rsidRPr="001B321D" w:rsidRDefault="003E047E" w:rsidP="00E8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  <w:r w:rsidRPr="001B321D">
              <w:rPr>
                <w:rFonts w:ascii="Wingdings2" w:hAnsi="Wingdings2" w:cs="Wingdings2"/>
                <w:color w:val="000000"/>
                <w:sz w:val="20"/>
                <w:szCs w:val="20"/>
              </w:rPr>
              <w:t xml:space="preserve"> </w:t>
            </w:r>
            <w:r w:rsidRPr="001B321D">
              <w:rPr>
                <w:rFonts w:ascii="MetaPlusBook-Roman" w:hAnsi="MetaPlusBook-Roman" w:cs="MetaPlusBook-Roman"/>
                <w:color w:val="000000"/>
                <w:sz w:val="20"/>
                <w:szCs w:val="20"/>
              </w:rPr>
              <w:t>Discuss any disputes with the Infrastructure and Sustainability Division.</w:t>
            </w:r>
          </w:p>
        </w:tc>
        <w:tc>
          <w:tcPr>
            <w:tcW w:w="0" w:type="auto"/>
            <w:tcBorders>
              <w:top w:val="nil"/>
              <w:left w:val="single" w:sz="8" w:space="0" w:color="4F81BD" w:themeColor="accent1"/>
              <w:bottom w:val="single" w:sz="24" w:space="0" w:color="4F81BD" w:themeColor="accent1"/>
            </w:tcBorders>
            <w:shd w:val="clear" w:color="auto" w:fill="FFFFFF" w:themeFill="background1"/>
          </w:tcPr>
          <w:p w14:paraId="2E58B3C9" w14:textId="77777777" w:rsidR="003E047E" w:rsidRPr="001B321D" w:rsidRDefault="003E047E" w:rsidP="00E8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2" w:hAnsi="Wingdings2" w:cs="Wingdings2"/>
                <w:color w:val="000000"/>
                <w:sz w:val="20"/>
                <w:szCs w:val="20"/>
              </w:rPr>
            </w:pPr>
          </w:p>
        </w:tc>
      </w:tr>
    </w:tbl>
    <w:p w14:paraId="43F0146D" w14:textId="77777777" w:rsidR="0028090B" w:rsidRDefault="00641A7E" w:rsidP="00250E24"/>
    <w:sectPr w:rsidR="0028090B" w:rsidSect="003C4F08">
      <w:headerReference w:type="default" r:id="rId13"/>
      <w:footerReference w:type="default" r:id="rId14"/>
      <w:pgSz w:w="11906" w:h="16838"/>
      <w:pgMar w:top="1418" w:right="851" w:bottom="72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9528" w14:textId="77777777" w:rsidR="00D53E11" w:rsidRDefault="00D53E11" w:rsidP="003C4F08">
      <w:pPr>
        <w:spacing w:after="0" w:line="240" w:lineRule="auto"/>
      </w:pPr>
      <w:r>
        <w:separator/>
      </w:r>
    </w:p>
  </w:endnote>
  <w:endnote w:type="continuationSeparator" w:id="0">
    <w:p w14:paraId="5B59D40D" w14:textId="77777777" w:rsidR="00D53E11" w:rsidRDefault="00D53E11" w:rsidP="003C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l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2A02" w14:textId="77777777" w:rsidR="003C4F08" w:rsidRDefault="003C4F08" w:rsidP="003C4F08">
    <w:pPr>
      <w:pStyle w:val="Footer"/>
      <w:jc w:val="right"/>
    </w:pPr>
    <w:r>
      <w:rPr>
        <w:rFonts w:ascii="MetaPlusBook-Roman" w:hAnsi="MetaPlusBook-Roman" w:cs="MetaPlusBook-Roman"/>
        <w:sz w:val="18"/>
        <w:szCs w:val="18"/>
      </w:rPr>
      <w:t>Teacher Tenancy Guidelines for Renting a Teacher House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7648" w14:textId="77777777" w:rsidR="00D53E11" w:rsidRDefault="00D53E11" w:rsidP="003C4F08">
      <w:pPr>
        <w:spacing w:after="0" w:line="240" w:lineRule="auto"/>
      </w:pPr>
      <w:r>
        <w:separator/>
      </w:r>
    </w:p>
  </w:footnote>
  <w:footnote w:type="continuationSeparator" w:id="0">
    <w:p w14:paraId="7E1897A7" w14:textId="77777777" w:rsidR="00D53E11" w:rsidRDefault="00D53E11" w:rsidP="003C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FA2E" w14:textId="77777777" w:rsidR="001938BC" w:rsidRDefault="001938BC">
    <w:pPr>
      <w:pStyle w:val="Header"/>
    </w:pPr>
    <w:r>
      <w:rPr>
        <w:noProof/>
        <w:lang w:eastAsia="en-AU"/>
      </w:rPr>
      <w:drawing>
        <wp:inline distT="0" distB="0" distL="0" distR="0" wp14:anchorId="7281C783" wp14:editId="77CFF3AF">
          <wp:extent cx="1374629" cy="411782"/>
          <wp:effectExtent l="0" t="0" r="0" b="7620"/>
          <wp:docPr id="1" name="Picture 1" descr="D:\Users\08453929\Desktop\VICGOV_EDUCATION_LOGO_GOV_BLUE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08453929\Desktop\VICGOV_EDUCATION_LOGO_GOV_BLUE_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17" cy="41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5"/>
    <w:rsid w:val="00082C88"/>
    <w:rsid w:val="001637F7"/>
    <w:rsid w:val="001938BC"/>
    <w:rsid w:val="001B321D"/>
    <w:rsid w:val="00233932"/>
    <w:rsid w:val="00250E24"/>
    <w:rsid w:val="003C4F08"/>
    <w:rsid w:val="003E047E"/>
    <w:rsid w:val="00486AE5"/>
    <w:rsid w:val="00506EAF"/>
    <w:rsid w:val="00641A7E"/>
    <w:rsid w:val="0069641B"/>
    <w:rsid w:val="00722359"/>
    <w:rsid w:val="00891F61"/>
    <w:rsid w:val="00941BD8"/>
    <w:rsid w:val="009A6E83"/>
    <w:rsid w:val="00D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D4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223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41B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941B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941B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41B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C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08"/>
  </w:style>
  <w:style w:type="paragraph" w:styleId="Footer">
    <w:name w:val="footer"/>
    <w:basedOn w:val="Normal"/>
    <w:link w:val="FooterChar"/>
    <w:uiPriority w:val="99"/>
    <w:unhideWhenUsed/>
    <w:rsid w:val="003C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08"/>
  </w:style>
  <w:style w:type="paragraph" w:styleId="BalloonText">
    <w:name w:val="Balloon Text"/>
    <w:basedOn w:val="Normal"/>
    <w:link w:val="BalloonTextChar"/>
    <w:uiPriority w:val="99"/>
    <w:semiHidden/>
    <w:unhideWhenUsed/>
    <w:rsid w:val="003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223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41B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941B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941B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41B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C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08"/>
  </w:style>
  <w:style w:type="paragraph" w:styleId="Footer">
    <w:name w:val="footer"/>
    <w:basedOn w:val="Normal"/>
    <w:link w:val="FooterChar"/>
    <w:uiPriority w:val="99"/>
    <w:unhideWhenUsed/>
    <w:rsid w:val="003C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08"/>
  </w:style>
  <w:style w:type="paragraph" w:styleId="BalloonText">
    <w:name w:val="Balloon Text"/>
    <w:basedOn w:val="Normal"/>
    <w:link w:val="BalloonTextChar"/>
    <w:uiPriority w:val="99"/>
    <w:semiHidden/>
    <w:unhideWhenUsed/>
    <w:rsid w:val="003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Expired xmlns="http://schemas.microsoft.com/sharepoint/v3">false</DEECD_Expired>
    <DEECD_Keywords xmlns="http://schemas.microsoft.com/sharepoint/v3">checklist teacher tenant house property manager host school</DEECD_Keywords>
    <PublishingExpirationDate xmlns="http://schemas.microsoft.com/sharepoint/v3" xsi:nil="true"/>
    <DEECD_Description xmlns="http://schemas.microsoft.com/sharepoint/v3">Checklist for host school property managers for teacher  housing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F939-013C-47E7-9D28-ABF9B9C9DD38}"/>
</file>

<file path=customXml/itemProps2.xml><?xml version="1.0" encoding="utf-8"?>
<ds:datastoreItem xmlns:ds="http://schemas.openxmlformats.org/officeDocument/2006/customXml" ds:itemID="{891EFA2D-25C5-4FD7-970F-6F033C8CC771}"/>
</file>

<file path=customXml/itemProps3.xml><?xml version="1.0" encoding="utf-8"?>
<ds:datastoreItem xmlns:ds="http://schemas.openxmlformats.org/officeDocument/2006/customXml" ds:itemID="{970B574C-480E-4087-B37A-F0133CC0D4FB}"/>
</file>

<file path=customXml/itemProps4.xml><?xml version="1.0" encoding="utf-8"?>
<ds:datastoreItem xmlns:ds="http://schemas.openxmlformats.org/officeDocument/2006/customXml" ds:itemID="{5AFA7831-66E3-4113-B4A8-26A89B9CC5E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2192A6A-E05D-4F68-8FEF-39D7FD97E71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FAB8ED-9DA2-4882-A56B-97CD380FE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host school property managers for teacher  housing</vt:lpstr>
    </vt:vector>
  </TitlesOfParts>
  <Company>DEECD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host school property managers for teacher  housing</dc:title>
  <dc:creator>Frans Koomen</dc:creator>
  <cp:lastModifiedBy>Graham, June J</cp:lastModifiedBy>
  <cp:revision>2</cp:revision>
  <cp:lastPrinted>2012-11-29T05:10:00Z</cp:lastPrinted>
  <dcterms:created xsi:type="dcterms:W3CDTF">2015-12-15T01:29:00Z</dcterms:created>
  <dcterms:modified xsi:type="dcterms:W3CDTF">2015-12-15T01:29:00Z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904000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  <property fmtid="{D5CDD505-2E9C-101B-9397-08002B2CF9AE}" pid="13" name="DET_EDRMS_RCS">
    <vt:lpwstr>22;#14.14.2 Property Management Planning|ab41e9f4-9495-4216-bc7e-9782bbf7ca99</vt:lpwstr>
  </property>
  <property fmtid="{D5CDD505-2E9C-101B-9397-08002B2CF9AE}" pid="14" name="Responsible Group">
    <vt:lpwstr>7</vt:lpwstr>
  </property>
  <property fmtid="{D5CDD505-2E9C-101B-9397-08002B2CF9AE}" pid="15" name="RecordPoint_WorkflowType">
    <vt:lpwstr>ActiveSubmitStub</vt:lpwstr>
  </property>
  <property fmtid="{D5CDD505-2E9C-101B-9397-08002B2CF9AE}" pid="16" name="Fiscal Year">
    <vt:lpwstr>n/a</vt:lpwstr>
  </property>
  <property fmtid="{D5CDD505-2E9C-101B-9397-08002B2CF9AE}" pid="17" name="Program">
    <vt:lpwstr>41</vt:lpwstr>
  </property>
  <property fmtid="{D5CDD505-2E9C-101B-9397-08002B2CF9AE}" pid="18" name="RecordPoint_ActiveItemUniqueId">
    <vt:lpwstr>{ad7acfa4-46ce-42ea-8d92-286a52147688}</vt:lpwstr>
  </property>
  <property fmtid="{D5CDD505-2E9C-101B-9397-08002B2CF9AE}" pid="19" name="DET_EDRMS_RCSTaxHTField0">
    <vt:lpwstr>14.14.2 Property Management Planning|ab41e9f4-9495-4216-bc7e-9782bbf7ca99</vt:lpwstr>
  </property>
  <property fmtid="{D5CDD505-2E9C-101B-9397-08002B2CF9AE}" pid="20" name="RecordPoint_ActiveItemWebId">
    <vt:lpwstr>{5fec4edc-bd84-4665-b3cc-49cd0d26ae55}</vt:lpwstr>
  </property>
  <property fmtid="{D5CDD505-2E9C-101B-9397-08002B2CF9AE}" pid="21" name="RecordPoint_ActiveItemSiteId">
    <vt:lpwstr>{3b42b95e-b852-4dca-8da6-0ecdf7f6d645}</vt:lpwstr>
  </property>
  <property fmtid="{D5CDD505-2E9C-101B-9397-08002B2CF9AE}" pid="22" name="RecordPoint_ActiveItemListId">
    <vt:lpwstr>{99b48b2d-1af1-4328-acf4-6829ee2307d9}</vt:lpwstr>
  </property>
  <property fmtid="{D5CDD505-2E9C-101B-9397-08002B2CF9AE}" pid="23" name="RecordPoint_SubmissionCompleted">
    <vt:lpwstr>2015-12-14T11:56:43.1835090+11:00</vt:lpwstr>
  </property>
  <property fmtid="{D5CDD505-2E9C-101B-9397-08002B2CF9AE}" pid="24" name="RecordPoint_RecordNumberSubmitted">
    <vt:lpwstr>R0000121114</vt:lpwstr>
  </property>
</Properties>
</file>