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67" w:rsidRPr="00DE1553" w:rsidRDefault="008C4367" w:rsidP="00974F08">
      <w:pPr>
        <w:pStyle w:val="BasicParagraph"/>
        <w:suppressAutoHyphens/>
        <w:spacing w:before="113" w:line="240" w:lineRule="auto"/>
        <w:ind w:right="170"/>
        <w:rPr>
          <w:rStyle w:val="Headingblack"/>
          <w:rFonts w:asciiTheme="minorHAnsi" w:hAnsiTheme="minorHAnsi"/>
          <w:sz w:val="24"/>
          <w:szCs w:val="24"/>
        </w:rPr>
      </w:pPr>
      <w:r w:rsidRPr="00DE1553">
        <w:rPr>
          <w:rStyle w:val="Headingblack"/>
          <w:rFonts w:asciiTheme="minorHAnsi" w:hAnsiTheme="minorHAnsi"/>
          <w:sz w:val="24"/>
          <w:szCs w:val="24"/>
        </w:rPr>
        <w:t>Regulation and Quality Assessment Update</w:t>
      </w:r>
    </w:p>
    <w:p w:rsidR="008C4367" w:rsidRPr="00DE1553" w:rsidRDefault="00DE1553" w:rsidP="00974F08">
      <w:pPr>
        <w:pStyle w:val="BasicParagraph"/>
        <w:suppressAutoHyphens/>
        <w:spacing w:before="113" w:line="240" w:lineRule="auto"/>
        <w:ind w:right="170"/>
        <w:rPr>
          <w:rStyle w:val="Headingblack"/>
          <w:rFonts w:asciiTheme="minorHAnsi" w:hAnsiTheme="minorHAnsi"/>
          <w:sz w:val="22"/>
          <w:szCs w:val="22"/>
        </w:rPr>
      </w:pPr>
      <w:r w:rsidRPr="00DE1553">
        <w:rPr>
          <w:rStyle w:val="Headingblack"/>
          <w:rFonts w:asciiTheme="minorHAnsi" w:hAnsiTheme="minorHAnsi"/>
          <w:sz w:val="22"/>
          <w:szCs w:val="22"/>
        </w:rPr>
        <w:t>I</w:t>
      </w:r>
      <w:r w:rsidR="006D79A3">
        <w:rPr>
          <w:rStyle w:val="Headingblack"/>
          <w:rFonts w:asciiTheme="minorHAnsi" w:hAnsiTheme="minorHAnsi"/>
          <w:sz w:val="22"/>
          <w:szCs w:val="22"/>
        </w:rPr>
        <w:t>ssue 22</w:t>
      </w:r>
      <w:r w:rsidR="00F3639A">
        <w:rPr>
          <w:rStyle w:val="Headingblack"/>
          <w:rFonts w:asciiTheme="minorHAnsi" w:hAnsiTheme="minorHAnsi"/>
          <w:sz w:val="22"/>
          <w:szCs w:val="22"/>
        </w:rPr>
        <w:t xml:space="preserve"> </w:t>
      </w:r>
      <w:r w:rsidR="006D79A3">
        <w:rPr>
          <w:rStyle w:val="Headingblack"/>
          <w:rFonts w:asciiTheme="minorHAnsi" w:hAnsiTheme="minorHAnsi"/>
          <w:sz w:val="22"/>
          <w:szCs w:val="22"/>
        </w:rPr>
        <w:t>December</w:t>
      </w:r>
      <w:r w:rsidR="008C4367" w:rsidRPr="00DE1553">
        <w:rPr>
          <w:rStyle w:val="Headingblack"/>
          <w:rFonts w:asciiTheme="minorHAnsi" w:hAnsiTheme="minorHAnsi"/>
          <w:sz w:val="22"/>
          <w:szCs w:val="22"/>
        </w:rPr>
        <w:t xml:space="preserve"> 2016</w:t>
      </w:r>
    </w:p>
    <w:p w:rsidR="008C4367" w:rsidRDefault="008C4367" w:rsidP="00974F08">
      <w:pPr>
        <w:pStyle w:val="BasicParagraph"/>
        <w:suppressAutoHyphens/>
        <w:spacing w:before="113" w:line="240" w:lineRule="auto"/>
        <w:ind w:right="170"/>
        <w:rPr>
          <w:rStyle w:val="Headingblack"/>
          <w:rFonts w:asciiTheme="minorHAnsi" w:hAnsiTheme="minorHAnsi"/>
          <w:sz w:val="24"/>
          <w:szCs w:val="24"/>
        </w:rPr>
      </w:pPr>
      <w:r w:rsidRPr="00DE1553">
        <w:rPr>
          <w:rStyle w:val="Headingblack"/>
          <w:rFonts w:asciiTheme="minorHAnsi" w:hAnsiTheme="minorHAnsi"/>
          <w:sz w:val="24"/>
          <w:szCs w:val="24"/>
        </w:rPr>
        <w:t>LATEST NEWS</w:t>
      </w:r>
    </w:p>
    <w:p w:rsidR="001A0E57" w:rsidRPr="00DE1553" w:rsidRDefault="001A0E57" w:rsidP="00974F08">
      <w:pPr>
        <w:pStyle w:val="BasicParagraph"/>
        <w:suppressAutoHyphens/>
        <w:spacing w:before="113" w:line="240" w:lineRule="auto"/>
        <w:ind w:right="170"/>
        <w:rPr>
          <w:rStyle w:val="Headingblack"/>
          <w:rFonts w:asciiTheme="minorHAnsi" w:hAnsiTheme="minorHAnsi"/>
          <w:sz w:val="24"/>
          <w:szCs w:val="24"/>
        </w:rPr>
      </w:pPr>
    </w:p>
    <w:p w:rsidR="008C4367" w:rsidRDefault="008C4367" w:rsidP="00974F08">
      <w:pPr>
        <w:rPr>
          <w:rStyle w:val="Headingblack"/>
          <w:rFonts w:asciiTheme="minorHAnsi" w:hAnsiTheme="minorHAnsi"/>
          <w:b w:val="0"/>
          <w:bCs w:val="0"/>
          <w:color w:val="000000" w:themeColor="text1"/>
          <w:sz w:val="22"/>
          <w:szCs w:val="22"/>
        </w:rPr>
      </w:pPr>
      <w:r w:rsidRPr="00DE1553">
        <w:rPr>
          <w:rStyle w:val="Headingblack"/>
          <w:rFonts w:asciiTheme="minorHAnsi" w:hAnsiTheme="minorHAnsi"/>
          <w:b w:val="0"/>
          <w:bCs w:val="0"/>
          <w:color w:val="000000" w:themeColor="text1"/>
          <w:sz w:val="22"/>
          <w:szCs w:val="22"/>
        </w:rPr>
        <w:t xml:space="preserve">Welcome to the </w:t>
      </w:r>
      <w:r w:rsidR="00F32C9D">
        <w:rPr>
          <w:rStyle w:val="Headingblack"/>
          <w:rFonts w:asciiTheme="minorHAnsi" w:hAnsiTheme="minorHAnsi"/>
          <w:b w:val="0"/>
          <w:bCs w:val="0"/>
          <w:color w:val="000000" w:themeColor="text1"/>
          <w:sz w:val="22"/>
          <w:szCs w:val="22"/>
        </w:rPr>
        <w:t xml:space="preserve">last </w:t>
      </w:r>
      <w:r w:rsidRPr="00DE1553">
        <w:rPr>
          <w:rStyle w:val="Headingblack"/>
          <w:rFonts w:asciiTheme="minorHAnsi" w:hAnsiTheme="minorHAnsi"/>
          <w:b w:val="0"/>
          <w:bCs w:val="0"/>
          <w:color w:val="000000" w:themeColor="text1"/>
          <w:sz w:val="22"/>
          <w:szCs w:val="22"/>
        </w:rPr>
        <w:t xml:space="preserve">edition of the Regulation and Quality Assessment Update for 2016. </w:t>
      </w:r>
    </w:p>
    <w:p w:rsidR="004E1200" w:rsidRDefault="004E1200" w:rsidP="00974F08">
      <w:pPr>
        <w:rPr>
          <w:rStyle w:val="Headingblack"/>
          <w:rFonts w:asciiTheme="minorHAnsi" w:hAnsiTheme="minorHAnsi"/>
          <w:b w:val="0"/>
          <w:bCs w:val="0"/>
          <w:color w:val="000000" w:themeColor="text1"/>
          <w:sz w:val="22"/>
          <w:szCs w:val="22"/>
        </w:rPr>
      </w:pPr>
    </w:p>
    <w:p w:rsidR="003000B1" w:rsidRDefault="00210A74" w:rsidP="00974F08">
      <w:pPr>
        <w:rPr>
          <w:rStyle w:val="Headingblack"/>
          <w:rFonts w:asciiTheme="minorHAnsi" w:hAnsiTheme="minorHAnsi"/>
          <w:b w:val="0"/>
          <w:bCs w:val="0"/>
          <w:color w:val="000000" w:themeColor="text1"/>
          <w:sz w:val="22"/>
          <w:szCs w:val="22"/>
        </w:rPr>
      </w:pPr>
      <w:r>
        <w:rPr>
          <w:rStyle w:val="Headingblack"/>
          <w:rFonts w:asciiTheme="minorHAnsi" w:hAnsiTheme="minorHAnsi"/>
          <w:b w:val="0"/>
          <w:bCs w:val="0"/>
          <w:color w:val="000000" w:themeColor="text1"/>
          <w:sz w:val="22"/>
          <w:szCs w:val="22"/>
        </w:rPr>
        <w:t xml:space="preserve">It has </w:t>
      </w:r>
      <w:r w:rsidR="00F32C9D">
        <w:rPr>
          <w:rStyle w:val="Headingblack"/>
          <w:rFonts w:asciiTheme="minorHAnsi" w:hAnsiTheme="minorHAnsi"/>
          <w:b w:val="0"/>
          <w:bCs w:val="0"/>
          <w:color w:val="000000" w:themeColor="text1"/>
          <w:sz w:val="22"/>
          <w:szCs w:val="22"/>
        </w:rPr>
        <w:t>been a very busy time for early childhood services with the change to educator-to-child ratios for centre-based services, the introduction of the C</w:t>
      </w:r>
      <w:r w:rsidR="003C3D65">
        <w:rPr>
          <w:rStyle w:val="Headingblack"/>
          <w:rFonts w:asciiTheme="minorHAnsi" w:hAnsiTheme="minorHAnsi"/>
          <w:b w:val="0"/>
          <w:bCs w:val="0"/>
          <w:color w:val="000000" w:themeColor="text1"/>
          <w:sz w:val="22"/>
          <w:szCs w:val="22"/>
        </w:rPr>
        <w:t>hild Safe Standards and the No J</w:t>
      </w:r>
      <w:r w:rsidR="00F32C9D">
        <w:rPr>
          <w:rStyle w:val="Headingblack"/>
          <w:rFonts w:asciiTheme="minorHAnsi" w:hAnsiTheme="minorHAnsi"/>
          <w:b w:val="0"/>
          <w:bCs w:val="0"/>
          <w:color w:val="000000" w:themeColor="text1"/>
          <w:sz w:val="22"/>
          <w:szCs w:val="22"/>
        </w:rPr>
        <w:t>ab, No Play legislation</w:t>
      </w:r>
      <w:r>
        <w:rPr>
          <w:rStyle w:val="Headingblack"/>
          <w:rFonts w:asciiTheme="minorHAnsi" w:hAnsiTheme="minorHAnsi"/>
          <w:b w:val="0"/>
          <w:bCs w:val="0"/>
          <w:color w:val="000000" w:themeColor="text1"/>
          <w:sz w:val="22"/>
          <w:szCs w:val="22"/>
        </w:rPr>
        <w:t xml:space="preserve"> coming into effect</w:t>
      </w:r>
      <w:r w:rsidR="003C3D65">
        <w:rPr>
          <w:rStyle w:val="Headingblack"/>
          <w:rFonts w:asciiTheme="minorHAnsi" w:hAnsiTheme="minorHAnsi"/>
          <w:b w:val="0"/>
          <w:bCs w:val="0"/>
          <w:color w:val="000000" w:themeColor="text1"/>
          <w:sz w:val="22"/>
          <w:szCs w:val="22"/>
        </w:rPr>
        <w:t xml:space="preserve"> earlier this year</w:t>
      </w:r>
      <w:r w:rsidR="00F32C9D">
        <w:rPr>
          <w:rStyle w:val="Headingblack"/>
          <w:rFonts w:asciiTheme="minorHAnsi" w:hAnsiTheme="minorHAnsi"/>
          <w:b w:val="0"/>
          <w:bCs w:val="0"/>
          <w:color w:val="000000" w:themeColor="text1"/>
          <w:sz w:val="22"/>
          <w:szCs w:val="22"/>
        </w:rPr>
        <w:t>. T</w:t>
      </w:r>
      <w:r w:rsidR="003000B1">
        <w:rPr>
          <w:rStyle w:val="Headingblack"/>
          <w:rFonts w:asciiTheme="minorHAnsi" w:hAnsiTheme="minorHAnsi"/>
          <w:b w:val="0"/>
          <w:bCs w:val="0"/>
          <w:color w:val="000000" w:themeColor="text1"/>
          <w:sz w:val="22"/>
          <w:szCs w:val="22"/>
        </w:rPr>
        <w:t xml:space="preserve">he </w:t>
      </w:r>
      <w:r w:rsidR="00EA4ECD">
        <w:rPr>
          <w:rStyle w:val="Headingblack"/>
          <w:rFonts w:asciiTheme="minorHAnsi" w:hAnsiTheme="minorHAnsi"/>
          <w:b w:val="0"/>
          <w:bCs w:val="0"/>
          <w:color w:val="000000" w:themeColor="text1"/>
          <w:sz w:val="22"/>
          <w:szCs w:val="22"/>
        </w:rPr>
        <w:t xml:space="preserve">review of </w:t>
      </w:r>
      <w:r w:rsidR="003000B1">
        <w:rPr>
          <w:rStyle w:val="Headingblack"/>
          <w:rFonts w:asciiTheme="minorHAnsi" w:hAnsiTheme="minorHAnsi"/>
          <w:b w:val="0"/>
          <w:bCs w:val="0"/>
          <w:color w:val="000000" w:themeColor="text1"/>
          <w:sz w:val="22"/>
          <w:szCs w:val="22"/>
        </w:rPr>
        <w:t xml:space="preserve">the National Quality Framework </w:t>
      </w:r>
      <w:r w:rsidR="00F32C9D">
        <w:rPr>
          <w:rStyle w:val="Headingblack"/>
          <w:rFonts w:asciiTheme="minorHAnsi" w:hAnsiTheme="minorHAnsi"/>
          <w:b w:val="0"/>
          <w:bCs w:val="0"/>
          <w:color w:val="000000" w:themeColor="text1"/>
          <w:sz w:val="22"/>
          <w:szCs w:val="22"/>
        </w:rPr>
        <w:t xml:space="preserve">(NQF) has also been progressing with </w:t>
      </w:r>
      <w:r w:rsidR="00EA4ECD">
        <w:rPr>
          <w:rStyle w:val="Headingblack"/>
          <w:rFonts w:asciiTheme="minorHAnsi" w:hAnsiTheme="minorHAnsi"/>
          <w:b w:val="0"/>
          <w:bCs w:val="0"/>
          <w:color w:val="000000" w:themeColor="text1"/>
          <w:sz w:val="22"/>
          <w:szCs w:val="22"/>
        </w:rPr>
        <w:t xml:space="preserve">Victoria </w:t>
      </w:r>
      <w:r w:rsidR="003000B1">
        <w:rPr>
          <w:rStyle w:val="Headingblack"/>
          <w:rFonts w:asciiTheme="minorHAnsi" w:hAnsiTheme="minorHAnsi"/>
          <w:b w:val="0"/>
          <w:bCs w:val="0"/>
          <w:color w:val="000000" w:themeColor="text1"/>
          <w:sz w:val="22"/>
          <w:szCs w:val="22"/>
        </w:rPr>
        <w:t xml:space="preserve">actively contributing to </w:t>
      </w:r>
      <w:r w:rsidR="004652E0">
        <w:rPr>
          <w:rStyle w:val="Headingblack"/>
          <w:rFonts w:asciiTheme="minorHAnsi" w:hAnsiTheme="minorHAnsi"/>
          <w:b w:val="0"/>
          <w:bCs w:val="0"/>
          <w:color w:val="000000" w:themeColor="text1"/>
          <w:sz w:val="22"/>
          <w:szCs w:val="22"/>
        </w:rPr>
        <w:t>options for streamlining</w:t>
      </w:r>
      <w:r w:rsidR="00F32C9D">
        <w:rPr>
          <w:rStyle w:val="Headingblack"/>
          <w:rFonts w:asciiTheme="minorHAnsi" w:hAnsiTheme="minorHAnsi"/>
          <w:b w:val="0"/>
          <w:bCs w:val="0"/>
          <w:color w:val="000000" w:themeColor="text1"/>
          <w:sz w:val="22"/>
          <w:szCs w:val="22"/>
        </w:rPr>
        <w:t xml:space="preserve"> existing requirements of the National </w:t>
      </w:r>
      <w:r>
        <w:rPr>
          <w:rStyle w:val="Headingblack"/>
          <w:rFonts w:asciiTheme="minorHAnsi" w:hAnsiTheme="minorHAnsi"/>
          <w:b w:val="0"/>
          <w:bCs w:val="0"/>
          <w:color w:val="000000" w:themeColor="text1"/>
          <w:sz w:val="22"/>
          <w:szCs w:val="22"/>
        </w:rPr>
        <w:t xml:space="preserve">Law </w:t>
      </w:r>
      <w:r w:rsidR="003000B1">
        <w:rPr>
          <w:rStyle w:val="Headingblack"/>
          <w:rFonts w:asciiTheme="minorHAnsi" w:hAnsiTheme="minorHAnsi"/>
          <w:b w:val="0"/>
          <w:bCs w:val="0"/>
          <w:color w:val="000000" w:themeColor="text1"/>
          <w:sz w:val="22"/>
          <w:szCs w:val="22"/>
        </w:rPr>
        <w:t xml:space="preserve">and reduce regulatory burden for </w:t>
      </w:r>
      <w:r w:rsidR="00F32C9D">
        <w:rPr>
          <w:rStyle w:val="Headingblack"/>
          <w:rFonts w:asciiTheme="minorHAnsi" w:hAnsiTheme="minorHAnsi"/>
          <w:b w:val="0"/>
          <w:bCs w:val="0"/>
          <w:color w:val="000000" w:themeColor="text1"/>
          <w:sz w:val="22"/>
          <w:szCs w:val="22"/>
        </w:rPr>
        <w:t xml:space="preserve">education and care </w:t>
      </w:r>
      <w:r w:rsidR="003000B1">
        <w:rPr>
          <w:rStyle w:val="Headingblack"/>
          <w:rFonts w:asciiTheme="minorHAnsi" w:hAnsiTheme="minorHAnsi"/>
          <w:b w:val="0"/>
          <w:bCs w:val="0"/>
          <w:color w:val="000000" w:themeColor="text1"/>
          <w:sz w:val="22"/>
          <w:szCs w:val="22"/>
        </w:rPr>
        <w:t>services.</w:t>
      </w:r>
    </w:p>
    <w:p w:rsidR="003000B1" w:rsidRDefault="003000B1" w:rsidP="00974F08">
      <w:pPr>
        <w:rPr>
          <w:rStyle w:val="Headingblack"/>
          <w:rFonts w:asciiTheme="minorHAnsi" w:hAnsiTheme="minorHAnsi"/>
          <w:b w:val="0"/>
          <w:bCs w:val="0"/>
          <w:color w:val="000000" w:themeColor="text1"/>
          <w:sz w:val="22"/>
          <w:szCs w:val="22"/>
        </w:rPr>
      </w:pPr>
    </w:p>
    <w:p w:rsidR="004E21BB" w:rsidRDefault="005C3248" w:rsidP="005C3248">
      <w:pPr>
        <w:rPr>
          <w:rStyle w:val="Headingblack"/>
          <w:rFonts w:asciiTheme="minorHAnsi" w:hAnsiTheme="minorHAnsi"/>
          <w:b w:val="0"/>
          <w:bCs w:val="0"/>
          <w:color w:val="000000" w:themeColor="text1"/>
          <w:sz w:val="22"/>
          <w:szCs w:val="22"/>
        </w:rPr>
      </w:pPr>
      <w:r w:rsidRPr="005C3248">
        <w:rPr>
          <w:rStyle w:val="Headingblack"/>
          <w:rFonts w:asciiTheme="minorHAnsi" w:hAnsiTheme="minorHAnsi"/>
          <w:b w:val="0"/>
          <w:color w:val="000000" w:themeColor="text1"/>
          <w:sz w:val="22"/>
          <w:szCs w:val="22"/>
        </w:rPr>
        <w:t xml:space="preserve">As this year comes to a close, it is a great opportunity for services to think about their self-assessment and quality improvement planning processes. Services may reflect on their practice and processes, how and why things are done in a certain way, what has worked well and what could be improved. </w:t>
      </w:r>
      <w:r>
        <w:rPr>
          <w:rStyle w:val="Headingblack"/>
          <w:rFonts w:asciiTheme="minorHAnsi" w:hAnsiTheme="minorHAnsi"/>
          <w:b w:val="0"/>
          <w:color w:val="000000" w:themeColor="text1"/>
          <w:sz w:val="22"/>
          <w:szCs w:val="22"/>
        </w:rPr>
        <w:t xml:space="preserve">This process can also be valuable as education and care services begin to have their next assessment </w:t>
      </w:r>
      <w:r w:rsidR="004E21BB">
        <w:rPr>
          <w:rStyle w:val="Headingblack"/>
          <w:rFonts w:asciiTheme="minorHAnsi" w:hAnsiTheme="minorHAnsi"/>
          <w:b w:val="0"/>
          <w:color w:val="000000" w:themeColor="text1"/>
          <w:sz w:val="22"/>
          <w:szCs w:val="22"/>
        </w:rPr>
        <w:t>and rating visits. QARD has completed over 400 next assessments</w:t>
      </w:r>
      <w:r w:rsidR="004E21BB">
        <w:rPr>
          <w:rStyle w:val="Headingblack"/>
          <w:rFonts w:asciiTheme="minorHAnsi" w:hAnsiTheme="minorHAnsi"/>
          <w:b w:val="0"/>
          <w:bCs w:val="0"/>
          <w:color w:val="000000" w:themeColor="text1"/>
          <w:sz w:val="22"/>
          <w:szCs w:val="22"/>
        </w:rPr>
        <w:t xml:space="preserve">, with 60 per cent of these achieving an improvement in their overall rating. This is a great achievement that highlights the quality in education and care services and </w:t>
      </w:r>
      <w:r w:rsidR="00210A74">
        <w:rPr>
          <w:rStyle w:val="Headingblack"/>
          <w:rFonts w:asciiTheme="minorHAnsi" w:hAnsiTheme="minorHAnsi"/>
          <w:b w:val="0"/>
          <w:bCs w:val="0"/>
          <w:color w:val="000000" w:themeColor="text1"/>
          <w:sz w:val="22"/>
          <w:szCs w:val="22"/>
        </w:rPr>
        <w:t xml:space="preserve">improved learning outcomes being delivered </w:t>
      </w:r>
      <w:r w:rsidR="004E21BB">
        <w:rPr>
          <w:rStyle w:val="Headingblack"/>
          <w:rFonts w:asciiTheme="minorHAnsi" w:hAnsiTheme="minorHAnsi"/>
          <w:b w:val="0"/>
          <w:bCs w:val="0"/>
          <w:color w:val="000000" w:themeColor="text1"/>
          <w:sz w:val="22"/>
          <w:szCs w:val="22"/>
        </w:rPr>
        <w:t xml:space="preserve">to </w:t>
      </w:r>
      <w:r w:rsidR="00210A74">
        <w:rPr>
          <w:rStyle w:val="Headingblack"/>
          <w:rFonts w:asciiTheme="minorHAnsi" w:hAnsiTheme="minorHAnsi"/>
          <w:b w:val="0"/>
          <w:bCs w:val="0"/>
          <w:color w:val="000000" w:themeColor="text1"/>
          <w:sz w:val="22"/>
          <w:szCs w:val="22"/>
        </w:rPr>
        <w:t>Victorian children.</w:t>
      </w:r>
    </w:p>
    <w:p w:rsidR="004E21BB" w:rsidRDefault="004E21BB" w:rsidP="005C3248">
      <w:pPr>
        <w:rPr>
          <w:rStyle w:val="Headingblack"/>
          <w:rFonts w:asciiTheme="minorHAnsi" w:hAnsiTheme="minorHAnsi"/>
          <w:b w:val="0"/>
          <w:bCs w:val="0"/>
          <w:color w:val="000000" w:themeColor="text1"/>
          <w:sz w:val="22"/>
          <w:szCs w:val="22"/>
        </w:rPr>
      </w:pPr>
    </w:p>
    <w:p w:rsidR="004E21BB" w:rsidRDefault="004E21BB" w:rsidP="004E21BB">
      <w:pPr>
        <w:pStyle w:val="BasicParagraph"/>
        <w:suppressAutoHyphens/>
        <w:spacing w:line="240" w:lineRule="auto"/>
        <w:ind w:right="57"/>
        <w:rPr>
          <w:rStyle w:val="Headingblack"/>
          <w:rFonts w:asciiTheme="minorHAnsi" w:hAnsiTheme="minorHAnsi"/>
          <w:b w:val="0"/>
          <w:bCs w:val="0"/>
          <w:color w:val="000000" w:themeColor="text1"/>
          <w:sz w:val="22"/>
          <w:szCs w:val="22"/>
        </w:rPr>
      </w:pPr>
      <w:r w:rsidRPr="005C3248">
        <w:rPr>
          <w:rStyle w:val="Headingblack"/>
          <w:rFonts w:asciiTheme="minorHAnsi" w:hAnsiTheme="minorHAnsi"/>
          <w:b w:val="0"/>
          <w:color w:val="000000" w:themeColor="text1"/>
          <w:sz w:val="22"/>
          <w:szCs w:val="22"/>
          <w:lang w:val="en-AU"/>
        </w:rPr>
        <w:t xml:space="preserve">In </w:t>
      </w:r>
      <w:r>
        <w:rPr>
          <w:rStyle w:val="Headingblack"/>
          <w:rFonts w:asciiTheme="minorHAnsi" w:hAnsiTheme="minorHAnsi"/>
          <w:b w:val="0"/>
          <w:color w:val="000000" w:themeColor="text1"/>
          <w:sz w:val="22"/>
          <w:szCs w:val="22"/>
          <w:lang w:val="en-AU"/>
        </w:rPr>
        <w:t xml:space="preserve">turning our attention to next assessments, this </w:t>
      </w:r>
      <w:r w:rsidR="00210A74">
        <w:rPr>
          <w:rStyle w:val="Headingblack"/>
          <w:rFonts w:asciiTheme="minorHAnsi" w:hAnsiTheme="minorHAnsi"/>
          <w:b w:val="0"/>
          <w:color w:val="000000" w:themeColor="text1"/>
          <w:sz w:val="22"/>
          <w:szCs w:val="22"/>
          <w:lang w:val="en-AU"/>
        </w:rPr>
        <w:t xml:space="preserve">edition of the newsletter has a contribution </w:t>
      </w:r>
      <w:r w:rsidR="00C870A6">
        <w:rPr>
          <w:rStyle w:val="Headingblack"/>
          <w:rFonts w:asciiTheme="minorHAnsi" w:hAnsiTheme="minorHAnsi"/>
          <w:b w:val="0"/>
          <w:color w:val="000000" w:themeColor="text1"/>
          <w:sz w:val="22"/>
          <w:szCs w:val="22"/>
          <w:lang w:val="en-AU"/>
        </w:rPr>
        <w:t>from Catha</w:t>
      </w:r>
      <w:r w:rsidRPr="005C3248">
        <w:rPr>
          <w:rStyle w:val="Headingblack"/>
          <w:rFonts w:asciiTheme="minorHAnsi" w:hAnsiTheme="minorHAnsi"/>
          <w:b w:val="0"/>
          <w:color w:val="000000" w:themeColor="text1"/>
          <w:sz w:val="22"/>
          <w:szCs w:val="22"/>
          <w:lang w:val="en-AU"/>
        </w:rPr>
        <w:t xml:space="preserve">rine </w:t>
      </w:r>
      <w:proofErr w:type="spellStart"/>
      <w:r w:rsidRPr="005C3248">
        <w:rPr>
          <w:rStyle w:val="Headingblack"/>
          <w:rFonts w:asciiTheme="minorHAnsi" w:hAnsiTheme="minorHAnsi"/>
          <w:b w:val="0"/>
          <w:color w:val="000000" w:themeColor="text1"/>
          <w:sz w:val="22"/>
          <w:szCs w:val="22"/>
          <w:lang w:val="en-AU"/>
        </w:rPr>
        <w:t>Hydon</w:t>
      </w:r>
      <w:proofErr w:type="spellEnd"/>
      <w:r w:rsidRPr="005C3248">
        <w:rPr>
          <w:rStyle w:val="Headingblack"/>
          <w:rFonts w:asciiTheme="minorHAnsi" w:hAnsiTheme="minorHAnsi"/>
          <w:b w:val="0"/>
          <w:color w:val="000000" w:themeColor="text1"/>
          <w:sz w:val="22"/>
          <w:szCs w:val="22"/>
          <w:lang w:val="en-AU"/>
        </w:rPr>
        <w:t xml:space="preserve"> who discusses the </w:t>
      </w:r>
      <w:r w:rsidR="003C3D65">
        <w:rPr>
          <w:rStyle w:val="Headingblack"/>
          <w:rFonts w:asciiTheme="minorHAnsi" w:hAnsiTheme="minorHAnsi"/>
          <w:b w:val="0"/>
          <w:color w:val="000000" w:themeColor="text1"/>
          <w:sz w:val="22"/>
          <w:szCs w:val="22"/>
          <w:lang w:val="en-AU"/>
        </w:rPr>
        <w:t>importance of service</w:t>
      </w:r>
      <w:r>
        <w:rPr>
          <w:rStyle w:val="Headingblack"/>
          <w:rFonts w:asciiTheme="minorHAnsi" w:hAnsiTheme="minorHAnsi"/>
          <w:b w:val="0"/>
          <w:color w:val="000000" w:themeColor="text1"/>
          <w:sz w:val="22"/>
          <w:szCs w:val="22"/>
          <w:lang w:val="en-AU"/>
        </w:rPr>
        <w:t xml:space="preserve">s </w:t>
      </w:r>
      <w:r>
        <w:rPr>
          <w:rStyle w:val="Headingblack"/>
          <w:rFonts w:asciiTheme="minorHAnsi" w:hAnsiTheme="minorHAnsi"/>
          <w:b w:val="0"/>
          <w:bCs w:val="0"/>
          <w:color w:val="000000" w:themeColor="text1"/>
          <w:sz w:val="22"/>
          <w:szCs w:val="22"/>
        </w:rPr>
        <w:t>consider</w:t>
      </w:r>
      <w:r w:rsidR="003C3D65">
        <w:rPr>
          <w:rStyle w:val="Headingblack"/>
          <w:rFonts w:asciiTheme="minorHAnsi" w:hAnsiTheme="minorHAnsi"/>
          <w:b w:val="0"/>
          <w:bCs w:val="0"/>
          <w:color w:val="000000" w:themeColor="text1"/>
          <w:sz w:val="22"/>
          <w:szCs w:val="22"/>
        </w:rPr>
        <w:t xml:space="preserve">ing </w:t>
      </w:r>
      <w:r>
        <w:rPr>
          <w:rStyle w:val="Headingblack"/>
          <w:rFonts w:asciiTheme="minorHAnsi" w:hAnsiTheme="minorHAnsi"/>
          <w:b w:val="0"/>
          <w:bCs w:val="0"/>
          <w:color w:val="000000" w:themeColor="text1"/>
          <w:sz w:val="22"/>
          <w:szCs w:val="22"/>
        </w:rPr>
        <w:t>change</w:t>
      </w:r>
      <w:r w:rsidR="003C3D65">
        <w:rPr>
          <w:rStyle w:val="Headingblack"/>
          <w:rFonts w:asciiTheme="minorHAnsi" w:hAnsiTheme="minorHAnsi"/>
          <w:b w:val="0"/>
          <w:bCs w:val="0"/>
          <w:color w:val="000000" w:themeColor="text1"/>
          <w:sz w:val="22"/>
          <w:szCs w:val="22"/>
        </w:rPr>
        <w:t xml:space="preserve">s </w:t>
      </w:r>
      <w:r>
        <w:rPr>
          <w:rStyle w:val="Headingblack"/>
          <w:rFonts w:asciiTheme="minorHAnsi" w:hAnsiTheme="minorHAnsi"/>
          <w:b w:val="0"/>
          <w:bCs w:val="0"/>
          <w:color w:val="000000" w:themeColor="text1"/>
          <w:sz w:val="22"/>
          <w:szCs w:val="22"/>
        </w:rPr>
        <w:t>since the</w:t>
      </w:r>
      <w:r w:rsidR="00603940">
        <w:rPr>
          <w:rStyle w:val="Headingblack"/>
          <w:rFonts w:asciiTheme="minorHAnsi" w:hAnsiTheme="minorHAnsi"/>
          <w:b w:val="0"/>
          <w:bCs w:val="0"/>
          <w:color w:val="000000" w:themeColor="text1"/>
          <w:sz w:val="22"/>
          <w:szCs w:val="22"/>
        </w:rPr>
        <w:t xml:space="preserve">ir initial assessment, </w:t>
      </w:r>
      <w:r>
        <w:rPr>
          <w:rStyle w:val="Headingblack"/>
          <w:rFonts w:asciiTheme="minorHAnsi" w:hAnsiTheme="minorHAnsi"/>
          <w:b w:val="0"/>
          <w:bCs w:val="0"/>
          <w:color w:val="000000" w:themeColor="text1"/>
          <w:sz w:val="22"/>
          <w:szCs w:val="22"/>
        </w:rPr>
        <w:t xml:space="preserve">what has been </w:t>
      </w:r>
      <w:r w:rsidR="003C3D65">
        <w:rPr>
          <w:rStyle w:val="Headingblack"/>
          <w:rFonts w:asciiTheme="minorHAnsi" w:hAnsiTheme="minorHAnsi"/>
          <w:b w:val="0"/>
          <w:bCs w:val="0"/>
          <w:color w:val="000000" w:themeColor="text1"/>
          <w:sz w:val="22"/>
          <w:szCs w:val="22"/>
        </w:rPr>
        <w:t xml:space="preserve">put </w:t>
      </w:r>
      <w:r>
        <w:rPr>
          <w:rStyle w:val="Headingblack"/>
          <w:rFonts w:asciiTheme="minorHAnsi" w:hAnsiTheme="minorHAnsi"/>
          <w:b w:val="0"/>
          <w:bCs w:val="0"/>
          <w:color w:val="000000" w:themeColor="text1"/>
          <w:sz w:val="22"/>
          <w:szCs w:val="22"/>
        </w:rPr>
        <w:t xml:space="preserve">in place to </w:t>
      </w:r>
      <w:r w:rsidR="003C3D65">
        <w:rPr>
          <w:rStyle w:val="Headingblack"/>
          <w:rFonts w:asciiTheme="minorHAnsi" w:hAnsiTheme="minorHAnsi"/>
          <w:b w:val="0"/>
          <w:bCs w:val="0"/>
          <w:color w:val="000000" w:themeColor="text1"/>
          <w:sz w:val="22"/>
          <w:szCs w:val="22"/>
        </w:rPr>
        <w:t xml:space="preserve">support </w:t>
      </w:r>
      <w:r>
        <w:rPr>
          <w:rStyle w:val="Headingblack"/>
          <w:rFonts w:asciiTheme="minorHAnsi" w:hAnsiTheme="minorHAnsi"/>
          <w:b w:val="0"/>
          <w:bCs w:val="0"/>
          <w:color w:val="000000" w:themeColor="text1"/>
          <w:sz w:val="22"/>
          <w:szCs w:val="22"/>
        </w:rPr>
        <w:t>continuous improvement and improved learning and development outcomes for children.</w:t>
      </w:r>
      <w:r w:rsidR="001D300F">
        <w:rPr>
          <w:rStyle w:val="Headingblack"/>
          <w:rFonts w:asciiTheme="minorHAnsi" w:hAnsiTheme="minorHAnsi"/>
          <w:b w:val="0"/>
          <w:bCs w:val="0"/>
          <w:color w:val="000000" w:themeColor="text1"/>
          <w:sz w:val="22"/>
          <w:szCs w:val="22"/>
        </w:rPr>
        <w:t xml:space="preserve"> We also have an article from Camp Australia providing insight into the implementation of healthy eating programs in OSHC.</w:t>
      </w:r>
    </w:p>
    <w:p w:rsidR="00210A74" w:rsidRDefault="00210A74" w:rsidP="004E21BB">
      <w:pPr>
        <w:pStyle w:val="BasicParagraph"/>
        <w:suppressAutoHyphens/>
        <w:spacing w:line="240" w:lineRule="auto"/>
        <w:ind w:right="57"/>
        <w:rPr>
          <w:rStyle w:val="Headingblack"/>
          <w:rFonts w:asciiTheme="minorHAnsi" w:hAnsiTheme="minorHAnsi"/>
          <w:b w:val="0"/>
          <w:bCs w:val="0"/>
          <w:color w:val="000000" w:themeColor="text1"/>
          <w:sz w:val="22"/>
          <w:szCs w:val="22"/>
        </w:rPr>
      </w:pPr>
    </w:p>
    <w:p w:rsidR="00210A74" w:rsidRPr="004E21BB" w:rsidRDefault="00210A74" w:rsidP="004E21BB">
      <w:pPr>
        <w:pStyle w:val="BasicParagraph"/>
        <w:suppressAutoHyphens/>
        <w:spacing w:line="240" w:lineRule="auto"/>
        <w:ind w:right="57"/>
        <w:rPr>
          <w:rStyle w:val="Headingblack"/>
          <w:rFonts w:asciiTheme="minorHAnsi" w:hAnsiTheme="minorHAnsi"/>
          <w:b w:val="0"/>
          <w:color w:val="000000" w:themeColor="text1"/>
          <w:sz w:val="22"/>
          <w:szCs w:val="22"/>
          <w:lang w:val="en-AU"/>
        </w:rPr>
      </w:pPr>
      <w:r>
        <w:rPr>
          <w:rStyle w:val="Headingblack"/>
          <w:rFonts w:asciiTheme="minorHAnsi" w:hAnsiTheme="minorHAnsi"/>
          <w:b w:val="0"/>
          <w:bCs w:val="0"/>
          <w:color w:val="000000" w:themeColor="text1"/>
          <w:sz w:val="22"/>
          <w:szCs w:val="22"/>
        </w:rPr>
        <w:t>I would also like to take this op</w:t>
      </w:r>
      <w:r w:rsidR="003C3D65">
        <w:rPr>
          <w:rStyle w:val="Headingblack"/>
          <w:rFonts w:asciiTheme="minorHAnsi" w:hAnsiTheme="minorHAnsi"/>
          <w:b w:val="0"/>
          <w:bCs w:val="0"/>
          <w:color w:val="000000" w:themeColor="text1"/>
          <w:sz w:val="22"/>
          <w:szCs w:val="22"/>
        </w:rPr>
        <w:t>portunity to thank Karen Curtis</w:t>
      </w:r>
      <w:r>
        <w:rPr>
          <w:rStyle w:val="Headingblack"/>
          <w:rFonts w:asciiTheme="minorHAnsi" w:hAnsiTheme="minorHAnsi"/>
          <w:b w:val="0"/>
          <w:bCs w:val="0"/>
          <w:color w:val="000000" w:themeColor="text1"/>
          <w:sz w:val="22"/>
          <w:szCs w:val="22"/>
        </w:rPr>
        <w:t>, A</w:t>
      </w:r>
      <w:r w:rsidR="001D300F">
        <w:rPr>
          <w:rStyle w:val="Headingblack"/>
          <w:rFonts w:asciiTheme="minorHAnsi" w:hAnsiTheme="minorHAnsi"/>
          <w:b w:val="0"/>
          <w:bCs w:val="0"/>
          <w:color w:val="000000" w:themeColor="text1"/>
          <w:sz w:val="22"/>
          <w:szCs w:val="22"/>
        </w:rPr>
        <w:t>ustralian Children’s Education and Care Quality Authority (ACECQA)</w:t>
      </w:r>
      <w:r>
        <w:rPr>
          <w:rStyle w:val="Headingblack"/>
          <w:rFonts w:asciiTheme="minorHAnsi" w:hAnsiTheme="minorHAnsi"/>
          <w:b w:val="0"/>
          <w:bCs w:val="0"/>
          <w:color w:val="000000" w:themeColor="text1"/>
          <w:sz w:val="22"/>
          <w:szCs w:val="22"/>
        </w:rPr>
        <w:t xml:space="preserve"> inaugural CEO for her outstanding contribution to the establishment and leadership of ACECQA ove</w:t>
      </w:r>
      <w:r w:rsidR="003C3D65">
        <w:rPr>
          <w:rStyle w:val="Headingblack"/>
          <w:rFonts w:asciiTheme="minorHAnsi" w:hAnsiTheme="minorHAnsi"/>
          <w:b w:val="0"/>
          <w:bCs w:val="0"/>
          <w:color w:val="000000" w:themeColor="text1"/>
          <w:sz w:val="22"/>
          <w:szCs w:val="22"/>
        </w:rPr>
        <w:t xml:space="preserve">r the past five and half years </w:t>
      </w:r>
      <w:r>
        <w:rPr>
          <w:rStyle w:val="Headingblack"/>
          <w:rFonts w:asciiTheme="minorHAnsi" w:hAnsiTheme="minorHAnsi"/>
          <w:b w:val="0"/>
          <w:bCs w:val="0"/>
          <w:color w:val="000000" w:themeColor="text1"/>
          <w:sz w:val="22"/>
          <w:szCs w:val="22"/>
        </w:rPr>
        <w:t>and her collabor</w:t>
      </w:r>
      <w:r w:rsidR="003C3D65">
        <w:rPr>
          <w:rStyle w:val="Headingblack"/>
          <w:rFonts w:asciiTheme="minorHAnsi" w:hAnsiTheme="minorHAnsi"/>
          <w:b w:val="0"/>
          <w:bCs w:val="0"/>
          <w:color w:val="000000" w:themeColor="text1"/>
          <w:sz w:val="22"/>
          <w:szCs w:val="22"/>
        </w:rPr>
        <w:t>ative approach in working with States and T</w:t>
      </w:r>
      <w:r>
        <w:rPr>
          <w:rStyle w:val="Headingblack"/>
          <w:rFonts w:asciiTheme="minorHAnsi" w:hAnsiTheme="minorHAnsi"/>
          <w:b w:val="0"/>
          <w:bCs w:val="0"/>
          <w:color w:val="000000" w:themeColor="text1"/>
          <w:sz w:val="22"/>
          <w:szCs w:val="22"/>
        </w:rPr>
        <w:t>erritories and the Australian Government to successfully implement the NQF.</w:t>
      </w:r>
    </w:p>
    <w:p w:rsidR="00F32C9D" w:rsidRPr="00CE0CCD" w:rsidRDefault="00F32C9D" w:rsidP="00F32C9D">
      <w:pPr>
        <w:pStyle w:val="BasicParagraph"/>
        <w:suppressAutoHyphens/>
        <w:spacing w:before="170"/>
        <w:ind w:right="57"/>
        <w:rPr>
          <w:rStyle w:val="Headingblack"/>
          <w:rFonts w:asciiTheme="minorHAnsi" w:hAnsiTheme="minorHAnsi"/>
          <w:b w:val="0"/>
          <w:color w:val="000000" w:themeColor="text1"/>
          <w:sz w:val="22"/>
          <w:szCs w:val="22"/>
        </w:rPr>
      </w:pPr>
      <w:r w:rsidRPr="00CE0CCD">
        <w:rPr>
          <w:rStyle w:val="Headingblack"/>
          <w:rFonts w:asciiTheme="minorHAnsi" w:hAnsiTheme="minorHAnsi"/>
          <w:b w:val="0"/>
          <w:color w:val="000000" w:themeColor="text1"/>
          <w:sz w:val="22"/>
          <w:szCs w:val="22"/>
        </w:rPr>
        <w:t xml:space="preserve">I wish you all the best </w:t>
      </w:r>
      <w:r w:rsidR="00CE0CCD" w:rsidRPr="00CE0CCD">
        <w:rPr>
          <w:rStyle w:val="Headingblack"/>
          <w:rFonts w:asciiTheme="minorHAnsi" w:hAnsiTheme="minorHAnsi"/>
          <w:b w:val="0"/>
          <w:color w:val="000000" w:themeColor="text1"/>
          <w:sz w:val="22"/>
          <w:szCs w:val="22"/>
        </w:rPr>
        <w:t>for the end of the year and 2017</w:t>
      </w:r>
      <w:r w:rsidRPr="00CE0CCD">
        <w:rPr>
          <w:rStyle w:val="Headingblack"/>
          <w:rFonts w:asciiTheme="minorHAnsi" w:hAnsiTheme="minorHAnsi"/>
          <w:b w:val="0"/>
          <w:color w:val="000000" w:themeColor="text1"/>
          <w:sz w:val="22"/>
          <w:szCs w:val="22"/>
        </w:rPr>
        <w:t>.</w:t>
      </w:r>
    </w:p>
    <w:p w:rsidR="00F32C9D" w:rsidRPr="00CE0CCD" w:rsidRDefault="00F32C9D" w:rsidP="00F32C9D">
      <w:pPr>
        <w:pStyle w:val="BasicParagraph"/>
        <w:suppressAutoHyphens/>
        <w:spacing w:before="227"/>
        <w:ind w:right="170"/>
        <w:rPr>
          <w:rStyle w:val="Headingblack"/>
          <w:rFonts w:asciiTheme="minorHAnsi" w:hAnsiTheme="minorHAnsi"/>
          <w:b w:val="0"/>
          <w:color w:val="000000" w:themeColor="text1"/>
          <w:sz w:val="22"/>
          <w:szCs w:val="22"/>
        </w:rPr>
      </w:pPr>
      <w:r w:rsidRPr="00CE0CCD">
        <w:rPr>
          <w:rStyle w:val="Headingblack"/>
          <w:rFonts w:asciiTheme="minorHAnsi" w:hAnsiTheme="minorHAnsi"/>
          <w:b w:val="0"/>
          <w:color w:val="000000" w:themeColor="text1"/>
          <w:sz w:val="22"/>
          <w:szCs w:val="22"/>
        </w:rPr>
        <w:t>Kind regards</w:t>
      </w:r>
    </w:p>
    <w:p w:rsidR="00476021" w:rsidRPr="00DE1553" w:rsidRDefault="00476021" w:rsidP="00974F08">
      <w:pPr>
        <w:rPr>
          <w:rStyle w:val="Headingblack"/>
          <w:rFonts w:asciiTheme="minorHAnsi" w:hAnsiTheme="minorHAnsi"/>
          <w:b w:val="0"/>
          <w:bCs w:val="0"/>
          <w:color w:val="000000" w:themeColor="text1"/>
          <w:sz w:val="22"/>
          <w:szCs w:val="22"/>
        </w:rPr>
      </w:pPr>
    </w:p>
    <w:p w:rsidR="00DE1553" w:rsidRPr="00DE1553" w:rsidRDefault="00816C5C" w:rsidP="00974F08">
      <w:pPr>
        <w:pStyle w:val="NoParagraphStyle"/>
        <w:spacing w:line="240" w:lineRule="auto"/>
        <w:rPr>
          <w:rStyle w:val="Headingblack"/>
          <w:rFonts w:asciiTheme="minorHAnsi" w:hAnsiTheme="minorHAnsi"/>
          <w:sz w:val="22"/>
          <w:szCs w:val="22"/>
        </w:rPr>
      </w:pPr>
      <w:r>
        <w:rPr>
          <w:rStyle w:val="Headingblack"/>
          <w:rFonts w:asciiTheme="minorHAnsi" w:hAnsiTheme="minorHAnsi"/>
          <w:sz w:val="22"/>
          <w:szCs w:val="22"/>
        </w:rPr>
        <w:t>Madeleine Smith</w:t>
      </w:r>
    </w:p>
    <w:p w:rsidR="008C4367" w:rsidRPr="00DE1553" w:rsidRDefault="008C4367" w:rsidP="00974F08">
      <w:pPr>
        <w:pStyle w:val="NoParagraphStyle"/>
        <w:spacing w:line="240" w:lineRule="auto"/>
        <w:rPr>
          <w:rStyle w:val="Headingblack"/>
          <w:rFonts w:asciiTheme="minorHAnsi" w:hAnsiTheme="minorHAnsi"/>
          <w:sz w:val="22"/>
          <w:szCs w:val="22"/>
        </w:rPr>
      </w:pPr>
      <w:r w:rsidRPr="00DE1553">
        <w:rPr>
          <w:rStyle w:val="Headingblack"/>
          <w:rFonts w:asciiTheme="minorHAnsi" w:hAnsiTheme="minorHAnsi"/>
          <w:sz w:val="22"/>
          <w:szCs w:val="22"/>
        </w:rPr>
        <w:t>Executive Director</w:t>
      </w:r>
    </w:p>
    <w:p w:rsidR="008C4367" w:rsidRPr="00DE1553" w:rsidRDefault="008C4367" w:rsidP="00974F08">
      <w:pPr>
        <w:pStyle w:val="NoParagraphStyle"/>
        <w:spacing w:line="240" w:lineRule="auto"/>
        <w:rPr>
          <w:rStyle w:val="Headingblack"/>
          <w:rFonts w:asciiTheme="minorHAnsi" w:hAnsiTheme="minorHAnsi"/>
          <w:sz w:val="22"/>
          <w:szCs w:val="22"/>
        </w:rPr>
      </w:pPr>
      <w:r w:rsidRPr="00DE1553">
        <w:rPr>
          <w:rStyle w:val="Headingblack"/>
          <w:rFonts w:asciiTheme="minorHAnsi" w:hAnsiTheme="minorHAnsi"/>
          <w:sz w:val="22"/>
          <w:szCs w:val="22"/>
        </w:rPr>
        <w:t>Quality Assessment and Regulation Division</w:t>
      </w:r>
    </w:p>
    <w:p w:rsidR="00F5575E" w:rsidRPr="00CE0CCD" w:rsidRDefault="008C4367" w:rsidP="00974F08">
      <w:pPr>
        <w:pStyle w:val="NoParagraphStyle"/>
        <w:spacing w:line="240" w:lineRule="auto"/>
        <w:rPr>
          <w:rStyle w:val="Headingblack"/>
          <w:rFonts w:asciiTheme="minorHAnsi" w:hAnsiTheme="minorHAnsi"/>
          <w:sz w:val="22"/>
          <w:szCs w:val="22"/>
        </w:rPr>
      </w:pPr>
      <w:r w:rsidRPr="00DE1553">
        <w:rPr>
          <w:rStyle w:val="Headingblack"/>
          <w:rFonts w:asciiTheme="minorHAnsi" w:hAnsiTheme="minorHAnsi"/>
          <w:sz w:val="22"/>
          <w:szCs w:val="22"/>
        </w:rPr>
        <w:t>Depa</w:t>
      </w:r>
      <w:r w:rsidR="00CE0CCD">
        <w:rPr>
          <w:rStyle w:val="Headingblack"/>
          <w:rFonts w:asciiTheme="minorHAnsi" w:hAnsiTheme="minorHAnsi"/>
          <w:sz w:val="22"/>
          <w:szCs w:val="22"/>
        </w:rPr>
        <w:t>rtment of Education and Training</w:t>
      </w:r>
    </w:p>
    <w:p w:rsidR="00F5575E" w:rsidRDefault="00F5575E" w:rsidP="00974F08">
      <w:pPr>
        <w:pStyle w:val="NoParagraphStyle"/>
        <w:spacing w:line="240" w:lineRule="auto"/>
        <w:rPr>
          <w:rStyle w:val="Headingblack"/>
          <w:rFonts w:asciiTheme="minorHAnsi" w:hAnsiTheme="minorHAnsi"/>
          <w:sz w:val="24"/>
          <w:szCs w:val="24"/>
        </w:rPr>
      </w:pPr>
    </w:p>
    <w:p w:rsidR="00F5575E" w:rsidRPr="00DE1553" w:rsidRDefault="00F5575E" w:rsidP="00974F08">
      <w:pPr>
        <w:pStyle w:val="NoParagraphStyle"/>
        <w:spacing w:line="240" w:lineRule="auto"/>
        <w:rPr>
          <w:rStyle w:val="Headingblack"/>
          <w:rFonts w:asciiTheme="minorHAnsi" w:hAnsiTheme="minorHAnsi"/>
          <w:sz w:val="24"/>
          <w:szCs w:val="24"/>
        </w:rPr>
      </w:pPr>
      <w:r>
        <w:rPr>
          <w:rStyle w:val="Headingblack"/>
          <w:rFonts w:asciiTheme="minorHAnsi" w:hAnsiTheme="minorHAnsi"/>
          <w:sz w:val="24"/>
          <w:szCs w:val="24"/>
        </w:rPr>
        <w:t>Assessment and Rating</w:t>
      </w:r>
    </w:p>
    <w:p w:rsidR="003777F6" w:rsidRPr="00EC47EE" w:rsidRDefault="003777F6" w:rsidP="003777F6">
      <w:r w:rsidRPr="00EC47EE">
        <w:t xml:space="preserve">The Australian Children’s Education and Care Quality Authority (ACECQA) produce quality reports </w:t>
      </w:r>
      <w:r w:rsidR="00C870A6">
        <w:t xml:space="preserve">about </w:t>
      </w:r>
      <w:r w:rsidRPr="00EC47EE">
        <w:t xml:space="preserve">education and care services operating under the </w:t>
      </w:r>
      <w:r w:rsidR="005F223B">
        <w:t>National Quality F</w:t>
      </w:r>
      <w:r w:rsidRPr="00EC47EE">
        <w:t>ramework</w:t>
      </w:r>
      <w:r w:rsidR="005F223B">
        <w:t xml:space="preserve"> (NQF)</w:t>
      </w:r>
      <w:r w:rsidRPr="00EC47EE">
        <w:t>.</w:t>
      </w:r>
      <w:r w:rsidR="00A21300" w:rsidRPr="00EC47EE">
        <w:t xml:space="preserve"> </w:t>
      </w:r>
      <w:r w:rsidRPr="00EC47EE">
        <w:t xml:space="preserve">These </w:t>
      </w:r>
      <w:r w:rsidR="005F223B">
        <w:t xml:space="preserve">reports, known as NQF </w:t>
      </w:r>
      <w:r w:rsidR="00603940">
        <w:t>snapshots</w:t>
      </w:r>
      <w:r w:rsidRPr="00EC47EE">
        <w:t xml:space="preserve"> include a profile of the sector, information on quality ratings by provider management type and service sub-types within centre-based services.</w:t>
      </w:r>
      <w:r w:rsidR="00A21300" w:rsidRPr="00EC47EE">
        <w:t xml:space="preserve"> </w:t>
      </w:r>
      <w:r w:rsidR="00EC44B2">
        <w:t>The</w:t>
      </w:r>
      <w:r w:rsidR="005F223B">
        <w:t xml:space="preserve">se </w:t>
      </w:r>
      <w:r w:rsidR="00EC44B2">
        <w:t xml:space="preserve">snapshots have </w:t>
      </w:r>
      <w:r w:rsidR="00A21300" w:rsidRPr="00EC47EE">
        <w:t>started to report on figures and rate</w:t>
      </w:r>
      <w:r w:rsidR="00EC44B2">
        <w:t>s of</w:t>
      </w:r>
      <w:r w:rsidR="00A21300" w:rsidRPr="00EC47EE">
        <w:t xml:space="preserve"> improvements </w:t>
      </w:r>
      <w:r w:rsidR="00EC44B2">
        <w:t>nationally, now that education and care services are starting to undergo their next assessment and rating process.</w:t>
      </w:r>
    </w:p>
    <w:p w:rsidR="00A21300" w:rsidRPr="00EC47EE" w:rsidRDefault="00A21300" w:rsidP="003777F6"/>
    <w:p w:rsidR="00A21300" w:rsidRPr="00EC47EE" w:rsidRDefault="004652E0" w:rsidP="00974F08">
      <w:pPr>
        <w:pStyle w:val="BasicParagraph"/>
        <w:spacing w:line="240" w:lineRule="auto"/>
        <w:rPr>
          <w:rFonts w:ascii="Calibri" w:hAnsi="Calibri" w:cs="Times New Roman"/>
          <w:color w:val="auto"/>
          <w:sz w:val="22"/>
          <w:szCs w:val="22"/>
          <w:lang w:val="en-AU"/>
        </w:rPr>
      </w:pPr>
      <w:r>
        <w:rPr>
          <w:rFonts w:ascii="Calibri" w:hAnsi="Calibri" w:cs="Times New Roman"/>
          <w:color w:val="auto"/>
          <w:sz w:val="22"/>
          <w:szCs w:val="22"/>
          <w:lang w:val="en-AU"/>
        </w:rPr>
        <w:t xml:space="preserve">The latest NQF snapshot confirms that over 15,400 education and care services are approved to operate under the NQF, with over 4000 of these services operating in Victoria. </w:t>
      </w:r>
      <w:r w:rsidR="00C45CED">
        <w:rPr>
          <w:rFonts w:ascii="Calibri" w:hAnsi="Calibri" w:cs="Times New Roman"/>
          <w:color w:val="auto"/>
          <w:sz w:val="22"/>
          <w:szCs w:val="22"/>
          <w:lang w:val="en-AU"/>
        </w:rPr>
        <w:t>Victoria</w:t>
      </w:r>
      <w:r>
        <w:rPr>
          <w:rFonts w:ascii="Calibri" w:hAnsi="Calibri" w:cs="Times New Roman"/>
          <w:color w:val="auto"/>
          <w:sz w:val="22"/>
          <w:szCs w:val="22"/>
          <w:lang w:val="en-AU"/>
        </w:rPr>
        <w:t>n services are sti</w:t>
      </w:r>
      <w:r w:rsidR="00603940">
        <w:rPr>
          <w:rFonts w:ascii="Calibri" w:hAnsi="Calibri" w:cs="Times New Roman"/>
          <w:color w:val="auto"/>
          <w:sz w:val="22"/>
          <w:szCs w:val="22"/>
          <w:lang w:val="en-AU"/>
        </w:rPr>
        <w:t xml:space="preserve">ll performing well with 80 per cent </w:t>
      </w:r>
      <w:r>
        <w:rPr>
          <w:rFonts w:ascii="Calibri" w:hAnsi="Calibri" w:cs="Times New Roman"/>
          <w:color w:val="auto"/>
          <w:sz w:val="22"/>
          <w:szCs w:val="22"/>
          <w:lang w:val="en-AU"/>
        </w:rPr>
        <w:t xml:space="preserve">rated meeting or above </w:t>
      </w:r>
      <w:r w:rsidR="00C45CED">
        <w:rPr>
          <w:rFonts w:ascii="Calibri" w:hAnsi="Calibri" w:cs="Times New Roman"/>
          <w:color w:val="auto"/>
          <w:sz w:val="22"/>
          <w:szCs w:val="22"/>
          <w:lang w:val="en-AU"/>
        </w:rPr>
        <w:t>the National Quality Standard (NQS).</w:t>
      </w:r>
      <w:r w:rsidR="00EC44B2">
        <w:rPr>
          <w:rFonts w:ascii="Calibri" w:hAnsi="Calibri" w:cs="Times New Roman"/>
          <w:color w:val="auto"/>
          <w:sz w:val="22"/>
          <w:szCs w:val="22"/>
          <w:lang w:val="en-AU"/>
        </w:rPr>
        <w:t xml:space="preserve"> </w:t>
      </w:r>
    </w:p>
    <w:p w:rsidR="00C87FFD" w:rsidRDefault="00C87FFD" w:rsidP="00974F08">
      <w:pPr>
        <w:rPr>
          <w:rFonts w:asciiTheme="minorHAnsi" w:hAnsiTheme="minorHAnsi"/>
        </w:rPr>
      </w:pPr>
    </w:p>
    <w:p w:rsidR="00CE0CCD" w:rsidRDefault="00CE0CCD" w:rsidP="00974F08">
      <w:pPr>
        <w:rPr>
          <w:rFonts w:asciiTheme="minorHAnsi" w:hAnsiTheme="minorHAnsi"/>
        </w:rPr>
      </w:pPr>
      <w:r>
        <w:rPr>
          <w:rFonts w:asciiTheme="minorHAnsi" w:hAnsiTheme="minorHAnsi"/>
        </w:rPr>
        <w:t>To view a copy of the latest snapshot or review previous edition’s visit ACECQA’s website at:</w:t>
      </w:r>
    </w:p>
    <w:p w:rsidR="00CE0CCD" w:rsidRDefault="00C852AA" w:rsidP="00974F08">
      <w:pPr>
        <w:rPr>
          <w:rFonts w:asciiTheme="minorHAnsi" w:hAnsiTheme="minorHAnsi"/>
        </w:rPr>
      </w:pPr>
      <w:hyperlink r:id="rId6" w:history="1">
        <w:r w:rsidR="00CE0CCD" w:rsidRPr="00A851C2">
          <w:rPr>
            <w:rStyle w:val="Hyperlink"/>
            <w:rFonts w:asciiTheme="minorHAnsi" w:hAnsiTheme="minorHAnsi"/>
          </w:rPr>
          <w:t>www.acecqa.gov.au/national-quality-framework-snapshots</w:t>
        </w:r>
      </w:hyperlink>
    </w:p>
    <w:p w:rsidR="00CE0CCD" w:rsidRDefault="00CE0CCD" w:rsidP="00974F08">
      <w:pPr>
        <w:rPr>
          <w:rFonts w:asciiTheme="minorHAnsi" w:hAnsiTheme="minorHAnsi"/>
        </w:rPr>
      </w:pPr>
    </w:p>
    <w:p w:rsidR="00651A68" w:rsidRPr="005A5611" w:rsidRDefault="00651A68" w:rsidP="00651A68">
      <w:pPr>
        <w:spacing w:line="276" w:lineRule="auto"/>
        <w:rPr>
          <w:rFonts w:ascii="Arial" w:hAnsi="Arial" w:cs="Arial"/>
          <w:b/>
          <w:sz w:val="20"/>
          <w:szCs w:val="20"/>
        </w:rPr>
      </w:pPr>
      <w:r w:rsidRPr="00D02B3E">
        <w:rPr>
          <w:rFonts w:ascii="Arial" w:hAnsi="Arial" w:cs="Arial"/>
          <w:b/>
          <w:sz w:val="20"/>
          <w:szCs w:val="20"/>
        </w:rPr>
        <w:t xml:space="preserve">New logos </w:t>
      </w:r>
      <w:r>
        <w:rPr>
          <w:rFonts w:ascii="Arial" w:hAnsi="Arial" w:cs="Arial"/>
          <w:b/>
          <w:sz w:val="20"/>
          <w:szCs w:val="20"/>
        </w:rPr>
        <w:t xml:space="preserve">promote NQF service rating </w:t>
      </w:r>
    </w:p>
    <w:p w:rsidR="00651A68" w:rsidRDefault="00651A68" w:rsidP="00E20233">
      <w:r w:rsidRPr="00E20233">
        <w:t xml:space="preserve">ACECQA, in collaboration with regulatory authorities and the </w:t>
      </w:r>
      <w:r w:rsidR="00603940" w:rsidRPr="00E20233">
        <w:t xml:space="preserve">Australian </w:t>
      </w:r>
      <w:r w:rsidR="00C870A6" w:rsidRPr="00E20233">
        <w:t>Government, has</w:t>
      </w:r>
      <w:r w:rsidRPr="00E20233">
        <w:t xml:space="preserve"> designed logos to represent the rating levels of the </w:t>
      </w:r>
      <w:r w:rsidR="00C45CED" w:rsidRPr="00E20233">
        <w:t>NQS</w:t>
      </w:r>
      <w:r w:rsidRPr="00E20233">
        <w:t xml:space="preserve">. Education and care services with a </w:t>
      </w:r>
      <w:r w:rsidR="00603940" w:rsidRPr="00E20233">
        <w:t xml:space="preserve">published </w:t>
      </w:r>
      <w:r w:rsidRPr="00E20233">
        <w:t xml:space="preserve">rating will be able to access the relevant logo through ACECQA’s national registers to promote their overall rating. </w:t>
      </w:r>
      <w:r w:rsidR="00C870A6" w:rsidRPr="00E20233">
        <w:t xml:space="preserve">Access to </w:t>
      </w:r>
      <w:r w:rsidRPr="00E20233">
        <w:t>and use of these logos is completely voluntary and will not replace the ratings certificate that all assessed and rated services are provided and must display as prescribed in the National Law (section 172).</w:t>
      </w:r>
    </w:p>
    <w:p w:rsidR="00E20233" w:rsidRPr="00E20233" w:rsidRDefault="00E20233" w:rsidP="00E20233"/>
    <w:p w:rsidR="00651A68" w:rsidRDefault="00651A68" w:rsidP="00E20233">
      <w:pPr>
        <w:rPr>
          <w:rFonts w:asciiTheme="minorHAnsi" w:hAnsiTheme="minorHAnsi" w:cs="Arial"/>
        </w:rPr>
      </w:pPr>
      <w:r w:rsidRPr="00E20233">
        <w:rPr>
          <w:rFonts w:asciiTheme="minorHAnsi" w:hAnsiTheme="minorHAnsi" w:cs="Arial"/>
        </w:rPr>
        <w:t xml:space="preserve">To access the ACECQA logos </w:t>
      </w:r>
      <w:r w:rsidR="00603940" w:rsidRPr="00E20233">
        <w:rPr>
          <w:rFonts w:asciiTheme="minorHAnsi" w:hAnsiTheme="minorHAnsi" w:cs="Arial"/>
        </w:rPr>
        <w:t xml:space="preserve">services </w:t>
      </w:r>
      <w:r w:rsidRPr="00E20233">
        <w:rPr>
          <w:rFonts w:asciiTheme="minorHAnsi" w:hAnsiTheme="minorHAnsi" w:cs="Arial"/>
        </w:rPr>
        <w:t xml:space="preserve">will first need to visit the </w:t>
      </w:r>
      <w:hyperlink r:id="rId7" w:history="1">
        <w:r w:rsidRPr="00E20233">
          <w:rPr>
            <w:rStyle w:val="Hyperlink"/>
            <w:rFonts w:asciiTheme="minorHAnsi" w:hAnsiTheme="minorHAnsi" w:cs="Arial"/>
          </w:rPr>
          <w:t>national registers</w:t>
        </w:r>
      </w:hyperlink>
      <w:r w:rsidRPr="00E20233">
        <w:rPr>
          <w:rFonts w:asciiTheme="minorHAnsi" w:hAnsiTheme="minorHAnsi" w:cs="Arial"/>
        </w:rPr>
        <w:t xml:space="preserve">, located on </w:t>
      </w:r>
      <w:r w:rsidR="00F45D2F" w:rsidRPr="00E20233">
        <w:rPr>
          <w:rFonts w:asciiTheme="minorHAnsi" w:hAnsiTheme="minorHAnsi" w:cs="Arial"/>
        </w:rPr>
        <w:t xml:space="preserve">ACECQA’s </w:t>
      </w:r>
      <w:r w:rsidR="00603940" w:rsidRPr="00E20233">
        <w:rPr>
          <w:rFonts w:asciiTheme="minorHAnsi" w:hAnsiTheme="minorHAnsi" w:cs="Arial"/>
        </w:rPr>
        <w:t>website and locate their</w:t>
      </w:r>
      <w:r w:rsidRPr="00E20233">
        <w:rPr>
          <w:rFonts w:asciiTheme="minorHAnsi" w:hAnsiTheme="minorHAnsi" w:cs="Arial"/>
        </w:rPr>
        <w:t xml:space="preserve"> service details. One you have completed this step, click more details, request for logo by filling out your servic</w:t>
      </w:r>
      <w:r w:rsidR="00F45D2F" w:rsidRPr="00E20233">
        <w:rPr>
          <w:rFonts w:asciiTheme="minorHAnsi" w:hAnsiTheme="minorHAnsi" w:cs="Arial"/>
        </w:rPr>
        <w:t xml:space="preserve">e details and acknowledge </w:t>
      </w:r>
      <w:r w:rsidR="00603940" w:rsidRPr="00E20233">
        <w:rPr>
          <w:rFonts w:asciiTheme="minorHAnsi" w:hAnsiTheme="minorHAnsi" w:cs="Arial"/>
        </w:rPr>
        <w:t>the terms and c</w:t>
      </w:r>
      <w:r w:rsidRPr="00E20233">
        <w:rPr>
          <w:rFonts w:asciiTheme="minorHAnsi" w:hAnsiTheme="minorHAnsi" w:cs="Arial"/>
        </w:rPr>
        <w:t xml:space="preserve">onditions of use. Once </w:t>
      </w:r>
      <w:r w:rsidR="00F45D2F" w:rsidRPr="00E20233">
        <w:rPr>
          <w:rFonts w:asciiTheme="minorHAnsi" w:hAnsiTheme="minorHAnsi" w:cs="Arial"/>
        </w:rPr>
        <w:t xml:space="preserve">all </w:t>
      </w:r>
      <w:r w:rsidRPr="00E20233">
        <w:rPr>
          <w:rFonts w:asciiTheme="minorHAnsi" w:hAnsiTheme="minorHAnsi" w:cs="Arial"/>
        </w:rPr>
        <w:t xml:space="preserve">of </w:t>
      </w:r>
      <w:r w:rsidR="00E20233" w:rsidRPr="00E20233">
        <w:rPr>
          <w:rFonts w:asciiTheme="minorHAnsi" w:hAnsiTheme="minorHAnsi" w:cs="Arial"/>
        </w:rPr>
        <w:t>these steps have been completed</w:t>
      </w:r>
      <w:r w:rsidRPr="00E20233">
        <w:rPr>
          <w:rFonts w:asciiTheme="minorHAnsi" w:hAnsiTheme="minorHAnsi" w:cs="Arial"/>
        </w:rPr>
        <w:t xml:space="preserve">, ACECQA will securely send the logo files and accompanying brand guidelines to the </w:t>
      </w:r>
      <w:r w:rsidR="00F45D2F" w:rsidRPr="00E20233">
        <w:rPr>
          <w:rFonts w:asciiTheme="minorHAnsi" w:hAnsiTheme="minorHAnsi" w:cs="Arial"/>
        </w:rPr>
        <w:t xml:space="preserve">service’s </w:t>
      </w:r>
      <w:r w:rsidRPr="00E20233">
        <w:rPr>
          <w:rFonts w:asciiTheme="minorHAnsi" w:hAnsiTheme="minorHAnsi" w:cs="Arial"/>
        </w:rPr>
        <w:t xml:space="preserve">email registered in the </w:t>
      </w:r>
      <w:hyperlink r:id="rId8" w:history="1">
        <w:r w:rsidRPr="00E20233">
          <w:rPr>
            <w:rStyle w:val="Hyperlink"/>
            <w:rFonts w:asciiTheme="minorHAnsi" w:hAnsiTheme="minorHAnsi" w:cs="Arial"/>
          </w:rPr>
          <w:t>NQA IT System</w:t>
        </w:r>
      </w:hyperlink>
      <w:r w:rsidRPr="00E20233">
        <w:rPr>
          <w:rStyle w:val="Hyperlink"/>
          <w:rFonts w:asciiTheme="minorHAnsi" w:hAnsiTheme="minorHAnsi" w:cs="Arial"/>
        </w:rPr>
        <w:t>.</w:t>
      </w:r>
      <w:r w:rsidRPr="00E20233">
        <w:rPr>
          <w:rFonts w:asciiTheme="minorHAnsi" w:hAnsiTheme="minorHAnsi" w:cs="Arial"/>
        </w:rPr>
        <w:t xml:space="preserve"> </w:t>
      </w:r>
    </w:p>
    <w:p w:rsidR="00E20233" w:rsidRPr="00E20233" w:rsidRDefault="00E20233" w:rsidP="00E20233">
      <w:pPr>
        <w:rPr>
          <w:rFonts w:asciiTheme="minorHAnsi" w:hAnsiTheme="minorHAnsi" w:cs="Arial"/>
        </w:rPr>
      </w:pPr>
    </w:p>
    <w:p w:rsidR="00E330DE" w:rsidRPr="00D27994" w:rsidRDefault="00E330DE" w:rsidP="00E330DE">
      <w:pPr>
        <w:rPr>
          <w:b/>
          <w:sz w:val="28"/>
        </w:rPr>
      </w:pPr>
      <w:r w:rsidRPr="00EC44B2">
        <w:rPr>
          <w:rStyle w:val="Headingblack"/>
          <w:rFonts w:asciiTheme="minorHAnsi" w:hAnsiTheme="minorHAnsi"/>
          <w:sz w:val="24"/>
          <w:szCs w:val="24"/>
          <w:lang w:val="en-US"/>
        </w:rPr>
        <w:t>Continuous Improvement: The New Normal</w:t>
      </w:r>
      <w:r w:rsidRPr="00D27994">
        <w:rPr>
          <w:b/>
          <w:sz w:val="28"/>
        </w:rPr>
        <w:t xml:space="preserve"> </w:t>
      </w:r>
      <w:r w:rsidR="00EC44B2">
        <w:rPr>
          <w:b/>
          <w:sz w:val="28"/>
        </w:rPr>
        <w:t xml:space="preserve">– </w:t>
      </w:r>
      <w:r w:rsidR="00C870A6">
        <w:rPr>
          <w:rStyle w:val="Headingblack"/>
          <w:rFonts w:asciiTheme="minorHAnsi" w:hAnsiTheme="minorHAnsi"/>
          <w:sz w:val="24"/>
          <w:szCs w:val="24"/>
          <w:lang w:val="en-US"/>
        </w:rPr>
        <w:t>Catha</w:t>
      </w:r>
      <w:r w:rsidR="00EC44B2" w:rsidRPr="00EC44B2">
        <w:rPr>
          <w:rStyle w:val="Headingblack"/>
          <w:rFonts w:asciiTheme="minorHAnsi" w:hAnsiTheme="minorHAnsi"/>
          <w:sz w:val="24"/>
          <w:szCs w:val="24"/>
          <w:lang w:val="en-US"/>
        </w:rPr>
        <w:t xml:space="preserve">rine </w:t>
      </w:r>
      <w:proofErr w:type="spellStart"/>
      <w:r w:rsidR="00EC44B2" w:rsidRPr="00EC44B2">
        <w:rPr>
          <w:rStyle w:val="Headingblack"/>
          <w:rFonts w:asciiTheme="minorHAnsi" w:hAnsiTheme="minorHAnsi"/>
          <w:sz w:val="24"/>
          <w:szCs w:val="24"/>
          <w:lang w:val="en-US"/>
        </w:rPr>
        <w:t>Hydon</w:t>
      </w:r>
      <w:proofErr w:type="spellEnd"/>
    </w:p>
    <w:p w:rsidR="00E330DE" w:rsidRDefault="00E330DE" w:rsidP="00E330DE">
      <w:r>
        <w:t>"Continuous improvement is better than delayed perfection." Mark Twain</w:t>
      </w:r>
    </w:p>
    <w:p w:rsidR="00EC44B2" w:rsidRDefault="00EC44B2" w:rsidP="00E330DE"/>
    <w:p w:rsidR="00E330DE" w:rsidRDefault="00E330DE" w:rsidP="00E330DE">
      <w:r>
        <w:t xml:space="preserve">In a culture of continuous improvement within </w:t>
      </w:r>
      <w:r w:rsidR="00EC44B2">
        <w:t xml:space="preserve">early </w:t>
      </w:r>
      <w:r>
        <w:t>child</w:t>
      </w:r>
      <w:r w:rsidR="00EC44B2">
        <w:t xml:space="preserve">hood </w:t>
      </w:r>
      <w:r>
        <w:t xml:space="preserve">services one thing remains constant – the necessity for all aspects of the program to evolve and progress towards better outcomes for children, families, staff and the community.  Fundamental to the </w:t>
      </w:r>
      <w:r w:rsidR="00EC44B2">
        <w:t xml:space="preserve">Assessment and Rating </w:t>
      </w:r>
      <w:r>
        <w:t xml:space="preserve">process is the expectation that services will develop plans to improve what they do and then repeat the process again and again in a quest to be the very best we can be.  </w:t>
      </w:r>
    </w:p>
    <w:p w:rsidR="00EC44B2" w:rsidRDefault="00EC44B2" w:rsidP="00E330DE"/>
    <w:p w:rsidR="00E330DE" w:rsidRDefault="005F223B" w:rsidP="00E330DE">
      <w:r>
        <w:rPr>
          <w:noProof/>
          <w:lang w:eastAsia="en-AU"/>
        </w:rPr>
        <mc:AlternateContent>
          <mc:Choice Requires="wps">
            <w:drawing>
              <wp:anchor distT="0" distB="0" distL="114300" distR="114300" simplePos="0" relativeHeight="251659264" behindDoc="0" locked="0" layoutInCell="1" allowOverlap="1" wp14:anchorId="722B127C" wp14:editId="7971252A">
                <wp:simplePos x="0" y="0"/>
                <wp:positionH relativeFrom="margin">
                  <wp:align>right</wp:align>
                </wp:positionH>
                <wp:positionV relativeFrom="margin">
                  <wp:posOffset>4038600</wp:posOffset>
                </wp:positionV>
                <wp:extent cx="2037080" cy="14382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438275"/>
                        </a:xfrm>
                        <a:prstGeom prst="rect">
                          <a:avLst/>
                        </a:prstGeom>
                        <a:solidFill>
                          <a:srgbClr val="FFFFFF"/>
                        </a:solidFill>
                        <a:ln w="9525">
                          <a:solidFill>
                            <a:srgbClr val="000000"/>
                          </a:solidFill>
                          <a:miter lim="800000"/>
                          <a:headEnd/>
                          <a:tailEnd/>
                        </a:ln>
                      </wps:spPr>
                      <wps:txbx>
                        <w:txbxContent>
                          <w:p w:rsidR="00E330DE" w:rsidRPr="00A45317" w:rsidRDefault="00E330DE" w:rsidP="00E330DE">
                            <w:pPr>
                              <w:jc w:val="center"/>
                              <w:rPr>
                                <w:i/>
                              </w:rPr>
                            </w:pPr>
                            <w:r w:rsidRPr="00A45317">
                              <w:rPr>
                                <w:i/>
                              </w:rPr>
                              <w:t>Learning and innovation go hand in hand.</w:t>
                            </w:r>
                          </w:p>
                          <w:p w:rsidR="00E330DE" w:rsidRPr="00A45317" w:rsidRDefault="00E330DE" w:rsidP="00E330DE">
                            <w:pPr>
                              <w:jc w:val="center"/>
                              <w:rPr>
                                <w:i/>
                              </w:rPr>
                            </w:pPr>
                            <w:r w:rsidRPr="00A45317">
                              <w:rPr>
                                <w:i/>
                              </w:rPr>
                              <w:t>The arrogance of success is to think that what you did yesterday will be sufficient for tomorrow.</w:t>
                            </w:r>
                          </w:p>
                          <w:p w:rsidR="00E330DE" w:rsidRPr="00A45317" w:rsidRDefault="00E330DE" w:rsidP="00E330DE">
                            <w:pPr>
                              <w:jc w:val="center"/>
                              <w:rPr>
                                <w:i/>
                              </w:rPr>
                            </w:pPr>
                            <w:r w:rsidRPr="00A45317">
                              <w:rPr>
                                <w:i/>
                              </w:rPr>
                              <w:t>William Pollard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B127C" id="_x0000_t202" coordsize="21600,21600" o:spt="202" path="m,l,21600r21600,l21600,xe">
                <v:stroke joinstyle="miter"/>
                <v:path gradientshapeok="t" o:connecttype="rect"/>
              </v:shapetype>
              <v:shape id="Text Box 2" o:spid="_x0000_s1026" type="#_x0000_t202" style="position:absolute;margin-left:109.2pt;margin-top:318pt;width:160.4pt;height:11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68JAIAAEcEAAAOAAAAZHJzL2Uyb0RvYy54bWysU9uO2yAQfa/Uf0C8N75s0mS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">
                <v:textbox>
                  <w:txbxContent>
                    <w:p w:rsidR="00E330DE" w:rsidRPr="00A45317" w:rsidRDefault="00E330DE" w:rsidP="00E330DE">
                      <w:pPr>
                        <w:jc w:val="center"/>
                        <w:rPr>
                          <w:i/>
                        </w:rPr>
                      </w:pPr>
                      <w:r w:rsidRPr="00A45317">
                        <w:rPr>
                          <w:i/>
                        </w:rPr>
                        <w:t>Learning and innovation go hand in hand.</w:t>
                      </w:r>
                    </w:p>
                    <w:p w:rsidR="00E330DE" w:rsidRPr="00A45317" w:rsidRDefault="00E330DE" w:rsidP="00E330DE">
                      <w:pPr>
                        <w:jc w:val="center"/>
                        <w:rPr>
                          <w:i/>
                        </w:rPr>
                      </w:pPr>
                      <w:r w:rsidRPr="00A45317">
                        <w:rPr>
                          <w:i/>
                        </w:rPr>
                        <w:t>The arrogance of success is to think that what you did yesterday will be sufficient for tomorrow.</w:t>
                      </w:r>
                    </w:p>
                    <w:p w:rsidR="00E330DE" w:rsidRPr="00A45317" w:rsidRDefault="00E330DE" w:rsidP="00E330DE">
                      <w:pPr>
                        <w:jc w:val="center"/>
                        <w:rPr>
                          <w:i/>
                        </w:rPr>
                      </w:pPr>
                      <w:r w:rsidRPr="00A45317">
                        <w:rPr>
                          <w:i/>
                        </w:rPr>
                        <w:t>William Pollard</w:t>
                      </w:r>
                    </w:p>
                  </w:txbxContent>
                </v:textbox>
                <w10:wrap type="square" anchorx="margin" anchory="margin"/>
              </v:shape>
            </w:pict>
          </mc:Fallback>
        </mc:AlternateContent>
      </w:r>
      <w:r w:rsidR="00E330DE">
        <w:t>We are not alone; many other pursuits see the arrival at a particular point as a signpost to future possibilities rather than an end in itself.  As the drivers in the Bathurst 1000 complete the race there is always talk of the next race, the next car and how they might better conquer the complexities of the mountain. And when the cooks on those reality telev</w:t>
      </w:r>
      <w:r w:rsidR="00EC44B2">
        <w:t>ision shows present their cooking creations</w:t>
      </w:r>
      <w:r w:rsidR="00E330DE">
        <w:t xml:space="preserve"> they do so in a spirit of making a better dessert then they have ever made before and when your next door neighbour spends ho</w:t>
      </w:r>
      <w:r w:rsidR="00EC44B2">
        <w:t>urs in the garden tending to his</w:t>
      </w:r>
      <w:r w:rsidR="00E330DE">
        <w:t xml:space="preserve"> tomato plants he does so hoping that the next crop will be a bumper</w:t>
      </w:r>
      <w:r w:rsidR="00F46054">
        <w:t xml:space="preserve"> one</w:t>
      </w:r>
      <w:r w:rsidR="00E330DE">
        <w:t xml:space="preserve">.  </w:t>
      </w:r>
    </w:p>
    <w:p w:rsidR="00EC44B2" w:rsidRDefault="00EC44B2" w:rsidP="00E330DE"/>
    <w:p w:rsidR="00E330DE" w:rsidRDefault="00E330DE" w:rsidP="00E330DE">
      <w:r>
        <w:t>So, it should be no surprise that continuous improvement has made i</w:t>
      </w:r>
      <w:r w:rsidR="005F223B">
        <w:t>t</w:t>
      </w:r>
      <w:r>
        <w:t xml:space="preserve">s way to </w:t>
      </w:r>
      <w:r w:rsidR="00F46054">
        <w:t>early childhood</w:t>
      </w:r>
      <w:r>
        <w:t xml:space="preserve"> services and that embedded in our approaches to quality is a call to consider how we might take the next step in delivering transformative programs that enrich children’s and adult’s lives.   The Guide to the National Quality Standard refers to this process of continuous improvements as a </w:t>
      </w:r>
      <w:r w:rsidRPr="00017996">
        <w:rPr>
          <w:i/>
        </w:rPr>
        <w:t xml:space="preserve">‘…positive organisational culture </w:t>
      </w:r>
      <w:r>
        <w:rPr>
          <w:i/>
        </w:rPr>
        <w:t>[in]</w:t>
      </w:r>
      <w:r w:rsidRPr="00017996">
        <w:rPr>
          <w:i/>
        </w:rPr>
        <w:t xml:space="preserve"> an environment of trust and openness where management and staff members are motivated to continuously improve the service for the benefit</w:t>
      </w:r>
      <w:r>
        <w:rPr>
          <w:i/>
        </w:rPr>
        <w:t xml:space="preserve"> of children and their families’.</w:t>
      </w:r>
      <w:sdt>
        <w:sdtPr>
          <w:rPr>
            <w:i/>
          </w:rPr>
          <w:id w:val="-1462562064"/>
          <w:citation/>
        </w:sdtPr>
        <w:sdtEndPr/>
        <w:sdtContent>
          <w:r>
            <w:rPr>
              <w:i/>
            </w:rPr>
            <w:fldChar w:fldCharType="begin"/>
          </w:r>
          <w:r>
            <w:rPr>
              <w:i/>
            </w:rPr>
            <w:instrText xml:space="preserve">CITATION ACE13 \p 167 \l 3081 </w:instrText>
          </w:r>
          <w:r>
            <w:rPr>
              <w:i/>
            </w:rPr>
            <w:fldChar w:fldCharType="separate"/>
          </w:r>
          <w:r>
            <w:rPr>
              <w:i/>
              <w:noProof/>
            </w:rPr>
            <w:t xml:space="preserve"> </w:t>
          </w:r>
          <w:r>
            <w:rPr>
              <w:noProof/>
            </w:rPr>
            <w:t>(ACECQA, September 2013, p. 167)</w:t>
          </w:r>
          <w:r>
            <w:rPr>
              <w:i/>
            </w:rPr>
            <w:fldChar w:fldCharType="end"/>
          </w:r>
        </w:sdtContent>
      </w:sdt>
      <w:r>
        <w:rPr>
          <w:i/>
        </w:rPr>
        <w:t xml:space="preserve"> </w:t>
      </w:r>
      <w:r w:rsidRPr="0028341E">
        <w:t xml:space="preserve">Indeed the </w:t>
      </w:r>
      <w:r>
        <w:t xml:space="preserve">reality of attaining an exceeding rating in the </w:t>
      </w:r>
      <w:r w:rsidRPr="0028341E">
        <w:t>National Quality Standard is that the work must continue</w:t>
      </w:r>
      <w:r>
        <w:t xml:space="preserve"> unabated</w:t>
      </w:r>
      <w:r w:rsidRPr="0028341E">
        <w:t xml:space="preserve">.  The culture of continuous improvement that resulted in being rated above the standard must be nurtured and cultivated.  </w:t>
      </w:r>
      <w:r>
        <w:t>In other words, t</w:t>
      </w:r>
      <w:r w:rsidRPr="0028341E">
        <w:t xml:space="preserve">he strategies, ideas and practices that helped </w:t>
      </w:r>
      <w:r>
        <w:t>the service</w:t>
      </w:r>
      <w:r w:rsidRPr="0028341E">
        <w:t xml:space="preserve"> climb this far will not be enough to keep you there.  Nor will they be enough to help you continue to be there very best you can be. </w:t>
      </w:r>
      <w:r>
        <w:t xml:space="preserve"> A commitment to continuous improvement</w:t>
      </w:r>
      <w:r w:rsidRPr="0028341E">
        <w:t xml:space="preserve"> is the time for innovation, creativity not simply more of the same.   </w:t>
      </w:r>
    </w:p>
    <w:p w:rsidR="00F46054" w:rsidRPr="0028341E" w:rsidRDefault="00F46054" w:rsidP="00E330DE"/>
    <w:p w:rsidR="00F46054" w:rsidRDefault="00E330DE" w:rsidP="00E330DE">
      <w:r>
        <w:t xml:space="preserve">With a view to what is possible we need also to be cautious about becoming fixated on the next best thing.  Continuous improvement does not mean we become so fixated on the future that we ignore the here and now.  Anne </w:t>
      </w:r>
      <w:proofErr w:type="spellStart"/>
      <w:r>
        <w:t>Pelo</w:t>
      </w:r>
      <w:proofErr w:type="spellEnd"/>
      <w:r>
        <w:t xml:space="preserve">, in her 2013 book </w:t>
      </w:r>
      <w:r w:rsidRPr="0028341E">
        <w:rPr>
          <w:i/>
        </w:rPr>
        <w:t>The Goodness of Rain: Developing an Ecological Identity in Young Children</w:t>
      </w:r>
      <w:sdt>
        <w:sdtPr>
          <w:rPr>
            <w:i/>
          </w:rPr>
          <w:id w:val="1006789278"/>
          <w:citation/>
        </w:sdtPr>
        <w:sdtEndPr/>
        <w:sdtContent>
          <w:r>
            <w:rPr>
              <w:i/>
            </w:rPr>
            <w:fldChar w:fldCharType="begin"/>
          </w:r>
          <w:r>
            <w:rPr>
              <w:i/>
            </w:rPr>
            <w:instrText xml:space="preserve"> CITATION Ann13 \l 3081 </w:instrText>
          </w:r>
          <w:r>
            <w:rPr>
              <w:i/>
            </w:rPr>
            <w:fldChar w:fldCharType="separate"/>
          </w:r>
          <w:r>
            <w:rPr>
              <w:i/>
              <w:noProof/>
            </w:rPr>
            <w:t xml:space="preserve"> </w:t>
          </w:r>
          <w:r>
            <w:rPr>
              <w:noProof/>
            </w:rPr>
            <w:t>(Pelo, 2013)</w:t>
          </w:r>
          <w:r>
            <w:rPr>
              <w:i/>
            </w:rPr>
            <w:fldChar w:fldCharType="end"/>
          </w:r>
        </w:sdtContent>
      </w:sdt>
      <w:r>
        <w:t>, reminds us of the need to be fully present with children and slow down long enough to deeply engage with children, families and community in the pursuit of becoming a learning community.</w:t>
      </w:r>
    </w:p>
    <w:p w:rsidR="00E330DE" w:rsidRDefault="00E330DE" w:rsidP="00E330DE">
      <w:r>
        <w:t xml:space="preserve">  </w:t>
      </w:r>
    </w:p>
    <w:p w:rsidR="00F46054" w:rsidRDefault="00E330DE" w:rsidP="00E330DE">
      <w:r>
        <w:t xml:space="preserve">Continuous improvement requires deep reflection.  Flashy improvements implemented to look good on the day or as a response to what the centre down the road are doing will surely compromise continuous improvement and will not lead to extemporary practice.  Just because an exhibitor at a conference tells you that some product will help you get or keep exceeding or a consultant tells you that this strategy is “a must” does not mean that it will help you improve.  </w:t>
      </w:r>
    </w:p>
    <w:p w:rsidR="00E330DE" w:rsidRDefault="00E330DE" w:rsidP="00E330DE">
      <w:r>
        <w:t>What is needed is the ‘</w:t>
      </w:r>
      <w:r w:rsidRPr="002D4959">
        <w:t>lively culture of professional enquiry</w:t>
      </w:r>
      <w:r>
        <w:t xml:space="preserve">’ </w:t>
      </w:r>
      <w:sdt>
        <w:sdtPr>
          <w:id w:val="-169025952"/>
          <w:citation/>
        </w:sdtPr>
        <w:sdtEndPr/>
        <w:sdtContent>
          <w:r>
            <w:fldChar w:fldCharType="begin"/>
          </w:r>
          <w:r>
            <w:instrText xml:space="preserve">CITATION Dep09 \p 13 \l 3081 </w:instrText>
          </w:r>
          <w:r>
            <w:fldChar w:fldCharType="separate"/>
          </w:r>
          <w:r>
            <w:rPr>
              <w:noProof/>
            </w:rPr>
            <w:t>(DEEWR , 2009, p. 13)</w:t>
          </w:r>
          <w:r>
            <w:fldChar w:fldCharType="end"/>
          </w:r>
        </w:sdtContent>
      </w:sdt>
      <w:r>
        <w:t xml:space="preserve"> as described in the Early Years Learning Framework – in such a space educators can think and rethink, imagine and reimagine and make shared decisions about what improvement looks like for them.  These examples will illustrate the lively cultural that leads to innovative improvement in action: </w:t>
      </w:r>
    </w:p>
    <w:p w:rsidR="00F46054" w:rsidRDefault="00E330DE" w:rsidP="00E330DE">
      <w:pPr>
        <w:ind w:left="720"/>
        <w:rPr>
          <w:i/>
        </w:rPr>
      </w:pPr>
      <w:r w:rsidRPr="002D4959">
        <w:rPr>
          <w:i/>
        </w:rPr>
        <w:t>The school age care leadership team of a large suburban program worked hard to develop a regular opportunity to meet as an educator team.  These meetings were organised to emphasis</w:t>
      </w:r>
      <w:r>
        <w:rPr>
          <w:i/>
        </w:rPr>
        <w:t>e</w:t>
      </w:r>
      <w:r w:rsidRPr="002D4959">
        <w:rPr>
          <w:i/>
        </w:rPr>
        <w:t xml:space="preserve"> reflection and discussion about the program with a short time allocated each meeting for housekeeping.  Because of this, and many other initiatives, the service was rated exceeding.  The leadership team has since </w:t>
      </w:r>
      <w:r>
        <w:rPr>
          <w:i/>
        </w:rPr>
        <w:t>reflected on</w:t>
      </w:r>
      <w:r w:rsidRPr="002D4959">
        <w:rPr>
          <w:i/>
        </w:rPr>
        <w:t xml:space="preserve"> this meeting process, based on a strong commitment to improving what is working well, and decided that the next step for these reflective meetings would be to invite educators </w:t>
      </w:r>
      <w:r>
        <w:rPr>
          <w:i/>
        </w:rPr>
        <w:t xml:space="preserve">to </w:t>
      </w:r>
      <w:r w:rsidRPr="002D4959">
        <w:rPr>
          <w:i/>
        </w:rPr>
        <w:t>bring idea</w:t>
      </w:r>
      <w:r>
        <w:rPr>
          <w:i/>
        </w:rPr>
        <w:t>s</w:t>
      </w:r>
      <w:r w:rsidRPr="002D4959">
        <w:rPr>
          <w:i/>
        </w:rPr>
        <w:t xml:space="preserve"> to the meeting and lead the</w:t>
      </w:r>
      <w:r w:rsidRPr="001D73E7">
        <w:rPr>
          <w:i/>
        </w:rPr>
        <w:t xml:space="preserve"> </w:t>
      </w:r>
      <w:r w:rsidRPr="002D4959">
        <w:rPr>
          <w:i/>
        </w:rPr>
        <w:t>discussion</w:t>
      </w:r>
      <w:r>
        <w:rPr>
          <w:i/>
        </w:rPr>
        <w:t>s themselves -</w:t>
      </w:r>
      <w:r w:rsidRPr="002D4959">
        <w:rPr>
          <w:i/>
        </w:rPr>
        <w:t xml:space="preserve"> and share the outcomes with each other! </w:t>
      </w:r>
    </w:p>
    <w:p w:rsidR="00E330DE" w:rsidRPr="002D4959" w:rsidRDefault="00E330DE" w:rsidP="00E330DE">
      <w:pPr>
        <w:ind w:left="720"/>
        <w:rPr>
          <w:i/>
        </w:rPr>
      </w:pPr>
      <w:r w:rsidRPr="002D4959">
        <w:rPr>
          <w:i/>
        </w:rPr>
        <w:t xml:space="preserve"> </w:t>
      </w:r>
    </w:p>
    <w:p w:rsidR="00E330DE" w:rsidRPr="00254C89" w:rsidRDefault="00F46054" w:rsidP="00E330DE">
      <w:pPr>
        <w:ind w:left="720"/>
      </w:pPr>
      <w:r>
        <w:rPr>
          <w:i/>
        </w:rPr>
        <w:t>A small inner city long day service has</w:t>
      </w:r>
      <w:r w:rsidR="00E330DE" w:rsidRPr="00254C89">
        <w:rPr>
          <w:i/>
        </w:rPr>
        <w:t xml:space="preserve"> actively developed a relationship with the local school.  The transitioning process is well defined and there are many visits between the two places over the course of the year.  This was noted in their rating and assessment visit and along with many other initiatives resulted in an exceeding rating.  The team felt that this program, although very successful, could be made even better if they stretched the transition work from visiting into pedagogy.  To achieve this, they have set up a regular meeting and classroom visit between the kindergarten teacher and one of the foundation teachers to discuss teaching approaches, assessment and curriculum with a view to making the transition process more effective and to understand better each other contexts.  They plan to offer joint learning opportunities to their children</w:t>
      </w:r>
      <w:r w:rsidR="00E330DE">
        <w:rPr>
          <w:i/>
        </w:rPr>
        <w:t xml:space="preserve"> into the future.  </w:t>
      </w:r>
    </w:p>
    <w:p w:rsidR="00E330DE" w:rsidRDefault="00E330DE" w:rsidP="00E330DE">
      <w:pPr>
        <w:ind w:left="720"/>
        <w:rPr>
          <w:i/>
        </w:rPr>
      </w:pPr>
      <w:r w:rsidRPr="00254C89">
        <w:rPr>
          <w:i/>
        </w:rPr>
        <w:t>The family day care leadership team in a rural community f</w:t>
      </w:r>
      <w:r w:rsidR="00F46054">
        <w:rPr>
          <w:i/>
        </w:rPr>
        <w:t>elt that the recruitment and induc</w:t>
      </w:r>
      <w:r w:rsidRPr="00254C89">
        <w:rPr>
          <w:i/>
        </w:rPr>
        <w:t>tion process was not as effective as it could have been resulting in educators still being confused about expectations of the service well into their emplo</w:t>
      </w:r>
      <w:r w:rsidR="00F46054">
        <w:rPr>
          <w:i/>
        </w:rPr>
        <w:t>yment.  The recruitment and induc</w:t>
      </w:r>
      <w:r w:rsidRPr="00254C89">
        <w:rPr>
          <w:i/>
        </w:rPr>
        <w:t>tion process was improved to require educators to attend a comprehensive training program and an easy mechanism for them to upgrade their qualifications which many of them have taken up.   These actions and along with many other initiatives have resulted in an exceeding rating.  The leadership team as always on the lookout for new</w:t>
      </w:r>
      <w:r w:rsidR="00F46054">
        <w:rPr>
          <w:i/>
        </w:rPr>
        <w:t xml:space="preserve"> ideas and they recently saw an</w:t>
      </w:r>
      <w:r w:rsidRPr="00254C89">
        <w:rPr>
          <w:i/>
        </w:rPr>
        <w:t xml:space="preserve"> article in a FDC magazin</w:t>
      </w:r>
      <w:r w:rsidR="00F46054">
        <w:rPr>
          <w:i/>
        </w:rPr>
        <w:t>e about an induc</w:t>
      </w:r>
      <w:r w:rsidRPr="00254C89">
        <w:rPr>
          <w:i/>
        </w:rPr>
        <w:t>tion process that included time spent in other educator’s homes getting a taste for the work and learning directly from a fellow educator.  They have since trialled this for a recently</w:t>
      </w:r>
      <w:r w:rsidR="00F46054">
        <w:rPr>
          <w:i/>
        </w:rPr>
        <w:t xml:space="preserve"> appointed educator</w:t>
      </w:r>
      <w:r w:rsidRPr="00254C89">
        <w:rPr>
          <w:i/>
        </w:rPr>
        <w:t xml:space="preserve"> and are moving to embed this step in their induction process</w:t>
      </w:r>
      <w:r>
        <w:rPr>
          <w:i/>
        </w:rPr>
        <w:t>.</w:t>
      </w:r>
    </w:p>
    <w:p w:rsidR="004022C6" w:rsidRPr="00254C89" w:rsidRDefault="004022C6" w:rsidP="00E330DE">
      <w:pPr>
        <w:ind w:left="720"/>
        <w:rPr>
          <w:i/>
        </w:rPr>
      </w:pPr>
    </w:p>
    <w:p w:rsidR="00E330DE" w:rsidRDefault="00E330DE" w:rsidP="00E330DE">
      <w:r w:rsidRPr="004F141A">
        <w:t>These examples give us a sense of what it means to continuously im</w:t>
      </w:r>
      <w:r>
        <w:t>prove.   Rather than being content with what is working well, a service and e</w:t>
      </w:r>
      <w:r w:rsidR="004022C6">
        <w:t>ducators team who are committed</w:t>
      </w:r>
      <w:r>
        <w:t xml:space="preserve"> to continuous improvement are always thinking about how their great practice and successful strategies can become better and better.  The next </w:t>
      </w:r>
      <w:r w:rsidR="00C870A6">
        <w:t>a</w:t>
      </w:r>
      <w:r>
        <w:t xml:space="preserve">ssessment </w:t>
      </w:r>
      <w:r w:rsidR="00C870A6">
        <w:t xml:space="preserve">and rating </w:t>
      </w:r>
      <w:r>
        <w:t xml:space="preserve">visit will be an opportunity for us all to demonstrate what we are capable of!  </w:t>
      </w:r>
    </w:p>
    <w:sdt>
      <w:sdtPr>
        <w:rPr>
          <w:rFonts w:asciiTheme="minorHAnsi" w:eastAsiaTheme="minorHAnsi" w:hAnsiTheme="minorHAnsi" w:cstheme="minorBidi"/>
          <w:b w:val="0"/>
          <w:bCs w:val="0"/>
          <w:color w:val="auto"/>
          <w:sz w:val="22"/>
          <w:szCs w:val="22"/>
        </w:rPr>
        <w:id w:val="-268854621"/>
        <w:docPartObj>
          <w:docPartGallery w:val="Bibliographies"/>
          <w:docPartUnique/>
        </w:docPartObj>
      </w:sdtPr>
      <w:sdtEndPr>
        <w:rPr>
          <w:rFonts w:ascii="Calibri" w:hAnsi="Calibri" w:cs="Times New Roman"/>
        </w:rPr>
      </w:sdtEndPr>
      <w:sdtContent>
        <w:p w:rsidR="00E330DE" w:rsidRDefault="00E330DE" w:rsidP="00E330DE">
          <w:pPr>
            <w:pStyle w:val="Heading1"/>
          </w:pPr>
          <w:r>
            <w:t>Bibliography</w:t>
          </w:r>
        </w:p>
        <w:sdt>
          <w:sdtPr>
            <w:rPr>
              <w:rFonts w:ascii="Calibri" w:hAnsi="Calibri" w:cs="Times New Roman"/>
            </w:rPr>
            <w:id w:val="111145805"/>
            <w:bibliography/>
          </w:sdtPr>
          <w:sdtEndPr/>
          <w:sdtContent>
            <w:p w:rsidR="00E330DE" w:rsidRDefault="00E330DE" w:rsidP="00E330DE">
              <w:pPr>
                <w:pStyle w:val="Bibliography"/>
                <w:ind w:left="720" w:hanging="720"/>
                <w:rPr>
                  <w:noProof/>
                  <w:sz w:val="24"/>
                  <w:szCs w:val="24"/>
                  <w:lang w:val="en-US"/>
                </w:rPr>
              </w:pPr>
              <w:r>
                <w:fldChar w:fldCharType="begin"/>
              </w:r>
              <w:r>
                <w:instrText xml:space="preserve"> BIBLIOGRAPHY </w:instrText>
              </w:r>
              <w:r>
                <w:fldChar w:fldCharType="separate"/>
              </w:r>
              <w:r>
                <w:rPr>
                  <w:noProof/>
                  <w:lang w:val="en-US"/>
                </w:rPr>
                <w:t xml:space="preserve">ACECQA. (September 2013). </w:t>
              </w:r>
              <w:r>
                <w:rPr>
                  <w:i/>
                  <w:iCs/>
                  <w:noProof/>
                  <w:lang w:val="en-US"/>
                </w:rPr>
                <w:t>Guide to the National Quality Standard.</w:t>
              </w:r>
              <w:r>
                <w:rPr>
                  <w:noProof/>
                  <w:lang w:val="en-US"/>
                </w:rPr>
                <w:t xml:space="preserve"> ACECQA.</w:t>
              </w:r>
            </w:p>
            <w:p w:rsidR="00E330DE" w:rsidRDefault="00E330DE" w:rsidP="00E330DE">
              <w:pPr>
                <w:pStyle w:val="Bibliography"/>
                <w:ind w:left="720" w:hanging="720"/>
                <w:rPr>
                  <w:noProof/>
                  <w:lang w:val="en-US"/>
                </w:rPr>
              </w:pPr>
              <w:r>
                <w:rPr>
                  <w:noProof/>
                  <w:lang w:val="en-US"/>
                </w:rPr>
                <w:t xml:space="preserve">DEEWR . (2009). </w:t>
              </w:r>
              <w:r>
                <w:rPr>
                  <w:i/>
                  <w:iCs/>
                  <w:noProof/>
                  <w:lang w:val="en-US"/>
                </w:rPr>
                <w:t>Belonging, being and becoming: The early years learning framework for Australia.</w:t>
              </w:r>
              <w:r>
                <w:rPr>
                  <w:noProof/>
                  <w:lang w:val="en-US"/>
                </w:rPr>
                <w:t xml:space="preserve"> Canberra: Commonwealth of Australia.</w:t>
              </w:r>
            </w:p>
            <w:p w:rsidR="00E330DE" w:rsidRDefault="00E330DE" w:rsidP="00E330DE">
              <w:pPr>
                <w:pStyle w:val="Bibliography"/>
                <w:ind w:left="720" w:hanging="720"/>
                <w:rPr>
                  <w:noProof/>
                  <w:lang w:val="en-US"/>
                </w:rPr>
              </w:pPr>
              <w:r>
                <w:rPr>
                  <w:noProof/>
                  <w:lang w:val="en-US"/>
                </w:rPr>
                <w:t xml:space="preserve">Pelo, A. (2013). </w:t>
              </w:r>
              <w:r>
                <w:rPr>
                  <w:i/>
                  <w:iCs/>
                  <w:noProof/>
                  <w:lang w:val="en-US"/>
                </w:rPr>
                <w:t>Goodness of Rain .</w:t>
              </w:r>
              <w:r>
                <w:rPr>
                  <w:noProof/>
                  <w:lang w:val="en-US"/>
                </w:rPr>
                <w:t xml:space="preserve"> Washington: Exchange Press .</w:t>
              </w:r>
            </w:p>
            <w:p w:rsidR="00E330DE" w:rsidRPr="005F223B" w:rsidRDefault="00E330DE" w:rsidP="00974F08">
              <w:r>
                <w:rPr>
                  <w:b/>
                  <w:bCs/>
                  <w:noProof/>
                </w:rPr>
                <w:fldChar w:fldCharType="end"/>
              </w:r>
            </w:p>
          </w:sdtContent>
        </w:sdt>
      </w:sdtContent>
    </w:sdt>
    <w:p w:rsidR="00C87FFD" w:rsidRDefault="00C87FFD" w:rsidP="00CE0CCD">
      <w:pPr>
        <w:rPr>
          <w:rFonts w:asciiTheme="minorHAnsi" w:hAnsiTheme="minorHAnsi"/>
        </w:rPr>
      </w:pPr>
    </w:p>
    <w:p w:rsidR="00F45D2F" w:rsidRDefault="00F45D2F" w:rsidP="00CE0CCD">
      <w:pPr>
        <w:rPr>
          <w:rFonts w:asciiTheme="minorHAnsi" w:hAnsiTheme="minorHAnsi"/>
        </w:rPr>
      </w:pPr>
    </w:p>
    <w:p w:rsidR="00F45D2F" w:rsidRDefault="00F45D2F" w:rsidP="00CE0CCD">
      <w:pPr>
        <w:rPr>
          <w:rFonts w:asciiTheme="minorHAnsi" w:hAnsiTheme="minorHAnsi"/>
        </w:rPr>
      </w:pPr>
    </w:p>
    <w:p w:rsidR="00F45D2F" w:rsidRDefault="00F45D2F" w:rsidP="00CE0CCD">
      <w:pPr>
        <w:rPr>
          <w:rFonts w:asciiTheme="minorHAnsi" w:hAnsiTheme="minorHAnsi"/>
        </w:rPr>
      </w:pPr>
    </w:p>
    <w:p w:rsidR="00F45D2F" w:rsidRDefault="00F45D2F" w:rsidP="00CE0CCD">
      <w:pPr>
        <w:rPr>
          <w:rFonts w:asciiTheme="minorHAnsi" w:hAnsiTheme="minorHAnsi"/>
        </w:rPr>
      </w:pPr>
    </w:p>
    <w:p w:rsidR="00F45D2F" w:rsidRDefault="00F45D2F" w:rsidP="00CE0CCD">
      <w:pPr>
        <w:rPr>
          <w:rFonts w:asciiTheme="minorHAnsi" w:hAnsiTheme="minorHAnsi"/>
        </w:rPr>
      </w:pPr>
    </w:p>
    <w:p w:rsidR="00F45D2F" w:rsidRDefault="00F45D2F" w:rsidP="00CE0CCD">
      <w:pPr>
        <w:rPr>
          <w:rFonts w:asciiTheme="minorHAnsi" w:hAnsiTheme="minorHAnsi"/>
        </w:rPr>
      </w:pPr>
    </w:p>
    <w:p w:rsidR="00F45D2F" w:rsidRDefault="00F45D2F" w:rsidP="00CE0CCD">
      <w:pPr>
        <w:rPr>
          <w:rFonts w:asciiTheme="minorHAnsi" w:hAnsiTheme="minorHAnsi"/>
        </w:rPr>
      </w:pPr>
    </w:p>
    <w:p w:rsidR="00F45D2F" w:rsidRDefault="00F45D2F" w:rsidP="00CE0CCD">
      <w:pPr>
        <w:rPr>
          <w:rFonts w:asciiTheme="minorHAnsi" w:hAnsiTheme="minorHAnsi"/>
        </w:rPr>
      </w:pPr>
    </w:p>
    <w:p w:rsidR="00F45D2F" w:rsidRDefault="00F45D2F" w:rsidP="00CE0CCD">
      <w:pPr>
        <w:rPr>
          <w:rFonts w:asciiTheme="minorHAnsi" w:hAnsiTheme="minorHAnsi"/>
        </w:rPr>
      </w:pPr>
    </w:p>
    <w:p w:rsidR="00F45D2F" w:rsidRPr="00DE4AC2" w:rsidRDefault="00F45D2F" w:rsidP="00CE0CCD">
      <w:pPr>
        <w:rPr>
          <w:rFonts w:asciiTheme="minorHAnsi" w:hAnsiTheme="minorHAnsi"/>
        </w:rPr>
      </w:pPr>
    </w:p>
    <w:p w:rsidR="00295766" w:rsidRPr="00C87FFD" w:rsidRDefault="00295766" w:rsidP="00CE0CCD">
      <w:pPr>
        <w:rPr>
          <w:rFonts w:asciiTheme="minorHAnsi" w:hAnsiTheme="minorHAnsi"/>
        </w:rPr>
      </w:pPr>
      <w:r w:rsidRPr="006025E6">
        <w:rPr>
          <w:b/>
        </w:rPr>
        <w:t>Insight from the Sector</w:t>
      </w:r>
    </w:p>
    <w:p w:rsidR="00295766" w:rsidRPr="006025E6" w:rsidRDefault="00295766" w:rsidP="00CE0CCD">
      <w:pPr>
        <w:rPr>
          <w:b/>
        </w:rPr>
      </w:pPr>
    </w:p>
    <w:p w:rsidR="005B52F7" w:rsidRPr="005039DD" w:rsidRDefault="005B52F7" w:rsidP="00CE0CCD">
      <w:pPr>
        <w:rPr>
          <w:b/>
        </w:rPr>
      </w:pPr>
      <w:r w:rsidRPr="005039DD">
        <w:rPr>
          <w:b/>
        </w:rPr>
        <w:t xml:space="preserve">Implementing Healthy Eating Programs in OSHC </w:t>
      </w:r>
      <w:r w:rsidR="005039DD">
        <w:rPr>
          <w:b/>
        </w:rPr>
        <w:t xml:space="preserve">– Rosa </w:t>
      </w:r>
      <w:proofErr w:type="spellStart"/>
      <w:r w:rsidR="005039DD">
        <w:rPr>
          <w:b/>
        </w:rPr>
        <w:t>Piteri</w:t>
      </w:r>
      <w:proofErr w:type="spellEnd"/>
      <w:r w:rsidR="005039DD">
        <w:rPr>
          <w:b/>
        </w:rPr>
        <w:t xml:space="preserve">, National Operations Manager, Camp Australia </w:t>
      </w:r>
    </w:p>
    <w:p w:rsidR="005B52F7" w:rsidRPr="00E20233" w:rsidRDefault="005B52F7" w:rsidP="00CE0CCD">
      <w:pPr>
        <w:pStyle w:val="BodyText"/>
        <w:ind w:left="0" w:right="115" w:firstLine="0"/>
        <w:rPr>
          <w:rFonts w:asciiTheme="minorHAnsi" w:hAnsiTheme="minorHAnsi"/>
          <w:sz w:val="22"/>
          <w:szCs w:val="22"/>
        </w:rPr>
      </w:pPr>
      <w:r w:rsidRPr="00E20233">
        <w:rPr>
          <w:rFonts w:asciiTheme="minorHAnsi" w:hAnsiTheme="minorHAnsi"/>
          <w:sz w:val="22"/>
          <w:szCs w:val="22"/>
        </w:rPr>
        <w:t>Research has shown that eating habits developed in childhoo</w:t>
      </w:r>
      <w:r w:rsidR="005039DD" w:rsidRPr="00E20233">
        <w:rPr>
          <w:rFonts w:asciiTheme="minorHAnsi" w:hAnsiTheme="minorHAnsi"/>
          <w:sz w:val="22"/>
          <w:szCs w:val="22"/>
        </w:rPr>
        <w:t xml:space="preserve">d can continue into adult life. </w:t>
      </w:r>
      <w:r w:rsidRPr="00E20233">
        <w:rPr>
          <w:rFonts w:asciiTheme="minorHAnsi" w:hAnsiTheme="minorHAnsi"/>
          <w:sz w:val="22"/>
          <w:szCs w:val="22"/>
        </w:rPr>
        <w:t xml:space="preserve">Unfortunately, childhood obesity is a growing problem in Australia and around the world. Healthy Eating in OSHC should extend beyond what the children eat to include their active participation in its preparation. With this in mind Camp Australia is proud </w:t>
      </w:r>
      <w:r w:rsidR="005039DD" w:rsidRPr="00E20233">
        <w:rPr>
          <w:rFonts w:asciiTheme="minorHAnsi" w:hAnsiTheme="minorHAnsi"/>
          <w:sz w:val="22"/>
          <w:szCs w:val="22"/>
        </w:rPr>
        <w:t xml:space="preserve">of their achievements </w:t>
      </w:r>
      <w:r w:rsidRPr="00E20233">
        <w:rPr>
          <w:rFonts w:asciiTheme="minorHAnsi" w:hAnsiTheme="minorHAnsi"/>
          <w:sz w:val="22"/>
          <w:szCs w:val="22"/>
        </w:rPr>
        <w:t>in this area through the</w:t>
      </w:r>
      <w:r w:rsidR="005039DD" w:rsidRPr="00E20233">
        <w:rPr>
          <w:rFonts w:asciiTheme="minorHAnsi" w:hAnsiTheme="minorHAnsi"/>
          <w:sz w:val="22"/>
          <w:szCs w:val="22"/>
        </w:rPr>
        <w:t xml:space="preserve"> introduction of its revised</w:t>
      </w:r>
      <w:r w:rsidRPr="00E20233">
        <w:rPr>
          <w:rFonts w:asciiTheme="minorHAnsi" w:hAnsiTheme="minorHAnsi"/>
          <w:sz w:val="22"/>
          <w:szCs w:val="22"/>
        </w:rPr>
        <w:t xml:space="preserve"> Healthy Eating</w:t>
      </w:r>
      <w:r w:rsidRPr="00E20233">
        <w:rPr>
          <w:rFonts w:asciiTheme="minorHAnsi" w:hAnsiTheme="minorHAnsi"/>
          <w:spacing w:val="-10"/>
          <w:sz w:val="22"/>
          <w:szCs w:val="22"/>
        </w:rPr>
        <w:t xml:space="preserve"> </w:t>
      </w:r>
      <w:r w:rsidRPr="00E20233">
        <w:rPr>
          <w:rFonts w:asciiTheme="minorHAnsi" w:hAnsiTheme="minorHAnsi"/>
          <w:sz w:val="22"/>
          <w:szCs w:val="22"/>
        </w:rPr>
        <w:t>Program.</w:t>
      </w:r>
    </w:p>
    <w:p w:rsidR="00CE0CCD" w:rsidRPr="00E20233" w:rsidRDefault="00CE0CCD" w:rsidP="00CE0CCD">
      <w:pPr>
        <w:pStyle w:val="BodyText"/>
        <w:spacing w:before="56"/>
        <w:ind w:left="0" w:right="130" w:firstLine="0"/>
        <w:rPr>
          <w:rFonts w:asciiTheme="minorHAnsi" w:hAnsiTheme="minorHAnsi"/>
          <w:sz w:val="22"/>
          <w:szCs w:val="22"/>
        </w:rPr>
      </w:pPr>
    </w:p>
    <w:p w:rsidR="005B52F7" w:rsidRPr="00E20233" w:rsidRDefault="005B52F7" w:rsidP="00CE0CCD">
      <w:pPr>
        <w:pStyle w:val="BodyText"/>
        <w:spacing w:before="56"/>
        <w:ind w:left="0" w:right="130" w:firstLine="0"/>
        <w:rPr>
          <w:rFonts w:asciiTheme="minorHAnsi" w:hAnsiTheme="minorHAnsi"/>
          <w:sz w:val="22"/>
          <w:szCs w:val="22"/>
        </w:rPr>
      </w:pPr>
      <w:r w:rsidRPr="00E20233">
        <w:rPr>
          <w:rFonts w:asciiTheme="minorHAnsi" w:hAnsiTheme="minorHAnsi"/>
          <w:sz w:val="22"/>
          <w:szCs w:val="22"/>
        </w:rPr>
        <w:t xml:space="preserve">Camp Australia has always been committed to providing healthy eating options for children in its care. We have been very mindful of the allergies and the health risk they present to some children. Many years ago we also </w:t>
      </w:r>
      <w:proofErr w:type="spellStart"/>
      <w:r w:rsidRPr="00E20233">
        <w:rPr>
          <w:rFonts w:asciiTheme="minorHAnsi" w:hAnsiTheme="minorHAnsi"/>
          <w:sz w:val="22"/>
          <w:szCs w:val="22"/>
        </w:rPr>
        <w:t>recognised</w:t>
      </w:r>
      <w:proofErr w:type="spellEnd"/>
      <w:r w:rsidRPr="00E20233">
        <w:rPr>
          <w:rFonts w:asciiTheme="minorHAnsi" w:hAnsiTheme="minorHAnsi"/>
          <w:sz w:val="22"/>
          <w:szCs w:val="22"/>
        </w:rPr>
        <w:t xml:space="preserve"> that not everyone has the same knowledge and understanding of how to address these combined issues appropriately. Which is why our policies and procedures ensure that the food options available at any individual service is restricted to foods that are low in salt and sugar, and free from common allergies (e</w:t>
      </w:r>
      <w:r w:rsidR="005039DD" w:rsidRPr="00E20233">
        <w:rPr>
          <w:rFonts w:asciiTheme="minorHAnsi" w:hAnsiTheme="minorHAnsi"/>
          <w:sz w:val="22"/>
          <w:szCs w:val="22"/>
        </w:rPr>
        <w:t>.</w:t>
      </w:r>
      <w:r w:rsidRPr="00E20233">
        <w:rPr>
          <w:rFonts w:asciiTheme="minorHAnsi" w:hAnsiTheme="minorHAnsi"/>
          <w:sz w:val="22"/>
          <w:szCs w:val="22"/>
        </w:rPr>
        <w:t>g</w:t>
      </w:r>
      <w:r w:rsidR="005039DD" w:rsidRPr="00E20233">
        <w:rPr>
          <w:rFonts w:asciiTheme="minorHAnsi" w:hAnsiTheme="minorHAnsi"/>
          <w:sz w:val="22"/>
          <w:szCs w:val="22"/>
        </w:rPr>
        <w:t>.</w:t>
      </w:r>
      <w:r w:rsidRPr="00E20233">
        <w:rPr>
          <w:rFonts w:asciiTheme="minorHAnsi" w:hAnsiTheme="minorHAnsi"/>
          <w:sz w:val="22"/>
          <w:szCs w:val="22"/>
        </w:rPr>
        <w:t xml:space="preserve">, nuts, diary and </w:t>
      </w:r>
      <w:r w:rsidR="005039DD" w:rsidRPr="00E20233">
        <w:rPr>
          <w:rFonts w:asciiTheme="minorHAnsi" w:hAnsiTheme="minorHAnsi"/>
          <w:sz w:val="22"/>
          <w:szCs w:val="22"/>
        </w:rPr>
        <w:t xml:space="preserve">eggs).  Subsequently, over 70% </w:t>
      </w:r>
      <w:r w:rsidRPr="00E20233">
        <w:rPr>
          <w:rFonts w:asciiTheme="minorHAnsi" w:hAnsiTheme="minorHAnsi"/>
          <w:sz w:val="22"/>
          <w:szCs w:val="22"/>
        </w:rPr>
        <w:t xml:space="preserve">of our food budget has been spent on fresh fruit and vegetables for many years. While we are proud of what we have been doing, we felt that we could do more to establish positive relationships between children and healthy eating </w:t>
      </w:r>
      <w:r w:rsidR="005039DD" w:rsidRPr="00E20233">
        <w:rPr>
          <w:rFonts w:asciiTheme="minorHAnsi" w:hAnsiTheme="minorHAnsi"/>
          <w:sz w:val="22"/>
          <w:szCs w:val="22"/>
        </w:rPr>
        <w:t>options. So we decided to revise</w:t>
      </w:r>
      <w:r w:rsidRPr="00E20233">
        <w:rPr>
          <w:rFonts w:asciiTheme="minorHAnsi" w:hAnsiTheme="minorHAnsi"/>
          <w:sz w:val="22"/>
          <w:szCs w:val="22"/>
        </w:rPr>
        <w:t xml:space="preserve"> our healthy eating program to be more</w:t>
      </w:r>
      <w:r w:rsidRPr="00E20233">
        <w:rPr>
          <w:rFonts w:asciiTheme="minorHAnsi" w:hAnsiTheme="minorHAnsi"/>
          <w:spacing w:val="-5"/>
          <w:sz w:val="22"/>
          <w:szCs w:val="22"/>
        </w:rPr>
        <w:t xml:space="preserve"> </w:t>
      </w:r>
      <w:r w:rsidRPr="00E20233">
        <w:rPr>
          <w:rFonts w:asciiTheme="minorHAnsi" w:hAnsiTheme="minorHAnsi"/>
          <w:sz w:val="22"/>
          <w:szCs w:val="22"/>
        </w:rPr>
        <w:t>engaging.</w:t>
      </w:r>
    </w:p>
    <w:p w:rsidR="005B52F7" w:rsidRPr="005B52F7" w:rsidRDefault="005B52F7" w:rsidP="008C1A6A">
      <w:pPr>
        <w:spacing w:before="10"/>
        <w:ind w:left="-426"/>
        <w:rPr>
          <w:rFonts w:eastAsia="Calibri" w:cs="Calibri"/>
          <w:sz w:val="20"/>
          <w:szCs w:val="20"/>
        </w:rPr>
      </w:pPr>
    </w:p>
    <w:p w:rsidR="005B52F7" w:rsidRPr="005B52F7" w:rsidRDefault="005B52F7" w:rsidP="00CE0CCD">
      <w:pPr>
        <w:pStyle w:val="BodyText"/>
        <w:ind w:left="0" w:right="115" w:firstLine="0"/>
        <w:rPr>
          <w:sz w:val="20"/>
          <w:szCs w:val="20"/>
        </w:rPr>
      </w:pPr>
      <w:r w:rsidRPr="005B52F7">
        <w:rPr>
          <w:sz w:val="20"/>
          <w:szCs w:val="20"/>
          <w:u w:val="single" w:color="000000"/>
        </w:rPr>
        <w:t>Developing the New Healthy Eating Program in line with Healthy Body and</w:t>
      </w:r>
      <w:r w:rsidRPr="005B52F7">
        <w:rPr>
          <w:spacing w:val="-25"/>
          <w:sz w:val="20"/>
          <w:szCs w:val="20"/>
          <w:u w:val="single" w:color="000000"/>
        </w:rPr>
        <w:t xml:space="preserve"> </w:t>
      </w:r>
      <w:r w:rsidRPr="005B52F7">
        <w:rPr>
          <w:sz w:val="20"/>
          <w:szCs w:val="20"/>
          <w:u w:val="single" w:color="000000"/>
        </w:rPr>
        <w:t>Mind</w:t>
      </w:r>
    </w:p>
    <w:p w:rsidR="005B52F7" w:rsidRPr="005B52F7" w:rsidRDefault="005B52F7" w:rsidP="00CE0CCD">
      <w:pPr>
        <w:spacing w:before="5"/>
        <w:rPr>
          <w:rFonts w:eastAsia="Calibri" w:cs="Calibri"/>
          <w:sz w:val="20"/>
          <w:szCs w:val="20"/>
        </w:rPr>
      </w:pPr>
    </w:p>
    <w:p w:rsidR="005B52F7" w:rsidRPr="00E20233" w:rsidRDefault="005B52F7" w:rsidP="00CE0CCD">
      <w:pPr>
        <w:pStyle w:val="BodyText"/>
        <w:spacing w:before="56"/>
        <w:ind w:left="0" w:right="158" w:firstLine="0"/>
        <w:rPr>
          <w:rFonts w:asciiTheme="minorHAnsi" w:hAnsiTheme="minorHAnsi"/>
          <w:sz w:val="22"/>
          <w:szCs w:val="22"/>
        </w:rPr>
      </w:pPr>
      <w:r w:rsidRPr="00E20233">
        <w:rPr>
          <w:rFonts w:asciiTheme="minorHAnsi" w:hAnsiTheme="minorHAnsi"/>
          <w:sz w:val="22"/>
          <w:szCs w:val="22"/>
        </w:rPr>
        <w:t>Camp Australia is committed to ensuring that children in our care receive a variety of healthy food choices to meet their nutrition requirements for a healthy body and mind. This helped set the tone and the framework for the revised program. What we wanted to do was find ways to get the children more conscious of the food choices they were making and more involved in its preparation. To do this we decided to create a Cookbook as a focal point for the new</w:t>
      </w:r>
      <w:r w:rsidRPr="00E20233">
        <w:rPr>
          <w:rFonts w:asciiTheme="minorHAnsi" w:hAnsiTheme="minorHAnsi"/>
          <w:spacing w:val="-27"/>
          <w:sz w:val="22"/>
          <w:szCs w:val="22"/>
        </w:rPr>
        <w:t xml:space="preserve"> </w:t>
      </w:r>
      <w:r w:rsidRPr="00E20233">
        <w:rPr>
          <w:rFonts w:asciiTheme="minorHAnsi" w:hAnsiTheme="minorHAnsi"/>
          <w:sz w:val="22"/>
          <w:szCs w:val="22"/>
        </w:rPr>
        <w:t>program.</w:t>
      </w:r>
    </w:p>
    <w:p w:rsidR="005B52F7" w:rsidRPr="00E20233" w:rsidRDefault="005B52F7" w:rsidP="00CE0CCD">
      <w:pPr>
        <w:rPr>
          <w:rFonts w:asciiTheme="minorHAnsi" w:eastAsia="Calibri" w:hAnsiTheme="minorHAnsi" w:cs="Calibri"/>
        </w:rPr>
      </w:pPr>
    </w:p>
    <w:p w:rsidR="005B52F7" w:rsidRPr="00E20233" w:rsidRDefault="005039DD" w:rsidP="00CE0CCD">
      <w:pPr>
        <w:pStyle w:val="BodyText"/>
        <w:spacing w:before="0"/>
        <w:ind w:left="0" w:right="113" w:firstLine="0"/>
        <w:rPr>
          <w:rFonts w:asciiTheme="minorHAnsi" w:hAnsiTheme="minorHAnsi"/>
          <w:sz w:val="22"/>
          <w:szCs w:val="22"/>
        </w:rPr>
      </w:pPr>
      <w:r w:rsidRPr="00E20233">
        <w:rPr>
          <w:rFonts w:asciiTheme="minorHAnsi" w:hAnsiTheme="minorHAnsi"/>
          <w:sz w:val="22"/>
          <w:szCs w:val="22"/>
        </w:rPr>
        <w:t xml:space="preserve">The </w:t>
      </w:r>
      <w:r w:rsidR="005B52F7" w:rsidRPr="00E20233">
        <w:rPr>
          <w:rFonts w:asciiTheme="minorHAnsi" w:hAnsiTheme="minorHAnsi"/>
          <w:sz w:val="22"/>
          <w:szCs w:val="22"/>
        </w:rPr>
        <w:t xml:space="preserve">Cookbook </w:t>
      </w:r>
      <w:r w:rsidRPr="00E20233">
        <w:rPr>
          <w:rFonts w:asciiTheme="minorHAnsi" w:hAnsiTheme="minorHAnsi"/>
          <w:sz w:val="22"/>
          <w:szCs w:val="22"/>
        </w:rPr>
        <w:t xml:space="preserve">has been developed to </w:t>
      </w:r>
      <w:r w:rsidR="000A1625" w:rsidRPr="00E20233">
        <w:rPr>
          <w:rFonts w:asciiTheme="minorHAnsi" w:hAnsiTheme="minorHAnsi"/>
          <w:sz w:val="22"/>
          <w:szCs w:val="22"/>
        </w:rPr>
        <w:t>include</w:t>
      </w:r>
      <w:r w:rsidR="005B52F7" w:rsidRPr="00E20233">
        <w:rPr>
          <w:rFonts w:asciiTheme="minorHAnsi" w:hAnsiTheme="minorHAnsi"/>
          <w:sz w:val="22"/>
          <w:szCs w:val="22"/>
        </w:rPr>
        <w:t xml:space="preserve"> a wide range of recipes</w:t>
      </w:r>
      <w:r w:rsidR="005B52F7" w:rsidRPr="00E20233">
        <w:rPr>
          <w:rFonts w:asciiTheme="minorHAnsi" w:hAnsiTheme="minorHAnsi"/>
          <w:spacing w:val="-25"/>
          <w:sz w:val="22"/>
          <w:szCs w:val="22"/>
        </w:rPr>
        <w:t xml:space="preserve"> </w:t>
      </w:r>
      <w:r w:rsidR="000A1625" w:rsidRPr="00E20233">
        <w:rPr>
          <w:rFonts w:asciiTheme="minorHAnsi" w:hAnsiTheme="minorHAnsi"/>
          <w:sz w:val="22"/>
          <w:szCs w:val="22"/>
        </w:rPr>
        <w:t xml:space="preserve">that can be prepared with the variety of equipment available in OSHC settings, actively involves children, can be prepared and eaten during regular hours of operation and are nutritious. The development of the cookbook was a collaborative approach involving a number of staff across Australia, who suggested recipes, refined them and tested them through pilot OSHC sites so feedback could be gathered to inform the product. </w:t>
      </w:r>
    </w:p>
    <w:p w:rsidR="005B52F7" w:rsidRPr="00E20233" w:rsidRDefault="005B52F7" w:rsidP="00CE0CCD">
      <w:pPr>
        <w:spacing w:before="1"/>
        <w:rPr>
          <w:rFonts w:asciiTheme="minorHAnsi" w:eastAsia="Calibri" w:hAnsiTheme="minorHAnsi" w:cs="Calibri"/>
        </w:rPr>
      </w:pPr>
    </w:p>
    <w:p w:rsidR="005B52F7" w:rsidRPr="00E20233" w:rsidRDefault="005B52F7" w:rsidP="00CE0CCD">
      <w:pPr>
        <w:pStyle w:val="BodyText"/>
        <w:spacing w:before="0"/>
        <w:ind w:left="0" w:right="91" w:firstLine="0"/>
        <w:rPr>
          <w:rFonts w:asciiTheme="minorHAnsi" w:hAnsiTheme="minorHAnsi"/>
          <w:sz w:val="22"/>
          <w:szCs w:val="22"/>
        </w:rPr>
      </w:pPr>
      <w:r w:rsidRPr="00E20233">
        <w:rPr>
          <w:rFonts w:asciiTheme="minorHAnsi" w:hAnsiTheme="minorHAnsi" w:cs="Calibri"/>
          <w:sz w:val="22"/>
          <w:szCs w:val="22"/>
        </w:rPr>
        <w:t xml:space="preserve">The Camp Australia Cookbook has been accredited by Nutrition Australia Vic’s Healthy Eating </w:t>
      </w:r>
      <w:r w:rsidRPr="00E20233">
        <w:rPr>
          <w:rFonts w:asciiTheme="minorHAnsi" w:hAnsiTheme="minorHAnsi"/>
          <w:sz w:val="22"/>
          <w:szCs w:val="22"/>
        </w:rPr>
        <w:t xml:space="preserve">Advisory Service (HEAS) and contains more than 60 delicious and easy to prepare </w:t>
      </w:r>
      <w:r w:rsidR="00F643D4" w:rsidRPr="00E20233">
        <w:rPr>
          <w:rFonts w:asciiTheme="minorHAnsi" w:hAnsiTheme="minorHAnsi"/>
          <w:sz w:val="22"/>
          <w:szCs w:val="22"/>
        </w:rPr>
        <w:t>savory</w:t>
      </w:r>
      <w:r w:rsidRPr="00E20233">
        <w:rPr>
          <w:rFonts w:asciiTheme="minorHAnsi" w:hAnsiTheme="minorHAnsi"/>
          <w:sz w:val="22"/>
          <w:szCs w:val="22"/>
        </w:rPr>
        <w:t>, sweet and no bake recipes from around the</w:t>
      </w:r>
      <w:r w:rsidRPr="00E20233">
        <w:rPr>
          <w:rFonts w:asciiTheme="minorHAnsi" w:hAnsiTheme="minorHAnsi"/>
          <w:spacing w:val="-9"/>
          <w:sz w:val="22"/>
          <w:szCs w:val="22"/>
        </w:rPr>
        <w:t xml:space="preserve"> </w:t>
      </w:r>
      <w:r w:rsidRPr="00E20233">
        <w:rPr>
          <w:rFonts w:asciiTheme="minorHAnsi" w:hAnsiTheme="minorHAnsi"/>
          <w:sz w:val="22"/>
          <w:szCs w:val="22"/>
        </w:rPr>
        <w:t>world.</w:t>
      </w:r>
      <w:r w:rsidR="00717F30" w:rsidRPr="00E20233">
        <w:rPr>
          <w:rFonts w:asciiTheme="minorHAnsi" w:hAnsiTheme="minorHAnsi"/>
          <w:sz w:val="22"/>
          <w:szCs w:val="22"/>
        </w:rPr>
        <w:t xml:space="preserve"> </w:t>
      </w:r>
      <w:r w:rsidRPr="00E20233">
        <w:rPr>
          <w:rFonts w:asciiTheme="minorHAnsi" w:hAnsiTheme="minorHAnsi"/>
          <w:sz w:val="22"/>
          <w:szCs w:val="22"/>
        </w:rPr>
        <w:t xml:space="preserve">Now implemented across every Camp Australia service, the Cookbook adheres to the Australia Dietary Guidelines to promote health and wellbeing for all children in our care. Supporting its </w:t>
      </w:r>
      <w:r w:rsidRPr="00E20233">
        <w:rPr>
          <w:rFonts w:asciiTheme="minorHAnsi" w:hAnsiTheme="minorHAnsi" w:cs="Calibri"/>
          <w:sz w:val="22"/>
          <w:szCs w:val="22"/>
        </w:rPr>
        <w:t xml:space="preserve">implementation has been the provision of online training via Camp Australia’s learning management </w:t>
      </w:r>
      <w:r w:rsidRPr="00E20233">
        <w:rPr>
          <w:rFonts w:asciiTheme="minorHAnsi" w:hAnsiTheme="minorHAnsi"/>
          <w:sz w:val="22"/>
          <w:szCs w:val="22"/>
        </w:rPr>
        <w:t>system. The response we have received in relation to the program from the Educators, children, families and schools has been overwhelmingly</w:t>
      </w:r>
      <w:r w:rsidRPr="00E20233">
        <w:rPr>
          <w:rFonts w:asciiTheme="minorHAnsi" w:hAnsiTheme="minorHAnsi"/>
          <w:spacing w:val="-23"/>
          <w:sz w:val="22"/>
          <w:szCs w:val="22"/>
        </w:rPr>
        <w:t xml:space="preserve"> </w:t>
      </w:r>
      <w:r w:rsidRPr="00E20233">
        <w:rPr>
          <w:rFonts w:asciiTheme="minorHAnsi" w:hAnsiTheme="minorHAnsi"/>
          <w:sz w:val="22"/>
          <w:szCs w:val="22"/>
        </w:rPr>
        <w:t>positive.</w:t>
      </w:r>
    </w:p>
    <w:p w:rsidR="005B52F7" w:rsidRPr="00E20233" w:rsidRDefault="005B52F7" w:rsidP="00CE0CCD">
      <w:pPr>
        <w:spacing w:before="10"/>
        <w:ind w:left="426" w:right="888"/>
        <w:rPr>
          <w:rFonts w:asciiTheme="minorHAnsi" w:eastAsia="Calibri" w:hAnsiTheme="minorHAnsi" w:cs="Calibri"/>
        </w:rPr>
      </w:pPr>
    </w:p>
    <w:p w:rsidR="00295766" w:rsidRPr="00E20233" w:rsidRDefault="005B52F7" w:rsidP="00CE0CCD">
      <w:pPr>
        <w:pStyle w:val="BodyText"/>
        <w:ind w:left="0" w:right="888" w:firstLine="0"/>
        <w:jc w:val="both"/>
        <w:rPr>
          <w:rFonts w:asciiTheme="minorHAnsi" w:hAnsiTheme="minorHAnsi"/>
          <w:sz w:val="22"/>
          <w:szCs w:val="22"/>
        </w:rPr>
      </w:pPr>
      <w:r w:rsidRPr="00E20233">
        <w:rPr>
          <w:rFonts w:asciiTheme="minorHAnsi" w:hAnsiTheme="minorHAnsi" w:cs="Calibri"/>
          <w:sz w:val="22"/>
          <w:szCs w:val="22"/>
        </w:rPr>
        <w:t xml:space="preserve">Aligning with the Department of Health and Human Services’ Food and Drink Guidelines for Outside School Hours Care, the Cookbook ensures that children’s nutrition requirements are met and enable </w:t>
      </w:r>
      <w:r w:rsidRPr="00E20233">
        <w:rPr>
          <w:rFonts w:asciiTheme="minorHAnsi" w:hAnsiTheme="minorHAnsi"/>
          <w:sz w:val="22"/>
          <w:szCs w:val="22"/>
        </w:rPr>
        <w:t>Camp Australia to broaden the variety of nutritious food we c</w:t>
      </w:r>
      <w:r w:rsidR="000A1625" w:rsidRPr="00E20233">
        <w:rPr>
          <w:rFonts w:asciiTheme="minorHAnsi" w:hAnsiTheme="minorHAnsi"/>
          <w:sz w:val="22"/>
          <w:szCs w:val="22"/>
        </w:rPr>
        <w:t xml:space="preserve">an offer the children. </w:t>
      </w:r>
      <w:r w:rsidR="008C1A6A" w:rsidRPr="00E20233">
        <w:rPr>
          <w:rFonts w:asciiTheme="minorHAnsi" w:hAnsiTheme="minorHAnsi"/>
          <w:sz w:val="22"/>
          <w:szCs w:val="22"/>
        </w:rPr>
        <w:t>Importantly the Cookbook also encourages children to become positively involved in the preparation of healthy food. A relationship we hope will help them have a long and heathy life.</w:t>
      </w:r>
    </w:p>
    <w:p w:rsidR="00F45D2F" w:rsidRDefault="00F45D2F" w:rsidP="00CE0CCD">
      <w:pPr>
        <w:pStyle w:val="BodyText"/>
        <w:ind w:left="0" w:right="888" w:firstLine="0"/>
        <w:jc w:val="both"/>
        <w:rPr>
          <w:sz w:val="20"/>
          <w:szCs w:val="20"/>
        </w:rPr>
      </w:pPr>
    </w:p>
    <w:p w:rsidR="00F45D2F" w:rsidRDefault="00F45D2F" w:rsidP="00CE0CCD">
      <w:pPr>
        <w:pStyle w:val="BodyText"/>
        <w:ind w:left="0" w:right="888" w:firstLine="0"/>
        <w:jc w:val="both"/>
        <w:rPr>
          <w:sz w:val="20"/>
          <w:szCs w:val="20"/>
        </w:rPr>
      </w:pPr>
    </w:p>
    <w:p w:rsidR="00F45D2F" w:rsidRDefault="00F45D2F" w:rsidP="00CE0CCD">
      <w:pPr>
        <w:pStyle w:val="BodyText"/>
        <w:ind w:left="0" w:right="888" w:firstLine="0"/>
        <w:jc w:val="both"/>
        <w:rPr>
          <w:sz w:val="20"/>
          <w:szCs w:val="20"/>
        </w:rPr>
      </w:pPr>
    </w:p>
    <w:p w:rsidR="00F45D2F" w:rsidRDefault="00F45D2F" w:rsidP="00CE0CCD">
      <w:pPr>
        <w:pStyle w:val="BodyText"/>
        <w:ind w:left="0" w:right="888" w:firstLine="0"/>
        <w:jc w:val="both"/>
        <w:rPr>
          <w:sz w:val="20"/>
          <w:szCs w:val="20"/>
        </w:rPr>
      </w:pPr>
    </w:p>
    <w:p w:rsidR="00295766" w:rsidRPr="00295766" w:rsidRDefault="00295766" w:rsidP="00E20233">
      <w:pPr>
        <w:ind w:right="888"/>
        <w:rPr>
          <w:rStyle w:val="Headingblack"/>
          <w:rFonts w:asciiTheme="minorHAnsi" w:hAnsiTheme="minorHAnsi"/>
          <w:b w:val="0"/>
          <w:bCs w:val="0"/>
          <w:color w:val="auto"/>
          <w:sz w:val="22"/>
          <w:szCs w:val="22"/>
        </w:rPr>
      </w:pPr>
    </w:p>
    <w:p w:rsidR="00A648E9" w:rsidRPr="00E630FE" w:rsidRDefault="00A648E9" w:rsidP="008C1A6A">
      <w:pPr>
        <w:pStyle w:val="Default"/>
        <w:spacing w:line="360" w:lineRule="auto"/>
        <w:ind w:firstLine="22"/>
        <w:rPr>
          <w:b/>
          <w:sz w:val="20"/>
          <w:szCs w:val="20"/>
        </w:rPr>
      </w:pPr>
      <w:r w:rsidRPr="00E630FE">
        <w:rPr>
          <w:b/>
          <w:sz w:val="20"/>
          <w:szCs w:val="20"/>
        </w:rPr>
        <w:t>PREP</w:t>
      </w:r>
      <w:r w:rsidR="00603940">
        <w:rPr>
          <w:b/>
          <w:sz w:val="20"/>
          <w:szCs w:val="20"/>
        </w:rPr>
        <w:t>ARATION FOR BUSHFIRE SEASON 2016/17</w:t>
      </w:r>
    </w:p>
    <w:p w:rsidR="00A648E9" w:rsidRPr="00E20233" w:rsidRDefault="00A648E9" w:rsidP="008C1A6A">
      <w:pPr>
        <w:pStyle w:val="Default"/>
        <w:spacing w:before="120"/>
        <w:ind w:firstLine="22"/>
        <w:rPr>
          <w:rFonts w:asciiTheme="minorHAnsi" w:hAnsiTheme="minorHAnsi"/>
          <w:sz w:val="22"/>
          <w:szCs w:val="22"/>
        </w:rPr>
      </w:pPr>
      <w:r w:rsidRPr="00E20233">
        <w:rPr>
          <w:rFonts w:asciiTheme="minorHAnsi" w:hAnsiTheme="minorHAnsi"/>
          <w:color w:val="auto"/>
          <w:sz w:val="22"/>
          <w:szCs w:val="22"/>
        </w:rPr>
        <w:t>Victoria has a number of fire-prone areas where there is a higher risk of bushfire activity. Early childhood services operating in these locations are placed on the Department’s Bus</w:t>
      </w:r>
      <w:r w:rsidR="00210A74" w:rsidRPr="00E20233">
        <w:rPr>
          <w:rFonts w:asciiTheme="minorHAnsi" w:hAnsiTheme="minorHAnsi"/>
          <w:color w:val="auto"/>
          <w:sz w:val="22"/>
          <w:szCs w:val="22"/>
        </w:rPr>
        <w:t>hfire At-Risk Register (BARR). The</w:t>
      </w:r>
      <w:r w:rsidR="009F7F66" w:rsidRPr="00E20233">
        <w:rPr>
          <w:rFonts w:asciiTheme="minorHAnsi" w:hAnsiTheme="minorHAnsi"/>
          <w:color w:val="auto"/>
          <w:sz w:val="22"/>
          <w:szCs w:val="22"/>
        </w:rPr>
        <w:t xml:space="preserve"> </w:t>
      </w:r>
      <w:r w:rsidR="005F223B" w:rsidRPr="00E20233">
        <w:rPr>
          <w:rFonts w:asciiTheme="minorHAnsi" w:hAnsiTheme="minorHAnsi"/>
          <w:color w:val="auto"/>
          <w:sz w:val="22"/>
          <w:szCs w:val="22"/>
        </w:rPr>
        <w:t xml:space="preserve">BARR </w:t>
      </w:r>
      <w:r w:rsidRPr="00E20233">
        <w:rPr>
          <w:rFonts w:asciiTheme="minorHAnsi" w:hAnsiTheme="minorHAnsi"/>
          <w:color w:val="auto"/>
          <w:sz w:val="22"/>
          <w:szCs w:val="22"/>
        </w:rPr>
        <w:t xml:space="preserve">list </w:t>
      </w:r>
      <w:r w:rsidR="009F7F66" w:rsidRPr="00E20233">
        <w:rPr>
          <w:rFonts w:asciiTheme="minorHAnsi" w:hAnsiTheme="minorHAnsi"/>
          <w:color w:val="auto"/>
          <w:sz w:val="22"/>
          <w:szCs w:val="22"/>
        </w:rPr>
        <w:t xml:space="preserve">is </w:t>
      </w:r>
      <w:r w:rsidR="005F223B" w:rsidRPr="00E20233">
        <w:rPr>
          <w:rFonts w:asciiTheme="minorHAnsi" w:hAnsiTheme="minorHAnsi"/>
          <w:color w:val="auto"/>
          <w:sz w:val="22"/>
          <w:szCs w:val="22"/>
        </w:rPr>
        <w:t xml:space="preserve">reviewed annually and </w:t>
      </w:r>
      <w:r w:rsidR="009F7F66" w:rsidRPr="00E20233">
        <w:rPr>
          <w:rFonts w:asciiTheme="minorHAnsi" w:hAnsiTheme="minorHAnsi"/>
          <w:color w:val="auto"/>
          <w:sz w:val="22"/>
          <w:szCs w:val="22"/>
        </w:rPr>
        <w:t>publis</w:t>
      </w:r>
      <w:r w:rsidR="005F223B" w:rsidRPr="00E20233">
        <w:rPr>
          <w:rFonts w:asciiTheme="minorHAnsi" w:hAnsiTheme="minorHAnsi"/>
          <w:color w:val="auto"/>
          <w:sz w:val="22"/>
          <w:szCs w:val="22"/>
        </w:rPr>
        <w:t xml:space="preserve">hed on the Department’s website, available </w:t>
      </w:r>
      <w:r w:rsidRPr="00E20233">
        <w:rPr>
          <w:rFonts w:asciiTheme="minorHAnsi" w:hAnsiTheme="minorHAnsi"/>
          <w:color w:val="auto"/>
          <w:sz w:val="22"/>
          <w:szCs w:val="22"/>
        </w:rPr>
        <w:t xml:space="preserve">at: </w:t>
      </w:r>
      <w:hyperlink r:id="rId9" w:history="1">
        <w:r w:rsidRPr="00E20233">
          <w:rPr>
            <w:rStyle w:val="Hyperlink"/>
            <w:rFonts w:asciiTheme="minorHAnsi" w:hAnsiTheme="minorHAnsi"/>
            <w:sz w:val="22"/>
            <w:szCs w:val="22"/>
          </w:rPr>
          <w:t>www.education.vic.gov.au/about/programs/health/Pages/bushfirerisk.aspx</w:t>
        </w:r>
      </w:hyperlink>
    </w:p>
    <w:p w:rsidR="00A648E9" w:rsidRPr="00E20233" w:rsidRDefault="00A648E9" w:rsidP="008C1A6A">
      <w:pPr>
        <w:pStyle w:val="Default"/>
        <w:spacing w:before="120"/>
        <w:ind w:firstLine="22"/>
        <w:rPr>
          <w:rFonts w:asciiTheme="minorHAnsi" w:hAnsiTheme="minorHAnsi"/>
          <w:sz w:val="22"/>
          <w:szCs w:val="22"/>
        </w:rPr>
      </w:pPr>
      <w:r w:rsidRPr="00E20233">
        <w:rPr>
          <w:rFonts w:asciiTheme="minorHAnsi" w:hAnsiTheme="minorHAnsi"/>
          <w:b/>
          <w:sz w:val="22"/>
          <w:szCs w:val="22"/>
        </w:rPr>
        <w:t>Centre-based services</w:t>
      </w:r>
      <w:r w:rsidRPr="00E20233">
        <w:rPr>
          <w:rFonts w:asciiTheme="minorHAnsi" w:hAnsiTheme="minorHAnsi"/>
          <w:sz w:val="22"/>
          <w:szCs w:val="22"/>
        </w:rPr>
        <w:t xml:space="preserve"> </w:t>
      </w:r>
      <w:r w:rsidR="009F7F66" w:rsidRPr="00E20233">
        <w:rPr>
          <w:rFonts w:asciiTheme="minorHAnsi" w:hAnsiTheme="minorHAnsi"/>
          <w:sz w:val="22"/>
          <w:szCs w:val="22"/>
        </w:rPr>
        <w:t xml:space="preserve">and </w:t>
      </w:r>
      <w:r w:rsidR="009F7F66" w:rsidRPr="00E20233">
        <w:rPr>
          <w:rFonts w:asciiTheme="minorHAnsi" w:hAnsiTheme="minorHAnsi"/>
          <w:b/>
          <w:sz w:val="22"/>
          <w:szCs w:val="22"/>
        </w:rPr>
        <w:t>Licensed Children’s Services</w:t>
      </w:r>
      <w:r w:rsidR="009F7F66" w:rsidRPr="00E20233">
        <w:rPr>
          <w:rFonts w:asciiTheme="minorHAnsi" w:hAnsiTheme="minorHAnsi"/>
          <w:sz w:val="22"/>
          <w:szCs w:val="22"/>
        </w:rPr>
        <w:t xml:space="preserve"> </w:t>
      </w:r>
      <w:r w:rsidRPr="00E20233">
        <w:rPr>
          <w:rFonts w:asciiTheme="minorHAnsi" w:hAnsiTheme="minorHAnsi"/>
          <w:sz w:val="22"/>
          <w:szCs w:val="22"/>
        </w:rPr>
        <w:t xml:space="preserve">listed on the BARR are required to meet the </w:t>
      </w:r>
      <w:r w:rsidR="005F223B" w:rsidRPr="00E20233">
        <w:rPr>
          <w:rFonts w:asciiTheme="minorHAnsi" w:hAnsiTheme="minorHAnsi"/>
          <w:sz w:val="22"/>
          <w:szCs w:val="22"/>
        </w:rPr>
        <w:t xml:space="preserve">amendment on their service approval/license, </w:t>
      </w:r>
      <w:r w:rsidRPr="00E20233">
        <w:rPr>
          <w:rFonts w:asciiTheme="minorHAnsi" w:hAnsiTheme="minorHAnsi"/>
          <w:sz w:val="22"/>
          <w:szCs w:val="22"/>
        </w:rPr>
        <w:t xml:space="preserve">these are: </w:t>
      </w:r>
    </w:p>
    <w:p w:rsidR="00A648E9" w:rsidRPr="00E20233" w:rsidRDefault="00A648E9" w:rsidP="008C1A6A">
      <w:pPr>
        <w:pStyle w:val="ListParagraph"/>
        <w:widowControl/>
        <w:numPr>
          <w:ilvl w:val="0"/>
          <w:numId w:val="21"/>
        </w:numPr>
        <w:spacing w:before="120"/>
        <w:ind w:firstLine="22"/>
        <w:rPr>
          <w:rFonts w:cs="Arial"/>
        </w:rPr>
      </w:pPr>
      <w:r w:rsidRPr="00E20233">
        <w:rPr>
          <w:rFonts w:cs="Arial"/>
        </w:rPr>
        <w:t>the approved provider/licensee of a service on the BARR must ensure that on any day declared to be a Code Red day for the region in which a service is located, that the service is closed and remains closed for the duration of the Code Red day;</w:t>
      </w:r>
    </w:p>
    <w:p w:rsidR="00A648E9" w:rsidRPr="00E20233" w:rsidRDefault="00A648E9" w:rsidP="008C1A6A">
      <w:pPr>
        <w:pStyle w:val="ListParagraph"/>
        <w:widowControl/>
        <w:numPr>
          <w:ilvl w:val="0"/>
          <w:numId w:val="21"/>
        </w:numPr>
        <w:spacing w:before="120"/>
        <w:ind w:firstLine="22"/>
        <w:rPr>
          <w:rFonts w:cs="Arial"/>
        </w:rPr>
      </w:pPr>
      <w:r w:rsidRPr="00E20233">
        <w:rPr>
          <w:rFonts w:cs="Arial"/>
        </w:rPr>
        <w:t xml:space="preserve">services named on the BARR must submit their current emergency management plan annually to their respective QAR Regional Office by </w:t>
      </w:r>
      <w:r w:rsidRPr="00E20233">
        <w:rPr>
          <w:rFonts w:cs="Arial"/>
          <w:u w:val="single"/>
        </w:rPr>
        <w:t>21 November</w:t>
      </w:r>
      <w:r w:rsidRPr="00E20233">
        <w:rPr>
          <w:rFonts w:cs="Arial"/>
        </w:rPr>
        <w:t>.</w:t>
      </w:r>
    </w:p>
    <w:p w:rsidR="00A648E9" w:rsidRPr="00E20233" w:rsidRDefault="005F223B" w:rsidP="00CE0CCD">
      <w:pPr>
        <w:spacing w:before="120"/>
        <w:ind w:firstLine="23"/>
        <w:rPr>
          <w:rFonts w:asciiTheme="minorHAnsi" w:hAnsiTheme="minorHAnsi" w:cs="Arial"/>
        </w:rPr>
      </w:pPr>
      <w:r w:rsidRPr="00E20233">
        <w:rPr>
          <w:rFonts w:asciiTheme="minorHAnsi" w:hAnsiTheme="minorHAnsi" w:cs="Arial"/>
        </w:rPr>
        <w:t xml:space="preserve">The Department may take compliance action against services that have been placed on the Department’s BARR and not submitted a copy of their emergency management plan by the specified date. </w:t>
      </w:r>
      <w:r w:rsidR="00A648E9" w:rsidRPr="00E20233">
        <w:rPr>
          <w:rFonts w:asciiTheme="minorHAnsi" w:hAnsiTheme="minorHAnsi" w:cs="Arial"/>
        </w:rPr>
        <w:t xml:space="preserve">Services that have submitted an </w:t>
      </w:r>
      <w:r w:rsidR="001D300F">
        <w:rPr>
          <w:rFonts w:asciiTheme="minorHAnsi" w:hAnsiTheme="minorHAnsi" w:cs="Arial"/>
        </w:rPr>
        <w:t>EMP</w:t>
      </w:r>
      <w:r w:rsidR="009F7F66" w:rsidRPr="00E20233">
        <w:rPr>
          <w:rFonts w:asciiTheme="minorHAnsi" w:hAnsiTheme="minorHAnsi" w:cs="Arial"/>
        </w:rPr>
        <w:t xml:space="preserve"> already in 2016</w:t>
      </w:r>
      <w:r w:rsidR="00A648E9" w:rsidRPr="00E20233">
        <w:rPr>
          <w:rFonts w:asciiTheme="minorHAnsi" w:hAnsiTheme="minorHAnsi" w:cs="Arial"/>
        </w:rPr>
        <w:t xml:space="preserve"> are not required to re-submit the same </w:t>
      </w:r>
      <w:r w:rsidR="001D300F">
        <w:rPr>
          <w:rFonts w:asciiTheme="minorHAnsi" w:hAnsiTheme="minorHAnsi" w:cs="Arial"/>
        </w:rPr>
        <w:t xml:space="preserve">plan </w:t>
      </w:r>
      <w:r w:rsidR="00A648E9" w:rsidRPr="00E20233">
        <w:rPr>
          <w:rFonts w:asciiTheme="minorHAnsi" w:hAnsiTheme="minorHAnsi" w:cs="Arial"/>
        </w:rPr>
        <w:t xml:space="preserve">again, unless it has been changed or updated.  </w:t>
      </w:r>
    </w:p>
    <w:p w:rsidR="00210A74" w:rsidRPr="00E20233" w:rsidRDefault="00210A74" w:rsidP="00CE0CCD">
      <w:pPr>
        <w:spacing w:before="120"/>
        <w:ind w:firstLine="23"/>
        <w:rPr>
          <w:rFonts w:asciiTheme="minorHAnsi" w:hAnsiTheme="minorHAnsi" w:cs="Arial"/>
        </w:rPr>
      </w:pPr>
      <w:r w:rsidRPr="00E20233">
        <w:rPr>
          <w:rFonts w:asciiTheme="minorHAnsi" w:hAnsiTheme="minorHAnsi" w:cs="Arial"/>
        </w:rPr>
        <w:t>For services that have not submitted their EMP, this can be completed by one of the two following methods:</w:t>
      </w:r>
    </w:p>
    <w:p w:rsidR="00210A74" w:rsidRPr="00E20233" w:rsidRDefault="00321932" w:rsidP="00210A74">
      <w:pPr>
        <w:pStyle w:val="ListParagraph"/>
        <w:numPr>
          <w:ilvl w:val="0"/>
          <w:numId w:val="26"/>
        </w:numPr>
        <w:spacing w:before="120"/>
        <w:rPr>
          <w:rFonts w:cs="Arial"/>
        </w:rPr>
      </w:pPr>
      <w:r w:rsidRPr="00E20233">
        <w:rPr>
          <w:rFonts w:cs="Arial"/>
        </w:rPr>
        <w:t xml:space="preserve">Services approved under the National Law can upload their EMP via the national IT system (NQA ITS) by completing a </w:t>
      </w:r>
      <w:r w:rsidRPr="00E20233">
        <w:rPr>
          <w:rFonts w:cs="Arial"/>
          <w:i/>
        </w:rPr>
        <w:t>Notification of Change to Information About an Approved Service</w:t>
      </w:r>
      <w:r w:rsidRPr="00E20233">
        <w:rPr>
          <w:rFonts w:cs="Arial"/>
        </w:rPr>
        <w:t xml:space="preserve"> (SA12) form.</w:t>
      </w:r>
      <w:r w:rsidR="00CE0CCD" w:rsidRPr="00E20233">
        <w:rPr>
          <w:rFonts w:cs="Arial"/>
        </w:rPr>
        <w:t xml:space="preserve"> </w:t>
      </w:r>
    </w:p>
    <w:p w:rsidR="00E16F35" w:rsidRPr="00E20233" w:rsidRDefault="00CE0CCD" w:rsidP="00210A74">
      <w:pPr>
        <w:pStyle w:val="ListParagraph"/>
        <w:numPr>
          <w:ilvl w:val="0"/>
          <w:numId w:val="26"/>
        </w:numPr>
        <w:spacing w:before="120"/>
        <w:rPr>
          <w:rFonts w:cs="Arial"/>
        </w:rPr>
      </w:pPr>
      <w:r w:rsidRPr="00E20233">
        <w:rPr>
          <w:rFonts w:cs="Arial"/>
        </w:rPr>
        <w:t xml:space="preserve">For services licensed under the </w:t>
      </w:r>
      <w:r w:rsidRPr="00E20233">
        <w:rPr>
          <w:rFonts w:cs="Arial"/>
          <w:i/>
        </w:rPr>
        <w:t>Children’</w:t>
      </w:r>
      <w:r w:rsidR="00E16F35" w:rsidRPr="00E20233">
        <w:rPr>
          <w:rFonts w:cs="Arial"/>
          <w:i/>
        </w:rPr>
        <w:t xml:space="preserve">s Services Act 1996, </w:t>
      </w:r>
      <w:r w:rsidR="00E16F35" w:rsidRPr="00E20233">
        <w:rPr>
          <w:rFonts w:cs="Arial"/>
        </w:rPr>
        <w:t>you can email your EMP directly to the Department at:</w:t>
      </w:r>
      <w:r w:rsidR="00E16F35" w:rsidRPr="00E20233">
        <w:rPr>
          <w:rFonts w:cs="Arial"/>
          <w:i/>
        </w:rPr>
        <w:t xml:space="preserve"> </w:t>
      </w:r>
      <w:hyperlink r:id="rId10" w:history="1">
        <w:r w:rsidR="00E16F35" w:rsidRPr="00E20233">
          <w:rPr>
            <w:rStyle w:val="Hyperlink"/>
            <w:rFonts w:cs="Arial"/>
            <w:i/>
          </w:rPr>
          <w:t>licensedchildrensservices@edumail.vic.gov.au</w:t>
        </w:r>
      </w:hyperlink>
    </w:p>
    <w:p w:rsidR="00A648E9" w:rsidRPr="00E20233" w:rsidRDefault="00321932" w:rsidP="008C1A6A">
      <w:pPr>
        <w:spacing w:before="120" w:line="300" w:lineRule="exact"/>
        <w:ind w:firstLine="22"/>
        <w:rPr>
          <w:rFonts w:asciiTheme="minorHAnsi" w:hAnsiTheme="minorHAnsi" w:cs="Arial"/>
          <w:color w:val="000000"/>
        </w:rPr>
      </w:pPr>
      <w:r w:rsidRPr="00E20233">
        <w:rPr>
          <w:rFonts w:asciiTheme="minorHAnsi" w:hAnsiTheme="minorHAnsi" w:cs="Arial"/>
          <w:color w:val="000000"/>
        </w:rPr>
        <w:t xml:space="preserve">The approved provider of each </w:t>
      </w:r>
      <w:r w:rsidRPr="00E20233">
        <w:rPr>
          <w:rFonts w:asciiTheme="minorHAnsi" w:hAnsiTheme="minorHAnsi" w:cs="Arial"/>
          <w:b/>
          <w:color w:val="000000"/>
        </w:rPr>
        <w:t>Family Day C</w:t>
      </w:r>
      <w:r w:rsidR="00A648E9" w:rsidRPr="00E20233">
        <w:rPr>
          <w:rFonts w:asciiTheme="minorHAnsi" w:hAnsiTheme="minorHAnsi" w:cs="Arial"/>
          <w:b/>
          <w:color w:val="000000"/>
        </w:rPr>
        <w:t>are</w:t>
      </w:r>
      <w:r w:rsidR="00A648E9" w:rsidRPr="00E20233">
        <w:rPr>
          <w:rFonts w:asciiTheme="minorHAnsi" w:hAnsiTheme="minorHAnsi" w:cs="Arial"/>
          <w:color w:val="000000"/>
        </w:rPr>
        <w:t xml:space="preserve"> service must: </w:t>
      </w:r>
    </w:p>
    <w:p w:rsidR="00A648E9" w:rsidRPr="00E20233" w:rsidRDefault="00A648E9" w:rsidP="00210A74">
      <w:pPr>
        <w:pStyle w:val="ListParagraph"/>
        <w:numPr>
          <w:ilvl w:val="0"/>
          <w:numId w:val="27"/>
        </w:numPr>
        <w:autoSpaceDE w:val="0"/>
        <w:autoSpaceDN w:val="0"/>
        <w:adjustRightInd w:val="0"/>
        <w:spacing w:before="120"/>
        <w:rPr>
          <w:rFonts w:cs="Arial"/>
          <w:color w:val="000000"/>
        </w:rPr>
      </w:pPr>
      <w:r w:rsidRPr="00E20233">
        <w:rPr>
          <w:rFonts w:cs="Arial"/>
          <w:color w:val="000000"/>
        </w:rPr>
        <w:t xml:space="preserve">Assess the location of each residence and/or venue to determine whether the residence or venue is located in an area considered as high risk of bushfire. The Department’s Bushfire At-Risk Register can be used to determine locations at high risk of bushfire and is available at: </w:t>
      </w:r>
      <w:r w:rsidRPr="00E20233">
        <w:rPr>
          <w:rFonts w:cs="Arial"/>
          <w:color w:val="0000FF"/>
        </w:rPr>
        <w:t>www.education.vic.gov.au/about/programs/health/Pages/bushfirerisk.aspx</w:t>
      </w:r>
      <w:r w:rsidRPr="00E20233">
        <w:rPr>
          <w:rFonts w:cs="Arial"/>
          <w:color w:val="000000"/>
        </w:rPr>
        <w:t xml:space="preserve">. </w:t>
      </w:r>
    </w:p>
    <w:p w:rsidR="00A648E9" w:rsidRPr="00E20233" w:rsidRDefault="00A648E9" w:rsidP="00210A74">
      <w:pPr>
        <w:pStyle w:val="ListParagraph"/>
        <w:numPr>
          <w:ilvl w:val="0"/>
          <w:numId w:val="27"/>
        </w:numPr>
        <w:autoSpaceDE w:val="0"/>
        <w:autoSpaceDN w:val="0"/>
        <w:adjustRightInd w:val="0"/>
        <w:spacing w:before="120"/>
        <w:rPr>
          <w:rFonts w:cs="Arial"/>
          <w:color w:val="000000"/>
        </w:rPr>
      </w:pPr>
      <w:r w:rsidRPr="00E20233">
        <w:rPr>
          <w:rFonts w:cs="Arial"/>
          <w:color w:val="000000"/>
        </w:rPr>
        <w:t xml:space="preserve">Incorporate procedures for monitoring bushfire risks for each family day care residence or </w:t>
      </w:r>
      <w:r w:rsidR="003C3D65" w:rsidRPr="00E20233">
        <w:rPr>
          <w:rFonts w:cs="Arial"/>
          <w:color w:val="000000"/>
        </w:rPr>
        <w:t xml:space="preserve">approved </w:t>
      </w:r>
      <w:r w:rsidRPr="00E20233">
        <w:rPr>
          <w:rFonts w:cs="Arial"/>
          <w:color w:val="000000"/>
        </w:rPr>
        <w:t xml:space="preserve">venue. </w:t>
      </w:r>
    </w:p>
    <w:p w:rsidR="00A648E9" w:rsidRPr="00E20233" w:rsidRDefault="00A648E9" w:rsidP="00210A74">
      <w:pPr>
        <w:pStyle w:val="ListParagraph"/>
        <w:numPr>
          <w:ilvl w:val="0"/>
          <w:numId w:val="27"/>
        </w:numPr>
        <w:autoSpaceDE w:val="0"/>
        <w:autoSpaceDN w:val="0"/>
        <w:adjustRightInd w:val="0"/>
        <w:spacing w:before="120"/>
        <w:rPr>
          <w:rFonts w:cs="Arial"/>
          <w:color w:val="000000"/>
        </w:rPr>
      </w:pPr>
      <w:r w:rsidRPr="00E20233">
        <w:rPr>
          <w:rFonts w:cs="Arial"/>
          <w:color w:val="000000"/>
        </w:rPr>
        <w:t xml:space="preserve">Ensure that education and care is not provided at a family day care residence or venue located in an area considered as high risk of bushfire on a declared Code Red day in their Bureau of Meteorology district. </w:t>
      </w:r>
    </w:p>
    <w:p w:rsidR="00A648E9" w:rsidRPr="00E20233" w:rsidRDefault="00A648E9" w:rsidP="00210A74">
      <w:pPr>
        <w:pStyle w:val="ListParagraph"/>
        <w:numPr>
          <w:ilvl w:val="0"/>
          <w:numId w:val="27"/>
        </w:numPr>
        <w:autoSpaceDE w:val="0"/>
        <w:autoSpaceDN w:val="0"/>
        <w:adjustRightInd w:val="0"/>
        <w:spacing w:before="120" w:after="120"/>
        <w:rPr>
          <w:rStyle w:val="Hyperlink"/>
          <w:rFonts w:cs="Arial"/>
          <w:color w:val="000000"/>
          <w:u w:val="none"/>
        </w:rPr>
      </w:pPr>
      <w:r w:rsidRPr="00E20233">
        <w:rPr>
          <w:rFonts w:cs="Arial"/>
          <w:color w:val="000000"/>
        </w:rPr>
        <w:t xml:space="preserve">Inform families of any family day care residence or </w:t>
      </w:r>
      <w:r w:rsidR="003C3D65" w:rsidRPr="00E20233">
        <w:rPr>
          <w:rFonts w:cs="Arial"/>
          <w:color w:val="000000"/>
        </w:rPr>
        <w:t xml:space="preserve">approved </w:t>
      </w:r>
      <w:r w:rsidRPr="00E20233">
        <w:rPr>
          <w:rFonts w:cs="Arial"/>
          <w:color w:val="000000"/>
        </w:rPr>
        <w:t xml:space="preserve">venue where education and care cannot be provided due to a Code Red day in their Bureau of Meteorology district. </w:t>
      </w:r>
    </w:p>
    <w:tbl>
      <w:tblPr>
        <w:tblStyle w:val="TableGrid"/>
        <w:tblW w:w="0" w:type="auto"/>
        <w:tblInd w:w="614" w:type="dxa"/>
        <w:tblLook w:val="04A0" w:firstRow="1" w:lastRow="0" w:firstColumn="1" w:lastColumn="0" w:noHBand="0" w:noVBand="1"/>
      </w:tblPr>
      <w:tblGrid>
        <w:gridCol w:w="9549"/>
      </w:tblGrid>
      <w:tr w:rsidR="00A648E9" w:rsidTr="00E16F35">
        <w:tc>
          <w:tcPr>
            <w:tcW w:w="9549" w:type="dxa"/>
          </w:tcPr>
          <w:p w:rsidR="00A648E9" w:rsidRPr="00E630FE" w:rsidRDefault="00A648E9" w:rsidP="008C1A6A">
            <w:pPr>
              <w:spacing w:before="120"/>
              <w:ind w:firstLine="22"/>
              <w:rPr>
                <w:rFonts w:ascii="Arial" w:hAnsi="Arial" w:cs="Arial"/>
                <w:b/>
                <w:sz w:val="20"/>
                <w:szCs w:val="20"/>
                <w:lang w:val="en-US"/>
              </w:rPr>
            </w:pPr>
            <w:r w:rsidRPr="00E630FE">
              <w:rPr>
                <w:rFonts w:ascii="Arial" w:hAnsi="Arial" w:cs="Arial"/>
                <w:b/>
                <w:sz w:val="20"/>
                <w:szCs w:val="20"/>
                <w:lang w:val="en-US"/>
              </w:rPr>
              <w:t xml:space="preserve">Resources </w:t>
            </w:r>
          </w:p>
          <w:p w:rsidR="00A648E9" w:rsidRPr="00321932" w:rsidRDefault="00A648E9" w:rsidP="008C1A6A">
            <w:pPr>
              <w:spacing w:before="120"/>
              <w:ind w:firstLine="22"/>
              <w:rPr>
                <w:rFonts w:ascii="Arial" w:hAnsi="Arial" w:cs="Arial"/>
                <w:sz w:val="20"/>
                <w:szCs w:val="20"/>
                <w:lang w:val="en-US"/>
              </w:rPr>
            </w:pPr>
            <w:r w:rsidRPr="00321932">
              <w:rPr>
                <w:rFonts w:ascii="Arial" w:hAnsi="Arial" w:cs="Arial"/>
                <w:sz w:val="20"/>
                <w:szCs w:val="20"/>
                <w:lang w:val="en-US"/>
              </w:rPr>
              <w:t xml:space="preserve">The Department has </w:t>
            </w:r>
            <w:r w:rsidR="007A33A0" w:rsidRPr="00321932">
              <w:rPr>
                <w:rFonts w:ascii="Arial" w:hAnsi="Arial" w:cs="Arial"/>
                <w:sz w:val="20"/>
                <w:szCs w:val="20"/>
                <w:lang w:val="en-US"/>
              </w:rPr>
              <w:t xml:space="preserve">also </w:t>
            </w:r>
            <w:r w:rsidRPr="00321932">
              <w:rPr>
                <w:rFonts w:ascii="Arial" w:hAnsi="Arial" w:cs="Arial"/>
                <w:sz w:val="20"/>
                <w:szCs w:val="20"/>
                <w:lang w:val="en-US"/>
              </w:rPr>
              <w:t>developed a range of reso</w:t>
            </w:r>
            <w:r w:rsidR="007A33A0" w:rsidRPr="00321932">
              <w:rPr>
                <w:rFonts w:ascii="Arial" w:hAnsi="Arial" w:cs="Arial"/>
                <w:sz w:val="20"/>
                <w:szCs w:val="20"/>
                <w:lang w:val="en-US"/>
              </w:rPr>
              <w:t xml:space="preserve">urces to assist </w:t>
            </w:r>
            <w:r w:rsidRPr="00321932">
              <w:rPr>
                <w:rFonts w:ascii="Arial" w:hAnsi="Arial" w:cs="Arial"/>
                <w:sz w:val="20"/>
                <w:szCs w:val="20"/>
                <w:lang w:val="en-US"/>
              </w:rPr>
              <w:t xml:space="preserve">services in developing </w:t>
            </w:r>
            <w:r w:rsidR="007A33A0" w:rsidRPr="00321932">
              <w:rPr>
                <w:rFonts w:ascii="Arial" w:hAnsi="Arial" w:cs="Arial"/>
                <w:sz w:val="20"/>
                <w:szCs w:val="20"/>
                <w:lang w:val="en-US"/>
              </w:rPr>
              <w:t xml:space="preserve">and reviewing </w:t>
            </w:r>
            <w:r w:rsidRPr="00321932">
              <w:rPr>
                <w:rFonts w:ascii="Arial" w:hAnsi="Arial" w:cs="Arial"/>
                <w:sz w:val="20"/>
                <w:szCs w:val="20"/>
                <w:lang w:val="en-US"/>
              </w:rPr>
              <w:t xml:space="preserve">their emergency management plans: </w:t>
            </w:r>
          </w:p>
          <w:p w:rsidR="00321932" w:rsidRDefault="00321932" w:rsidP="008C1A6A">
            <w:pPr>
              <w:pStyle w:val="ListParagraph"/>
              <w:widowControl/>
              <w:numPr>
                <w:ilvl w:val="0"/>
                <w:numId w:val="22"/>
              </w:numPr>
              <w:ind w:left="714" w:firstLine="22"/>
              <w:rPr>
                <w:rFonts w:ascii="Arial" w:hAnsi="Arial" w:cs="Arial"/>
                <w:sz w:val="20"/>
                <w:szCs w:val="20"/>
              </w:rPr>
            </w:pPr>
            <w:r>
              <w:rPr>
                <w:rFonts w:ascii="Arial" w:hAnsi="Arial" w:cs="Arial"/>
                <w:sz w:val="20"/>
                <w:szCs w:val="20"/>
              </w:rPr>
              <w:t>Bushfire factsheets for Centre-Based and Family Day Care Services</w:t>
            </w:r>
          </w:p>
          <w:p w:rsidR="00A648E9" w:rsidRPr="00321932" w:rsidRDefault="00A648E9" w:rsidP="008C1A6A">
            <w:pPr>
              <w:pStyle w:val="ListParagraph"/>
              <w:widowControl/>
              <w:numPr>
                <w:ilvl w:val="0"/>
                <w:numId w:val="22"/>
              </w:numPr>
              <w:ind w:left="714" w:firstLine="22"/>
              <w:rPr>
                <w:rFonts w:ascii="Arial" w:hAnsi="Arial" w:cs="Arial"/>
                <w:sz w:val="20"/>
                <w:szCs w:val="20"/>
              </w:rPr>
            </w:pPr>
            <w:r w:rsidRPr="00321932">
              <w:rPr>
                <w:rFonts w:ascii="Arial" w:hAnsi="Arial" w:cs="Arial"/>
                <w:sz w:val="20"/>
                <w:szCs w:val="20"/>
              </w:rPr>
              <w:t>Guide to Developing an EM</w:t>
            </w:r>
            <w:r w:rsidR="001D300F">
              <w:rPr>
                <w:rFonts w:ascii="Arial" w:hAnsi="Arial" w:cs="Arial"/>
                <w:sz w:val="20"/>
                <w:szCs w:val="20"/>
              </w:rPr>
              <w:t>P</w:t>
            </w:r>
          </w:p>
          <w:p w:rsidR="00A648E9" w:rsidRPr="00321932" w:rsidRDefault="00A648E9" w:rsidP="008C1A6A">
            <w:pPr>
              <w:pStyle w:val="ListParagraph"/>
              <w:widowControl/>
              <w:numPr>
                <w:ilvl w:val="0"/>
                <w:numId w:val="22"/>
              </w:numPr>
              <w:ind w:left="714" w:firstLine="22"/>
              <w:rPr>
                <w:rFonts w:ascii="Arial" w:hAnsi="Arial" w:cs="Arial"/>
                <w:sz w:val="20"/>
                <w:szCs w:val="20"/>
              </w:rPr>
            </w:pPr>
            <w:r w:rsidRPr="00321932">
              <w:rPr>
                <w:rFonts w:ascii="Arial" w:hAnsi="Arial" w:cs="Arial"/>
                <w:sz w:val="20"/>
                <w:szCs w:val="20"/>
              </w:rPr>
              <w:t>Emergency Management Planning FAQs</w:t>
            </w:r>
          </w:p>
          <w:p w:rsidR="00A648E9" w:rsidRDefault="00A648E9" w:rsidP="008C1A6A">
            <w:pPr>
              <w:pStyle w:val="ListParagraph"/>
              <w:widowControl/>
              <w:numPr>
                <w:ilvl w:val="0"/>
                <w:numId w:val="22"/>
              </w:numPr>
              <w:ind w:left="714" w:firstLine="22"/>
              <w:rPr>
                <w:rFonts w:ascii="Arial" w:hAnsi="Arial" w:cs="Arial"/>
                <w:sz w:val="20"/>
                <w:szCs w:val="20"/>
              </w:rPr>
            </w:pPr>
            <w:r w:rsidRPr="00321932">
              <w:rPr>
                <w:rFonts w:ascii="Arial" w:hAnsi="Arial" w:cs="Arial"/>
                <w:sz w:val="20"/>
                <w:szCs w:val="20"/>
              </w:rPr>
              <w:t>Emergency Management Plan template for early childhood services</w:t>
            </w:r>
          </w:p>
          <w:p w:rsidR="001D300F" w:rsidRDefault="00A648E9" w:rsidP="008C1A6A">
            <w:pPr>
              <w:pStyle w:val="ListParagraph"/>
              <w:widowControl/>
              <w:numPr>
                <w:ilvl w:val="0"/>
                <w:numId w:val="22"/>
              </w:numPr>
              <w:ind w:left="714" w:firstLine="22"/>
              <w:rPr>
                <w:rFonts w:ascii="Arial" w:hAnsi="Arial" w:cs="Arial"/>
                <w:sz w:val="20"/>
                <w:szCs w:val="20"/>
              </w:rPr>
            </w:pPr>
            <w:r w:rsidRPr="00321932">
              <w:rPr>
                <w:rFonts w:ascii="Arial" w:hAnsi="Arial" w:cs="Arial"/>
                <w:sz w:val="20"/>
                <w:szCs w:val="20"/>
              </w:rPr>
              <w:t>A number of short video tutorials</w:t>
            </w:r>
            <w:r w:rsidRPr="00321932">
              <w:rPr>
                <w:rFonts w:ascii="Arial" w:hAnsi="Arial" w:cs="Arial"/>
                <w:color w:val="444444"/>
                <w:sz w:val="20"/>
                <w:szCs w:val="20"/>
              </w:rPr>
              <w:t xml:space="preserve"> </w:t>
            </w:r>
            <w:r w:rsidRPr="00321932">
              <w:rPr>
                <w:rFonts w:ascii="Arial" w:hAnsi="Arial" w:cs="Arial"/>
                <w:sz w:val="20"/>
                <w:szCs w:val="20"/>
              </w:rPr>
              <w:t xml:space="preserve">are available to assist with developing area maps, </w:t>
            </w:r>
          </w:p>
          <w:p w:rsidR="001D300F" w:rsidRDefault="001D300F" w:rsidP="001D300F">
            <w:pPr>
              <w:pStyle w:val="ListParagraph"/>
              <w:widowControl/>
              <w:ind w:left="736"/>
              <w:rPr>
                <w:rFonts w:ascii="Arial" w:hAnsi="Arial" w:cs="Arial"/>
                <w:sz w:val="20"/>
                <w:szCs w:val="20"/>
              </w:rPr>
            </w:pPr>
            <w:r>
              <w:rPr>
                <w:rFonts w:ascii="Arial" w:hAnsi="Arial" w:cs="Arial"/>
                <w:sz w:val="20"/>
                <w:szCs w:val="20"/>
              </w:rPr>
              <w:t xml:space="preserve">            </w:t>
            </w:r>
            <w:r w:rsidR="00A648E9" w:rsidRPr="00321932">
              <w:rPr>
                <w:rFonts w:ascii="Arial" w:hAnsi="Arial" w:cs="Arial"/>
                <w:sz w:val="20"/>
                <w:szCs w:val="20"/>
              </w:rPr>
              <w:t>evacuation diagrams and communication trees within the Emergency Management Plan</w:t>
            </w:r>
          </w:p>
          <w:p w:rsidR="00A648E9" w:rsidRPr="001D300F" w:rsidRDefault="001D300F" w:rsidP="001D300F">
            <w:pPr>
              <w:rPr>
                <w:rFonts w:ascii="Arial" w:hAnsi="Arial" w:cs="Arial"/>
                <w:sz w:val="20"/>
                <w:szCs w:val="20"/>
              </w:rPr>
            </w:pPr>
            <w:r>
              <w:rPr>
                <w:rFonts w:ascii="Arial" w:hAnsi="Arial" w:cs="Arial"/>
                <w:sz w:val="20"/>
                <w:szCs w:val="20"/>
              </w:rPr>
              <w:t xml:space="preserve">        </w:t>
            </w:r>
            <w:r w:rsidR="00A648E9" w:rsidRPr="001D300F">
              <w:rPr>
                <w:rFonts w:ascii="Arial" w:hAnsi="Arial" w:cs="Arial"/>
                <w:sz w:val="20"/>
                <w:szCs w:val="20"/>
              </w:rPr>
              <w:t xml:space="preserve"> </w:t>
            </w:r>
            <w:r w:rsidRPr="001D300F">
              <w:rPr>
                <w:rFonts w:ascii="Arial" w:hAnsi="Arial" w:cs="Arial"/>
                <w:sz w:val="20"/>
                <w:szCs w:val="20"/>
              </w:rPr>
              <w:t xml:space="preserve">                </w:t>
            </w:r>
            <w:r w:rsidR="00A648E9" w:rsidRPr="001D300F">
              <w:rPr>
                <w:rFonts w:ascii="Arial" w:hAnsi="Arial" w:cs="Arial"/>
                <w:sz w:val="20"/>
                <w:szCs w:val="20"/>
              </w:rPr>
              <w:t>template document.</w:t>
            </w:r>
          </w:p>
          <w:p w:rsidR="007A33A0" w:rsidRPr="00321932" w:rsidRDefault="00A648E9" w:rsidP="008C1A6A">
            <w:pPr>
              <w:spacing w:before="120" w:line="360" w:lineRule="auto"/>
              <w:ind w:firstLine="22"/>
              <w:rPr>
                <w:color w:val="0000FF"/>
                <w:sz w:val="20"/>
                <w:szCs w:val="20"/>
                <w:u w:val="single"/>
              </w:rPr>
            </w:pPr>
            <w:r w:rsidRPr="00321932">
              <w:rPr>
                <w:rFonts w:ascii="Arial" w:hAnsi="Arial" w:cs="Arial"/>
                <w:sz w:val="20"/>
                <w:szCs w:val="20"/>
                <w:lang w:val="en-US"/>
              </w:rPr>
              <w:t xml:space="preserve">These resources available at: </w:t>
            </w:r>
            <w:hyperlink r:id="rId11" w:history="1">
              <w:r w:rsidRPr="00321932">
                <w:rPr>
                  <w:rStyle w:val="Hyperlink"/>
                  <w:sz w:val="20"/>
                  <w:szCs w:val="20"/>
                </w:rPr>
                <w:t>www.education.vic.gov.au/childhood/providers/support/Pages/emergency.aspx</w:t>
              </w:r>
            </w:hyperlink>
          </w:p>
        </w:tc>
      </w:tr>
    </w:tbl>
    <w:p w:rsidR="00FE06BD" w:rsidRDefault="00FE06BD" w:rsidP="00A648E9">
      <w:pPr>
        <w:rPr>
          <w:rFonts w:ascii="Arial" w:hAnsi="Arial" w:cs="Arial"/>
          <w:sz w:val="20"/>
          <w:szCs w:val="20"/>
        </w:rPr>
      </w:pPr>
    </w:p>
    <w:p w:rsidR="00E20233" w:rsidRDefault="00E20233" w:rsidP="00A648E9">
      <w:pPr>
        <w:rPr>
          <w:rFonts w:ascii="Arial" w:hAnsi="Arial" w:cs="Arial"/>
          <w:sz w:val="20"/>
          <w:szCs w:val="20"/>
        </w:rPr>
      </w:pPr>
    </w:p>
    <w:p w:rsidR="001D300F" w:rsidRDefault="001D300F" w:rsidP="00A648E9">
      <w:pPr>
        <w:rPr>
          <w:rFonts w:ascii="Arial" w:hAnsi="Arial" w:cs="Arial"/>
          <w:sz w:val="20"/>
          <w:szCs w:val="20"/>
        </w:rPr>
      </w:pPr>
    </w:p>
    <w:p w:rsidR="00DF469C" w:rsidRPr="00E20233" w:rsidRDefault="00DF469C" w:rsidP="00A648E9">
      <w:pPr>
        <w:rPr>
          <w:rFonts w:asciiTheme="minorHAnsi" w:hAnsiTheme="minorHAnsi" w:cs="Arial"/>
        </w:rPr>
      </w:pPr>
      <w:r w:rsidRPr="00E20233">
        <w:rPr>
          <w:rFonts w:asciiTheme="minorHAnsi" w:hAnsiTheme="minorHAnsi" w:cs="Arial"/>
        </w:rPr>
        <w:t xml:space="preserve">In the event of an incident or natural disaster the Department may need to seek information or provide your service with information. For this reason it is critical that the Department have the most current information for your service. </w:t>
      </w:r>
      <w:r w:rsidR="000F4AC1" w:rsidRPr="00E20233">
        <w:rPr>
          <w:rFonts w:asciiTheme="minorHAnsi" w:hAnsiTheme="minorHAnsi" w:cs="Arial"/>
        </w:rPr>
        <w:t xml:space="preserve"> </w:t>
      </w:r>
      <w:r w:rsidRPr="00E20233">
        <w:rPr>
          <w:rFonts w:asciiTheme="minorHAnsi" w:hAnsiTheme="minorHAnsi" w:cs="Arial"/>
        </w:rPr>
        <w:t xml:space="preserve">Services can update their details through the National Quality Agenda Information Technology System (NQA ITS) by completing a </w:t>
      </w:r>
      <w:r w:rsidRPr="00E20233">
        <w:rPr>
          <w:rFonts w:asciiTheme="minorHAnsi" w:hAnsiTheme="minorHAnsi" w:cs="Arial"/>
          <w:i/>
        </w:rPr>
        <w:t>Notice of Change to Information About an Approved Service</w:t>
      </w:r>
      <w:r w:rsidRPr="00E20233">
        <w:rPr>
          <w:rFonts w:asciiTheme="minorHAnsi" w:hAnsiTheme="minorHAnsi" w:cs="Arial"/>
        </w:rPr>
        <w:t xml:space="preserve"> (SA12) form available on ACECQA’s website at: </w:t>
      </w:r>
      <w:hyperlink r:id="rId12" w:history="1">
        <w:r w:rsidR="00C45CED" w:rsidRPr="00E20233">
          <w:rPr>
            <w:rStyle w:val="Hyperlink"/>
            <w:rFonts w:asciiTheme="minorHAnsi" w:hAnsiTheme="minorHAnsi" w:cs="Arial"/>
          </w:rPr>
          <w:t>www.acecqa.gov.au/notifications</w:t>
        </w:r>
      </w:hyperlink>
    </w:p>
    <w:p w:rsidR="00C45CED" w:rsidRDefault="00C45CED" w:rsidP="00A648E9">
      <w:pPr>
        <w:rPr>
          <w:rFonts w:ascii="Arial" w:hAnsi="Arial" w:cs="Arial"/>
          <w:sz w:val="20"/>
          <w:szCs w:val="20"/>
        </w:rPr>
      </w:pPr>
    </w:p>
    <w:p w:rsidR="00C87FFD" w:rsidRDefault="001A0E57" w:rsidP="00A053A0">
      <w:pPr>
        <w:pStyle w:val="BasicParagraph"/>
        <w:suppressAutoHyphens/>
        <w:spacing w:before="113" w:after="57" w:line="240" w:lineRule="auto"/>
        <w:ind w:right="113"/>
        <w:rPr>
          <w:rStyle w:val="Headingblack"/>
          <w:rFonts w:asciiTheme="minorHAnsi" w:hAnsiTheme="minorHAnsi"/>
        </w:rPr>
      </w:pPr>
      <w:r>
        <w:rPr>
          <w:rStyle w:val="Headingblack"/>
          <w:rFonts w:asciiTheme="minorHAnsi" w:hAnsiTheme="minorHAnsi"/>
        </w:rPr>
        <w:t>Regulation under the Spotlight</w:t>
      </w:r>
    </w:p>
    <w:p w:rsidR="0057579A" w:rsidRDefault="0057579A" w:rsidP="0057579A">
      <w:pPr>
        <w:ind w:right="284"/>
        <w:rPr>
          <w:b/>
          <w:bCs/>
          <w:sz w:val="24"/>
          <w:szCs w:val="24"/>
        </w:rPr>
      </w:pPr>
    </w:p>
    <w:p w:rsidR="0057579A" w:rsidRPr="00FE06BD" w:rsidRDefault="0057579A" w:rsidP="00FE06BD">
      <w:pPr>
        <w:spacing w:after="120"/>
        <w:ind w:right="284"/>
      </w:pPr>
      <w:r>
        <w:rPr>
          <w:b/>
          <w:bCs/>
          <w:sz w:val="24"/>
          <w:szCs w:val="24"/>
        </w:rPr>
        <w:t>Qualifications</w:t>
      </w:r>
    </w:p>
    <w:p w:rsidR="0057579A" w:rsidRDefault="0057579A" w:rsidP="00FE06BD">
      <w:pPr>
        <w:spacing w:after="120" w:line="252" w:lineRule="auto"/>
      </w:pPr>
      <w:r w:rsidRPr="000A4BDF">
        <w:t>Recently the ACECQA Board agreed to extend a transitional measure that will allow educators to be r</w:t>
      </w:r>
      <w:r>
        <w:t>ecognised as equivalent to an e</w:t>
      </w:r>
      <w:r w:rsidRPr="000A4BDF">
        <w:t>a</w:t>
      </w:r>
      <w:r>
        <w:t>r</w:t>
      </w:r>
      <w:r w:rsidRPr="000A4BDF">
        <w:t>ly childhood teacher until the end of 2019. This agreement means that a person who holds all the following</w:t>
      </w:r>
      <w:r>
        <w:t xml:space="preserve"> will be recognised:</w:t>
      </w:r>
    </w:p>
    <w:p w:rsidR="0057579A" w:rsidRDefault="0057579A" w:rsidP="0057579A">
      <w:pPr>
        <w:pStyle w:val="ListParagraph"/>
        <w:numPr>
          <w:ilvl w:val="0"/>
          <w:numId w:val="16"/>
        </w:numPr>
        <w:spacing w:line="252" w:lineRule="auto"/>
      </w:pPr>
      <w:r>
        <w:t>a primary teaching qualification that includes at least a focus on children aged 5 to 8 years old</w:t>
      </w:r>
    </w:p>
    <w:p w:rsidR="0057579A" w:rsidRDefault="0057579A" w:rsidP="0057579A">
      <w:pPr>
        <w:pStyle w:val="ListParagraph"/>
        <w:numPr>
          <w:ilvl w:val="0"/>
          <w:numId w:val="16"/>
        </w:numPr>
        <w:spacing w:line="252" w:lineRule="auto"/>
      </w:pPr>
      <w:r>
        <w:t>current teacher registration in Australia</w:t>
      </w:r>
    </w:p>
    <w:p w:rsidR="0057579A" w:rsidRDefault="0057579A" w:rsidP="00FE06BD">
      <w:pPr>
        <w:pStyle w:val="ListParagraph"/>
        <w:numPr>
          <w:ilvl w:val="0"/>
          <w:numId w:val="16"/>
        </w:numPr>
        <w:spacing w:after="120" w:line="252" w:lineRule="auto"/>
        <w:ind w:left="357" w:hanging="357"/>
      </w:pPr>
      <w:r>
        <w:t>an ACECQA approved diploma level (or higher) education and acre qualification.</w:t>
      </w:r>
    </w:p>
    <w:p w:rsidR="00816C5C" w:rsidRPr="00717F30" w:rsidRDefault="0057579A" w:rsidP="00717F30">
      <w:pPr>
        <w:spacing w:after="240" w:line="252" w:lineRule="auto"/>
      </w:pPr>
      <w:r>
        <w:t>After the end of 2019, this transitional measure will cease, however educators who had obtained this combination of qualifications prior to the end of 2019 will continue to be recognised under this provision.</w:t>
      </w:r>
    </w:p>
    <w:p w:rsidR="00717F30" w:rsidRDefault="00717F30" w:rsidP="00717F30">
      <w:pPr>
        <w:spacing w:after="240"/>
        <w:ind w:right="284"/>
        <w:rPr>
          <w:sz w:val="24"/>
          <w:szCs w:val="24"/>
        </w:rPr>
      </w:pPr>
      <w:r>
        <w:rPr>
          <w:sz w:val="24"/>
          <w:szCs w:val="24"/>
        </w:rPr>
        <w:t xml:space="preserve">ACECQA also have a number </w:t>
      </w:r>
      <w:r w:rsidR="00E20233">
        <w:rPr>
          <w:sz w:val="24"/>
          <w:szCs w:val="24"/>
        </w:rPr>
        <w:t xml:space="preserve">of </w:t>
      </w:r>
      <w:r>
        <w:rPr>
          <w:sz w:val="24"/>
          <w:szCs w:val="24"/>
        </w:rPr>
        <w:t xml:space="preserve">tools that can help determine if an individual’s qualifications are recognised under the National Law.  These tools include a list of approved (and former approved) qualifications, as well </w:t>
      </w:r>
      <w:r w:rsidR="001D300F">
        <w:rPr>
          <w:sz w:val="24"/>
          <w:szCs w:val="24"/>
        </w:rPr>
        <w:t xml:space="preserve">as information on how to apply </w:t>
      </w:r>
      <w:r>
        <w:rPr>
          <w:sz w:val="24"/>
          <w:szCs w:val="24"/>
        </w:rPr>
        <w:t>to have a qualification approved or have your individual qualification(s) assessed as equivalent to an approved qualification.</w:t>
      </w:r>
    </w:p>
    <w:p w:rsidR="00717F30" w:rsidRDefault="00717F30" w:rsidP="00816C5C">
      <w:pPr>
        <w:ind w:right="284"/>
        <w:rPr>
          <w:sz w:val="24"/>
          <w:szCs w:val="24"/>
        </w:rPr>
      </w:pPr>
      <w:r>
        <w:rPr>
          <w:sz w:val="24"/>
          <w:szCs w:val="24"/>
        </w:rPr>
        <w:t xml:space="preserve">The Qualifications List, Qualifications checker and information about how to apply to have your application assessed is available at: </w:t>
      </w:r>
      <w:hyperlink r:id="rId13" w:history="1">
        <w:r w:rsidRPr="00143CCD">
          <w:rPr>
            <w:rStyle w:val="Hyperlink"/>
            <w:sz w:val="24"/>
            <w:szCs w:val="24"/>
          </w:rPr>
          <w:t>www.acecqa.gov.au/educators-and-providers1/qualifications</w:t>
        </w:r>
      </w:hyperlink>
    </w:p>
    <w:p w:rsidR="00717F30" w:rsidRPr="00717F30" w:rsidRDefault="00717F30" w:rsidP="00816C5C">
      <w:pPr>
        <w:ind w:right="284"/>
        <w:rPr>
          <w:sz w:val="24"/>
          <w:szCs w:val="24"/>
        </w:rPr>
      </w:pPr>
    </w:p>
    <w:p w:rsidR="00A648E9" w:rsidRPr="00A648E9" w:rsidRDefault="00816C5C" w:rsidP="00816C5C">
      <w:pPr>
        <w:ind w:right="284"/>
        <w:rPr>
          <w:b/>
          <w:sz w:val="24"/>
          <w:szCs w:val="24"/>
        </w:rPr>
      </w:pPr>
      <w:r>
        <w:rPr>
          <w:b/>
          <w:sz w:val="24"/>
          <w:szCs w:val="24"/>
        </w:rPr>
        <w:t>Managing Complaints</w:t>
      </w:r>
    </w:p>
    <w:p w:rsidR="00A360D6" w:rsidRPr="00E20233" w:rsidRDefault="006150A4" w:rsidP="002C11AB">
      <w:pPr>
        <w:spacing w:before="120"/>
        <w:ind w:right="284"/>
      </w:pPr>
      <w:r w:rsidRPr="00E20233">
        <w:t xml:space="preserve">Services have an obligation to notify the Department of any complaints </w:t>
      </w:r>
      <w:r w:rsidR="00FE06BD" w:rsidRPr="00E20233">
        <w:t xml:space="preserve">alleging a </w:t>
      </w:r>
      <w:r w:rsidR="00F643D4" w:rsidRPr="00E20233">
        <w:t xml:space="preserve">contravention </w:t>
      </w:r>
      <w:r w:rsidR="00FE06BD" w:rsidRPr="00E20233">
        <w:t>of the National Law or raising concerns about children’</w:t>
      </w:r>
      <w:r w:rsidR="00A360D6" w:rsidRPr="00E20233">
        <w:t xml:space="preserve">s safety, health or wellbeing. </w:t>
      </w:r>
      <w:r w:rsidR="00FE06BD" w:rsidRPr="00E20233">
        <w:t xml:space="preserve">Furthermore the National Quality Standard </w:t>
      </w:r>
      <w:r w:rsidR="000E5B11" w:rsidRPr="00E20233">
        <w:t xml:space="preserve">requires </w:t>
      </w:r>
      <w:r w:rsidR="00F21392" w:rsidRPr="00E20233">
        <w:t xml:space="preserve">services </w:t>
      </w:r>
      <w:r w:rsidR="000E5B11" w:rsidRPr="00E20233">
        <w:t xml:space="preserve">to have </w:t>
      </w:r>
      <w:r w:rsidR="00F21392" w:rsidRPr="00E20233">
        <w:t>processes in place to ensure that all grievances and complaints are addressed, investigated fairly and documented in a timely manner.</w:t>
      </w:r>
      <w:r w:rsidR="000E5B11" w:rsidRPr="00E20233">
        <w:t xml:space="preserve"> </w:t>
      </w:r>
    </w:p>
    <w:p w:rsidR="00F643D4" w:rsidRPr="00E20233" w:rsidRDefault="00E079F9" w:rsidP="002C11AB">
      <w:pPr>
        <w:spacing w:before="120"/>
        <w:ind w:right="284"/>
      </w:pPr>
      <w:r w:rsidRPr="00E20233">
        <w:t xml:space="preserve">Ensuring that the service has transparent, practical and effective </w:t>
      </w:r>
      <w:r w:rsidR="00F643D4" w:rsidRPr="00E20233">
        <w:t>dealing with complaints policy</w:t>
      </w:r>
      <w:r w:rsidRPr="00E20233">
        <w:t xml:space="preserve"> and procedures (regulation 168 2(o)) in place will </w:t>
      </w:r>
      <w:r w:rsidR="00A360D6" w:rsidRPr="00E20233">
        <w:t xml:space="preserve">assist </w:t>
      </w:r>
      <w:r w:rsidRPr="00E20233">
        <w:t xml:space="preserve">staff </w:t>
      </w:r>
      <w:r w:rsidR="00A360D6" w:rsidRPr="00E20233">
        <w:t xml:space="preserve">within the service </w:t>
      </w:r>
      <w:r w:rsidRPr="00E20233">
        <w:t xml:space="preserve">to manage concerns and grievances in ways that will benefit all involved. </w:t>
      </w:r>
      <w:r w:rsidR="00F643D4" w:rsidRPr="00E20233">
        <w:t>The National Quality Standard also assesses processes the service has in place to ensure all grievances and complaints are addressed, investigated fairly and documented in a timely manner.</w:t>
      </w:r>
    </w:p>
    <w:p w:rsidR="00E079F9" w:rsidRPr="00E20233" w:rsidRDefault="00E079F9" w:rsidP="002C11AB">
      <w:pPr>
        <w:spacing w:before="120"/>
        <w:ind w:right="284"/>
      </w:pPr>
      <w:r w:rsidRPr="00E20233">
        <w:t xml:space="preserve">It is also </w:t>
      </w:r>
      <w:r w:rsidR="00A360D6" w:rsidRPr="00E20233">
        <w:t xml:space="preserve">beneficial </w:t>
      </w:r>
      <w:r w:rsidRPr="00E20233">
        <w:t xml:space="preserve">that families are familiar with the service’s complaints handling </w:t>
      </w:r>
      <w:r w:rsidR="00A360D6" w:rsidRPr="00E20233">
        <w:t xml:space="preserve">policies and </w:t>
      </w:r>
      <w:r w:rsidRPr="00E20233">
        <w:t>procedures</w:t>
      </w:r>
      <w:r w:rsidR="00A360D6" w:rsidRPr="00E20233">
        <w:t xml:space="preserve"> and also given the opportunity to provide comment at time of their review. This will assist families to feel confident that any concerns or issues they may raise with the service will be handled promptly and professionally. </w:t>
      </w:r>
    </w:p>
    <w:p w:rsidR="00FE06BD" w:rsidRPr="00E20233" w:rsidRDefault="00F21392" w:rsidP="00FE06BD">
      <w:pPr>
        <w:spacing w:before="120"/>
        <w:ind w:right="284"/>
      </w:pPr>
      <w:r w:rsidRPr="00E20233">
        <w:t xml:space="preserve">The fact sheet entitled National Quality Framework, Incidents and Complaints provides further guidance of notification </w:t>
      </w:r>
      <w:r w:rsidR="00210A74" w:rsidRPr="00E20233">
        <w:t>requirements to the Department and</w:t>
      </w:r>
      <w:r w:rsidRPr="00E20233">
        <w:t xml:space="preserve"> is available at:</w:t>
      </w:r>
    </w:p>
    <w:p w:rsidR="00F21392" w:rsidRDefault="00C852AA" w:rsidP="00FE06BD">
      <w:pPr>
        <w:spacing w:before="120"/>
        <w:ind w:right="284"/>
      </w:pPr>
      <w:hyperlink r:id="rId14" w:history="1">
        <w:r w:rsidR="00F643D4" w:rsidRPr="003E3167">
          <w:rPr>
            <w:rStyle w:val="Hyperlink"/>
          </w:rPr>
          <w:t>www.education.vic.gov.au/childhood/providers/regulation/Pages/nqffactsheets.aspx</w:t>
        </w:r>
      </w:hyperlink>
    </w:p>
    <w:p w:rsidR="00F21392" w:rsidRPr="00FE06BD" w:rsidRDefault="00F21392" w:rsidP="00FE06BD">
      <w:pPr>
        <w:spacing w:before="120"/>
        <w:ind w:right="284"/>
      </w:pPr>
    </w:p>
    <w:p w:rsidR="001A0E57" w:rsidRPr="00816C5C" w:rsidRDefault="0098643C" w:rsidP="00816C5C">
      <w:pPr>
        <w:ind w:right="284"/>
        <w:rPr>
          <w:b/>
          <w:sz w:val="24"/>
          <w:szCs w:val="24"/>
        </w:rPr>
      </w:pPr>
      <w:r w:rsidRPr="00816C5C">
        <w:rPr>
          <w:b/>
          <w:sz w:val="24"/>
          <w:szCs w:val="24"/>
        </w:rPr>
        <w:t xml:space="preserve">Documenting </w:t>
      </w:r>
      <w:r w:rsidR="001A0E57" w:rsidRPr="00816C5C">
        <w:rPr>
          <w:b/>
          <w:sz w:val="24"/>
          <w:szCs w:val="24"/>
        </w:rPr>
        <w:t>child</w:t>
      </w:r>
      <w:r w:rsidR="007F0B5F" w:rsidRPr="00816C5C">
        <w:rPr>
          <w:b/>
          <w:sz w:val="24"/>
          <w:szCs w:val="24"/>
        </w:rPr>
        <w:t xml:space="preserve"> assessments in OSHC</w:t>
      </w:r>
    </w:p>
    <w:p w:rsidR="000F4AC1" w:rsidRDefault="007F0B5F" w:rsidP="00A053A0">
      <w:pPr>
        <w:pStyle w:val="BasicParagraph"/>
        <w:suppressAutoHyphens/>
        <w:spacing w:before="113" w:after="57" w:line="240" w:lineRule="auto"/>
        <w:ind w:right="113"/>
        <w:rPr>
          <w:rStyle w:val="Headingblack"/>
          <w:rFonts w:asciiTheme="minorHAnsi" w:hAnsiTheme="minorHAnsi"/>
          <w:b w:val="0"/>
          <w:sz w:val="22"/>
          <w:szCs w:val="22"/>
        </w:rPr>
      </w:pPr>
      <w:r w:rsidRPr="007F0B5F">
        <w:rPr>
          <w:rStyle w:val="Headingblack"/>
          <w:rFonts w:asciiTheme="minorHAnsi" w:hAnsiTheme="minorHAnsi"/>
          <w:b w:val="0"/>
          <w:sz w:val="22"/>
          <w:szCs w:val="22"/>
        </w:rPr>
        <w:t xml:space="preserve">The way </w:t>
      </w:r>
      <w:r>
        <w:rPr>
          <w:rStyle w:val="Headingblack"/>
          <w:rFonts w:asciiTheme="minorHAnsi" w:hAnsiTheme="minorHAnsi"/>
          <w:b w:val="0"/>
          <w:sz w:val="22"/>
          <w:szCs w:val="22"/>
        </w:rPr>
        <w:t xml:space="preserve">that information is collected for each child will vary from service </w:t>
      </w:r>
      <w:r w:rsidR="001D300F">
        <w:rPr>
          <w:rStyle w:val="Headingblack"/>
          <w:rFonts w:asciiTheme="minorHAnsi" w:hAnsiTheme="minorHAnsi"/>
          <w:b w:val="0"/>
          <w:sz w:val="22"/>
          <w:szCs w:val="22"/>
        </w:rPr>
        <w:t xml:space="preserve">to service </w:t>
      </w:r>
      <w:r>
        <w:rPr>
          <w:rStyle w:val="Headingblack"/>
          <w:rFonts w:asciiTheme="minorHAnsi" w:hAnsiTheme="minorHAnsi"/>
          <w:b w:val="0"/>
          <w:sz w:val="22"/>
          <w:szCs w:val="22"/>
        </w:rPr>
        <w:t>and therefor</w:t>
      </w:r>
      <w:r w:rsidR="00A648E9">
        <w:rPr>
          <w:rStyle w:val="Headingblack"/>
          <w:rFonts w:asciiTheme="minorHAnsi" w:hAnsiTheme="minorHAnsi"/>
          <w:b w:val="0"/>
          <w:sz w:val="22"/>
          <w:szCs w:val="22"/>
        </w:rPr>
        <w:t>e</w:t>
      </w:r>
      <w:r>
        <w:rPr>
          <w:rStyle w:val="Headingblack"/>
          <w:rFonts w:asciiTheme="minorHAnsi" w:hAnsiTheme="minorHAnsi"/>
          <w:b w:val="0"/>
          <w:sz w:val="22"/>
          <w:szCs w:val="22"/>
        </w:rPr>
        <w:t xml:space="preserve"> the National Law does not prescribe the approach to capture and record this information. In particular school age children have the ability to contribute to their own assessment of wellbeing development</w:t>
      </w:r>
      <w:r w:rsidR="00A05C24">
        <w:rPr>
          <w:rStyle w:val="Headingblack"/>
          <w:rFonts w:asciiTheme="minorHAnsi" w:hAnsiTheme="minorHAnsi"/>
          <w:b w:val="0"/>
          <w:sz w:val="22"/>
          <w:szCs w:val="22"/>
        </w:rPr>
        <w:t xml:space="preserve"> and learning and services may wish to consider how they incorporate older children in meeting this requirement.</w:t>
      </w:r>
    </w:p>
    <w:p w:rsidR="00A05C24" w:rsidRDefault="00A05C24" w:rsidP="00A053A0">
      <w:pPr>
        <w:pStyle w:val="BasicParagraph"/>
        <w:suppressAutoHyphens/>
        <w:spacing w:before="113" w:after="57" w:line="240" w:lineRule="auto"/>
        <w:ind w:right="113"/>
        <w:rPr>
          <w:rStyle w:val="Headingblack"/>
          <w:rFonts w:asciiTheme="minorHAnsi" w:hAnsiTheme="minorHAnsi"/>
          <w:b w:val="0"/>
          <w:sz w:val="22"/>
          <w:szCs w:val="22"/>
        </w:rPr>
      </w:pPr>
      <w:r>
        <w:rPr>
          <w:rStyle w:val="Headingblack"/>
          <w:rFonts w:asciiTheme="minorHAnsi" w:hAnsiTheme="minorHAnsi"/>
          <w:b w:val="0"/>
          <w:sz w:val="22"/>
          <w:szCs w:val="22"/>
        </w:rPr>
        <w:t xml:space="preserve">Some children attending Outside School Hours Care (OSHC) services spend limited time at the service </w:t>
      </w:r>
      <w:r w:rsidR="009B2C8E">
        <w:rPr>
          <w:rStyle w:val="Headingblack"/>
          <w:rFonts w:asciiTheme="minorHAnsi" w:hAnsiTheme="minorHAnsi"/>
          <w:b w:val="0"/>
          <w:sz w:val="22"/>
          <w:szCs w:val="22"/>
        </w:rPr>
        <w:t xml:space="preserve">and for that reason the quality of child assessments is not reflected in the quantity of information, rather the context of the service setting, the relevancy of information and how this is used by educators to inform the program for individual children and it’s availability to families. </w:t>
      </w:r>
    </w:p>
    <w:p w:rsidR="009B2C8E" w:rsidRDefault="009B2C8E" w:rsidP="00A053A0">
      <w:pPr>
        <w:pStyle w:val="BasicParagraph"/>
        <w:suppressAutoHyphens/>
        <w:spacing w:before="113" w:after="57" w:line="240" w:lineRule="auto"/>
        <w:ind w:right="113"/>
        <w:rPr>
          <w:rStyle w:val="Headingblack"/>
          <w:rFonts w:asciiTheme="minorHAnsi" w:hAnsiTheme="minorHAnsi"/>
          <w:b w:val="0"/>
          <w:sz w:val="22"/>
          <w:szCs w:val="22"/>
        </w:rPr>
      </w:pPr>
      <w:r>
        <w:rPr>
          <w:rStyle w:val="Headingblack"/>
          <w:rFonts w:asciiTheme="minorHAnsi" w:hAnsiTheme="minorHAnsi"/>
          <w:b w:val="0"/>
          <w:sz w:val="22"/>
          <w:szCs w:val="22"/>
        </w:rPr>
        <w:t xml:space="preserve">The National Law </w:t>
      </w:r>
      <w:r w:rsidR="0061592C">
        <w:rPr>
          <w:rStyle w:val="Headingblack"/>
          <w:rFonts w:asciiTheme="minorHAnsi" w:hAnsiTheme="minorHAnsi"/>
          <w:b w:val="0"/>
          <w:sz w:val="22"/>
          <w:szCs w:val="22"/>
        </w:rPr>
        <w:t xml:space="preserve">(section 168) </w:t>
      </w:r>
      <w:r>
        <w:rPr>
          <w:rStyle w:val="Headingblack"/>
          <w:rFonts w:asciiTheme="minorHAnsi" w:hAnsiTheme="minorHAnsi"/>
          <w:b w:val="0"/>
          <w:sz w:val="22"/>
          <w:szCs w:val="22"/>
        </w:rPr>
        <w:t xml:space="preserve">prescribes that an OSHC services </w:t>
      </w:r>
      <w:r w:rsidR="0061592C">
        <w:rPr>
          <w:rStyle w:val="Headingblack"/>
          <w:rFonts w:asciiTheme="minorHAnsi" w:hAnsiTheme="minorHAnsi"/>
          <w:b w:val="0"/>
          <w:sz w:val="22"/>
          <w:szCs w:val="22"/>
        </w:rPr>
        <w:t>program is based on an approved learning framework that include:</w:t>
      </w:r>
    </w:p>
    <w:p w:rsidR="0061592C" w:rsidRDefault="0061592C" w:rsidP="00E16F35">
      <w:pPr>
        <w:pStyle w:val="BasicParagraph"/>
        <w:numPr>
          <w:ilvl w:val="0"/>
          <w:numId w:val="17"/>
        </w:numPr>
        <w:suppressAutoHyphens/>
        <w:spacing w:line="240" w:lineRule="auto"/>
        <w:ind w:left="714" w:right="113" w:hanging="357"/>
        <w:rPr>
          <w:rStyle w:val="Headingblack"/>
          <w:rFonts w:asciiTheme="minorHAnsi" w:hAnsiTheme="minorHAnsi"/>
          <w:b w:val="0"/>
          <w:sz w:val="22"/>
          <w:szCs w:val="22"/>
        </w:rPr>
      </w:pPr>
      <w:r>
        <w:rPr>
          <w:rStyle w:val="Headingblack"/>
          <w:rFonts w:asciiTheme="minorHAnsi" w:hAnsiTheme="minorHAnsi"/>
          <w:b w:val="0"/>
          <w:sz w:val="22"/>
          <w:szCs w:val="22"/>
        </w:rPr>
        <w:t>The Early Years Learning Framework (EYLF)</w:t>
      </w:r>
    </w:p>
    <w:p w:rsidR="0061592C" w:rsidRDefault="0061592C" w:rsidP="00E16F35">
      <w:pPr>
        <w:pStyle w:val="BasicParagraph"/>
        <w:numPr>
          <w:ilvl w:val="0"/>
          <w:numId w:val="17"/>
        </w:numPr>
        <w:suppressAutoHyphens/>
        <w:spacing w:line="240" w:lineRule="auto"/>
        <w:ind w:left="714" w:right="113" w:hanging="357"/>
        <w:rPr>
          <w:rStyle w:val="Headingblack"/>
          <w:rFonts w:asciiTheme="minorHAnsi" w:hAnsiTheme="minorHAnsi"/>
          <w:b w:val="0"/>
          <w:sz w:val="22"/>
          <w:szCs w:val="22"/>
        </w:rPr>
      </w:pPr>
      <w:r>
        <w:rPr>
          <w:rStyle w:val="Headingblack"/>
          <w:rFonts w:asciiTheme="minorHAnsi" w:hAnsiTheme="minorHAnsi"/>
          <w:b w:val="0"/>
          <w:sz w:val="22"/>
          <w:szCs w:val="22"/>
        </w:rPr>
        <w:t>Framework for School Age Care (FSACA)</w:t>
      </w:r>
    </w:p>
    <w:p w:rsidR="0061592C" w:rsidRDefault="0061592C" w:rsidP="00E16F35">
      <w:pPr>
        <w:pStyle w:val="BasicParagraph"/>
        <w:numPr>
          <w:ilvl w:val="0"/>
          <w:numId w:val="17"/>
        </w:numPr>
        <w:suppressAutoHyphens/>
        <w:spacing w:line="240" w:lineRule="auto"/>
        <w:ind w:left="714" w:right="113" w:hanging="357"/>
        <w:rPr>
          <w:rStyle w:val="Headingblack"/>
          <w:rFonts w:asciiTheme="minorHAnsi" w:hAnsiTheme="minorHAnsi"/>
          <w:b w:val="0"/>
          <w:sz w:val="22"/>
          <w:szCs w:val="22"/>
        </w:rPr>
      </w:pPr>
      <w:r>
        <w:rPr>
          <w:rStyle w:val="Headingblack"/>
          <w:rFonts w:asciiTheme="minorHAnsi" w:hAnsiTheme="minorHAnsi"/>
          <w:b w:val="0"/>
          <w:sz w:val="22"/>
          <w:szCs w:val="22"/>
        </w:rPr>
        <w:t>The Victorian Early Years and Learning Development Framework (VEYLDF)</w:t>
      </w:r>
    </w:p>
    <w:p w:rsidR="000E5B46" w:rsidRDefault="0061592C" w:rsidP="0061592C">
      <w:pPr>
        <w:pStyle w:val="BasicParagraph"/>
        <w:suppressAutoHyphens/>
        <w:spacing w:before="113" w:after="57" w:line="240" w:lineRule="auto"/>
        <w:ind w:right="113"/>
        <w:rPr>
          <w:rStyle w:val="Headingblack"/>
          <w:rFonts w:asciiTheme="minorHAnsi" w:hAnsiTheme="minorHAnsi"/>
          <w:b w:val="0"/>
          <w:sz w:val="22"/>
          <w:szCs w:val="22"/>
        </w:rPr>
      </w:pPr>
      <w:r>
        <w:rPr>
          <w:rStyle w:val="Headingblack"/>
          <w:rFonts w:asciiTheme="minorHAnsi" w:hAnsiTheme="minorHAnsi"/>
          <w:b w:val="0"/>
          <w:sz w:val="22"/>
          <w:szCs w:val="22"/>
        </w:rPr>
        <w:t xml:space="preserve">When using these frameworks, OSHC services may use the VEYLDF for children up to 8 years of age and the FSACA for children over 8 years of age. </w:t>
      </w:r>
    </w:p>
    <w:p w:rsidR="00C45CED" w:rsidRDefault="0061592C" w:rsidP="0061592C">
      <w:pPr>
        <w:pStyle w:val="BasicParagraph"/>
        <w:suppressAutoHyphens/>
        <w:spacing w:before="113" w:after="57" w:line="240" w:lineRule="auto"/>
        <w:ind w:right="113"/>
        <w:rPr>
          <w:rStyle w:val="Headingblack"/>
          <w:rFonts w:asciiTheme="minorHAnsi" w:hAnsiTheme="minorHAnsi"/>
          <w:b w:val="0"/>
          <w:sz w:val="22"/>
          <w:szCs w:val="22"/>
        </w:rPr>
      </w:pPr>
      <w:r>
        <w:rPr>
          <w:rStyle w:val="Headingblack"/>
          <w:rFonts w:asciiTheme="minorHAnsi" w:hAnsiTheme="minorHAnsi"/>
          <w:b w:val="0"/>
          <w:sz w:val="22"/>
          <w:szCs w:val="22"/>
        </w:rPr>
        <w:t>Information about the service’s educational program must also be displayed at a place accessible to parents and that a copy of the educational program is made available at the services premise for the Depart</w:t>
      </w:r>
      <w:r w:rsidR="00C45CED">
        <w:rPr>
          <w:rStyle w:val="Headingblack"/>
          <w:rFonts w:asciiTheme="minorHAnsi" w:hAnsiTheme="minorHAnsi"/>
          <w:b w:val="0"/>
          <w:sz w:val="22"/>
          <w:szCs w:val="22"/>
        </w:rPr>
        <w:t>ment to inspect (regulation 75).</w:t>
      </w:r>
    </w:p>
    <w:p w:rsidR="00A053A0" w:rsidRPr="00FE11DE" w:rsidRDefault="00A053A0" w:rsidP="00A053A0">
      <w:pPr>
        <w:pStyle w:val="BasicParagraph"/>
        <w:suppressAutoHyphens/>
        <w:spacing w:before="113" w:after="57" w:line="240" w:lineRule="auto"/>
        <w:ind w:right="113"/>
        <w:rPr>
          <w:rStyle w:val="Headingblack"/>
          <w:rFonts w:asciiTheme="minorHAnsi" w:hAnsiTheme="minorHAnsi"/>
          <w:sz w:val="22"/>
          <w:szCs w:val="22"/>
        </w:rPr>
      </w:pPr>
      <w:r w:rsidRPr="00FE11DE">
        <w:rPr>
          <w:rStyle w:val="Headingblack"/>
          <w:rFonts w:asciiTheme="minorHAnsi" w:hAnsiTheme="minorHAnsi"/>
          <w:sz w:val="22"/>
          <w:szCs w:val="22"/>
        </w:rPr>
        <w:t xml:space="preserve">Professional Development </w:t>
      </w:r>
    </w:p>
    <w:p w:rsidR="004B5092" w:rsidRDefault="004B5092" w:rsidP="004B5092">
      <w:pPr>
        <w:rPr>
          <w:rFonts w:eastAsia="Times New Roman"/>
          <w:lang w:eastAsia="en-AU"/>
        </w:rPr>
      </w:pPr>
      <w:r w:rsidRPr="00FE11DE">
        <w:rPr>
          <w:rFonts w:eastAsia="Times New Roman"/>
          <w:lang w:val="en-US" w:eastAsia="en-AU"/>
        </w:rPr>
        <w:t xml:space="preserve">Gowrie Victoria provides free professional support under the Kindergarten Intensive Support Program to eligible kindergarten services that have </w:t>
      </w:r>
      <w:r w:rsidRPr="00FE11DE">
        <w:rPr>
          <w:rFonts w:eastAsia="Times New Roman"/>
          <w:lang w:eastAsia="en-AU"/>
        </w:rPr>
        <w:t xml:space="preserve">a rating of </w:t>
      </w:r>
      <w:r w:rsidRPr="00FE11DE">
        <w:rPr>
          <w:rFonts w:eastAsia="Times New Roman"/>
          <w:i/>
          <w:iCs/>
          <w:lang w:eastAsia="en-AU"/>
        </w:rPr>
        <w:t xml:space="preserve">Working Towards National Quality Standard </w:t>
      </w:r>
      <w:r w:rsidRPr="00FE11DE">
        <w:rPr>
          <w:rFonts w:eastAsia="Times New Roman"/>
          <w:lang w:eastAsia="en-AU"/>
        </w:rPr>
        <w:t xml:space="preserve">or </w:t>
      </w:r>
      <w:r w:rsidRPr="00FE11DE">
        <w:rPr>
          <w:rFonts w:eastAsia="Times New Roman"/>
          <w:i/>
          <w:iCs/>
          <w:lang w:eastAsia="en-AU"/>
        </w:rPr>
        <w:t xml:space="preserve">Significant Improvement Required, </w:t>
      </w:r>
      <w:r w:rsidRPr="00FE11DE">
        <w:rPr>
          <w:rFonts w:eastAsia="Times New Roman"/>
          <w:iCs/>
          <w:lang w:eastAsia="en-AU"/>
        </w:rPr>
        <w:t>or b</w:t>
      </w:r>
      <w:r w:rsidRPr="00FE11DE">
        <w:rPr>
          <w:rFonts w:eastAsia="Times New Roman"/>
          <w:lang w:eastAsia="en-AU"/>
        </w:rPr>
        <w:t>een referred to Gowrie Victoria for support by the Department.</w:t>
      </w:r>
    </w:p>
    <w:p w:rsidR="00FE11DE" w:rsidRPr="00FE11DE" w:rsidRDefault="00FE11DE" w:rsidP="004B5092">
      <w:pPr>
        <w:rPr>
          <w:lang w:val="en-US"/>
        </w:rPr>
      </w:pPr>
    </w:p>
    <w:p w:rsidR="00FE11DE" w:rsidRPr="00FE11DE" w:rsidRDefault="004B5092" w:rsidP="00FE11DE">
      <w:pPr>
        <w:rPr>
          <w:rFonts w:eastAsia="Times New Roman"/>
          <w:lang w:val="en-US" w:eastAsia="en-AU"/>
        </w:rPr>
      </w:pPr>
      <w:r w:rsidRPr="00FE11DE">
        <w:rPr>
          <w:rFonts w:eastAsia="Times New Roman"/>
          <w:lang w:val="en-US" w:eastAsia="en-AU"/>
        </w:rPr>
        <w:t>The Kindergarten Intensive Support Program incorporates of a range of professional support, tailored to meet individual service need such as:</w:t>
      </w:r>
    </w:p>
    <w:p w:rsidR="004B5092" w:rsidRPr="00FE11DE" w:rsidRDefault="004B5092" w:rsidP="00FE11DE">
      <w:pPr>
        <w:pStyle w:val="ListParagraph"/>
        <w:widowControl/>
        <w:numPr>
          <w:ilvl w:val="0"/>
          <w:numId w:val="19"/>
        </w:numPr>
        <w:ind w:left="714" w:hanging="357"/>
        <w:contextualSpacing/>
        <w:rPr>
          <w:rFonts w:eastAsia="Times New Roman" w:cs="Times New Roman"/>
          <w:lang w:eastAsia="en-AU"/>
        </w:rPr>
      </w:pPr>
      <w:r w:rsidRPr="00FE11DE">
        <w:rPr>
          <w:rFonts w:eastAsia="Times New Roman" w:cs="Times New Roman"/>
          <w:lang w:eastAsia="en-AU"/>
        </w:rPr>
        <w:t xml:space="preserve">Onsite support with a </w:t>
      </w:r>
      <w:r w:rsidRPr="00FE11DE">
        <w:rPr>
          <w:rFonts w:cs="Foco-Regular"/>
        </w:rPr>
        <w:t>Learning and Development Advisor</w:t>
      </w:r>
      <w:r w:rsidRPr="00FE11DE">
        <w:rPr>
          <w:rFonts w:eastAsia="Times New Roman" w:cs="Times New Roman"/>
          <w:lang w:eastAsia="en-AU"/>
        </w:rPr>
        <w:t>, to work through your Quality Improvement Plan</w:t>
      </w:r>
    </w:p>
    <w:p w:rsidR="004B5092" w:rsidRPr="00FE11DE" w:rsidRDefault="004B5092" w:rsidP="004B5092">
      <w:pPr>
        <w:pStyle w:val="ListParagraph"/>
        <w:widowControl/>
        <w:numPr>
          <w:ilvl w:val="0"/>
          <w:numId w:val="19"/>
        </w:numPr>
        <w:spacing w:before="100" w:beforeAutospacing="1" w:after="100" w:afterAutospacing="1" w:line="300" w:lineRule="atLeast"/>
        <w:contextualSpacing/>
        <w:rPr>
          <w:rFonts w:eastAsia="Times New Roman" w:cs="Times New Roman"/>
          <w:lang w:eastAsia="en-AU"/>
        </w:rPr>
      </w:pPr>
      <w:r w:rsidRPr="00FE11DE">
        <w:rPr>
          <w:rFonts w:eastAsia="Times New Roman" w:cs="Times New Roman"/>
          <w:lang w:eastAsia="en-AU"/>
        </w:rPr>
        <w:t>Development of a Professional Learning Plan to map the professional development needs of your staff and the best learning approach to meet these needs</w:t>
      </w:r>
    </w:p>
    <w:p w:rsidR="004B5092" w:rsidRPr="00FE11DE" w:rsidRDefault="004B5092" w:rsidP="004B5092">
      <w:pPr>
        <w:pStyle w:val="ListParagraph"/>
        <w:widowControl/>
        <w:numPr>
          <w:ilvl w:val="0"/>
          <w:numId w:val="19"/>
        </w:numPr>
        <w:spacing w:before="100" w:beforeAutospacing="1" w:after="100" w:afterAutospacing="1" w:line="300" w:lineRule="atLeast"/>
        <w:contextualSpacing/>
        <w:rPr>
          <w:rFonts w:eastAsia="Times New Roman" w:cs="Times New Roman"/>
          <w:lang w:eastAsia="en-AU"/>
        </w:rPr>
      </w:pPr>
      <w:r w:rsidRPr="00FE11DE">
        <w:rPr>
          <w:rFonts w:eastAsia="Times New Roman" w:cs="Times New Roman"/>
          <w:lang w:eastAsia="en-AU"/>
        </w:rPr>
        <w:t>Development of an Action Plan</w:t>
      </w:r>
    </w:p>
    <w:p w:rsidR="004B5092" w:rsidRPr="00FE11DE" w:rsidRDefault="004B5092" w:rsidP="004B5092">
      <w:pPr>
        <w:pStyle w:val="ListParagraph"/>
        <w:widowControl/>
        <w:numPr>
          <w:ilvl w:val="0"/>
          <w:numId w:val="19"/>
        </w:numPr>
        <w:spacing w:before="100" w:beforeAutospacing="1" w:after="100" w:afterAutospacing="1" w:line="300" w:lineRule="atLeast"/>
        <w:contextualSpacing/>
        <w:rPr>
          <w:rFonts w:eastAsia="Times New Roman" w:cs="Times New Roman"/>
          <w:lang w:eastAsia="en-AU"/>
        </w:rPr>
      </w:pPr>
      <w:r w:rsidRPr="00FE11DE">
        <w:rPr>
          <w:rFonts w:eastAsia="Times New Roman" w:cs="Times New Roman"/>
          <w:lang w:eastAsia="en-AU"/>
        </w:rPr>
        <w:t>Phone and email support and advice</w:t>
      </w:r>
      <w:r w:rsidRPr="00FE11DE">
        <w:rPr>
          <w:b/>
          <w:sz w:val="36"/>
          <w:szCs w:val="36"/>
        </w:rPr>
        <w:tab/>
      </w:r>
    </w:p>
    <w:p w:rsidR="004B5092" w:rsidRPr="00FE11DE" w:rsidRDefault="004B5092" w:rsidP="00E16F35">
      <w:pPr>
        <w:autoSpaceDE w:val="0"/>
        <w:autoSpaceDN w:val="0"/>
        <w:adjustRightInd w:val="0"/>
        <w:rPr>
          <w:rFonts w:cs="Foco-Regular"/>
        </w:rPr>
      </w:pPr>
      <w:r w:rsidRPr="00FE11DE">
        <w:rPr>
          <w:rFonts w:cs="Foco-Regular"/>
        </w:rPr>
        <w:t xml:space="preserve">Gowrie Victoria </w:t>
      </w:r>
      <w:r w:rsidR="00FE11DE" w:rsidRPr="00FE11DE">
        <w:rPr>
          <w:rFonts w:cs="Foco-Regular"/>
        </w:rPr>
        <w:t xml:space="preserve">also </w:t>
      </w:r>
      <w:r w:rsidRPr="00FE11DE">
        <w:rPr>
          <w:rFonts w:cs="Foco-Regular"/>
        </w:rPr>
        <w:t>provides free phone and email support to all Victorian State funded Kindergarten services. Gowrie Victoria Learning and Development Advisors can:</w:t>
      </w:r>
    </w:p>
    <w:p w:rsidR="004B5092" w:rsidRPr="00FE11DE" w:rsidRDefault="004B5092" w:rsidP="004B5092">
      <w:pPr>
        <w:pStyle w:val="ListParagraph"/>
        <w:widowControl/>
        <w:numPr>
          <w:ilvl w:val="0"/>
          <w:numId w:val="20"/>
        </w:numPr>
        <w:autoSpaceDE w:val="0"/>
        <w:autoSpaceDN w:val="0"/>
        <w:adjustRightInd w:val="0"/>
        <w:contextualSpacing/>
        <w:rPr>
          <w:rFonts w:cs="Foco-Regular"/>
        </w:rPr>
      </w:pPr>
      <w:r w:rsidRPr="00FE11DE">
        <w:rPr>
          <w:rFonts w:cs="Foco-Regular"/>
        </w:rPr>
        <w:t>Provide you with advice, support and the latest information on any aspect of working in or managing a service</w:t>
      </w:r>
    </w:p>
    <w:p w:rsidR="004B5092" w:rsidRPr="00FE11DE" w:rsidRDefault="004B5092" w:rsidP="004B5092">
      <w:pPr>
        <w:pStyle w:val="ListParagraph"/>
        <w:widowControl/>
        <w:numPr>
          <w:ilvl w:val="0"/>
          <w:numId w:val="20"/>
        </w:numPr>
        <w:autoSpaceDE w:val="0"/>
        <w:autoSpaceDN w:val="0"/>
        <w:adjustRightInd w:val="0"/>
        <w:contextualSpacing/>
        <w:rPr>
          <w:rFonts w:cs="Foco-Regular"/>
        </w:rPr>
      </w:pPr>
      <w:r w:rsidRPr="00FE11DE">
        <w:rPr>
          <w:rFonts w:cs="Foco-Regular"/>
        </w:rPr>
        <w:t>Answer your questions, provide you with a range of resources, or direct you to the appropriate agency to support your needs.</w:t>
      </w:r>
    </w:p>
    <w:p w:rsidR="004B5092" w:rsidRPr="00FE11DE" w:rsidRDefault="004B5092" w:rsidP="004B5092">
      <w:pPr>
        <w:pStyle w:val="ListParagraph"/>
        <w:autoSpaceDE w:val="0"/>
        <w:autoSpaceDN w:val="0"/>
        <w:adjustRightInd w:val="0"/>
        <w:rPr>
          <w:rFonts w:cs="Foco-Regular"/>
        </w:rPr>
      </w:pPr>
    </w:p>
    <w:p w:rsidR="004B5092" w:rsidRPr="00FE11DE" w:rsidRDefault="004B5092" w:rsidP="004B5092">
      <w:pPr>
        <w:autoSpaceDE w:val="0"/>
        <w:autoSpaceDN w:val="0"/>
        <w:adjustRightInd w:val="0"/>
        <w:rPr>
          <w:rFonts w:cs="Foco-Regular"/>
          <w:color w:val="414142"/>
        </w:rPr>
      </w:pPr>
      <w:r w:rsidRPr="00FE11DE">
        <w:rPr>
          <w:rFonts w:cs="Foco-Regular"/>
        </w:rPr>
        <w:t>Our phone line is attended 9am to 5pm, Monday to Fri (exclusive of Public Holidays). Please contact us on 03 9362 2210</w:t>
      </w:r>
    </w:p>
    <w:p w:rsidR="004B5092" w:rsidRDefault="004B5092" w:rsidP="004B5092">
      <w:pPr>
        <w:rPr>
          <w:rFonts w:eastAsia="Times New Roman"/>
          <w:sz w:val="24"/>
          <w:szCs w:val="24"/>
          <w:lang w:val="en-US" w:eastAsia="en-AU"/>
        </w:rPr>
      </w:pPr>
      <w:r>
        <w:rPr>
          <w:rFonts w:eastAsia="Times New Roman"/>
          <w:sz w:val="24"/>
          <w:szCs w:val="24"/>
          <w:lang w:val="en-US" w:eastAsia="en-AU"/>
        </w:rPr>
        <w:tab/>
      </w:r>
    </w:p>
    <w:p w:rsidR="00FE11DE" w:rsidRPr="00DF469C" w:rsidRDefault="004B5092" w:rsidP="00FE11DE">
      <w:pPr>
        <w:rPr>
          <w:rFonts w:cstheme="minorBidi"/>
          <w:b/>
        </w:rPr>
      </w:pPr>
      <w:r>
        <w:rPr>
          <w:rFonts w:cs="Foco-Italic"/>
          <w:i/>
          <w:iCs/>
        </w:rPr>
        <w:t>Gowrie Victoria acknowledges the support of the Victorian Government.</w:t>
      </w:r>
      <w:r w:rsidR="00FE11DE">
        <w:br/>
      </w:r>
    </w:p>
    <w:p w:rsidR="00946C99" w:rsidRDefault="00946C99" w:rsidP="00974F08">
      <w:pPr>
        <w:jc w:val="both"/>
        <w:rPr>
          <w:rFonts w:asciiTheme="minorHAnsi" w:hAnsiTheme="minorHAnsi"/>
          <w:b/>
        </w:rPr>
      </w:pPr>
      <w:proofErr w:type="spellStart"/>
      <w:r w:rsidRPr="00946C99">
        <w:rPr>
          <w:rFonts w:asciiTheme="minorHAnsi" w:hAnsiTheme="minorHAnsi"/>
          <w:b/>
        </w:rPr>
        <w:t>Woksafe</w:t>
      </w:r>
      <w:proofErr w:type="spellEnd"/>
      <w:r w:rsidRPr="00946C99">
        <w:rPr>
          <w:rFonts w:asciiTheme="minorHAnsi" w:hAnsiTheme="minorHAnsi"/>
          <w:b/>
        </w:rPr>
        <w:t xml:space="preserve"> Visits to Early Learning Centres</w:t>
      </w:r>
    </w:p>
    <w:p w:rsidR="00657B0E" w:rsidRDefault="00946C99" w:rsidP="00946C99">
      <w:pPr>
        <w:pStyle w:val="PlainText"/>
      </w:pPr>
      <w:r>
        <w:t>We know that child safety is always a top priority in our early child</w:t>
      </w:r>
      <w:r w:rsidR="00635071">
        <w:t xml:space="preserve"> </w:t>
      </w:r>
      <w:r>
        <w:t xml:space="preserve">centres, but what about staff safety?  </w:t>
      </w:r>
      <w:proofErr w:type="spellStart"/>
      <w:r>
        <w:t>WorkSafe</w:t>
      </w:r>
      <w:proofErr w:type="spellEnd"/>
      <w:r>
        <w:t xml:space="preserve"> Victoria recently visited a number of early learning centres across the state to assess compliance with workplace health and safety laws.  </w:t>
      </w:r>
    </w:p>
    <w:p w:rsidR="00657B0E" w:rsidRDefault="00657B0E" w:rsidP="00946C99">
      <w:pPr>
        <w:pStyle w:val="PlainText"/>
      </w:pPr>
    </w:p>
    <w:p w:rsidR="00657B0E" w:rsidRDefault="00657B0E" w:rsidP="00657B0E">
      <w:pPr>
        <w:pStyle w:val="PlainText"/>
      </w:pPr>
      <w:r>
        <w:t xml:space="preserve">The findings from what </w:t>
      </w:r>
      <w:r w:rsidR="00946C99">
        <w:t xml:space="preserve">Worksafe inspectors found and resources </w:t>
      </w:r>
      <w:r>
        <w:t xml:space="preserve">developed </w:t>
      </w:r>
      <w:r w:rsidR="00946C99">
        <w:t xml:space="preserve">to help make your </w:t>
      </w:r>
      <w:r>
        <w:t xml:space="preserve">services a safe place to work are available at: </w:t>
      </w:r>
      <w:hyperlink r:id="rId15" w:history="1">
        <w:r w:rsidR="006D79A3" w:rsidRPr="003E3167">
          <w:rPr>
            <w:rStyle w:val="Hyperlink"/>
          </w:rPr>
          <w:t>www.worksafe.vic.gov.au/safety-and-prevention/your-industry/early-learning</w:t>
        </w:r>
      </w:hyperlink>
    </w:p>
    <w:p w:rsidR="00946C99" w:rsidRDefault="00946C99" w:rsidP="00946C99">
      <w:pPr>
        <w:pStyle w:val="PlainText"/>
      </w:pPr>
    </w:p>
    <w:p w:rsidR="00946C99" w:rsidRPr="00946C99" w:rsidRDefault="00946C99" w:rsidP="00974F08">
      <w:pPr>
        <w:jc w:val="both"/>
        <w:rPr>
          <w:rFonts w:asciiTheme="minorHAnsi" w:hAnsiTheme="minorHAnsi"/>
          <w:b/>
        </w:rPr>
      </w:pPr>
    </w:p>
    <w:p w:rsidR="00C07137" w:rsidRDefault="00C07137" w:rsidP="00C07137">
      <w:pPr>
        <w:rPr>
          <w:color w:val="000000"/>
        </w:rPr>
      </w:pPr>
      <w:r>
        <w:rPr>
          <w:color w:val="000000"/>
        </w:rPr>
        <w:t> </w:t>
      </w:r>
    </w:p>
    <w:p w:rsidR="00C30AD5" w:rsidRPr="00454E06" w:rsidRDefault="00C30AD5" w:rsidP="00454E06">
      <w:pPr>
        <w:rPr>
          <w:color w:val="000000"/>
        </w:rPr>
      </w:pPr>
    </w:p>
    <w:sectPr w:rsidR="00C30AD5" w:rsidRPr="00454E06" w:rsidSect="000A1625">
      <w:pgSz w:w="12240" w:h="15840"/>
      <w:pgMar w:top="720" w:right="720" w:bottom="720" w:left="70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co-Regular">
    <w:altName w:val="Foco"/>
    <w:panose1 w:val="00000000000000000000"/>
    <w:charset w:val="00"/>
    <w:family w:val="swiss"/>
    <w:notTrueType/>
    <w:pitch w:val="default"/>
    <w:sig w:usb0="00000003" w:usb1="00000000" w:usb2="00000000" w:usb3="00000000" w:csb0="00000001" w:csb1="00000000"/>
  </w:font>
  <w:font w:name="Foco-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1F7"/>
    <w:multiLevelType w:val="hybridMultilevel"/>
    <w:tmpl w:val="0C2C688E"/>
    <w:lvl w:ilvl="0" w:tplc="2BA84C76">
      <w:numFmt w:val="bullet"/>
      <w:lvlText w:val="•"/>
      <w:lvlJc w:val="left"/>
      <w:pPr>
        <w:ind w:left="90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5348F"/>
    <w:multiLevelType w:val="hybridMultilevel"/>
    <w:tmpl w:val="F90CF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2F23DB"/>
    <w:multiLevelType w:val="hybridMultilevel"/>
    <w:tmpl w:val="D70A2F1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0E075AE5"/>
    <w:multiLevelType w:val="hybridMultilevel"/>
    <w:tmpl w:val="91001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E45DDE"/>
    <w:multiLevelType w:val="hybridMultilevel"/>
    <w:tmpl w:val="7ED4001C"/>
    <w:lvl w:ilvl="0" w:tplc="6AF00D78">
      <w:start w:val="1"/>
      <w:numFmt w:val="bullet"/>
      <w:lvlText w:val=""/>
      <w:lvlJc w:val="left"/>
      <w:pPr>
        <w:ind w:left="-1356" w:hanging="360"/>
      </w:pPr>
      <w:rPr>
        <w:rFonts w:ascii="Symbol" w:hAnsi="Symbol" w:hint="default"/>
      </w:rPr>
    </w:lvl>
    <w:lvl w:ilvl="1" w:tplc="0C090003" w:tentative="1">
      <w:start w:val="1"/>
      <w:numFmt w:val="bullet"/>
      <w:lvlText w:val="o"/>
      <w:lvlJc w:val="left"/>
      <w:pPr>
        <w:ind w:left="-636" w:hanging="360"/>
      </w:pPr>
      <w:rPr>
        <w:rFonts w:ascii="Courier New" w:hAnsi="Courier New" w:cs="Courier New" w:hint="default"/>
      </w:rPr>
    </w:lvl>
    <w:lvl w:ilvl="2" w:tplc="0C090005" w:tentative="1">
      <w:start w:val="1"/>
      <w:numFmt w:val="bullet"/>
      <w:lvlText w:val=""/>
      <w:lvlJc w:val="left"/>
      <w:pPr>
        <w:ind w:left="84" w:hanging="360"/>
      </w:pPr>
      <w:rPr>
        <w:rFonts w:ascii="Wingdings" w:hAnsi="Wingdings" w:hint="default"/>
      </w:rPr>
    </w:lvl>
    <w:lvl w:ilvl="3" w:tplc="0C090001" w:tentative="1">
      <w:start w:val="1"/>
      <w:numFmt w:val="bullet"/>
      <w:lvlText w:val=""/>
      <w:lvlJc w:val="left"/>
      <w:pPr>
        <w:ind w:left="804" w:hanging="360"/>
      </w:pPr>
      <w:rPr>
        <w:rFonts w:ascii="Symbol" w:hAnsi="Symbol" w:hint="default"/>
      </w:rPr>
    </w:lvl>
    <w:lvl w:ilvl="4" w:tplc="0C090003" w:tentative="1">
      <w:start w:val="1"/>
      <w:numFmt w:val="bullet"/>
      <w:lvlText w:val="o"/>
      <w:lvlJc w:val="left"/>
      <w:pPr>
        <w:ind w:left="1524" w:hanging="360"/>
      </w:pPr>
      <w:rPr>
        <w:rFonts w:ascii="Courier New" w:hAnsi="Courier New" w:cs="Courier New" w:hint="default"/>
      </w:rPr>
    </w:lvl>
    <w:lvl w:ilvl="5" w:tplc="0C090005" w:tentative="1">
      <w:start w:val="1"/>
      <w:numFmt w:val="bullet"/>
      <w:lvlText w:val=""/>
      <w:lvlJc w:val="left"/>
      <w:pPr>
        <w:ind w:left="2244" w:hanging="360"/>
      </w:pPr>
      <w:rPr>
        <w:rFonts w:ascii="Wingdings" w:hAnsi="Wingdings" w:hint="default"/>
      </w:rPr>
    </w:lvl>
    <w:lvl w:ilvl="6" w:tplc="0C090001" w:tentative="1">
      <w:start w:val="1"/>
      <w:numFmt w:val="bullet"/>
      <w:lvlText w:val=""/>
      <w:lvlJc w:val="left"/>
      <w:pPr>
        <w:ind w:left="2964" w:hanging="360"/>
      </w:pPr>
      <w:rPr>
        <w:rFonts w:ascii="Symbol" w:hAnsi="Symbol" w:hint="default"/>
      </w:rPr>
    </w:lvl>
    <w:lvl w:ilvl="7" w:tplc="0C090003" w:tentative="1">
      <w:start w:val="1"/>
      <w:numFmt w:val="bullet"/>
      <w:lvlText w:val="o"/>
      <w:lvlJc w:val="left"/>
      <w:pPr>
        <w:ind w:left="3684" w:hanging="360"/>
      </w:pPr>
      <w:rPr>
        <w:rFonts w:ascii="Courier New" w:hAnsi="Courier New" w:cs="Courier New" w:hint="default"/>
      </w:rPr>
    </w:lvl>
    <w:lvl w:ilvl="8" w:tplc="0C090005" w:tentative="1">
      <w:start w:val="1"/>
      <w:numFmt w:val="bullet"/>
      <w:lvlText w:val=""/>
      <w:lvlJc w:val="left"/>
      <w:pPr>
        <w:ind w:left="4404" w:hanging="360"/>
      </w:pPr>
      <w:rPr>
        <w:rFonts w:ascii="Wingdings" w:hAnsi="Wingdings" w:hint="default"/>
      </w:rPr>
    </w:lvl>
  </w:abstractNum>
  <w:abstractNum w:abstractNumId="5" w15:restartNumberingAfterBreak="0">
    <w:nsid w:val="1D2F4433"/>
    <w:multiLevelType w:val="hybridMultilevel"/>
    <w:tmpl w:val="658E6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57533A"/>
    <w:multiLevelType w:val="hybridMultilevel"/>
    <w:tmpl w:val="28D4C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B9230E"/>
    <w:multiLevelType w:val="hybridMultilevel"/>
    <w:tmpl w:val="0428D424"/>
    <w:lvl w:ilvl="0" w:tplc="0C090001">
      <w:start w:val="1"/>
      <w:numFmt w:val="bullet"/>
      <w:lvlText w:val=""/>
      <w:lvlJc w:val="left"/>
      <w:pPr>
        <w:ind w:left="-274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1300" w:hanging="360"/>
      </w:pPr>
      <w:rPr>
        <w:rFonts w:ascii="Wingdings" w:hAnsi="Wingdings" w:hint="default"/>
      </w:rPr>
    </w:lvl>
    <w:lvl w:ilvl="3" w:tplc="0C090001" w:tentative="1">
      <w:start w:val="1"/>
      <w:numFmt w:val="bullet"/>
      <w:lvlText w:val=""/>
      <w:lvlJc w:val="left"/>
      <w:pPr>
        <w:ind w:left="-580" w:hanging="360"/>
      </w:pPr>
      <w:rPr>
        <w:rFonts w:ascii="Symbol" w:hAnsi="Symbol" w:hint="default"/>
      </w:rPr>
    </w:lvl>
    <w:lvl w:ilvl="4" w:tplc="0C090003" w:tentative="1">
      <w:start w:val="1"/>
      <w:numFmt w:val="bullet"/>
      <w:lvlText w:val="o"/>
      <w:lvlJc w:val="left"/>
      <w:pPr>
        <w:ind w:left="140" w:hanging="360"/>
      </w:pPr>
      <w:rPr>
        <w:rFonts w:ascii="Courier New" w:hAnsi="Courier New" w:cs="Courier New" w:hint="default"/>
      </w:rPr>
    </w:lvl>
    <w:lvl w:ilvl="5" w:tplc="0C090005" w:tentative="1">
      <w:start w:val="1"/>
      <w:numFmt w:val="bullet"/>
      <w:lvlText w:val=""/>
      <w:lvlJc w:val="left"/>
      <w:pPr>
        <w:ind w:left="860" w:hanging="360"/>
      </w:pPr>
      <w:rPr>
        <w:rFonts w:ascii="Wingdings" w:hAnsi="Wingdings" w:hint="default"/>
      </w:rPr>
    </w:lvl>
    <w:lvl w:ilvl="6" w:tplc="0C090001" w:tentative="1">
      <w:start w:val="1"/>
      <w:numFmt w:val="bullet"/>
      <w:lvlText w:val=""/>
      <w:lvlJc w:val="left"/>
      <w:pPr>
        <w:ind w:left="1580" w:hanging="360"/>
      </w:pPr>
      <w:rPr>
        <w:rFonts w:ascii="Symbol" w:hAnsi="Symbol" w:hint="default"/>
      </w:rPr>
    </w:lvl>
    <w:lvl w:ilvl="7" w:tplc="0C090003" w:tentative="1">
      <w:start w:val="1"/>
      <w:numFmt w:val="bullet"/>
      <w:lvlText w:val="o"/>
      <w:lvlJc w:val="left"/>
      <w:pPr>
        <w:ind w:left="2300" w:hanging="360"/>
      </w:pPr>
      <w:rPr>
        <w:rFonts w:ascii="Courier New" w:hAnsi="Courier New" w:cs="Courier New" w:hint="default"/>
      </w:rPr>
    </w:lvl>
    <w:lvl w:ilvl="8" w:tplc="0C090005" w:tentative="1">
      <w:start w:val="1"/>
      <w:numFmt w:val="bullet"/>
      <w:lvlText w:val=""/>
      <w:lvlJc w:val="left"/>
      <w:pPr>
        <w:ind w:left="3020" w:hanging="360"/>
      </w:pPr>
      <w:rPr>
        <w:rFonts w:ascii="Wingdings" w:hAnsi="Wingdings" w:hint="default"/>
      </w:rPr>
    </w:lvl>
  </w:abstractNum>
  <w:abstractNum w:abstractNumId="8" w15:restartNumberingAfterBreak="0">
    <w:nsid w:val="294D365B"/>
    <w:multiLevelType w:val="hybridMultilevel"/>
    <w:tmpl w:val="1AACA474"/>
    <w:lvl w:ilvl="0" w:tplc="AD7874E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E271FD"/>
    <w:multiLevelType w:val="hybridMultilevel"/>
    <w:tmpl w:val="702A82F6"/>
    <w:lvl w:ilvl="0" w:tplc="0C090001">
      <w:start w:val="1"/>
      <w:numFmt w:val="bullet"/>
      <w:lvlText w:val=""/>
      <w:lvlJc w:val="left"/>
      <w:pPr>
        <w:ind w:left="383" w:hanging="360"/>
      </w:pPr>
      <w:rPr>
        <w:rFonts w:ascii="Symbol" w:hAnsi="Symbol" w:hint="default"/>
      </w:rPr>
    </w:lvl>
    <w:lvl w:ilvl="1" w:tplc="0C090003" w:tentative="1">
      <w:start w:val="1"/>
      <w:numFmt w:val="bullet"/>
      <w:lvlText w:val="o"/>
      <w:lvlJc w:val="left"/>
      <w:pPr>
        <w:ind w:left="1103" w:hanging="360"/>
      </w:pPr>
      <w:rPr>
        <w:rFonts w:ascii="Courier New" w:hAnsi="Courier New" w:cs="Courier New" w:hint="default"/>
      </w:rPr>
    </w:lvl>
    <w:lvl w:ilvl="2" w:tplc="0C090005" w:tentative="1">
      <w:start w:val="1"/>
      <w:numFmt w:val="bullet"/>
      <w:lvlText w:val=""/>
      <w:lvlJc w:val="left"/>
      <w:pPr>
        <w:ind w:left="1823" w:hanging="360"/>
      </w:pPr>
      <w:rPr>
        <w:rFonts w:ascii="Wingdings" w:hAnsi="Wingdings" w:hint="default"/>
      </w:rPr>
    </w:lvl>
    <w:lvl w:ilvl="3" w:tplc="0C090001" w:tentative="1">
      <w:start w:val="1"/>
      <w:numFmt w:val="bullet"/>
      <w:lvlText w:val=""/>
      <w:lvlJc w:val="left"/>
      <w:pPr>
        <w:ind w:left="2543" w:hanging="360"/>
      </w:pPr>
      <w:rPr>
        <w:rFonts w:ascii="Symbol" w:hAnsi="Symbol" w:hint="default"/>
      </w:rPr>
    </w:lvl>
    <w:lvl w:ilvl="4" w:tplc="0C090003" w:tentative="1">
      <w:start w:val="1"/>
      <w:numFmt w:val="bullet"/>
      <w:lvlText w:val="o"/>
      <w:lvlJc w:val="left"/>
      <w:pPr>
        <w:ind w:left="3263" w:hanging="360"/>
      </w:pPr>
      <w:rPr>
        <w:rFonts w:ascii="Courier New" w:hAnsi="Courier New" w:cs="Courier New" w:hint="default"/>
      </w:rPr>
    </w:lvl>
    <w:lvl w:ilvl="5" w:tplc="0C090005" w:tentative="1">
      <w:start w:val="1"/>
      <w:numFmt w:val="bullet"/>
      <w:lvlText w:val=""/>
      <w:lvlJc w:val="left"/>
      <w:pPr>
        <w:ind w:left="3983" w:hanging="360"/>
      </w:pPr>
      <w:rPr>
        <w:rFonts w:ascii="Wingdings" w:hAnsi="Wingdings" w:hint="default"/>
      </w:rPr>
    </w:lvl>
    <w:lvl w:ilvl="6" w:tplc="0C090001" w:tentative="1">
      <w:start w:val="1"/>
      <w:numFmt w:val="bullet"/>
      <w:lvlText w:val=""/>
      <w:lvlJc w:val="left"/>
      <w:pPr>
        <w:ind w:left="4703" w:hanging="360"/>
      </w:pPr>
      <w:rPr>
        <w:rFonts w:ascii="Symbol" w:hAnsi="Symbol" w:hint="default"/>
      </w:rPr>
    </w:lvl>
    <w:lvl w:ilvl="7" w:tplc="0C090003" w:tentative="1">
      <w:start w:val="1"/>
      <w:numFmt w:val="bullet"/>
      <w:lvlText w:val="o"/>
      <w:lvlJc w:val="left"/>
      <w:pPr>
        <w:ind w:left="5423" w:hanging="360"/>
      </w:pPr>
      <w:rPr>
        <w:rFonts w:ascii="Courier New" w:hAnsi="Courier New" w:cs="Courier New" w:hint="default"/>
      </w:rPr>
    </w:lvl>
    <w:lvl w:ilvl="8" w:tplc="0C090005" w:tentative="1">
      <w:start w:val="1"/>
      <w:numFmt w:val="bullet"/>
      <w:lvlText w:val=""/>
      <w:lvlJc w:val="left"/>
      <w:pPr>
        <w:ind w:left="6143" w:hanging="360"/>
      </w:pPr>
      <w:rPr>
        <w:rFonts w:ascii="Wingdings" w:hAnsi="Wingdings" w:hint="default"/>
      </w:rPr>
    </w:lvl>
  </w:abstractNum>
  <w:abstractNum w:abstractNumId="10" w15:restartNumberingAfterBreak="0">
    <w:nsid w:val="375E5665"/>
    <w:multiLevelType w:val="hybridMultilevel"/>
    <w:tmpl w:val="31DC3C18"/>
    <w:lvl w:ilvl="0" w:tplc="DEDC5B98">
      <w:start w:val="1"/>
      <w:numFmt w:val="bullet"/>
      <w:lvlText w:val=""/>
      <w:lvlJc w:val="left"/>
      <w:pPr>
        <w:ind w:left="820" w:hanging="360"/>
      </w:pPr>
      <w:rPr>
        <w:rFonts w:ascii="Symbol" w:eastAsia="Symbol" w:hAnsi="Symbol" w:hint="default"/>
        <w:w w:val="100"/>
        <w:sz w:val="22"/>
        <w:szCs w:val="22"/>
      </w:rPr>
    </w:lvl>
    <w:lvl w:ilvl="1" w:tplc="58A40A86">
      <w:start w:val="1"/>
      <w:numFmt w:val="bullet"/>
      <w:lvlText w:val="•"/>
      <w:lvlJc w:val="left"/>
      <w:pPr>
        <w:ind w:left="1660" w:hanging="360"/>
      </w:pPr>
      <w:rPr>
        <w:rFonts w:hint="default"/>
      </w:rPr>
    </w:lvl>
    <w:lvl w:ilvl="2" w:tplc="114AC5A4">
      <w:start w:val="1"/>
      <w:numFmt w:val="bullet"/>
      <w:lvlText w:val="•"/>
      <w:lvlJc w:val="left"/>
      <w:pPr>
        <w:ind w:left="2501" w:hanging="360"/>
      </w:pPr>
      <w:rPr>
        <w:rFonts w:hint="default"/>
      </w:rPr>
    </w:lvl>
    <w:lvl w:ilvl="3" w:tplc="9AB8F522">
      <w:start w:val="1"/>
      <w:numFmt w:val="bullet"/>
      <w:lvlText w:val="•"/>
      <w:lvlJc w:val="left"/>
      <w:pPr>
        <w:ind w:left="3341" w:hanging="360"/>
      </w:pPr>
      <w:rPr>
        <w:rFonts w:hint="default"/>
      </w:rPr>
    </w:lvl>
    <w:lvl w:ilvl="4" w:tplc="C7E8BD70">
      <w:start w:val="1"/>
      <w:numFmt w:val="bullet"/>
      <w:lvlText w:val="•"/>
      <w:lvlJc w:val="left"/>
      <w:pPr>
        <w:ind w:left="4182" w:hanging="360"/>
      </w:pPr>
      <w:rPr>
        <w:rFonts w:hint="default"/>
      </w:rPr>
    </w:lvl>
    <w:lvl w:ilvl="5" w:tplc="1C24D0CC">
      <w:start w:val="1"/>
      <w:numFmt w:val="bullet"/>
      <w:lvlText w:val="•"/>
      <w:lvlJc w:val="left"/>
      <w:pPr>
        <w:ind w:left="5023" w:hanging="360"/>
      </w:pPr>
      <w:rPr>
        <w:rFonts w:hint="default"/>
      </w:rPr>
    </w:lvl>
    <w:lvl w:ilvl="6" w:tplc="B9E29342">
      <w:start w:val="1"/>
      <w:numFmt w:val="bullet"/>
      <w:lvlText w:val="•"/>
      <w:lvlJc w:val="left"/>
      <w:pPr>
        <w:ind w:left="5863" w:hanging="360"/>
      </w:pPr>
      <w:rPr>
        <w:rFonts w:hint="default"/>
      </w:rPr>
    </w:lvl>
    <w:lvl w:ilvl="7" w:tplc="EEA84776">
      <w:start w:val="1"/>
      <w:numFmt w:val="bullet"/>
      <w:lvlText w:val="•"/>
      <w:lvlJc w:val="left"/>
      <w:pPr>
        <w:ind w:left="6704" w:hanging="360"/>
      </w:pPr>
      <w:rPr>
        <w:rFonts w:hint="default"/>
      </w:rPr>
    </w:lvl>
    <w:lvl w:ilvl="8" w:tplc="F8822756">
      <w:start w:val="1"/>
      <w:numFmt w:val="bullet"/>
      <w:lvlText w:val="•"/>
      <w:lvlJc w:val="left"/>
      <w:pPr>
        <w:ind w:left="7545" w:hanging="360"/>
      </w:pPr>
      <w:rPr>
        <w:rFonts w:hint="default"/>
      </w:rPr>
    </w:lvl>
  </w:abstractNum>
  <w:abstractNum w:abstractNumId="11" w15:restartNumberingAfterBreak="0">
    <w:nsid w:val="40CC1679"/>
    <w:multiLevelType w:val="hybridMultilevel"/>
    <w:tmpl w:val="CE68F806"/>
    <w:lvl w:ilvl="0" w:tplc="2BA84C76">
      <w:numFmt w:val="bullet"/>
      <w:lvlText w:val="•"/>
      <w:lvlJc w:val="left"/>
      <w:pPr>
        <w:ind w:left="90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F63371"/>
    <w:multiLevelType w:val="hybridMultilevel"/>
    <w:tmpl w:val="49FA7298"/>
    <w:lvl w:ilvl="0" w:tplc="AD7874E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697F85"/>
    <w:multiLevelType w:val="hybridMultilevel"/>
    <w:tmpl w:val="DDDA96D4"/>
    <w:lvl w:ilvl="0" w:tplc="2BA84C76">
      <w:numFmt w:val="bullet"/>
      <w:lvlText w:val="•"/>
      <w:lvlJc w:val="left"/>
      <w:pPr>
        <w:ind w:left="90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CA119B"/>
    <w:multiLevelType w:val="hybridMultilevel"/>
    <w:tmpl w:val="30046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6612D9D"/>
    <w:multiLevelType w:val="hybridMultilevel"/>
    <w:tmpl w:val="162C09E6"/>
    <w:lvl w:ilvl="0" w:tplc="2BA84C76">
      <w:numFmt w:val="bullet"/>
      <w:lvlText w:val="•"/>
      <w:lvlJc w:val="left"/>
      <w:pPr>
        <w:ind w:left="90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BB0D28"/>
    <w:multiLevelType w:val="hybridMultilevel"/>
    <w:tmpl w:val="BE4AB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E0F2F40"/>
    <w:multiLevelType w:val="hybridMultilevel"/>
    <w:tmpl w:val="EF30CB62"/>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8" w15:restartNumberingAfterBreak="0">
    <w:nsid w:val="659D01BF"/>
    <w:multiLevelType w:val="hybridMultilevel"/>
    <w:tmpl w:val="3998E0EE"/>
    <w:lvl w:ilvl="0" w:tplc="0C090001">
      <w:start w:val="1"/>
      <w:numFmt w:val="bullet"/>
      <w:lvlText w:val=""/>
      <w:lvlJc w:val="left"/>
      <w:pPr>
        <w:ind w:left="382" w:hanging="360"/>
      </w:pPr>
      <w:rPr>
        <w:rFonts w:ascii="Symbol" w:hAnsi="Symbol"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9" w15:restartNumberingAfterBreak="0">
    <w:nsid w:val="6B2C4DEB"/>
    <w:multiLevelType w:val="hybridMultilevel"/>
    <w:tmpl w:val="F24CDC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14B2B1C"/>
    <w:multiLevelType w:val="hybridMultilevel"/>
    <w:tmpl w:val="F6AA854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71B457F0"/>
    <w:multiLevelType w:val="hybridMultilevel"/>
    <w:tmpl w:val="C39CD6D0"/>
    <w:lvl w:ilvl="0" w:tplc="2BA84C76">
      <w:numFmt w:val="bullet"/>
      <w:lvlText w:val="•"/>
      <w:lvlJc w:val="left"/>
      <w:pPr>
        <w:ind w:left="900" w:hanging="360"/>
      </w:pPr>
      <w:rPr>
        <w:rFonts w:ascii="Calibri" w:eastAsiaTheme="minorHAnsi" w:hAnsi="Calibri" w:cs="Times New Roman"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2" w15:restartNumberingAfterBreak="0">
    <w:nsid w:val="72283BEE"/>
    <w:multiLevelType w:val="hybridMultilevel"/>
    <w:tmpl w:val="B36252EE"/>
    <w:lvl w:ilvl="0" w:tplc="0C090001">
      <w:start w:val="1"/>
      <w:numFmt w:val="bullet"/>
      <w:lvlText w:val=""/>
      <w:lvlJc w:val="left"/>
      <w:pPr>
        <w:ind w:left="1248" w:hanging="360"/>
      </w:pPr>
      <w:rPr>
        <w:rFonts w:ascii="Symbol" w:hAnsi="Symbol" w:hint="default"/>
      </w:rPr>
    </w:lvl>
    <w:lvl w:ilvl="1" w:tplc="0C090003" w:tentative="1">
      <w:start w:val="1"/>
      <w:numFmt w:val="bullet"/>
      <w:lvlText w:val="o"/>
      <w:lvlJc w:val="left"/>
      <w:pPr>
        <w:ind w:left="1968" w:hanging="360"/>
      </w:pPr>
      <w:rPr>
        <w:rFonts w:ascii="Courier New" w:hAnsi="Courier New" w:cs="Courier New" w:hint="default"/>
      </w:rPr>
    </w:lvl>
    <w:lvl w:ilvl="2" w:tplc="0C090005" w:tentative="1">
      <w:start w:val="1"/>
      <w:numFmt w:val="bullet"/>
      <w:lvlText w:val=""/>
      <w:lvlJc w:val="left"/>
      <w:pPr>
        <w:ind w:left="2688" w:hanging="360"/>
      </w:pPr>
      <w:rPr>
        <w:rFonts w:ascii="Wingdings" w:hAnsi="Wingdings" w:hint="default"/>
      </w:rPr>
    </w:lvl>
    <w:lvl w:ilvl="3" w:tplc="0C090001" w:tentative="1">
      <w:start w:val="1"/>
      <w:numFmt w:val="bullet"/>
      <w:lvlText w:val=""/>
      <w:lvlJc w:val="left"/>
      <w:pPr>
        <w:ind w:left="3408" w:hanging="360"/>
      </w:pPr>
      <w:rPr>
        <w:rFonts w:ascii="Symbol" w:hAnsi="Symbol" w:hint="default"/>
      </w:rPr>
    </w:lvl>
    <w:lvl w:ilvl="4" w:tplc="0C090003" w:tentative="1">
      <w:start w:val="1"/>
      <w:numFmt w:val="bullet"/>
      <w:lvlText w:val="o"/>
      <w:lvlJc w:val="left"/>
      <w:pPr>
        <w:ind w:left="4128" w:hanging="360"/>
      </w:pPr>
      <w:rPr>
        <w:rFonts w:ascii="Courier New" w:hAnsi="Courier New" w:cs="Courier New" w:hint="default"/>
      </w:rPr>
    </w:lvl>
    <w:lvl w:ilvl="5" w:tplc="0C090005" w:tentative="1">
      <w:start w:val="1"/>
      <w:numFmt w:val="bullet"/>
      <w:lvlText w:val=""/>
      <w:lvlJc w:val="left"/>
      <w:pPr>
        <w:ind w:left="4848" w:hanging="360"/>
      </w:pPr>
      <w:rPr>
        <w:rFonts w:ascii="Wingdings" w:hAnsi="Wingdings" w:hint="default"/>
      </w:rPr>
    </w:lvl>
    <w:lvl w:ilvl="6" w:tplc="0C090001" w:tentative="1">
      <w:start w:val="1"/>
      <w:numFmt w:val="bullet"/>
      <w:lvlText w:val=""/>
      <w:lvlJc w:val="left"/>
      <w:pPr>
        <w:ind w:left="5568" w:hanging="360"/>
      </w:pPr>
      <w:rPr>
        <w:rFonts w:ascii="Symbol" w:hAnsi="Symbol" w:hint="default"/>
      </w:rPr>
    </w:lvl>
    <w:lvl w:ilvl="7" w:tplc="0C090003" w:tentative="1">
      <w:start w:val="1"/>
      <w:numFmt w:val="bullet"/>
      <w:lvlText w:val="o"/>
      <w:lvlJc w:val="left"/>
      <w:pPr>
        <w:ind w:left="6288" w:hanging="360"/>
      </w:pPr>
      <w:rPr>
        <w:rFonts w:ascii="Courier New" w:hAnsi="Courier New" w:cs="Courier New" w:hint="default"/>
      </w:rPr>
    </w:lvl>
    <w:lvl w:ilvl="8" w:tplc="0C090005" w:tentative="1">
      <w:start w:val="1"/>
      <w:numFmt w:val="bullet"/>
      <w:lvlText w:val=""/>
      <w:lvlJc w:val="left"/>
      <w:pPr>
        <w:ind w:left="7008" w:hanging="360"/>
      </w:pPr>
      <w:rPr>
        <w:rFonts w:ascii="Wingdings" w:hAnsi="Wingdings" w:hint="default"/>
      </w:rPr>
    </w:lvl>
  </w:abstractNum>
  <w:abstractNum w:abstractNumId="23" w15:restartNumberingAfterBreak="0">
    <w:nsid w:val="72BA249A"/>
    <w:multiLevelType w:val="hybridMultilevel"/>
    <w:tmpl w:val="C5C6D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9F50E8"/>
    <w:multiLevelType w:val="multilevel"/>
    <w:tmpl w:val="184A5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4A1356"/>
    <w:multiLevelType w:val="hybridMultilevel"/>
    <w:tmpl w:val="2F845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C75D40"/>
    <w:multiLevelType w:val="hybridMultilevel"/>
    <w:tmpl w:val="3C4C84B0"/>
    <w:lvl w:ilvl="0" w:tplc="0C090001">
      <w:start w:val="1"/>
      <w:numFmt w:val="bullet"/>
      <w:lvlText w:val=""/>
      <w:lvlJc w:val="left"/>
      <w:pPr>
        <w:ind w:left="1665" w:hanging="360"/>
      </w:pPr>
      <w:rPr>
        <w:rFonts w:ascii="Symbol" w:hAnsi="Symbol" w:hint="default"/>
      </w:rPr>
    </w:lvl>
    <w:lvl w:ilvl="1" w:tplc="0C090003" w:tentative="1">
      <w:start w:val="1"/>
      <w:numFmt w:val="bullet"/>
      <w:lvlText w:val="o"/>
      <w:lvlJc w:val="left"/>
      <w:pPr>
        <w:ind w:left="2385" w:hanging="360"/>
      </w:pPr>
      <w:rPr>
        <w:rFonts w:ascii="Courier New" w:hAnsi="Courier New" w:cs="Courier New" w:hint="default"/>
      </w:rPr>
    </w:lvl>
    <w:lvl w:ilvl="2" w:tplc="0C090005" w:tentative="1">
      <w:start w:val="1"/>
      <w:numFmt w:val="bullet"/>
      <w:lvlText w:val=""/>
      <w:lvlJc w:val="left"/>
      <w:pPr>
        <w:ind w:left="3105" w:hanging="360"/>
      </w:pPr>
      <w:rPr>
        <w:rFonts w:ascii="Wingdings" w:hAnsi="Wingdings" w:hint="default"/>
      </w:rPr>
    </w:lvl>
    <w:lvl w:ilvl="3" w:tplc="0C090001" w:tentative="1">
      <w:start w:val="1"/>
      <w:numFmt w:val="bullet"/>
      <w:lvlText w:val=""/>
      <w:lvlJc w:val="left"/>
      <w:pPr>
        <w:ind w:left="3825" w:hanging="360"/>
      </w:pPr>
      <w:rPr>
        <w:rFonts w:ascii="Symbol" w:hAnsi="Symbol" w:hint="default"/>
      </w:rPr>
    </w:lvl>
    <w:lvl w:ilvl="4" w:tplc="0C090003" w:tentative="1">
      <w:start w:val="1"/>
      <w:numFmt w:val="bullet"/>
      <w:lvlText w:val="o"/>
      <w:lvlJc w:val="left"/>
      <w:pPr>
        <w:ind w:left="4545" w:hanging="360"/>
      </w:pPr>
      <w:rPr>
        <w:rFonts w:ascii="Courier New" w:hAnsi="Courier New" w:cs="Courier New" w:hint="default"/>
      </w:rPr>
    </w:lvl>
    <w:lvl w:ilvl="5" w:tplc="0C090005" w:tentative="1">
      <w:start w:val="1"/>
      <w:numFmt w:val="bullet"/>
      <w:lvlText w:val=""/>
      <w:lvlJc w:val="left"/>
      <w:pPr>
        <w:ind w:left="5265" w:hanging="360"/>
      </w:pPr>
      <w:rPr>
        <w:rFonts w:ascii="Wingdings" w:hAnsi="Wingdings" w:hint="default"/>
      </w:rPr>
    </w:lvl>
    <w:lvl w:ilvl="6" w:tplc="0C090001" w:tentative="1">
      <w:start w:val="1"/>
      <w:numFmt w:val="bullet"/>
      <w:lvlText w:val=""/>
      <w:lvlJc w:val="left"/>
      <w:pPr>
        <w:ind w:left="5985" w:hanging="360"/>
      </w:pPr>
      <w:rPr>
        <w:rFonts w:ascii="Symbol" w:hAnsi="Symbol" w:hint="default"/>
      </w:rPr>
    </w:lvl>
    <w:lvl w:ilvl="7" w:tplc="0C090003" w:tentative="1">
      <w:start w:val="1"/>
      <w:numFmt w:val="bullet"/>
      <w:lvlText w:val="o"/>
      <w:lvlJc w:val="left"/>
      <w:pPr>
        <w:ind w:left="6705" w:hanging="360"/>
      </w:pPr>
      <w:rPr>
        <w:rFonts w:ascii="Courier New" w:hAnsi="Courier New" w:cs="Courier New" w:hint="default"/>
      </w:rPr>
    </w:lvl>
    <w:lvl w:ilvl="8" w:tplc="0C090005" w:tentative="1">
      <w:start w:val="1"/>
      <w:numFmt w:val="bullet"/>
      <w:lvlText w:val=""/>
      <w:lvlJc w:val="left"/>
      <w:pPr>
        <w:ind w:left="7425" w:hanging="360"/>
      </w:pPr>
      <w:rPr>
        <w:rFonts w:ascii="Wingdings" w:hAnsi="Wingdings" w:hint="default"/>
      </w:rPr>
    </w:lvl>
  </w:abstractNum>
  <w:num w:numId="1">
    <w:abstractNumId w:val="20"/>
  </w:num>
  <w:num w:numId="2">
    <w:abstractNumId w:val="2"/>
  </w:num>
  <w:num w:numId="3">
    <w:abstractNumId w:val="26"/>
  </w:num>
  <w:num w:numId="4">
    <w:abstractNumId w:val="16"/>
  </w:num>
  <w:num w:numId="5">
    <w:abstractNumId w:val="25"/>
  </w:num>
  <w:num w:numId="6">
    <w:abstractNumId w:val="3"/>
  </w:num>
  <w:num w:numId="7">
    <w:abstractNumId w:val="5"/>
  </w:num>
  <w:num w:numId="8">
    <w:abstractNumId w:val="17"/>
  </w:num>
  <w:num w:numId="9">
    <w:abstractNumId w:val="21"/>
  </w:num>
  <w:num w:numId="10">
    <w:abstractNumId w:val="11"/>
  </w:num>
  <w:num w:numId="11">
    <w:abstractNumId w:val="13"/>
  </w:num>
  <w:num w:numId="12">
    <w:abstractNumId w:val="15"/>
  </w:num>
  <w:num w:numId="13">
    <w:abstractNumId w:val="0"/>
  </w:num>
  <w:num w:numId="14">
    <w:abstractNumId w:val="12"/>
  </w:num>
  <w:num w:numId="15">
    <w:abstractNumId w:val="8"/>
  </w:num>
  <w:num w:numId="16">
    <w:abstractNumId w:val="14"/>
  </w:num>
  <w:num w:numId="17">
    <w:abstractNumId w:val="23"/>
  </w:num>
  <w:num w:numId="18">
    <w:abstractNumId w:val="1"/>
  </w:num>
  <w:num w:numId="19">
    <w:abstractNumId w:val="19"/>
  </w:num>
  <w:num w:numId="20">
    <w:abstractNumId w:val="24"/>
  </w:num>
  <w:num w:numId="21">
    <w:abstractNumId w:val="22"/>
  </w:num>
  <w:num w:numId="22">
    <w:abstractNumId w:val="4"/>
  </w:num>
  <w:num w:numId="23">
    <w:abstractNumId w:val="7"/>
  </w:num>
  <w:num w:numId="24">
    <w:abstractNumId w:val="6"/>
  </w:num>
  <w:num w:numId="25">
    <w:abstractNumId w:val="10"/>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67"/>
    <w:rsid w:val="00046D73"/>
    <w:rsid w:val="000544EB"/>
    <w:rsid w:val="000A1625"/>
    <w:rsid w:val="000A4BDF"/>
    <w:rsid w:val="000E5B11"/>
    <w:rsid w:val="000E5B46"/>
    <w:rsid w:val="000F4AC1"/>
    <w:rsid w:val="00102BCE"/>
    <w:rsid w:val="00187FEC"/>
    <w:rsid w:val="00192A51"/>
    <w:rsid w:val="001A0E57"/>
    <w:rsid w:val="001D300F"/>
    <w:rsid w:val="00210A74"/>
    <w:rsid w:val="002402E5"/>
    <w:rsid w:val="00295766"/>
    <w:rsid w:val="002A5302"/>
    <w:rsid w:val="002C11AB"/>
    <w:rsid w:val="003000B1"/>
    <w:rsid w:val="00312B7F"/>
    <w:rsid w:val="00321932"/>
    <w:rsid w:val="00334D31"/>
    <w:rsid w:val="00352C62"/>
    <w:rsid w:val="003777F6"/>
    <w:rsid w:val="003C3D65"/>
    <w:rsid w:val="003E1025"/>
    <w:rsid w:val="004022C6"/>
    <w:rsid w:val="00454E06"/>
    <w:rsid w:val="004652E0"/>
    <w:rsid w:val="00476021"/>
    <w:rsid w:val="00492064"/>
    <w:rsid w:val="00492B21"/>
    <w:rsid w:val="004B5092"/>
    <w:rsid w:val="004E1200"/>
    <w:rsid w:val="004E21BB"/>
    <w:rsid w:val="004F05AD"/>
    <w:rsid w:val="005039DD"/>
    <w:rsid w:val="0057501F"/>
    <w:rsid w:val="0057579A"/>
    <w:rsid w:val="005853D9"/>
    <w:rsid w:val="005B52F7"/>
    <w:rsid w:val="005C3248"/>
    <w:rsid w:val="005F223B"/>
    <w:rsid w:val="00603940"/>
    <w:rsid w:val="006150A4"/>
    <w:rsid w:val="0061592C"/>
    <w:rsid w:val="0062611A"/>
    <w:rsid w:val="00635071"/>
    <w:rsid w:val="00651A68"/>
    <w:rsid w:val="00657B0E"/>
    <w:rsid w:val="006A0B0E"/>
    <w:rsid w:val="006D79A3"/>
    <w:rsid w:val="00711B84"/>
    <w:rsid w:val="00717F30"/>
    <w:rsid w:val="00732745"/>
    <w:rsid w:val="0076292B"/>
    <w:rsid w:val="007645D4"/>
    <w:rsid w:val="007A33A0"/>
    <w:rsid w:val="007B4F3B"/>
    <w:rsid w:val="007D08CF"/>
    <w:rsid w:val="007E58AB"/>
    <w:rsid w:val="007F0B5F"/>
    <w:rsid w:val="0081105E"/>
    <w:rsid w:val="00816C5C"/>
    <w:rsid w:val="00894AEA"/>
    <w:rsid w:val="008C1363"/>
    <w:rsid w:val="008C1A6A"/>
    <w:rsid w:val="008C4367"/>
    <w:rsid w:val="00904EE8"/>
    <w:rsid w:val="00946C99"/>
    <w:rsid w:val="00965D2E"/>
    <w:rsid w:val="00974F08"/>
    <w:rsid w:val="0098643C"/>
    <w:rsid w:val="009A1F1F"/>
    <w:rsid w:val="009B2C8E"/>
    <w:rsid w:val="009F7F66"/>
    <w:rsid w:val="00A053A0"/>
    <w:rsid w:val="00A05C24"/>
    <w:rsid w:val="00A21300"/>
    <w:rsid w:val="00A360D6"/>
    <w:rsid w:val="00A648E9"/>
    <w:rsid w:val="00A84231"/>
    <w:rsid w:val="00B250D4"/>
    <w:rsid w:val="00B63B8C"/>
    <w:rsid w:val="00B94762"/>
    <w:rsid w:val="00B95B66"/>
    <w:rsid w:val="00BB280D"/>
    <w:rsid w:val="00BB6085"/>
    <w:rsid w:val="00BF26F9"/>
    <w:rsid w:val="00C05109"/>
    <w:rsid w:val="00C07137"/>
    <w:rsid w:val="00C30AD5"/>
    <w:rsid w:val="00C339B3"/>
    <w:rsid w:val="00C45CED"/>
    <w:rsid w:val="00C870A6"/>
    <w:rsid w:val="00C87FFD"/>
    <w:rsid w:val="00C93F47"/>
    <w:rsid w:val="00C96A6E"/>
    <w:rsid w:val="00CA6CC0"/>
    <w:rsid w:val="00CE00A3"/>
    <w:rsid w:val="00CE0CCD"/>
    <w:rsid w:val="00D0101C"/>
    <w:rsid w:val="00D03C3F"/>
    <w:rsid w:val="00D16724"/>
    <w:rsid w:val="00DA6189"/>
    <w:rsid w:val="00DE1553"/>
    <w:rsid w:val="00DE4AC2"/>
    <w:rsid w:val="00DF0C2F"/>
    <w:rsid w:val="00DF469C"/>
    <w:rsid w:val="00E079F9"/>
    <w:rsid w:val="00E135D6"/>
    <w:rsid w:val="00E16F35"/>
    <w:rsid w:val="00E20233"/>
    <w:rsid w:val="00E330DE"/>
    <w:rsid w:val="00EA4ECD"/>
    <w:rsid w:val="00EC44B2"/>
    <w:rsid w:val="00EC47EE"/>
    <w:rsid w:val="00ED4EDD"/>
    <w:rsid w:val="00F14853"/>
    <w:rsid w:val="00F21392"/>
    <w:rsid w:val="00F32A1B"/>
    <w:rsid w:val="00F32C9D"/>
    <w:rsid w:val="00F3639A"/>
    <w:rsid w:val="00F45D2F"/>
    <w:rsid w:val="00F46054"/>
    <w:rsid w:val="00F5575E"/>
    <w:rsid w:val="00F57C71"/>
    <w:rsid w:val="00F643D4"/>
    <w:rsid w:val="00F77D87"/>
    <w:rsid w:val="00FB20C3"/>
    <w:rsid w:val="00FB484E"/>
    <w:rsid w:val="00FE06BD"/>
    <w:rsid w:val="00FE11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5328"/>
  <w15:docId w15:val="{3919FF8B-EBDB-4261-A522-C9B53AF2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02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E10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08CF"/>
    <w:pPr>
      <w:widowControl w:val="0"/>
      <w:spacing w:before="219"/>
      <w:ind w:left="548"/>
      <w:outlineLvl w:val="1"/>
    </w:pPr>
    <w:rPr>
      <w:rFonts w:ascii="Arial" w:eastAsia="Arial" w:hAnsi="Arial" w:cstheme="minorBidi"/>
      <w:b/>
      <w:bCs/>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C4367"/>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rsid w:val="008C4367"/>
  </w:style>
  <w:style w:type="character" w:customStyle="1" w:styleId="Headingblack">
    <w:name w:val="Heading black"/>
    <w:basedOn w:val="DefaultParagraphFont"/>
    <w:uiPriority w:val="99"/>
    <w:rsid w:val="008C4367"/>
    <w:rPr>
      <w:rFonts w:ascii="Arial" w:hAnsi="Arial" w:cs="Arial"/>
      <w:b/>
      <w:bCs/>
      <w:color w:val="000000"/>
      <w:sz w:val="28"/>
      <w:szCs w:val="28"/>
      <w:u w:val="none"/>
    </w:rPr>
  </w:style>
  <w:style w:type="character" w:customStyle="1" w:styleId="Bodytextblack">
    <w:name w:val="Body text black"/>
    <w:uiPriority w:val="99"/>
    <w:rsid w:val="008C4367"/>
    <w:rPr>
      <w:rFonts w:ascii="Arial" w:hAnsi="Arial" w:cs="Arial"/>
      <w:color w:val="000000"/>
      <w:sz w:val="17"/>
      <w:szCs w:val="17"/>
      <w:u w:val="none"/>
    </w:rPr>
  </w:style>
  <w:style w:type="character" w:customStyle="1" w:styleId="Hyperlinkteal">
    <w:name w:val="Hyperlink teal"/>
    <w:uiPriority w:val="99"/>
    <w:rsid w:val="008C4367"/>
    <w:rPr>
      <w:rFonts w:ascii="Arial" w:hAnsi="Arial" w:cs="Arial"/>
      <w:b/>
      <w:bCs/>
      <w:color w:val="35858D"/>
      <w:sz w:val="17"/>
      <w:szCs w:val="17"/>
      <w:u w:val="none"/>
    </w:rPr>
  </w:style>
  <w:style w:type="character" w:styleId="Hyperlink">
    <w:name w:val="Hyperlink"/>
    <w:basedOn w:val="DefaultParagraphFont"/>
    <w:uiPriority w:val="99"/>
    <w:unhideWhenUsed/>
    <w:rsid w:val="00CA6CC0"/>
    <w:rPr>
      <w:color w:val="0000FF"/>
      <w:u w:val="single"/>
    </w:rPr>
  </w:style>
  <w:style w:type="character" w:customStyle="1" w:styleId="Heading2Char">
    <w:name w:val="Heading 2 Char"/>
    <w:basedOn w:val="DefaultParagraphFont"/>
    <w:link w:val="Heading2"/>
    <w:uiPriority w:val="1"/>
    <w:rsid w:val="007D08CF"/>
    <w:rPr>
      <w:rFonts w:ascii="Arial" w:eastAsia="Arial" w:hAnsi="Arial"/>
      <w:b/>
      <w:bCs/>
      <w:sz w:val="44"/>
      <w:szCs w:val="44"/>
      <w:lang w:val="en-US"/>
    </w:rPr>
  </w:style>
  <w:style w:type="paragraph" w:styleId="BodyText">
    <w:name w:val="Body Text"/>
    <w:basedOn w:val="Normal"/>
    <w:link w:val="BodyTextChar"/>
    <w:uiPriority w:val="1"/>
    <w:qFormat/>
    <w:rsid w:val="007D08CF"/>
    <w:pPr>
      <w:widowControl w:val="0"/>
      <w:spacing w:before="173"/>
      <w:ind w:left="548" w:hanging="360"/>
    </w:pPr>
    <w:rPr>
      <w:rFonts w:ascii="Arial" w:eastAsia="Arial" w:hAnsi="Arial" w:cstheme="minorBidi"/>
      <w:sz w:val="36"/>
      <w:szCs w:val="36"/>
      <w:lang w:val="en-US"/>
    </w:rPr>
  </w:style>
  <w:style w:type="character" w:customStyle="1" w:styleId="BodyTextChar">
    <w:name w:val="Body Text Char"/>
    <w:basedOn w:val="DefaultParagraphFont"/>
    <w:link w:val="BodyText"/>
    <w:uiPriority w:val="1"/>
    <w:rsid w:val="007D08CF"/>
    <w:rPr>
      <w:rFonts w:ascii="Arial" w:eastAsia="Arial" w:hAnsi="Arial"/>
      <w:sz w:val="36"/>
      <w:szCs w:val="36"/>
      <w:lang w:val="en-US"/>
    </w:rPr>
  </w:style>
  <w:style w:type="paragraph" w:styleId="ListParagraph">
    <w:name w:val="List Paragraph"/>
    <w:basedOn w:val="Normal"/>
    <w:link w:val="ListParagraphChar"/>
    <w:uiPriority w:val="1"/>
    <w:qFormat/>
    <w:rsid w:val="007D08CF"/>
    <w:pPr>
      <w:widowControl w:val="0"/>
    </w:pPr>
    <w:rPr>
      <w:rFonts w:asciiTheme="minorHAnsi" w:hAnsiTheme="minorHAnsi" w:cstheme="minorBidi"/>
      <w:lang w:val="en-US"/>
    </w:rPr>
  </w:style>
  <w:style w:type="character" w:styleId="CommentReference">
    <w:name w:val="annotation reference"/>
    <w:basedOn w:val="DefaultParagraphFont"/>
    <w:uiPriority w:val="99"/>
    <w:semiHidden/>
    <w:unhideWhenUsed/>
    <w:rsid w:val="00974F08"/>
    <w:rPr>
      <w:sz w:val="16"/>
      <w:szCs w:val="16"/>
    </w:rPr>
  </w:style>
  <w:style w:type="paragraph" w:styleId="CommentText">
    <w:name w:val="annotation text"/>
    <w:basedOn w:val="Normal"/>
    <w:link w:val="CommentTextChar"/>
    <w:uiPriority w:val="99"/>
    <w:semiHidden/>
    <w:unhideWhenUsed/>
    <w:rsid w:val="00974F08"/>
    <w:rPr>
      <w:sz w:val="20"/>
      <w:szCs w:val="20"/>
    </w:rPr>
  </w:style>
  <w:style w:type="character" w:customStyle="1" w:styleId="CommentTextChar">
    <w:name w:val="Comment Text Char"/>
    <w:basedOn w:val="DefaultParagraphFont"/>
    <w:link w:val="CommentText"/>
    <w:uiPriority w:val="99"/>
    <w:semiHidden/>
    <w:rsid w:val="00974F0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4F08"/>
    <w:rPr>
      <w:b/>
      <w:bCs/>
    </w:rPr>
  </w:style>
  <w:style w:type="character" w:customStyle="1" w:styleId="CommentSubjectChar">
    <w:name w:val="Comment Subject Char"/>
    <w:basedOn w:val="CommentTextChar"/>
    <w:link w:val="CommentSubject"/>
    <w:uiPriority w:val="99"/>
    <w:semiHidden/>
    <w:rsid w:val="00974F08"/>
    <w:rPr>
      <w:rFonts w:ascii="Calibri" w:hAnsi="Calibri" w:cs="Times New Roman"/>
      <w:b/>
      <w:bCs/>
      <w:sz w:val="20"/>
      <w:szCs w:val="20"/>
    </w:rPr>
  </w:style>
  <w:style w:type="paragraph" w:styleId="BalloonText">
    <w:name w:val="Balloon Text"/>
    <w:basedOn w:val="Normal"/>
    <w:link w:val="BalloonTextChar"/>
    <w:uiPriority w:val="99"/>
    <w:semiHidden/>
    <w:unhideWhenUsed/>
    <w:rsid w:val="00974F08"/>
    <w:rPr>
      <w:rFonts w:ascii="Tahoma" w:hAnsi="Tahoma" w:cs="Tahoma"/>
      <w:sz w:val="16"/>
      <w:szCs w:val="16"/>
    </w:rPr>
  </w:style>
  <w:style w:type="character" w:customStyle="1" w:styleId="BalloonTextChar">
    <w:name w:val="Balloon Text Char"/>
    <w:basedOn w:val="DefaultParagraphFont"/>
    <w:link w:val="BalloonText"/>
    <w:uiPriority w:val="99"/>
    <w:semiHidden/>
    <w:rsid w:val="00974F08"/>
    <w:rPr>
      <w:rFonts w:ascii="Tahoma" w:hAnsi="Tahoma" w:cs="Tahoma"/>
      <w:sz w:val="16"/>
      <w:szCs w:val="16"/>
    </w:rPr>
  </w:style>
  <w:style w:type="table" w:styleId="TableGrid">
    <w:name w:val="Table Grid"/>
    <w:basedOn w:val="TableNormal"/>
    <w:uiPriority w:val="59"/>
    <w:rsid w:val="00492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645D4"/>
    <w:rPr>
      <w:lang w:val="en-US"/>
    </w:rPr>
  </w:style>
  <w:style w:type="paragraph" w:styleId="PlainText">
    <w:name w:val="Plain Text"/>
    <w:basedOn w:val="Normal"/>
    <w:link w:val="PlainTextChar"/>
    <w:uiPriority w:val="99"/>
    <w:semiHidden/>
    <w:unhideWhenUsed/>
    <w:rsid w:val="00946C99"/>
    <w:rPr>
      <w:rFonts w:cstheme="minorBidi"/>
      <w:szCs w:val="21"/>
    </w:rPr>
  </w:style>
  <w:style w:type="character" w:customStyle="1" w:styleId="PlainTextChar">
    <w:name w:val="Plain Text Char"/>
    <w:basedOn w:val="DefaultParagraphFont"/>
    <w:link w:val="PlainText"/>
    <w:uiPriority w:val="99"/>
    <w:semiHidden/>
    <w:rsid w:val="00946C99"/>
    <w:rPr>
      <w:rFonts w:ascii="Calibri" w:hAnsi="Calibri"/>
      <w:szCs w:val="21"/>
    </w:rPr>
  </w:style>
  <w:style w:type="character" w:customStyle="1" w:styleId="Heading1Char">
    <w:name w:val="Heading 1 Char"/>
    <w:basedOn w:val="DefaultParagraphFont"/>
    <w:link w:val="Heading1"/>
    <w:uiPriority w:val="9"/>
    <w:rsid w:val="003E102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648E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C11AB"/>
    <w:pPr>
      <w:spacing w:after="0" w:line="240" w:lineRule="auto"/>
    </w:pPr>
  </w:style>
  <w:style w:type="paragraph" w:styleId="Bibliography">
    <w:name w:val="Bibliography"/>
    <w:basedOn w:val="Normal"/>
    <w:next w:val="Normal"/>
    <w:uiPriority w:val="37"/>
    <w:unhideWhenUsed/>
    <w:rsid w:val="00E330DE"/>
    <w:pPr>
      <w:spacing w:after="160" w:line="259"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5393">
      <w:bodyDiv w:val="1"/>
      <w:marLeft w:val="0"/>
      <w:marRight w:val="0"/>
      <w:marTop w:val="0"/>
      <w:marBottom w:val="0"/>
      <w:divBdr>
        <w:top w:val="none" w:sz="0" w:space="0" w:color="auto"/>
        <w:left w:val="none" w:sz="0" w:space="0" w:color="auto"/>
        <w:bottom w:val="none" w:sz="0" w:space="0" w:color="auto"/>
        <w:right w:val="none" w:sz="0" w:space="0" w:color="auto"/>
      </w:divBdr>
    </w:div>
    <w:div w:id="437408297">
      <w:bodyDiv w:val="1"/>
      <w:marLeft w:val="0"/>
      <w:marRight w:val="0"/>
      <w:marTop w:val="0"/>
      <w:marBottom w:val="0"/>
      <w:divBdr>
        <w:top w:val="none" w:sz="0" w:space="0" w:color="auto"/>
        <w:left w:val="none" w:sz="0" w:space="0" w:color="auto"/>
        <w:bottom w:val="none" w:sz="0" w:space="0" w:color="auto"/>
        <w:right w:val="none" w:sz="0" w:space="0" w:color="auto"/>
      </w:divBdr>
    </w:div>
    <w:div w:id="636110407">
      <w:bodyDiv w:val="1"/>
      <w:marLeft w:val="0"/>
      <w:marRight w:val="0"/>
      <w:marTop w:val="0"/>
      <w:marBottom w:val="0"/>
      <w:divBdr>
        <w:top w:val="none" w:sz="0" w:space="0" w:color="auto"/>
        <w:left w:val="none" w:sz="0" w:space="0" w:color="auto"/>
        <w:bottom w:val="none" w:sz="0" w:space="0" w:color="auto"/>
        <w:right w:val="none" w:sz="0" w:space="0" w:color="auto"/>
      </w:divBdr>
    </w:div>
    <w:div w:id="672873942">
      <w:bodyDiv w:val="1"/>
      <w:marLeft w:val="0"/>
      <w:marRight w:val="0"/>
      <w:marTop w:val="0"/>
      <w:marBottom w:val="0"/>
      <w:divBdr>
        <w:top w:val="none" w:sz="0" w:space="0" w:color="auto"/>
        <w:left w:val="none" w:sz="0" w:space="0" w:color="auto"/>
        <w:bottom w:val="none" w:sz="0" w:space="0" w:color="auto"/>
        <w:right w:val="none" w:sz="0" w:space="0" w:color="auto"/>
      </w:divBdr>
    </w:div>
    <w:div w:id="840848633">
      <w:bodyDiv w:val="1"/>
      <w:marLeft w:val="0"/>
      <w:marRight w:val="0"/>
      <w:marTop w:val="0"/>
      <w:marBottom w:val="0"/>
      <w:divBdr>
        <w:top w:val="none" w:sz="0" w:space="0" w:color="auto"/>
        <w:left w:val="none" w:sz="0" w:space="0" w:color="auto"/>
        <w:bottom w:val="none" w:sz="0" w:space="0" w:color="auto"/>
        <w:right w:val="none" w:sz="0" w:space="0" w:color="auto"/>
      </w:divBdr>
    </w:div>
    <w:div w:id="1088962648">
      <w:bodyDiv w:val="1"/>
      <w:marLeft w:val="0"/>
      <w:marRight w:val="0"/>
      <w:marTop w:val="0"/>
      <w:marBottom w:val="0"/>
      <w:divBdr>
        <w:top w:val="none" w:sz="0" w:space="0" w:color="auto"/>
        <w:left w:val="none" w:sz="0" w:space="0" w:color="auto"/>
        <w:bottom w:val="none" w:sz="0" w:space="0" w:color="auto"/>
        <w:right w:val="none" w:sz="0" w:space="0" w:color="auto"/>
      </w:divBdr>
    </w:div>
    <w:div w:id="1332104623">
      <w:bodyDiv w:val="1"/>
      <w:marLeft w:val="0"/>
      <w:marRight w:val="0"/>
      <w:marTop w:val="0"/>
      <w:marBottom w:val="0"/>
      <w:divBdr>
        <w:top w:val="none" w:sz="0" w:space="0" w:color="auto"/>
        <w:left w:val="none" w:sz="0" w:space="0" w:color="auto"/>
        <w:bottom w:val="none" w:sz="0" w:space="0" w:color="auto"/>
        <w:right w:val="none" w:sz="0" w:space="0" w:color="auto"/>
      </w:divBdr>
    </w:div>
    <w:div w:id="1344016967">
      <w:bodyDiv w:val="1"/>
      <w:marLeft w:val="0"/>
      <w:marRight w:val="0"/>
      <w:marTop w:val="0"/>
      <w:marBottom w:val="0"/>
      <w:divBdr>
        <w:top w:val="none" w:sz="0" w:space="0" w:color="auto"/>
        <w:left w:val="none" w:sz="0" w:space="0" w:color="auto"/>
        <w:bottom w:val="none" w:sz="0" w:space="0" w:color="auto"/>
        <w:right w:val="none" w:sz="0" w:space="0" w:color="auto"/>
      </w:divBdr>
    </w:div>
    <w:div w:id="1434469893">
      <w:bodyDiv w:val="1"/>
      <w:marLeft w:val="0"/>
      <w:marRight w:val="0"/>
      <w:marTop w:val="0"/>
      <w:marBottom w:val="0"/>
      <w:divBdr>
        <w:top w:val="none" w:sz="0" w:space="0" w:color="auto"/>
        <w:left w:val="none" w:sz="0" w:space="0" w:color="auto"/>
        <w:bottom w:val="none" w:sz="0" w:space="0" w:color="auto"/>
        <w:right w:val="none" w:sz="0" w:space="0" w:color="auto"/>
      </w:divBdr>
    </w:div>
    <w:div w:id="17460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national-quality-agenda-it-system" TargetMode="External"/><Relationship Id="rId13" Type="http://schemas.openxmlformats.org/officeDocument/2006/relationships/hyperlink" Target="http://www.acecqa.gov.au/educators-and-providers1/qualification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www.acecqa.gov.au/educators-and-providers1/national-registers" TargetMode="External"/><Relationship Id="rId12" Type="http://schemas.openxmlformats.org/officeDocument/2006/relationships/hyperlink" Target="http://www.acecqa.gov.au/notific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http://www.acecqa.gov.au/national-quality-framework-snapshots" TargetMode="External"/><Relationship Id="rId11" Type="http://schemas.openxmlformats.org/officeDocument/2006/relationships/hyperlink" Target="http://www.education.vic.gov.au/childhood/providers/support/Pages/emergency.aspx" TargetMode="External"/><Relationship Id="rId5" Type="http://schemas.openxmlformats.org/officeDocument/2006/relationships/webSettings" Target="webSettings.xml"/><Relationship Id="rId15" Type="http://schemas.openxmlformats.org/officeDocument/2006/relationships/hyperlink" Target="http://www.worksafe.vic.gov.au/safety-and-prevention/your-industry/early-learning" TargetMode="External"/><Relationship Id="rId10" Type="http://schemas.openxmlformats.org/officeDocument/2006/relationships/hyperlink" Target="mailto:licensedchildrensservices@edumail.vic.gov.a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ducation.vic.gov.au/about/programs/health/Pages/bushfirerisk.aspx" TargetMode="External"/><Relationship Id="rId14" Type="http://schemas.openxmlformats.org/officeDocument/2006/relationships/hyperlink" Target="http://www.education.vic.gov.au/childhood/providers/regulation/Pages/nqffactshee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ACE13</b:Tag>
    <b:SourceType>Report</b:SourceType>
    <b:Guid>{C0DE22D0-98DE-4115-9BCD-01683017B7E7}</b:Guid>
    <b:Title>Guide to the National Quality Standard</b:Title>
    <b:Year>September 2013</b:Year>
    <b:Author>
      <b:Author>
        <b:NameList>
          <b:Person>
            <b:Last>ACECQA</b:Last>
          </b:Person>
        </b:NameList>
      </b:Author>
    </b:Author>
    <b:Publisher>ACECQA</b:Publisher>
    <b:RefOrder>1</b:RefOrder>
  </b:Source>
  <b:Source>
    <b:Tag>Ann13</b:Tag>
    <b:SourceType>Book</b:SourceType>
    <b:Guid>{7AEC607B-7D25-4EEA-AAEB-F28DA4DA2CF5}</b:Guid>
    <b:Author>
      <b:Author>
        <b:NameList>
          <b:Person>
            <b:Last>Pelo</b:Last>
            <b:First>Ann</b:First>
          </b:Person>
        </b:NameList>
      </b:Author>
    </b:Author>
    <b:Title>Goodness of Rain </b:Title>
    <b:Year>2013</b:Year>
    <b:City>Washington</b:City>
    <b:Publisher>Exchange Press </b:Publisher>
    <b:RefOrder>2</b:RefOrder>
  </b:Source>
  <b:Source>
    <b:Tag>Dep09</b:Tag>
    <b:SourceType>Book</b:SourceType>
    <b:Guid>{E78495B8-079E-478D-B48F-9264091B19AD}</b:Guid>
    <b:Author>
      <b:Author>
        <b:Corporate>DEEWR </b:Corporate>
      </b:Author>
    </b:Author>
    <b:Title>Belonging, being and becoming: The early years learning framework for Australia.</b:Title>
    <b:Year>2009</b:Year>
    <b:City>Canberra</b:City>
    <b:Publisher>Commonwealth of Australia</b:Publisher>
    <b:RefOrder>3</b:RefOrder>
  </b:Source>
</b:Sourc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C70E418-442B-45C8-A20B-7D50E7B0E420}"/>
</file>

<file path=customXml/itemProps2.xml><?xml version="1.0" encoding="utf-8"?>
<ds:datastoreItem xmlns:ds="http://schemas.openxmlformats.org/officeDocument/2006/customXml" ds:itemID="{5B3C7E3D-6734-4668-892D-4B069E84BC1B}"/>
</file>

<file path=customXml/itemProps3.xml><?xml version="1.0" encoding="utf-8"?>
<ds:datastoreItem xmlns:ds="http://schemas.openxmlformats.org/officeDocument/2006/customXml" ds:itemID="{32BBEF3E-3DAB-4378-B340-7462727A7198}"/>
</file>

<file path=customXml/itemProps4.xml><?xml version="1.0" encoding="utf-8"?>
<ds:datastoreItem xmlns:ds="http://schemas.openxmlformats.org/officeDocument/2006/customXml" ds:itemID="{DF7BC5C8-6756-4D53-AF8F-904F7B367B1D}"/>
</file>

<file path=docProps/app.xml><?xml version="1.0" encoding="utf-8"?>
<Properties xmlns="http://schemas.openxmlformats.org/officeDocument/2006/extended-properties" xmlns:vt="http://schemas.openxmlformats.org/officeDocument/2006/docPropsVTypes">
  <Template>Normal</Template>
  <TotalTime>943</TotalTime>
  <Pages>1</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Marian M</dc:creator>
  <cp:lastModifiedBy>Kringas, Andrew P</cp:lastModifiedBy>
  <cp:revision>29</cp:revision>
  <cp:lastPrinted>2016-11-18T05:36:00Z</cp:lastPrinted>
  <dcterms:created xsi:type="dcterms:W3CDTF">2016-10-09T01:01:00Z</dcterms:created>
  <dcterms:modified xsi:type="dcterms:W3CDTF">2016-12-12T03:08:00Z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