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word/commentsExtended.xml" ContentType="application/vnd.openxmlformats-officedocument.wordprocessingml.commentsExtended+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367" w:rsidRPr="00DE1553" w:rsidRDefault="008C4367" w:rsidP="00974F08">
      <w:pPr>
        <w:pStyle w:val="BasicParagraph"/>
        <w:suppressAutoHyphens/>
        <w:spacing w:before="113" w:line="240" w:lineRule="auto"/>
        <w:ind w:right="170"/>
        <w:rPr>
          <w:rStyle w:val="Headingblack"/>
          <w:rFonts w:asciiTheme="minorHAnsi" w:hAnsiTheme="minorHAnsi"/>
          <w:sz w:val="24"/>
          <w:szCs w:val="24"/>
        </w:rPr>
      </w:pPr>
      <w:r w:rsidRPr="00DE1553">
        <w:rPr>
          <w:rStyle w:val="Headingblack"/>
          <w:rFonts w:asciiTheme="minorHAnsi" w:hAnsiTheme="minorHAnsi"/>
          <w:sz w:val="24"/>
          <w:szCs w:val="24"/>
        </w:rPr>
        <w:t>Regulation and Quality Assessment Update</w:t>
      </w:r>
    </w:p>
    <w:p w:rsidR="008C4367" w:rsidRPr="00DE1553" w:rsidRDefault="00DE1553" w:rsidP="00974F08">
      <w:pPr>
        <w:pStyle w:val="BasicParagraph"/>
        <w:suppressAutoHyphens/>
        <w:spacing w:before="113" w:line="240" w:lineRule="auto"/>
        <w:ind w:right="170"/>
        <w:rPr>
          <w:rStyle w:val="Headingblack"/>
          <w:rFonts w:asciiTheme="minorHAnsi" w:hAnsiTheme="minorHAnsi"/>
          <w:sz w:val="22"/>
          <w:szCs w:val="22"/>
        </w:rPr>
      </w:pPr>
      <w:r w:rsidRPr="00DE1553">
        <w:rPr>
          <w:rStyle w:val="Headingblack"/>
          <w:rFonts w:asciiTheme="minorHAnsi" w:hAnsiTheme="minorHAnsi"/>
          <w:sz w:val="22"/>
          <w:szCs w:val="22"/>
        </w:rPr>
        <w:t>I</w:t>
      </w:r>
      <w:r w:rsidR="00243C2B">
        <w:rPr>
          <w:rStyle w:val="Headingblack"/>
          <w:rFonts w:asciiTheme="minorHAnsi" w:hAnsiTheme="minorHAnsi"/>
          <w:sz w:val="22"/>
          <w:szCs w:val="22"/>
        </w:rPr>
        <w:t>ssue 21/ AUG</w:t>
      </w:r>
      <w:r w:rsidR="008C4367" w:rsidRPr="00DE1553">
        <w:rPr>
          <w:rStyle w:val="Headingblack"/>
          <w:rFonts w:asciiTheme="minorHAnsi" w:hAnsiTheme="minorHAnsi"/>
          <w:sz w:val="22"/>
          <w:szCs w:val="22"/>
        </w:rPr>
        <w:t xml:space="preserve"> 2016</w:t>
      </w:r>
    </w:p>
    <w:p w:rsidR="008C4367" w:rsidRPr="00DE1553" w:rsidRDefault="008C4367" w:rsidP="00974F08">
      <w:pPr>
        <w:pStyle w:val="BasicParagraph"/>
        <w:suppressAutoHyphens/>
        <w:spacing w:before="113" w:line="240" w:lineRule="auto"/>
        <w:ind w:right="170"/>
        <w:rPr>
          <w:rStyle w:val="Headingblack"/>
          <w:rFonts w:asciiTheme="minorHAnsi" w:hAnsiTheme="minorHAnsi"/>
          <w:sz w:val="24"/>
          <w:szCs w:val="24"/>
        </w:rPr>
      </w:pPr>
      <w:r w:rsidRPr="00DE1553">
        <w:rPr>
          <w:rStyle w:val="Headingblack"/>
          <w:rFonts w:asciiTheme="minorHAnsi" w:hAnsiTheme="minorHAnsi"/>
          <w:sz w:val="24"/>
          <w:szCs w:val="24"/>
        </w:rPr>
        <w:t>LATEST NEWS</w:t>
      </w:r>
    </w:p>
    <w:p w:rsidR="008C4367" w:rsidRDefault="008C4367" w:rsidP="00974F08">
      <w:pPr>
        <w:rPr>
          <w:rStyle w:val="Headingblack"/>
          <w:rFonts w:asciiTheme="minorHAnsi" w:hAnsiTheme="minorHAnsi"/>
          <w:b w:val="0"/>
          <w:bCs w:val="0"/>
          <w:color w:val="000000" w:themeColor="text1"/>
          <w:sz w:val="22"/>
          <w:szCs w:val="22"/>
        </w:rPr>
      </w:pPr>
      <w:r w:rsidRPr="00DE1553">
        <w:rPr>
          <w:rStyle w:val="Headingblack"/>
          <w:rFonts w:asciiTheme="minorHAnsi" w:hAnsiTheme="minorHAnsi"/>
          <w:b w:val="0"/>
          <w:bCs w:val="0"/>
          <w:color w:val="000000" w:themeColor="text1"/>
          <w:sz w:val="22"/>
          <w:szCs w:val="22"/>
        </w:rPr>
        <w:t xml:space="preserve">Welcome to the third edition of the Regulation and Quality Assessment Update for 2016. </w:t>
      </w:r>
    </w:p>
    <w:p w:rsidR="004E1200" w:rsidRPr="00DE1553" w:rsidRDefault="004E1200" w:rsidP="00974F08">
      <w:pPr>
        <w:rPr>
          <w:rStyle w:val="Headingblack"/>
          <w:rFonts w:asciiTheme="minorHAnsi" w:hAnsiTheme="minorHAnsi"/>
          <w:b w:val="0"/>
          <w:bCs w:val="0"/>
          <w:color w:val="000000" w:themeColor="text1"/>
          <w:sz w:val="22"/>
          <w:szCs w:val="22"/>
        </w:rPr>
      </w:pPr>
    </w:p>
    <w:p w:rsidR="004E1200" w:rsidRDefault="008C4367" w:rsidP="00974F08">
      <w:pPr>
        <w:rPr>
          <w:rStyle w:val="Headingblack"/>
          <w:rFonts w:asciiTheme="minorHAnsi" w:hAnsiTheme="minorHAnsi"/>
          <w:b w:val="0"/>
          <w:bCs w:val="0"/>
          <w:color w:val="000000" w:themeColor="text1"/>
          <w:sz w:val="22"/>
          <w:szCs w:val="22"/>
        </w:rPr>
      </w:pPr>
      <w:r w:rsidRPr="00DE1553">
        <w:rPr>
          <w:rStyle w:val="Headingblack"/>
          <w:rFonts w:asciiTheme="minorHAnsi" w:hAnsiTheme="minorHAnsi"/>
          <w:b w:val="0"/>
          <w:bCs w:val="0"/>
          <w:color w:val="000000" w:themeColor="text1"/>
          <w:sz w:val="22"/>
          <w:szCs w:val="22"/>
        </w:rPr>
        <w:t xml:space="preserve">I am delighted to publish the second </w:t>
      </w:r>
      <w:r w:rsidR="004E1200" w:rsidRPr="00DE1553">
        <w:rPr>
          <w:rStyle w:val="Headingblack"/>
          <w:rFonts w:asciiTheme="minorHAnsi" w:hAnsiTheme="minorHAnsi"/>
          <w:b w:val="0"/>
          <w:bCs w:val="0"/>
          <w:color w:val="000000" w:themeColor="text1"/>
          <w:sz w:val="22"/>
          <w:szCs w:val="22"/>
        </w:rPr>
        <w:t xml:space="preserve">annual report for </w:t>
      </w:r>
      <w:r w:rsidR="004E1200">
        <w:rPr>
          <w:rStyle w:val="Headingblack"/>
          <w:rFonts w:asciiTheme="minorHAnsi" w:hAnsiTheme="minorHAnsi"/>
          <w:b w:val="0"/>
          <w:bCs w:val="0"/>
          <w:color w:val="000000" w:themeColor="text1"/>
          <w:sz w:val="22"/>
          <w:szCs w:val="22"/>
        </w:rPr>
        <w:t xml:space="preserve">the </w:t>
      </w:r>
      <w:r w:rsidRPr="00DE1553">
        <w:rPr>
          <w:rStyle w:val="Headingblack"/>
          <w:rFonts w:asciiTheme="minorHAnsi" w:hAnsiTheme="minorHAnsi"/>
          <w:b w:val="0"/>
          <w:bCs w:val="0"/>
          <w:color w:val="000000" w:themeColor="text1"/>
          <w:sz w:val="22"/>
          <w:szCs w:val="22"/>
        </w:rPr>
        <w:t>Quality Assessment</w:t>
      </w:r>
      <w:r w:rsidR="00373912">
        <w:rPr>
          <w:rStyle w:val="Headingblack"/>
          <w:rFonts w:asciiTheme="minorHAnsi" w:hAnsiTheme="minorHAnsi"/>
          <w:b w:val="0"/>
          <w:bCs w:val="0"/>
          <w:color w:val="000000" w:themeColor="text1"/>
          <w:sz w:val="22"/>
          <w:szCs w:val="22"/>
        </w:rPr>
        <w:t xml:space="preserve"> and Regulation Division (QARD)</w:t>
      </w:r>
      <w:r w:rsidR="004E1200">
        <w:rPr>
          <w:rStyle w:val="Headingblack"/>
          <w:rFonts w:asciiTheme="minorHAnsi" w:hAnsiTheme="minorHAnsi"/>
          <w:b w:val="0"/>
          <w:bCs w:val="0"/>
          <w:color w:val="000000" w:themeColor="text1"/>
          <w:sz w:val="22"/>
          <w:szCs w:val="22"/>
        </w:rPr>
        <w:t xml:space="preserve"> covering </w:t>
      </w:r>
      <w:r w:rsidR="00894AEA" w:rsidRPr="00DE1553">
        <w:rPr>
          <w:rStyle w:val="Headingblack"/>
          <w:rFonts w:asciiTheme="minorHAnsi" w:hAnsiTheme="minorHAnsi"/>
          <w:b w:val="0"/>
          <w:bCs w:val="0"/>
          <w:color w:val="000000" w:themeColor="text1"/>
          <w:sz w:val="22"/>
          <w:szCs w:val="22"/>
        </w:rPr>
        <w:t xml:space="preserve">the period </w:t>
      </w:r>
      <w:r w:rsidR="004E1200">
        <w:rPr>
          <w:rStyle w:val="Headingblack"/>
          <w:rFonts w:asciiTheme="minorHAnsi" w:hAnsiTheme="minorHAnsi"/>
          <w:b w:val="0"/>
          <w:bCs w:val="0"/>
          <w:color w:val="000000" w:themeColor="text1"/>
          <w:sz w:val="22"/>
          <w:szCs w:val="22"/>
        </w:rPr>
        <w:t xml:space="preserve">from </w:t>
      </w:r>
      <w:r w:rsidR="00894AEA" w:rsidRPr="00DE1553">
        <w:rPr>
          <w:rStyle w:val="Headingblack"/>
          <w:rFonts w:asciiTheme="minorHAnsi" w:hAnsiTheme="minorHAnsi"/>
          <w:b w:val="0"/>
          <w:bCs w:val="0"/>
          <w:color w:val="000000" w:themeColor="text1"/>
          <w:sz w:val="22"/>
          <w:szCs w:val="22"/>
        </w:rPr>
        <w:t xml:space="preserve">1 January to 31 December </w:t>
      </w:r>
      <w:r w:rsidRPr="00DE1553">
        <w:rPr>
          <w:rStyle w:val="Headingblack"/>
          <w:rFonts w:asciiTheme="minorHAnsi" w:hAnsiTheme="minorHAnsi"/>
          <w:b w:val="0"/>
          <w:bCs w:val="0"/>
          <w:color w:val="000000" w:themeColor="text1"/>
          <w:sz w:val="22"/>
          <w:szCs w:val="22"/>
        </w:rPr>
        <w:t>2015. The annual report details the functions of QARD, key highlights for 2015, new initiatives, and for the first time includes case studies.</w:t>
      </w:r>
      <w:r w:rsidR="00373912" w:rsidRPr="00373912">
        <w:rPr>
          <w:rStyle w:val="Headingblack"/>
          <w:rFonts w:asciiTheme="minorHAnsi" w:hAnsiTheme="minorHAnsi"/>
          <w:b w:val="0"/>
          <w:bCs w:val="0"/>
          <w:color w:val="000000" w:themeColor="text1"/>
          <w:sz w:val="22"/>
          <w:szCs w:val="22"/>
        </w:rPr>
        <w:t xml:space="preserve"> </w:t>
      </w:r>
      <w:r w:rsidR="00373912" w:rsidRPr="00DE1553">
        <w:rPr>
          <w:rStyle w:val="Headingblack"/>
          <w:rFonts w:asciiTheme="minorHAnsi" w:hAnsiTheme="minorHAnsi"/>
          <w:b w:val="0"/>
          <w:bCs w:val="0"/>
          <w:color w:val="000000" w:themeColor="text1"/>
          <w:sz w:val="22"/>
          <w:szCs w:val="22"/>
        </w:rPr>
        <w:t>The full report has been published on the Department</w:t>
      </w:r>
      <w:r w:rsidR="00373912">
        <w:rPr>
          <w:rStyle w:val="Headingblack"/>
          <w:rFonts w:asciiTheme="minorHAnsi" w:hAnsiTheme="minorHAnsi"/>
          <w:b w:val="0"/>
          <w:bCs w:val="0"/>
          <w:color w:val="000000" w:themeColor="text1"/>
          <w:sz w:val="22"/>
          <w:szCs w:val="22"/>
        </w:rPr>
        <w:t xml:space="preserve"> of Education and Training (the Department)</w:t>
      </w:r>
      <w:r w:rsidR="00373912" w:rsidRPr="00DE1553">
        <w:rPr>
          <w:rStyle w:val="Headingblack"/>
          <w:rFonts w:asciiTheme="minorHAnsi" w:hAnsiTheme="minorHAnsi"/>
          <w:b w:val="0"/>
          <w:bCs w:val="0"/>
          <w:color w:val="000000" w:themeColor="text1"/>
          <w:sz w:val="22"/>
          <w:szCs w:val="22"/>
        </w:rPr>
        <w:t xml:space="preserve"> website</w:t>
      </w:r>
      <w:r w:rsidR="00373912">
        <w:rPr>
          <w:rStyle w:val="Headingblack"/>
          <w:rFonts w:asciiTheme="minorHAnsi" w:hAnsiTheme="minorHAnsi"/>
          <w:b w:val="0"/>
          <w:bCs w:val="0"/>
          <w:color w:val="000000" w:themeColor="text1"/>
          <w:sz w:val="22"/>
          <w:szCs w:val="22"/>
        </w:rPr>
        <w:t xml:space="preserve"> at</w:t>
      </w:r>
      <w:r w:rsidR="00373912">
        <w:rPr>
          <w:rStyle w:val="Headingblack"/>
          <w:rFonts w:asciiTheme="minorHAnsi" w:hAnsiTheme="minorHAnsi"/>
          <w:b w:val="0"/>
          <w:bCs w:val="0"/>
          <w:color w:val="000000" w:themeColor="text1"/>
          <w:sz w:val="22"/>
          <w:szCs w:val="22"/>
        </w:rPr>
        <w:t xml:space="preserve">: </w:t>
      </w:r>
      <w:hyperlink r:id="rId7" w:history="1">
        <w:r w:rsidR="00373912" w:rsidRPr="00F66212">
          <w:rPr>
            <w:rStyle w:val="Hyperlink"/>
            <w:rFonts w:asciiTheme="minorHAnsi" w:hAnsiTheme="minorHAnsi" w:cs="Arial"/>
          </w:rPr>
          <w:t>www.education.vic.gov.au/childhood/providers/regulation/Pages/newsletters.aspx</w:t>
        </w:r>
      </w:hyperlink>
    </w:p>
    <w:p w:rsidR="008C4367" w:rsidRPr="00DE1553" w:rsidRDefault="008C4367" w:rsidP="00974F08">
      <w:pPr>
        <w:rPr>
          <w:rStyle w:val="Headingblack"/>
          <w:rFonts w:asciiTheme="minorHAnsi" w:hAnsiTheme="minorHAnsi"/>
          <w:b w:val="0"/>
          <w:bCs w:val="0"/>
          <w:color w:val="000000" w:themeColor="text1"/>
          <w:sz w:val="22"/>
          <w:szCs w:val="22"/>
        </w:rPr>
      </w:pPr>
      <w:r w:rsidRPr="00DE1553">
        <w:rPr>
          <w:rStyle w:val="Headingblack"/>
          <w:rFonts w:asciiTheme="minorHAnsi" w:hAnsiTheme="minorHAnsi"/>
          <w:b w:val="0"/>
          <w:bCs w:val="0"/>
          <w:color w:val="000000" w:themeColor="text1"/>
          <w:sz w:val="22"/>
          <w:szCs w:val="22"/>
        </w:rPr>
        <w:t xml:space="preserve">   </w:t>
      </w:r>
    </w:p>
    <w:p w:rsidR="008C4367" w:rsidRDefault="008C4367" w:rsidP="00974F08">
      <w:pPr>
        <w:rPr>
          <w:rStyle w:val="Headingblack"/>
          <w:rFonts w:asciiTheme="minorHAnsi" w:hAnsiTheme="minorHAnsi"/>
          <w:b w:val="0"/>
          <w:bCs w:val="0"/>
          <w:color w:val="000000" w:themeColor="text1"/>
          <w:sz w:val="22"/>
          <w:szCs w:val="22"/>
        </w:rPr>
      </w:pPr>
      <w:r w:rsidRPr="00DE1553">
        <w:rPr>
          <w:rStyle w:val="Headingblack"/>
          <w:rFonts w:asciiTheme="minorHAnsi" w:hAnsiTheme="minorHAnsi"/>
          <w:b w:val="0"/>
          <w:bCs w:val="0"/>
          <w:color w:val="000000" w:themeColor="text1"/>
          <w:sz w:val="22"/>
          <w:szCs w:val="22"/>
        </w:rPr>
        <w:t>For 2015, QARD continued to proactively engage stakeholders through targeted education and training programs</w:t>
      </w:r>
      <w:r w:rsidR="00F14853">
        <w:rPr>
          <w:rStyle w:val="Headingblack"/>
          <w:rFonts w:asciiTheme="minorHAnsi" w:hAnsiTheme="minorHAnsi"/>
          <w:b w:val="0"/>
          <w:bCs w:val="0"/>
          <w:color w:val="000000" w:themeColor="text1"/>
          <w:sz w:val="22"/>
          <w:szCs w:val="22"/>
        </w:rPr>
        <w:t>,</w:t>
      </w:r>
      <w:r w:rsidRPr="00DE1553">
        <w:rPr>
          <w:rStyle w:val="Headingblack"/>
          <w:rFonts w:asciiTheme="minorHAnsi" w:hAnsiTheme="minorHAnsi"/>
          <w:b w:val="0"/>
          <w:bCs w:val="0"/>
          <w:color w:val="000000" w:themeColor="text1"/>
          <w:sz w:val="22"/>
          <w:szCs w:val="22"/>
        </w:rPr>
        <w:t xml:space="preserve"> with a critical focus on the safety and supervision of children, particularly when on excursions. </w:t>
      </w:r>
    </w:p>
    <w:p w:rsidR="004E1200" w:rsidRPr="00DE1553" w:rsidRDefault="004E1200" w:rsidP="00974F08">
      <w:pPr>
        <w:rPr>
          <w:rStyle w:val="Headingblack"/>
          <w:rFonts w:asciiTheme="minorHAnsi" w:hAnsiTheme="minorHAnsi"/>
          <w:b w:val="0"/>
          <w:bCs w:val="0"/>
          <w:color w:val="000000" w:themeColor="text1"/>
          <w:sz w:val="22"/>
          <w:szCs w:val="22"/>
        </w:rPr>
      </w:pPr>
    </w:p>
    <w:p w:rsidR="008C4367" w:rsidRDefault="008C4367" w:rsidP="00974F08">
      <w:pPr>
        <w:rPr>
          <w:rStyle w:val="Headingblack"/>
          <w:rFonts w:asciiTheme="minorHAnsi" w:hAnsiTheme="minorHAnsi"/>
          <w:b w:val="0"/>
          <w:bCs w:val="0"/>
          <w:color w:val="000000" w:themeColor="text1"/>
          <w:sz w:val="22"/>
          <w:szCs w:val="22"/>
        </w:rPr>
      </w:pPr>
      <w:r w:rsidRPr="00DE1553">
        <w:rPr>
          <w:rStyle w:val="Headingblack"/>
          <w:rFonts w:asciiTheme="minorHAnsi" w:hAnsiTheme="minorHAnsi"/>
          <w:b w:val="0"/>
          <w:bCs w:val="0"/>
          <w:color w:val="000000" w:themeColor="text1"/>
          <w:sz w:val="22"/>
          <w:szCs w:val="22"/>
        </w:rPr>
        <w:t xml:space="preserve">This edition </w:t>
      </w:r>
      <w:r w:rsidR="00894AEA" w:rsidRPr="00DE1553">
        <w:rPr>
          <w:rStyle w:val="Headingblack"/>
          <w:rFonts w:asciiTheme="minorHAnsi" w:hAnsiTheme="minorHAnsi"/>
          <w:b w:val="0"/>
          <w:bCs w:val="0"/>
          <w:color w:val="000000" w:themeColor="text1"/>
          <w:sz w:val="22"/>
          <w:szCs w:val="22"/>
        </w:rPr>
        <w:t xml:space="preserve">also </w:t>
      </w:r>
      <w:r w:rsidRPr="00DE1553">
        <w:rPr>
          <w:rStyle w:val="Headingblack"/>
          <w:rFonts w:asciiTheme="minorHAnsi" w:hAnsiTheme="minorHAnsi"/>
          <w:b w:val="0"/>
          <w:bCs w:val="0"/>
          <w:color w:val="000000" w:themeColor="text1"/>
          <w:sz w:val="22"/>
          <w:szCs w:val="22"/>
        </w:rPr>
        <w:t xml:space="preserve">features </w:t>
      </w:r>
      <w:r w:rsidR="004E1200">
        <w:rPr>
          <w:rStyle w:val="Headingblack"/>
          <w:rFonts w:asciiTheme="minorHAnsi" w:hAnsiTheme="minorHAnsi"/>
          <w:b w:val="0"/>
          <w:bCs w:val="0"/>
          <w:color w:val="000000" w:themeColor="text1"/>
          <w:sz w:val="22"/>
          <w:szCs w:val="22"/>
        </w:rPr>
        <w:t xml:space="preserve">information </w:t>
      </w:r>
      <w:r w:rsidR="00974F08">
        <w:rPr>
          <w:rStyle w:val="Headingblack"/>
          <w:rFonts w:asciiTheme="minorHAnsi" w:hAnsiTheme="minorHAnsi"/>
          <w:b w:val="0"/>
          <w:bCs w:val="0"/>
          <w:color w:val="000000" w:themeColor="text1"/>
          <w:sz w:val="22"/>
          <w:szCs w:val="22"/>
        </w:rPr>
        <w:t xml:space="preserve">about </w:t>
      </w:r>
      <w:r w:rsidRPr="00DE1553">
        <w:rPr>
          <w:rStyle w:val="Headingblack"/>
          <w:rFonts w:asciiTheme="minorHAnsi" w:hAnsiTheme="minorHAnsi"/>
          <w:b w:val="0"/>
          <w:bCs w:val="0"/>
          <w:color w:val="000000" w:themeColor="text1"/>
          <w:sz w:val="22"/>
          <w:szCs w:val="22"/>
        </w:rPr>
        <w:t>the revised Victorian Early Years Learning and Development Framework (VEYLDF), developed by the Department in partnership with the Victorian Curriculum and Assessment Authority</w:t>
      </w:r>
      <w:r w:rsidR="00B94762" w:rsidRPr="00DE1553">
        <w:rPr>
          <w:rStyle w:val="Headingblack"/>
          <w:rFonts w:asciiTheme="minorHAnsi" w:hAnsiTheme="minorHAnsi"/>
          <w:b w:val="0"/>
          <w:bCs w:val="0"/>
          <w:color w:val="000000" w:themeColor="text1"/>
          <w:sz w:val="22"/>
          <w:szCs w:val="22"/>
        </w:rPr>
        <w:t>. I</w:t>
      </w:r>
      <w:r w:rsidR="00894AEA" w:rsidRPr="00DE1553">
        <w:rPr>
          <w:rStyle w:val="Headingblack"/>
          <w:rFonts w:asciiTheme="minorHAnsi" w:hAnsiTheme="minorHAnsi"/>
          <w:b w:val="0"/>
          <w:bCs w:val="0"/>
          <w:color w:val="000000" w:themeColor="text1"/>
          <w:sz w:val="22"/>
          <w:szCs w:val="22"/>
        </w:rPr>
        <w:t>n review</w:t>
      </w:r>
      <w:r w:rsidR="00BB280D" w:rsidRPr="00DE1553">
        <w:rPr>
          <w:rStyle w:val="Headingblack"/>
          <w:rFonts w:asciiTheme="minorHAnsi" w:hAnsiTheme="minorHAnsi"/>
          <w:b w:val="0"/>
          <w:bCs w:val="0"/>
          <w:color w:val="000000" w:themeColor="text1"/>
          <w:sz w:val="22"/>
          <w:szCs w:val="22"/>
        </w:rPr>
        <w:t>ing</w:t>
      </w:r>
      <w:r w:rsidR="00894AEA" w:rsidRPr="00DE1553">
        <w:rPr>
          <w:rStyle w:val="Headingblack"/>
          <w:rFonts w:asciiTheme="minorHAnsi" w:hAnsiTheme="minorHAnsi"/>
          <w:b w:val="0"/>
          <w:bCs w:val="0"/>
          <w:color w:val="000000" w:themeColor="text1"/>
          <w:sz w:val="22"/>
          <w:szCs w:val="22"/>
        </w:rPr>
        <w:t xml:space="preserve"> this</w:t>
      </w:r>
      <w:r w:rsidR="00BB280D" w:rsidRPr="00DE1553">
        <w:rPr>
          <w:rStyle w:val="Headingblack"/>
          <w:rFonts w:asciiTheme="minorHAnsi" w:hAnsiTheme="minorHAnsi"/>
          <w:b w:val="0"/>
          <w:bCs w:val="0"/>
          <w:color w:val="000000" w:themeColor="text1"/>
          <w:sz w:val="22"/>
          <w:szCs w:val="22"/>
        </w:rPr>
        <w:t xml:space="preserve"> resource</w:t>
      </w:r>
      <w:r w:rsidR="00F14853">
        <w:rPr>
          <w:rStyle w:val="Headingblack"/>
          <w:rFonts w:asciiTheme="minorHAnsi" w:hAnsiTheme="minorHAnsi"/>
          <w:b w:val="0"/>
          <w:bCs w:val="0"/>
          <w:color w:val="000000" w:themeColor="text1"/>
          <w:sz w:val="22"/>
          <w:szCs w:val="22"/>
        </w:rPr>
        <w:t>,</w:t>
      </w:r>
      <w:r w:rsidRPr="00DE1553">
        <w:rPr>
          <w:rStyle w:val="Headingblack"/>
          <w:rFonts w:asciiTheme="minorHAnsi" w:hAnsiTheme="minorHAnsi"/>
          <w:b w:val="0"/>
          <w:bCs w:val="0"/>
          <w:color w:val="000000" w:themeColor="text1"/>
          <w:sz w:val="22"/>
          <w:szCs w:val="22"/>
        </w:rPr>
        <w:t xml:space="preserve"> consultation </w:t>
      </w:r>
      <w:r w:rsidR="00894AEA" w:rsidRPr="00DE1553">
        <w:rPr>
          <w:rStyle w:val="Headingblack"/>
          <w:rFonts w:asciiTheme="minorHAnsi" w:hAnsiTheme="minorHAnsi"/>
          <w:b w:val="0"/>
          <w:bCs w:val="0"/>
          <w:color w:val="000000" w:themeColor="text1"/>
          <w:sz w:val="22"/>
          <w:szCs w:val="22"/>
        </w:rPr>
        <w:t xml:space="preserve">was held </w:t>
      </w:r>
      <w:r w:rsidRPr="00DE1553">
        <w:rPr>
          <w:rStyle w:val="Headingblack"/>
          <w:rFonts w:asciiTheme="minorHAnsi" w:hAnsiTheme="minorHAnsi"/>
          <w:b w:val="0"/>
          <w:bCs w:val="0"/>
          <w:color w:val="000000" w:themeColor="text1"/>
          <w:sz w:val="22"/>
          <w:szCs w:val="22"/>
        </w:rPr>
        <w:t xml:space="preserve">with key researchers, stakeholders, policy makers, early childhood professionals, </w:t>
      </w:r>
      <w:r w:rsidR="00974F08" w:rsidRPr="00DE1553">
        <w:rPr>
          <w:rStyle w:val="Headingblack"/>
          <w:rFonts w:asciiTheme="minorHAnsi" w:hAnsiTheme="minorHAnsi"/>
          <w:b w:val="0"/>
          <w:bCs w:val="0"/>
          <w:color w:val="000000" w:themeColor="text1"/>
          <w:sz w:val="22"/>
          <w:szCs w:val="22"/>
        </w:rPr>
        <w:t>schools,</w:t>
      </w:r>
      <w:r w:rsidRPr="00DE1553">
        <w:rPr>
          <w:rStyle w:val="Headingblack"/>
          <w:rFonts w:asciiTheme="minorHAnsi" w:hAnsiTheme="minorHAnsi"/>
          <w:b w:val="0"/>
          <w:bCs w:val="0"/>
          <w:color w:val="000000" w:themeColor="text1"/>
          <w:sz w:val="22"/>
          <w:szCs w:val="22"/>
        </w:rPr>
        <w:t xml:space="preserve"> and cultural organisations. </w:t>
      </w:r>
      <w:r w:rsidR="004E1200">
        <w:rPr>
          <w:rStyle w:val="Headingblack"/>
          <w:rFonts w:asciiTheme="minorHAnsi" w:hAnsiTheme="minorHAnsi"/>
          <w:b w:val="0"/>
          <w:bCs w:val="0"/>
          <w:color w:val="000000" w:themeColor="text1"/>
          <w:sz w:val="22"/>
          <w:szCs w:val="22"/>
        </w:rPr>
        <w:t>Th</w:t>
      </w:r>
      <w:r w:rsidRPr="00DE1553">
        <w:rPr>
          <w:rStyle w:val="Headingblack"/>
          <w:rFonts w:asciiTheme="minorHAnsi" w:hAnsiTheme="minorHAnsi"/>
          <w:b w:val="0"/>
          <w:bCs w:val="0"/>
          <w:color w:val="000000" w:themeColor="text1"/>
          <w:sz w:val="22"/>
          <w:szCs w:val="22"/>
        </w:rPr>
        <w:t xml:space="preserve">e VEYLDF </w:t>
      </w:r>
      <w:r w:rsidR="00974331">
        <w:rPr>
          <w:rStyle w:val="Headingblack"/>
          <w:rFonts w:asciiTheme="minorHAnsi" w:hAnsiTheme="minorHAnsi"/>
          <w:b w:val="0"/>
          <w:bCs w:val="0"/>
          <w:color w:val="000000" w:themeColor="text1"/>
          <w:sz w:val="22"/>
          <w:szCs w:val="22"/>
        </w:rPr>
        <w:t xml:space="preserve">is designed to guide practice for all professionals, and </w:t>
      </w:r>
      <w:r w:rsidR="00974331" w:rsidRPr="0072432A">
        <w:rPr>
          <w:rStyle w:val="Headingblack"/>
          <w:rFonts w:asciiTheme="minorHAnsi" w:hAnsiTheme="minorHAnsi"/>
          <w:b w:val="0"/>
          <w:bCs w:val="0"/>
          <w:color w:val="000000" w:themeColor="text1"/>
          <w:sz w:val="22"/>
          <w:szCs w:val="22"/>
        </w:rPr>
        <w:t>in</w:t>
      </w:r>
      <w:r w:rsidR="00974331">
        <w:rPr>
          <w:rStyle w:val="Headingblack"/>
          <w:rFonts w:asciiTheme="minorHAnsi" w:hAnsiTheme="minorHAnsi"/>
          <w:b w:val="0"/>
          <w:bCs w:val="0"/>
          <w:color w:val="000000" w:themeColor="text1"/>
          <w:sz w:val="22"/>
          <w:szCs w:val="22"/>
        </w:rPr>
        <w:t xml:space="preserve"> doing so promoting continuity of pedagogy and practice.</w:t>
      </w:r>
    </w:p>
    <w:p w:rsidR="004E1200" w:rsidRPr="00DE1553" w:rsidRDefault="004E1200" w:rsidP="00974F08">
      <w:pPr>
        <w:rPr>
          <w:rStyle w:val="Headingblack"/>
          <w:rFonts w:asciiTheme="minorHAnsi" w:hAnsiTheme="minorHAnsi"/>
          <w:b w:val="0"/>
          <w:bCs w:val="0"/>
          <w:color w:val="000000" w:themeColor="text1"/>
          <w:sz w:val="22"/>
          <w:szCs w:val="22"/>
        </w:rPr>
      </w:pPr>
    </w:p>
    <w:p w:rsidR="00974F08" w:rsidRDefault="008C4367" w:rsidP="00974F08">
      <w:pPr>
        <w:rPr>
          <w:rStyle w:val="Headingblack"/>
          <w:rFonts w:asciiTheme="minorHAnsi" w:hAnsiTheme="minorHAnsi"/>
          <w:b w:val="0"/>
          <w:bCs w:val="0"/>
          <w:color w:val="000000" w:themeColor="text1"/>
          <w:sz w:val="22"/>
          <w:szCs w:val="22"/>
        </w:rPr>
      </w:pPr>
      <w:r w:rsidRPr="00DE1553">
        <w:rPr>
          <w:rStyle w:val="Headingblack"/>
          <w:rFonts w:asciiTheme="minorHAnsi" w:hAnsiTheme="minorHAnsi"/>
          <w:b w:val="0"/>
          <w:bCs w:val="0"/>
          <w:color w:val="000000" w:themeColor="text1"/>
          <w:sz w:val="22"/>
          <w:szCs w:val="22"/>
        </w:rPr>
        <w:t xml:space="preserve">The Department is continuing to support early years’ services to deliver high quality education and care for children by providing timely and relevant information and resources to the </w:t>
      </w:r>
      <w:r w:rsidR="004E1200">
        <w:rPr>
          <w:rStyle w:val="Headingblack"/>
          <w:rFonts w:asciiTheme="minorHAnsi" w:hAnsiTheme="minorHAnsi"/>
          <w:b w:val="0"/>
          <w:bCs w:val="0"/>
          <w:color w:val="000000" w:themeColor="text1"/>
          <w:sz w:val="22"/>
          <w:szCs w:val="22"/>
        </w:rPr>
        <w:t xml:space="preserve">early childhood </w:t>
      </w:r>
      <w:r w:rsidRPr="00DE1553">
        <w:rPr>
          <w:rStyle w:val="Headingblack"/>
          <w:rFonts w:asciiTheme="minorHAnsi" w:hAnsiTheme="minorHAnsi"/>
          <w:b w:val="0"/>
          <w:bCs w:val="0"/>
          <w:color w:val="000000" w:themeColor="text1"/>
          <w:sz w:val="22"/>
          <w:szCs w:val="22"/>
        </w:rPr>
        <w:t xml:space="preserve">sector. This edition includes </w:t>
      </w:r>
      <w:r w:rsidR="00974F08">
        <w:rPr>
          <w:rStyle w:val="Headingblack"/>
          <w:rFonts w:asciiTheme="minorHAnsi" w:hAnsiTheme="minorHAnsi"/>
          <w:b w:val="0"/>
          <w:bCs w:val="0"/>
          <w:color w:val="000000" w:themeColor="text1"/>
          <w:sz w:val="22"/>
          <w:szCs w:val="22"/>
        </w:rPr>
        <w:t xml:space="preserve">details </w:t>
      </w:r>
      <w:r w:rsidR="00F14853">
        <w:rPr>
          <w:rStyle w:val="Headingblack"/>
          <w:rFonts w:asciiTheme="minorHAnsi" w:hAnsiTheme="minorHAnsi"/>
          <w:b w:val="0"/>
          <w:bCs w:val="0"/>
          <w:color w:val="000000" w:themeColor="text1"/>
          <w:sz w:val="22"/>
          <w:szCs w:val="22"/>
        </w:rPr>
        <w:t>about</w:t>
      </w:r>
      <w:r w:rsidRPr="00DE1553">
        <w:rPr>
          <w:rStyle w:val="Headingblack"/>
          <w:rFonts w:asciiTheme="minorHAnsi" w:hAnsiTheme="minorHAnsi"/>
          <w:b w:val="0"/>
          <w:bCs w:val="0"/>
          <w:color w:val="000000" w:themeColor="text1"/>
          <w:sz w:val="22"/>
          <w:szCs w:val="22"/>
        </w:rPr>
        <w:t xml:space="preserve"> a new nutrition resource developed by QARD in collaboration with Nutrition Australia and the Department of Health and Human Services. The guide will assist education and care services to provide appropriate nutrition to children, promote healthy eating to </w:t>
      </w:r>
      <w:r w:rsidR="00974F08" w:rsidRPr="00DE1553">
        <w:rPr>
          <w:rStyle w:val="Headingblack"/>
          <w:rFonts w:asciiTheme="minorHAnsi" w:hAnsiTheme="minorHAnsi"/>
          <w:b w:val="0"/>
          <w:bCs w:val="0"/>
          <w:color w:val="000000" w:themeColor="text1"/>
          <w:sz w:val="22"/>
          <w:szCs w:val="22"/>
        </w:rPr>
        <w:t>families,</w:t>
      </w:r>
      <w:r w:rsidRPr="00DE1553">
        <w:rPr>
          <w:rStyle w:val="Headingblack"/>
          <w:rFonts w:asciiTheme="minorHAnsi" w:hAnsiTheme="minorHAnsi"/>
          <w:b w:val="0"/>
          <w:bCs w:val="0"/>
          <w:color w:val="000000" w:themeColor="text1"/>
          <w:sz w:val="22"/>
          <w:szCs w:val="22"/>
        </w:rPr>
        <w:t xml:space="preserve"> and meet the requirements of the National Quality </w:t>
      </w:r>
      <w:r w:rsidR="00974F08">
        <w:rPr>
          <w:rStyle w:val="Headingblack"/>
          <w:rFonts w:asciiTheme="minorHAnsi" w:hAnsiTheme="minorHAnsi"/>
          <w:b w:val="0"/>
          <w:bCs w:val="0"/>
          <w:color w:val="000000" w:themeColor="text1"/>
          <w:sz w:val="22"/>
          <w:szCs w:val="22"/>
        </w:rPr>
        <w:t>Framework.</w:t>
      </w:r>
    </w:p>
    <w:p w:rsidR="008C4367" w:rsidRPr="00DE1553" w:rsidRDefault="008C4367" w:rsidP="00974F08">
      <w:pPr>
        <w:rPr>
          <w:rStyle w:val="Headingblack"/>
          <w:rFonts w:asciiTheme="minorHAnsi" w:hAnsiTheme="minorHAnsi"/>
          <w:b w:val="0"/>
          <w:bCs w:val="0"/>
          <w:color w:val="000000" w:themeColor="text1"/>
          <w:sz w:val="22"/>
          <w:szCs w:val="22"/>
        </w:rPr>
      </w:pPr>
      <w:r w:rsidRPr="00DE1553">
        <w:rPr>
          <w:rStyle w:val="Headingblack"/>
          <w:rFonts w:asciiTheme="minorHAnsi" w:hAnsiTheme="minorHAnsi"/>
          <w:b w:val="0"/>
          <w:bCs w:val="0"/>
          <w:color w:val="000000" w:themeColor="text1"/>
          <w:sz w:val="22"/>
          <w:szCs w:val="22"/>
        </w:rPr>
        <w:t xml:space="preserve"> </w:t>
      </w:r>
    </w:p>
    <w:p w:rsidR="00974F08" w:rsidRDefault="008C4367" w:rsidP="00974F08">
      <w:pPr>
        <w:rPr>
          <w:rStyle w:val="Headingblack"/>
          <w:rFonts w:asciiTheme="minorHAnsi" w:hAnsiTheme="minorHAnsi"/>
          <w:b w:val="0"/>
          <w:bCs w:val="0"/>
          <w:color w:val="000000" w:themeColor="text1"/>
          <w:sz w:val="22"/>
          <w:szCs w:val="22"/>
        </w:rPr>
      </w:pPr>
      <w:r w:rsidRPr="00DE1553">
        <w:rPr>
          <w:rStyle w:val="Headingblack"/>
          <w:rFonts w:asciiTheme="minorHAnsi" w:hAnsiTheme="minorHAnsi"/>
          <w:b w:val="0"/>
          <w:bCs w:val="0"/>
          <w:color w:val="000000" w:themeColor="text1"/>
          <w:sz w:val="22"/>
          <w:szCs w:val="22"/>
        </w:rPr>
        <w:t>In June, the Department partnered with ACECQA to deliver a number of interactive workshops focusing on the agency of the child, with many sessions fully booked</w:t>
      </w:r>
      <w:r w:rsidR="00476021" w:rsidRPr="00DE1553">
        <w:rPr>
          <w:rStyle w:val="Headingblack"/>
          <w:rFonts w:asciiTheme="minorHAnsi" w:hAnsiTheme="minorHAnsi"/>
          <w:b w:val="0"/>
          <w:bCs w:val="0"/>
          <w:color w:val="000000" w:themeColor="text1"/>
          <w:sz w:val="22"/>
          <w:szCs w:val="22"/>
        </w:rPr>
        <w:t xml:space="preserve">. </w:t>
      </w:r>
      <w:r w:rsidRPr="00DE1553">
        <w:rPr>
          <w:rStyle w:val="Headingblack"/>
          <w:rFonts w:asciiTheme="minorHAnsi" w:hAnsiTheme="minorHAnsi"/>
          <w:b w:val="0"/>
          <w:bCs w:val="0"/>
          <w:color w:val="000000" w:themeColor="text1"/>
          <w:sz w:val="22"/>
          <w:szCs w:val="22"/>
        </w:rPr>
        <w:t xml:space="preserve">The workshops </w:t>
      </w:r>
      <w:r w:rsidR="00974F08">
        <w:rPr>
          <w:rStyle w:val="Headingblack"/>
          <w:rFonts w:asciiTheme="minorHAnsi" w:hAnsiTheme="minorHAnsi"/>
          <w:b w:val="0"/>
          <w:bCs w:val="0"/>
          <w:color w:val="000000" w:themeColor="text1"/>
          <w:sz w:val="22"/>
          <w:szCs w:val="22"/>
        </w:rPr>
        <w:t xml:space="preserve">reinforced </w:t>
      </w:r>
      <w:r w:rsidRPr="00DE1553">
        <w:rPr>
          <w:rStyle w:val="Headingblack"/>
          <w:rFonts w:asciiTheme="minorHAnsi" w:hAnsiTheme="minorHAnsi"/>
          <w:b w:val="0"/>
          <w:bCs w:val="0"/>
          <w:color w:val="000000" w:themeColor="text1"/>
          <w:sz w:val="22"/>
          <w:szCs w:val="22"/>
        </w:rPr>
        <w:t xml:space="preserve">our work implementing the child safe standards. </w:t>
      </w:r>
    </w:p>
    <w:p w:rsidR="00974F08" w:rsidRDefault="00974F08" w:rsidP="00974F08">
      <w:pPr>
        <w:rPr>
          <w:rStyle w:val="Headingblack"/>
          <w:rFonts w:asciiTheme="minorHAnsi" w:hAnsiTheme="minorHAnsi"/>
          <w:b w:val="0"/>
          <w:bCs w:val="0"/>
          <w:color w:val="000000" w:themeColor="text1"/>
          <w:sz w:val="22"/>
          <w:szCs w:val="22"/>
        </w:rPr>
      </w:pPr>
    </w:p>
    <w:p w:rsidR="008C4367" w:rsidRPr="00DE1553" w:rsidRDefault="008C4367" w:rsidP="00974F08">
      <w:pPr>
        <w:rPr>
          <w:rStyle w:val="Headingblack"/>
          <w:rFonts w:asciiTheme="minorHAnsi" w:hAnsiTheme="minorHAnsi"/>
          <w:b w:val="0"/>
          <w:bCs w:val="0"/>
          <w:color w:val="000000" w:themeColor="text1"/>
          <w:sz w:val="22"/>
          <w:szCs w:val="22"/>
        </w:rPr>
      </w:pPr>
      <w:r w:rsidRPr="00DE1553">
        <w:rPr>
          <w:rStyle w:val="Headingblack"/>
          <w:rFonts w:asciiTheme="minorHAnsi" w:hAnsiTheme="minorHAnsi"/>
          <w:b w:val="0"/>
          <w:bCs w:val="0"/>
          <w:color w:val="000000" w:themeColor="text1"/>
          <w:sz w:val="22"/>
          <w:szCs w:val="22"/>
        </w:rPr>
        <w:t xml:space="preserve">I hope you enjoy this update and find the </w:t>
      </w:r>
      <w:r w:rsidR="00894AEA" w:rsidRPr="00DE1553">
        <w:rPr>
          <w:rStyle w:val="Headingblack"/>
          <w:rFonts w:asciiTheme="minorHAnsi" w:hAnsiTheme="minorHAnsi"/>
          <w:b w:val="0"/>
          <w:bCs w:val="0"/>
          <w:color w:val="000000" w:themeColor="text1"/>
          <w:sz w:val="22"/>
          <w:szCs w:val="22"/>
        </w:rPr>
        <w:t>content</w:t>
      </w:r>
      <w:r w:rsidRPr="00DE1553">
        <w:rPr>
          <w:rStyle w:val="Headingblack"/>
          <w:rFonts w:asciiTheme="minorHAnsi" w:hAnsiTheme="minorHAnsi"/>
          <w:b w:val="0"/>
          <w:bCs w:val="0"/>
          <w:color w:val="000000" w:themeColor="text1"/>
          <w:sz w:val="22"/>
          <w:szCs w:val="22"/>
        </w:rPr>
        <w:t xml:space="preserve"> useful</w:t>
      </w:r>
      <w:r w:rsidR="00894AEA" w:rsidRPr="00DE1553">
        <w:rPr>
          <w:rStyle w:val="Headingblack"/>
          <w:rFonts w:asciiTheme="minorHAnsi" w:hAnsiTheme="minorHAnsi"/>
          <w:b w:val="0"/>
          <w:bCs w:val="0"/>
          <w:color w:val="000000" w:themeColor="text1"/>
          <w:sz w:val="22"/>
          <w:szCs w:val="22"/>
        </w:rPr>
        <w:t xml:space="preserve"> and informative</w:t>
      </w:r>
      <w:r w:rsidRPr="00DE1553">
        <w:rPr>
          <w:rStyle w:val="Headingblack"/>
          <w:rFonts w:asciiTheme="minorHAnsi" w:hAnsiTheme="minorHAnsi"/>
          <w:b w:val="0"/>
          <w:bCs w:val="0"/>
          <w:color w:val="000000" w:themeColor="text1"/>
          <w:sz w:val="22"/>
          <w:szCs w:val="22"/>
        </w:rPr>
        <w:t>.</w:t>
      </w:r>
    </w:p>
    <w:p w:rsidR="00476021" w:rsidRPr="00DE1553" w:rsidRDefault="00476021" w:rsidP="00974F08">
      <w:pPr>
        <w:rPr>
          <w:rStyle w:val="Headingblack"/>
          <w:rFonts w:asciiTheme="minorHAnsi" w:hAnsiTheme="minorHAnsi"/>
          <w:b w:val="0"/>
          <w:bCs w:val="0"/>
          <w:color w:val="000000" w:themeColor="text1"/>
          <w:sz w:val="22"/>
          <w:szCs w:val="22"/>
        </w:rPr>
      </w:pPr>
      <w:r w:rsidRPr="00DE1553">
        <w:rPr>
          <w:rStyle w:val="Headingblack"/>
          <w:rFonts w:asciiTheme="minorHAnsi" w:hAnsiTheme="minorHAnsi"/>
          <w:b w:val="0"/>
          <w:bCs w:val="0"/>
          <w:color w:val="000000" w:themeColor="text1"/>
          <w:sz w:val="22"/>
          <w:szCs w:val="22"/>
        </w:rPr>
        <w:t xml:space="preserve">  </w:t>
      </w:r>
    </w:p>
    <w:p w:rsidR="00DE1553" w:rsidRPr="00DE1553" w:rsidRDefault="008C4367" w:rsidP="00974F08">
      <w:pPr>
        <w:pStyle w:val="NoParagraphStyle"/>
        <w:spacing w:line="240" w:lineRule="auto"/>
        <w:rPr>
          <w:rStyle w:val="Headingblack"/>
          <w:rFonts w:asciiTheme="minorHAnsi" w:hAnsiTheme="minorHAnsi"/>
          <w:sz w:val="22"/>
          <w:szCs w:val="22"/>
        </w:rPr>
      </w:pPr>
      <w:r w:rsidRPr="00DE1553">
        <w:rPr>
          <w:rStyle w:val="Headingblack"/>
          <w:rFonts w:asciiTheme="minorHAnsi" w:hAnsiTheme="minorHAnsi"/>
          <w:sz w:val="22"/>
          <w:szCs w:val="22"/>
        </w:rPr>
        <w:t>Karen Weston</w:t>
      </w:r>
    </w:p>
    <w:p w:rsidR="008C4367" w:rsidRPr="00DE1553" w:rsidRDefault="008C4367" w:rsidP="00974F08">
      <w:pPr>
        <w:pStyle w:val="NoParagraphStyle"/>
        <w:spacing w:line="240" w:lineRule="auto"/>
        <w:rPr>
          <w:rStyle w:val="Headingblack"/>
          <w:rFonts w:asciiTheme="minorHAnsi" w:hAnsiTheme="minorHAnsi"/>
          <w:sz w:val="22"/>
          <w:szCs w:val="22"/>
        </w:rPr>
      </w:pPr>
      <w:r w:rsidRPr="00DE1553">
        <w:rPr>
          <w:rStyle w:val="Headingblack"/>
          <w:rFonts w:asciiTheme="minorHAnsi" w:hAnsiTheme="minorHAnsi"/>
          <w:sz w:val="22"/>
          <w:szCs w:val="22"/>
        </w:rPr>
        <w:t>A/Executive Director</w:t>
      </w:r>
    </w:p>
    <w:p w:rsidR="008C4367" w:rsidRPr="00DE1553" w:rsidRDefault="008C4367" w:rsidP="00974F08">
      <w:pPr>
        <w:pStyle w:val="NoParagraphStyle"/>
        <w:spacing w:line="240" w:lineRule="auto"/>
        <w:rPr>
          <w:rStyle w:val="Headingblack"/>
          <w:rFonts w:asciiTheme="minorHAnsi" w:hAnsiTheme="minorHAnsi"/>
          <w:sz w:val="22"/>
          <w:szCs w:val="22"/>
        </w:rPr>
      </w:pPr>
      <w:r w:rsidRPr="00DE1553">
        <w:rPr>
          <w:rStyle w:val="Headingblack"/>
          <w:rFonts w:asciiTheme="minorHAnsi" w:hAnsiTheme="minorHAnsi"/>
          <w:sz w:val="22"/>
          <w:szCs w:val="22"/>
        </w:rPr>
        <w:t>Quality Assessment and Regulation Division</w:t>
      </w:r>
    </w:p>
    <w:p w:rsidR="008C4367" w:rsidRPr="00DE1553" w:rsidRDefault="008C4367" w:rsidP="00974F08">
      <w:pPr>
        <w:pStyle w:val="NoParagraphStyle"/>
        <w:spacing w:line="240" w:lineRule="auto"/>
        <w:rPr>
          <w:rStyle w:val="Headingblack"/>
          <w:rFonts w:asciiTheme="minorHAnsi" w:hAnsiTheme="minorHAnsi"/>
          <w:sz w:val="22"/>
          <w:szCs w:val="22"/>
        </w:rPr>
      </w:pPr>
      <w:r w:rsidRPr="00DE1553">
        <w:rPr>
          <w:rStyle w:val="Headingblack"/>
          <w:rFonts w:asciiTheme="minorHAnsi" w:hAnsiTheme="minorHAnsi"/>
          <w:sz w:val="22"/>
          <w:szCs w:val="22"/>
        </w:rPr>
        <w:t>Department of Education and Training</w:t>
      </w:r>
    </w:p>
    <w:p w:rsidR="008C4367" w:rsidRPr="00DE1553" w:rsidRDefault="008C4367" w:rsidP="00974F08">
      <w:pPr>
        <w:pStyle w:val="NoParagraphStyle"/>
        <w:spacing w:line="240" w:lineRule="auto"/>
        <w:rPr>
          <w:rStyle w:val="Headingblack"/>
          <w:rFonts w:asciiTheme="minorHAnsi" w:hAnsiTheme="minorHAnsi"/>
          <w:sz w:val="24"/>
          <w:szCs w:val="24"/>
        </w:rPr>
      </w:pPr>
    </w:p>
    <w:p w:rsidR="008C4367" w:rsidRDefault="008C4367" w:rsidP="00974F08">
      <w:pPr>
        <w:pStyle w:val="BasicParagraph"/>
        <w:suppressAutoHyphens/>
        <w:spacing w:before="57" w:line="240" w:lineRule="auto"/>
        <w:rPr>
          <w:rStyle w:val="Headingblack"/>
          <w:rFonts w:asciiTheme="minorHAnsi" w:hAnsiTheme="minorHAnsi"/>
          <w:color w:val="auto"/>
          <w:sz w:val="24"/>
          <w:szCs w:val="24"/>
        </w:rPr>
      </w:pPr>
      <w:r w:rsidRPr="00DE1553">
        <w:rPr>
          <w:rStyle w:val="Headingblack"/>
          <w:rFonts w:asciiTheme="minorHAnsi" w:hAnsiTheme="minorHAnsi"/>
          <w:color w:val="auto"/>
          <w:sz w:val="24"/>
          <w:szCs w:val="24"/>
        </w:rPr>
        <w:t>The revised Victorian Early Years Learning and Development Framework (VEYLDF) lays the foundation for the Education State Early Childhood Development Reform</w:t>
      </w:r>
    </w:p>
    <w:p w:rsidR="00352C62" w:rsidRPr="00DE1553" w:rsidRDefault="00352C62" w:rsidP="00974F08">
      <w:pPr>
        <w:pStyle w:val="BasicParagraph"/>
        <w:suppressAutoHyphens/>
        <w:spacing w:before="57" w:line="240" w:lineRule="auto"/>
        <w:rPr>
          <w:rStyle w:val="Headingblack"/>
          <w:rFonts w:asciiTheme="minorHAnsi" w:hAnsiTheme="minorHAnsi"/>
          <w:color w:val="auto"/>
          <w:sz w:val="24"/>
          <w:szCs w:val="24"/>
        </w:rPr>
      </w:pPr>
    </w:p>
    <w:p w:rsidR="00DE1553" w:rsidRPr="00DE1553" w:rsidRDefault="008C4367" w:rsidP="00974F08">
      <w:pPr>
        <w:pStyle w:val="BasicParagraph"/>
        <w:suppressAutoHyphens/>
        <w:spacing w:before="57" w:line="240" w:lineRule="auto"/>
        <w:rPr>
          <w:rStyle w:val="Bodytextblack"/>
          <w:rFonts w:asciiTheme="minorHAnsi" w:hAnsiTheme="minorHAnsi"/>
          <w:color w:val="auto"/>
          <w:sz w:val="22"/>
          <w:szCs w:val="22"/>
        </w:rPr>
      </w:pPr>
      <w:r w:rsidRPr="00DE1553">
        <w:rPr>
          <w:rStyle w:val="Hyperlinkteal"/>
          <w:rFonts w:asciiTheme="minorHAnsi" w:hAnsiTheme="minorHAnsi"/>
          <w:b w:val="0"/>
          <w:bCs w:val="0"/>
          <w:color w:val="auto"/>
          <w:sz w:val="22"/>
          <w:szCs w:val="22"/>
        </w:rPr>
        <w:t>T</w:t>
      </w:r>
      <w:r w:rsidRPr="00DE1553">
        <w:rPr>
          <w:rStyle w:val="Bodytextblack"/>
          <w:rFonts w:asciiTheme="minorHAnsi" w:hAnsiTheme="minorHAnsi"/>
          <w:color w:val="auto"/>
          <w:sz w:val="22"/>
          <w:szCs w:val="22"/>
        </w:rPr>
        <w:t xml:space="preserve">he revised VEYLDF reflects cutting edge research and practice, policy directions, and aspirational outcomes for young children. The revised document builds on the previous version and retains but strengthens the three elements: </w:t>
      </w:r>
    </w:p>
    <w:p w:rsidR="008C4367" w:rsidRPr="00DE1553" w:rsidRDefault="008C4367" w:rsidP="00373912">
      <w:pPr>
        <w:pStyle w:val="BasicParagraph"/>
        <w:numPr>
          <w:ilvl w:val="0"/>
          <w:numId w:val="1"/>
        </w:numPr>
        <w:suppressAutoHyphens/>
        <w:spacing w:before="57" w:line="240" w:lineRule="auto"/>
        <w:ind w:left="360"/>
        <w:rPr>
          <w:rStyle w:val="Bodytextblack"/>
          <w:rFonts w:asciiTheme="minorHAnsi" w:hAnsiTheme="minorHAnsi"/>
          <w:color w:val="auto"/>
          <w:sz w:val="22"/>
          <w:szCs w:val="22"/>
        </w:rPr>
      </w:pPr>
      <w:r w:rsidRPr="00DE1553">
        <w:rPr>
          <w:rStyle w:val="Bodytextblack"/>
          <w:rFonts w:asciiTheme="minorHAnsi" w:hAnsiTheme="minorHAnsi"/>
          <w:color w:val="auto"/>
          <w:sz w:val="22"/>
          <w:szCs w:val="22"/>
        </w:rPr>
        <w:t>the 8 Practice Principles - to guide all professional practice</w:t>
      </w:r>
    </w:p>
    <w:p w:rsidR="008C4367" w:rsidRPr="00DE1553" w:rsidRDefault="008C4367" w:rsidP="00373912">
      <w:pPr>
        <w:pStyle w:val="BasicParagraph"/>
        <w:numPr>
          <w:ilvl w:val="0"/>
          <w:numId w:val="1"/>
        </w:numPr>
        <w:suppressAutoHyphens/>
        <w:spacing w:before="57" w:line="240" w:lineRule="auto"/>
        <w:ind w:left="360"/>
        <w:rPr>
          <w:rStyle w:val="Bodytextblack"/>
          <w:rFonts w:asciiTheme="minorHAnsi" w:hAnsiTheme="minorHAnsi"/>
          <w:color w:val="auto"/>
          <w:sz w:val="22"/>
          <w:szCs w:val="22"/>
        </w:rPr>
      </w:pPr>
      <w:r w:rsidRPr="00DE1553">
        <w:rPr>
          <w:rStyle w:val="Bodytextblack"/>
          <w:rFonts w:asciiTheme="minorHAnsi" w:hAnsiTheme="minorHAnsi"/>
          <w:color w:val="auto"/>
          <w:sz w:val="22"/>
          <w:szCs w:val="22"/>
        </w:rPr>
        <w:t>5 Learning and Development Outcomes - that</w:t>
      </w:r>
      <w:r w:rsidR="00894AEA" w:rsidRPr="00DE1553">
        <w:rPr>
          <w:rStyle w:val="Bodytextblack"/>
          <w:rFonts w:asciiTheme="minorHAnsi" w:hAnsiTheme="minorHAnsi"/>
          <w:color w:val="auto"/>
          <w:sz w:val="22"/>
          <w:szCs w:val="22"/>
        </w:rPr>
        <w:t xml:space="preserve"> link to the Victorian </w:t>
      </w:r>
      <w:r w:rsidRPr="00DE1553">
        <w:rPr>
          <w:rStyle w:val="Bodytextblack"/>
          <w:rFonts w:asciiTheme="minorHAnsi" w:hAnsiTheme="minorHAnsi"/>
          <w:color w:val="auto"/>
          <w:sz w:val="22"/>
          <w:szCs w:val="22"/>
        </w:rPr>
        <w:t>Curriculum, and</w:t>
      </w:r>
    </w:p>
    <w:p w:rsidR="007E58AB" w:rsidRDefault="008C4367" w:rsidP="00373912">
      <w:pPr>
        <w:pStyle w:val="BasicParagraph"/>
        <w:numPr>
          <w:ilvl w:val="0"/>
          <w:numId w:val="1"/>
        </w:numPr>
        <w:suppressAutoHyphens/>
        <w:spacing w:before="57" w:line="240" w:lineRule="auto"/>
        <w:ind w:left="360"/>
        <w:rPr>
          <w:rStyle w:val="Bodytextblack"/>
          <w:rFonts w:asciiTheme="minorHAnsi" w:hAnsiTheme="minorHAnsi"/>
          <w:color w:val="auto"/>
          <w:sz w:val="22"/>
          <w:szCs w:val="22"/>
        </w:rPr>
      </w:pPr>
      <w:r w:rsidRPr="00DE1553">
        <w:rPr>
          <w:rStyle w:val="Bodytextblack"/>
          <w:rFonts w:asciiTheme="minorHAnsi" w:hAnsiTheme="minorHAnsi"/>
          <w:color w:val="auto"/>
          <w:sz w:val="22"/>
          <w:szCs w:val="22"/>
        </w:rPr>
        <w:t>an emphasis on Transitions - reinforcing the importance of ensuring continuity of learning for all children</w:t>
      </w:r>
      <w:r w:rsidR="006A0B0E">
        <w:rPr>
          <w:rStyle w:val="Bodytextblack"/>
          <w:rFonts w:asciiTheme="minorHAnsi" w:hAnsiTheme="minorHAnsi"/>
          <w:color w:val="auto"/>
          <w:sz w:val="22"/>
          <w:szCs w:val="22"/>
        </w:rPr>
        <w:t xml:space="preserve"> </w:t>
      </w:r>
      <w:r w:rsidRPr="006A0B0E">
        <w:rPr>
          <w:rStyle w:val="Bodytextblack"/>
          <w:rFonts w:asciiTheme="minorHAnsi" w:hAnsiTheme="minorHAnsi"/>
          <w:color w:val="auto"/>
          <w:sz w:val="22"/>
          <w:szCs w:val="22"/>
        </w:rPr>
        <w:t>and their families</w:t>
      </w:r>
      <w:r w:rsidR="007E58AB">
        <w:rPr>
          <w:rStyle w:val="Bodytextblack"/>
          <w:rFonts w:asciiTheme="minorHAnsi" w:hAnsiTheme="minorHAnsi"/>
          <w:color w:val="auto"/>
          <w:sz w:val="22"/>
          <w:szCs w:val="22"/>
        </w:rPr>
        <w:t xml:space="preserve">, </w:t>
      </w:r>
    </w:p>
    <w:p w:rsidR="00DE1553" w:rsidRPr="007E58AB" w:rsidRDefault="008C4367" w:rsidP="00373912">
      <w:pPr>
        <w:pStyle w:val="BasicParagraph"/>
        <w:suppressAutoHyphens/>
        <w:spacing w:before="57" w:line="240" w:lineRule="auto"/>
        <w:rPr>
          <w:rStyle w:val="Bodytextblack"/>
          <w:rFonts w:asciiTheme="minorHAnsi" w:hAnsiTheme="minorHAnsi"/>
          <w:color w:val="auto"/>
          <w:sz w:val="22"/>
          <w:szCs w:val="22"/>
        </w:rPr>
      </w:pPr>
      <w:r w:rsidRPr="007E58AB">
        <w:rPr>
          <w:rStyle w:val="Bodytextblack"/>
          <w:rFonts w:asciiTheme="minorHAnsi" w:hAnsiTheme="minorHAnsi"/>
          <w:color w:val="auto"/>
          <w:sz w:val="22"/>
          <w:szCs w:val="22"/>
        </w:rPr>
        <w:t>and foregrounds important areas of professional practice:</w:t>
      </w:r>
    </w:p>
    <w:p w:rsidR="008C4367" w:rsidRPr="00DE1553" w:rsidRDefault="008C4367" w:rsidP="00373912">
      <w:pPr>
        <w:pStyle w:val="BasicParagraph"/>
        <w:numPr>
          <w:ilvl w:val="0"/>
          <w:numId w:val="2"/>
        </w:numPr>
        <w:suppressAutoHyphens/>
        <w:spacing w:before="57" w:line="240" w:lineRule="auto"/>
        <w:ind w:left="360"/>
        <w:rPr>
          <w:rStyle w:val="Bodytextblack"/>
          <w:rFonts w:asciiTheme="minorHAnsi" w:hAnsiTheme="minorHAnsi"/>
          <w:color w:val="auto"/>
          <w:sz w:val="22"/>
          <w:szCs w:val="22"/>
        </w:rPr>
      </w:pPr>
      <w:r w:rsidRPr="00DE1553">
        <w:rPr>
          <w:rStyle w:val="Bodytextblack"/>
          <w:rFonts w:asciiTheme="minorHAnsi" w:hAnsiTheme="minorHAnsi"/>
          <w:color w:val="auto"/>
          <w:sz w:val="22"/>
          <w:szCs w:val="22"/>
        </w:rPr>
        <w:t>the birth to three period as central to mental health, wellbeing and long term success</w:t>
      </w:r>
    </w:p>
    <w:p w:rsidR="008C4367" w:rsidRPr="00DE1553" w:rsidRDefault="008C4367" w:rsidP="00373912">
      <w:pPr>
        <w:pStyle w:val="BasicParagraph"/>
        <w:numPr>
          <w:ilvl w:val="0"/>
          <w:numId w:val="2"/>
        </w:numPr>
        <w:suppressAutoHyphens/>
        <w:spacing w:before="57" w:line="240" w:lineRule="auto"/>
        <w:ind w:left="360"/>
        <w:rPr>
          <w:rStyle w:val="Bodytextblack"/>
          <w:rFonts w:asciiTheme="minorHAnsi" w:hAnsiTheme="minorHAnsi"/>
          <w:color w:val="auto"/>
          <w:sz w:val="22"/>
          <w:szCs w:val="22"/>
        </w:rPr>
      </w:pPr>
      <w:r w:rsidRPr="00DE1553">
        <w:rPr>
          <w:rStyle w:val="Bodytextblack"/>
          <w:rFonts w:asciiTheme="minorHAnsi" w:hAnsiTheme="minorHAnsi"/>
          <w:color w:val="auto"/>
          <w:sz w:val="22"/>
          <w:szCs w:val="22"/>
        </w:rPr>
        <w:t>acknowledgement and respect for Aboriginal culture for all Victorian children</w:t>
      </w:r>
    </w:p>
    <w:p w:rsidR="008C4367" w:rsidRPr="006A0B0E" w:rsidRDefault="008C4367" w:rsidP="00373912">
      <w:pPr>
        <w:pStyle w:val="BasicParagraph"/>
        <w:numPr>
          <w:ilvl w:val="0"/>
          <w:numId w:val="2"/>
        </w:numPr>
        <w:suppressAutoHyphens/>
        <w:spacing w:before="57" w:line="240" w:lineRule="auto"/>
        <w:ind w:left="360"/>
        <w:rPr>
          <w:rStyle w:val="Bodytextblack"/>
          <w:rFonts w:asciiTheme="minorHAnsi" w:hAnsiTheme="minorHAnsi"/>
          <w:color w:val="auto"/>
          <w:sz w:val="22"/>
          <w:szCs w:val="22"/>
        </w:rPr>
      </w:pPr>
      <w:r w:rsidRPr="00DE1553">
        <w:rPr>
          <w:rStyle w:val="Bodytextblack"/>
          <w:rFonts w:asciiTheme="minorHAnsi" w:hAnsiTheme="minorHAnsi"/>
          <w:color w:val="auto"/>
          <w:sz w:val="22"/>
          <w:szCs w:val="22"/>
        </w:rPr>
        <w:t>responding to children and families experiencing vulnerability including the importance of equity, diversity</w:t>
      </w:r>
      <w:r w:rsidR="006A0B0E">
        <w:rPr>
          <w:rStyle w:val="Bodytextblack"/>
          <w:rFonts w:asciiTheme="minorHAnsi" w:hAnsiTheme="minorHAnsi"/>
          <w:color w:val="auto"/>
          <w:sz w:val="22"/>
          <w:szCs w:val="22"/>
        </w:rPr>
        <w:t xml:space="preserve"> </w:t>
      </w:r>
      <w:r w:rsidRPr="006A0B0E">
        <w:rPr>
          <w:rStyle w:val="Bodytextblack"/>
          <w:rFonts w:asciiTheme="minorHAnsi" w:hAnsiTheme="minorHAnsi"/>
          <w:color w:val="auto"/>
          <w:sz w:val="22"/>
          <w:szCs w:val="22"/>
        </w:rPr>
        <w:t>and respectful relationships.</w:t>
      </w:r>
    </w:p>
    <w:p w:rsidR="008C4367" w:rsidRPr="00DE1553" w:rsidRDefault="008C4367" w:rsidP="00974F08">
      <w:pPr>
        <w:pStyle w:val="BasicParagraph"/>
        <w:suppressAutoHyphens/>
        <w:spacing w:before="57" w:line="240" w:lineRule="auto"/>
        <w:ind w:left="113"/>
        <w:rPr>
          <w:rStyle w:val="Bodytextblack"/>
          <w:rFonts w:asciiTheme="minorHAnsi" w:hAnsiTheme="minorHAnsi"/>
          <w:color w:val="auto"/>
          <w:sz w:val="22"/>
          <w:szCs w:val="22"/>
        </w:rPr>
      </w:pPr>
      <w:r w:rsidRPr="00DE1553">
        <w:rPr>
          <w:rStyle w:val="Bodytextblack"/>
          <w:rFonts w:asciiTheme="minorHAnsi" w:hAnsiTheme="minorHAnsi"/>
          <w:color w:val="auto"/>
          <w:sz w:val="22"/>
          <w:szCs w:val="22"/>
        </w:rPr>
        <w:t xml:space="preserve">The revised VEYLDF also has a new look and feel. The cover depicts the ‘three elements of the VEYLDF by </w:t>
      </w:r>
    </w:p>
    <w:p w:rsidR="008C4367" w:rsidRPr="00DE1553" w:rsidRDefault="008C4367" w:rsidP="00974F08">
      <w:pPr>
        <w:pStyle w:val="BasicParagraph"/>
        <w:suppressAutoHyphens/>
        <w:spacing w:before="57" w:line="240" w:lineRule="auto"/>
        <w:ind w:left="113"/>
        <w:rPr>
          <w:rStyle w:val="Bodytextblack"/>
          <w:rFonts w:asciiTheme="minorHAnsi" w:hAnsiTheme="minorHAnsi"/>
          <w:color w:val="auto"/>
          <w:sz w:val="22"/>
          <w:szCs w:val="22"/>
        </w:rPr>
      </w:pPr>
      <w:proofErr w:type="gramStart"/>
      <w:r w:rsidRPr="00DE1553">
        <w:rPr>
          <w:rStyle w:val="Bodytextblack"/>
          <w:rFonts w:asciiTheme="minorHAnsi" w:hAnsiTheme="minorHAnsi"/>
          <w:color w:val="auto"/>
          <w:sz w:val="22"/>
          <w:szCs w:val="22"/>
        </w:rPr>
        <w:t>artist</w:t>
      </w:r>
      <w:proofErr w:type="gramEnd"/>
      <w:r w:rsidRPr="00DE1553">
        <w:rPr>
          <w:rStyle w:val="Bodytextblack"/>
          <w:rFonts w:asciiTheme="minorHAnsi" w:hAnsiTheme="minorHAnsi"/>
          <w:color w:val="auto"/>
          <w:sz w:val="22"/>
          <w:szCs w:val="22"/>
        </w:rPr>
        <w:t xml:space="preserve"> Annette Sax, and associated story by Sue Lopez Atkinson de</w:t>
      </w:r>
      <w:r w:rsidR="00373912">
        <w:rPr>
          <w:rStyle w:val="Bodytextblack"/>
          <w:rFonts w:asciiTheme="minorHAnsi" w:hAnsiTheme="minorHAnsi"/>
          <w:color w:val="auto"/>
          <w:sz w:val="22"/>
          <w:szCs w:val="22"/>
        </w:rPr>
        <w:t xml:space="preserve">scribes </w:t>
      </w:r>
      <w:r w:rsidRPr="00DE1553">
        <w:rPr>
          <w:rStyle w:val="Bodytextblack"/>
          <w:rFonts w:asciiTheme="minorHAnsi" w:hAnsiTheme="minorHAnsi"/>
          <w:color w:val="auto"/>
          <w:sz w:val="22"/>
          <w:szCs w:val="22"/>
        </w:rPr>
        <w:t>these essential three elements of the</w:t>
      </w:r>
    </w:p>
    <w:p w:rsidR="00454E06" w:rsidRDefault="00373912" w:rsidP="00454E06">
      <w:pPr>
        <w:pStyle w:val="BasicParagraph"/>
        <w:suppressAutoHyphens/>
        <w:spacing w:before="57" w:line="240" w:lineRule="auto"/>
        <w:ind w:left="113"/>
        <w:rPr>
          <w:rStyle w:val="Bodytextblack"/>
          <w:rFonts w:asciiTheme="minorHAnsi" w:hAnsiTheme="minorHAnsi"/>
          <w:color w:val="auto"/>
          <w:sz w:val="22"/>
          <w:szCs w:val="22"/>
        </w:rPr>
      </w:pPr>
      <w:r>
        <w:rPr>
          <w:rStyle w:val="Bodytextblack"/>
          <w:rFonts w:asciiTheme="minorHAnsi" w:hAnsiTheme="minorHAnsi"/>
          <w:color w:val="auto"/>
          <w:sz w:val="22"/>
          <w:szCs w:val="22"/>
        </w:rPr>
        <w:t xml:space="preserve"> VEYLDF:</w:t>
      </w:r>
      <w:r w:rsidR="008C4367" w:rsidRPr="00DE1553">
        <w:rPr>
          <w:rStyle w:val="Bodytextblack"/>
          <w:rFonts w:asciiTheme="minorHAnsi" w:hAnsiTheme="minorHAnsi"/>
          <w:color w:val="auto"/>
          <w:sz w:val="22"/>
          <w:szCs w:val="22"/>
        </w:rPr>
        <w:t xml:space="preserve"> Practice Principles, Outcomes and Transition</w:t>
      </w:r>
      <w:r w:rsidR="00454E06">
        <w:rPr>
          <w:rStyle w:val="Bodytextblack"/>
          <w:rFonts w:asciiTheme="minorHAnsi" w:hAnsiTheme="minorHAnsi"/>
          <w:color w:val="auto"/>
          <w:sz w:val="22"/>
          <w:szCs w:val="22"/>
        </w:rPr>
        <w:t xml:space="preserve">. </w:t>
      </w:r>
      <w:r w:rsidR="008C4367" w:rsidRPr="00DE1553">
        <w:rPr>
          <w:rStyle w:val="Bodytextblack"/>
          <w:rFonts w:asciiTheme="minorHAnsi" w:hAnsiTheme="minorHAnsi"/>
          <w:color w:val="auto"/>
          <w:sz w:val="22"/>
          <w:szCs w:val="22"/>
        </w:rPr>
        <w:t xml:space="preserve">The revised VEYLDF </w:t>
      </w:r>
      <w:r w:rsidR="002402E5" w:rsidRPr="00DE1553">
        <w:rPr>
          <w:rStyle w:val="Bodytextblack"/>
          <w:rFonts w:asciiTheme="minorHAnsi" w:hAnsiTheme="minorHAnsi"/>
          <w:color w:val="auto"/>
          <w:sz w:val="22"/>
          <w:szCs w:val="22"/>
        </w:rPr>
        <w:t xml:space="preserve">has been published on the Department Website: </w:t>
      </w:r>
      <w:r w:rsidR="00454E06">
        <w:rPr>
          <w:rStyle w:val="Bodytextblack"/>
          <w:rFonts w:asciiTheme="minorHAnsi" w:hAnsiTheme="minorHAnsi"/>
          <w:color w:val="auto"/>
          <w:sz w:val="22"/>
          <w:szCs w:val="22"/>
        </w:rPr>
        <w:t xml:space="preserve"> </w:t>
      </w:r>
      <w:hyperlink r:id="rId8" w:history="1">
        <w:r w:rsidR="00454E06" w:rsidRPr="005C19AD">
          <w:rPr>
            <w:rStyle w:val="Hyperlink"/>
            <w:rFonts w:asciiTheme="minorHAnsi" w:hAnsiTheme="minorHAnsi" w:cs="Arial"/>
            <w:sz w:val="22"/>
            <w:szCs w:val="22"/>
          </w:rPr>
          <w:t>www.education.vic.gov.au/veyldf</w:t>
        </w:r>
      </w:hyperlink>
    </w:p>
    <w:p w:rsidR="00974F08" w:rsidRPr="00DE1553" w:rsidRDefault="002402E5" w:rsidP="00454E06">
      <w:pPr>
        <w:pStyle w:val="BasicParagraph"/>
        <w:suppressAutoHyphens/>
        <w:spacing w:before="57" w:line="240" w:lineRule="auto"/>
        <w:ind w:left="113"/>
        <w:rPr>
          <w:rStyle w:val="Bodytextblack"/>
          <w:rFonts w:asciiTheme="minorHAnsi" w:hAnsiTheme="minorHAnsi"/>
          <w:color w:val="auto"/>
          <w:sz w:val="22"/>
          <w:szCs w:val="22"/>
        </w:rPr>
      </w:pPr>
      <w:r w:rsidRPr="00DE1553">
        <w:rPr>
          <w:rStyle w:val="Bodytextblack"/>
          <w:rFonts w:asciiTheme="minorHAnsi" w:hAnsiTheme="minorHAnsi"/>
          <w:color w:val="auto"/>
          <w:sz w:val="22"/>
          <w:szCs w:val="22"/>
        </w:rPr>
        <w:t xml:space="preserve"> </w:t>
      </w:r>
      <w:r w:rsidR="008C4367" w:rsidRPr="00DE1553">
        <w:rPr>
          <w:rStyle w:val="Bodytextblack"/>
          <w:rFonts w:asciiTheme="minorHAnsi" w:hAnsiTheme="minorHAnsi"/>
          <w:color w:val="auto"/>
          <w:sz w:val="22"/>
          <w:szCs w:val="22"/>
        </w:rPr>
        <w:t xml:space="preserve"> </w:t>
      </w:r>
    </w:p>
    <w:p w:rsidR="008C4367" w:rsidRDefault="008C4367" w:rsidP="00454E06">
      <w:pPr>
        <w:pStyle w:val="BasicParagraph"/>
        <w:suppressAutoHyphens/>
        <w:spacing w:line="240" w:lineRule="auto"/>
        <w:ind w:left="113"/>
        <w:rPr>
          <w:rStyle w:val="Bodytextblack"/>
          <w:rFonts w:asciiTheme="minorHAnsi" w:hAnsiTheme="minorHAnsi"/>
          <w:color w:val="auto"/>
          <w:sz w:val="22"/>
          <w:szCs w:val="22"/>
        </w:rPr>
      </w:pPr>
      <w:r w:rsidRPr="00DE1553">
        <w:rPr>
          <w:rStyle w:val="Bodytextblack"/>
          <w:rFonts w:asciiTheme="minorHAnsi" w:hAnsiTheme="minorHAnsi"/>
          <w:color w:val="auto"/>
          <w:sz w:val="22"/>
          <w:szCs w:val="22"/>
        </w:rPr>
        <w:t xml:space="preserve">All services and primary schools will be receiving a hard copy of VEYLDF, but additional copies </w:t>
      </w:r>
      <w:r w:rsidR="002402E5" w:rsidRPr="00DE1553">
        <w:rPr>
          <w:rStyle w:val="Bodytextblack"/>
          <w:rFonts w:asciiTheme="minorHAnsi" w:hAnsiTheme="minorHAnsi"/>
          <w:color w:val="auto"/>
          <w:sz w:val="22"/>
          <w:szCs w:val="22"/>
        </w:rPr>
        <w:t>can be ordered</w:t>
      </w:r>
      <w:r w:rsidRPr="00DE1553">
        <w:rPr>
          <w:rStyle w:val="Bodytextblack"/>
          <w:rFonts w:asciiTheme="minorHAnsi" w:hAnsiTheme="minorHAnsi"/>
          <w:color w:val="auto"/>
          <w:sz w:val="22"/>
          <w:szCs w:val="22"/>
        </w:rPr>
        <w:t xml:space="preserve"> for professionals </w:t>
      </w:r>
      <w:r w:rsidR="00B94762" w:rsidRPr="00DE1553">
        <w:rPr>
          <w:rStyle w:val="Bodytextblack"/>
          <w:rFonts w:asciiTheme="minorHAnsi" w:hAnsiTheme="minorHAnsi"/>
          <w:color w:val="auto"/>
          <w:sz w:val="22"/>
          <w:szCs w:val="22"/>
        </w:rPr>
        <w:t>available at</w:t>
      </w:r>
      <w:r w:rsidR="005853D9" w:rsidRPr="00DE1553">
        <w:rPr>
          <w:rStyle w:val="Bodytextblack"/>
          <w:rFonts w:asciiTheme="minorHAnsi" w:hAnsiTheme="minorHAnsi"/>
          <w:color w:val="auto"/>
          <w:sz w:val="22"/>
          <w:szCs w:val="22"/>
        </w:rPr>
        <w:t xml:space="preserve">: </w:t>
      </w:r>
      <w:r w:rsidRPr="00DE1553">
        <w:rPr>
          <w:rStyle w:val="Bodytextblack"/>
          <w:rFonts w:asciiTheme="minorHAnsi" w:hAnsiTheme="minorHAnsi"/>
          <w:color w:val="auto"/>
          <w:sz w:val="22"/>
          <w:szCs w:val="22"/>
        </w:rPr>
        <w:t xml:space="preserve"> ewfds.wfds.com.au/EWFDS/content/CatalogueOrderDetails.aspx</w:t>
      </w:r>
    </w:p>
    <w:p w:rsidR="00974F08" w:rsidRPr="00DE1553" w:rsidRDefault="00974F08" w:rsidP="00974F08">
      <w:pPr>
        <w:pStyle w:val="BasicParagraph"/>
        <w:suppressAutoHyphens/>
        <w:spacing w:before="57" w:line="240" w:lineRule="auto"/>
        <w:ind w:left="113"/>
        <w:rPr>
          <w:rStyle w:val="Bodytextblack"/>
          <w:rFonts w:asciiTheme="minorHAnsi" w:hAnsiTheme="minorHAnsi"/>
          <w:color w:val="auto"/>
          <w:sz w:val="22"/>
          <w:szCs w:val="22"/>
        </w:rPr>
      </w:pPr>
    </w:p>
    <w:p w:rsidR="00CA6CC0" w:rsidRDefault="005853D9" w:rsidP="00454E06">
      <w:pPr>
        <w:pStyle w:val="BasicParagraph"/>
        <w:suppressAutoHyphens/>
        <w:spacing w:line="240" w:lineRule="auto"/>
        <w:ind w:left="113"/>
        <w:rPr>
          <w:rStyle w:val="Bodytextblack"/>
          <w:rFonts w:asciiTheme="minorHAnsi" w:hAnsiTheme="minorHAnsi"/>
          <w:color w:val="auto"/>
          <w:sz w:val="22"/>
          <w:szCs w:val="22"/>
        </w:rPr>
      </w:pPr>
      <w:r w:rsidRPr="00DE1553">
        <w:rPr>
          <w:rStyle w:val="Bodytextblack"/>
          <w:rFonts w:asciiTheme="minorHAnsi" w:hAnsiTheme="minorHAnsi"/>
          <w:color w:val="auto"/>
          <w:sz w:val="22"/>
          <w:szCs w:val="22"/>
        </w:rPr>
        <w:t>The early years alert developed by the Victorian Curriculum</w:t>
      </w:r>
      <w:r w:rsidR="00CA6CC0" w:rsidRPr="00DE1553">
        <w:rPr>
          <w:rStyle w:val="Bodytextblack"/>
          <w:rFonts w:asciiTheme="minorHAnsi" w:hAnsiTheme="minorHAnsi"/>
          <w:color w:val="auto"/>
          <w:sz w:val="22"/>
          <w:szCs w:val="22"/>
        </w:rPr>
        <w:t xml:space="preserve"> and Assessment Authority (VCAA) provides updates about implementation of the VEYLDF. To subscribe to</w:t>
      </w:r>
      <w:r w:rsidR="00352C62">
        <w:rPr>
          <w:rStyle w:val="Bodytextblack"/>
          <w:rFonts w:asciiTheme="minorHAnsi" w:hAnsiTheme="minorHAnsi"/>
          <w:color w:val="auto"/>
          <w:sz w:val="22"/>
          <w:szCs w:val="22"/>
        </w:rPr>
        <w:t xml:space="preserve"> the Early Years alert register at </w:t>
      </w:r>
      <w:hyperlink r:id="rId9" w:history="1">
        <w:r w:rsidR="007E58AB" w:rsidRPr="005C19AD">
          <w:rPr>
            <w:rStyle w:val="Hyperlink"/>
            <w:rFonts w:asciiTheme="minorHAnsi" w:hAnsiTheme="minorHAnsi" w:cs="Arial"/>
            <w:sz w:val="22"/>
            <w:szCs w:val="22"/>
          </w:rPr>
          <w:t>www.vcaa.vic.edu.au/Pages/earlyyears/subscribe.aspx</w:t>
        </w:r>
      </w:hyperlink>
    </w:p>
    <w:p w:rsidR="00965D2E" w:rsidRPr="00DE1553" w:rsidRDefault="00965D2E" w:rsidP="00974F08">
      <w:pPr>
        <w:pStyle w:val="BasicParagraph"/>
        <w:spacing w:line="240" w:lineRule="auto"/>
        <w:rPr>
          <w:rFonts w:asciiTheme="minorHAnsi" w:hAnsiTheme="minorHAnsi" w:cs="Arial"/>
          <w:b/>
          <w:bCs/>
          <w:color w:val="auto"/>
          <w:sz w:val="22"/>
          <w:szCs w:val="22"/>
        </w:rPr>
      </w:pPr>
    </w:p>
    <w:p w:rsidR="00492B21" w:rsidRDefault="00CA6CC0" w:rsidP="00B250D4">
      <w:pPr>
        <w:pStyle w:val="BasicParagraph"/>
        <w:spacing w:after="120" w:line="240" w:lineRule="auto"/>
        <w:rPr>
          <w:rFonts w:asciiTheme="minorHAnsi" w:hAnsiTheme="minorHAnsi" w:cs="Arial"/>
          <w:b/>
          <w:bCs/>
          <w:color w:val="auto"/>
        </w:rPr>
      </w:pPr>
      <w:r w:rsidRPr="00DE1553">
        <w:rPr>
          <w:rFonts w:asciiTheme="minorHAnsi" w:hAnsiTheme="minorHAnsi" w:cs="Arial"/>
          <w:b/>
          <w:bCs/>
          <w:color w:val="auto"/>
        </w:rPr>
        <w:t>Focus on Quality Area 2 – Children’s Health and Safety</w:t>
      </w:r>
    </w:p>
    <w:p w:rsidR="00B250D4" w:rsidRPr="0072432A" w:rsidRDefault="00187FEC" w:rsidP="00974F08">
      <w:pPr>
        <w:pStyle w:val="BasicParagraph"/>
        <w:spacing w:line="240" w:lineRule="auto"/>
        <w:rPr>
          <w:rFonts w:asciiTheme="minorHAnsi" w:hAnsiTheme="minorHAnsi" w:cs="Arial"/>
          <w:bCs/>
          <w:color w:val="auto"/>
          <w:sz w:val="22"/>
          <w:szCs w:val="22"/>
        </w:rPr>
      </w:pPr>
      <w:r w:rsidRPr="0072432A">
        <w:rPr>
          <w:rFonts w:asciiTheme="minorHAnsi" w:hAnsiTheme="minorHAnsi" w:cs="Arial"/>
          <w:bCs/>
          <w:color w:val="auto"/>
          <w:sz w:val="22"/>
          <w:szCs w:val="22"/>
        </w:rPr>
        <w:t xml:space="preserve">For all service types in Victoria, elements </w:t>
      </w:r>
      <w:r w:rsidR="00373912" w:rsidRPr="0072432A">
        <w:rPr>
          <w:rFonts w:asciiTheme="minorHAnsi" w:hAnsiTheme="minorHAnsi" w:cs="Arial"/>
          <w:bCs/>
          <w:color w:val="auto"/>
          <w:sz w:val="22"/>
          <w:szCs w:val="22"/>
        </w:rPr>
        <w:t xml:space="preserve">related to Quality Area 2: Children’s Health and Safety are amongst the ten top elements not met. These elements are about </w:t>
      </w:r>
      <w:r w:rsidR="00B250D4" w:rsidRPr="0072432A">
        <w:rPr>
          <w:rFonts w:asciiTheme="minorHAnsi" w:hAnsiTheme="minorHAnsi" w:cs="Arial"/>
          <w:bCs/>
          <w:color w:val="auto"/>
          <w:sz w:val="22"/>
          <w:szCs w:val="22"/>
        </w:rPr>
        <w:t>the health, protection, safet</w:t>
      </w:r>
      <w:r w:rsidRPr="0072432A">
        <w:rPr>
          <w:rFonts w:asciiTheme="minorHAnsi" w:hAnsiTheme="minorHAnsi" w:cs="Arial"/>
          <w:bCs/>
          <w:color w:val="auto"/>
          <w:sz w:val="22"/>
          <w:szCs w:val="22"/>
        </w:rPr>
        <w:t>y and wellbeing of all children</w:t>
      </w:r>
      <w:r w:rsidR="00373912" w:rsidRPr="0072432A">
        <w:rPr>
          <w:rFonts w:asciiTheme="minorHAnsi" w:hAnsiTheme="minorHAnsi" w:cs="Arial"/>
          <w:bCs/>
          <w:color w:val="auto"/>
          <w:sz w:val="22"/>
          <w:szCs w:val="22"/>
        </w:rPr>
        <w:t xml:space="preserve">. The frequency in elements related to Quality Area 2 not being met </w:t>
      </w:r>
      <w:proofErr w:type="gramStart"/>
      <w:r w:rsidR="00373912" w:rsidRPr="0072432A">
        <w:rPr>
          <w:rFonts w:asciiTheme="minorHAnsi" w:hAnsiTheme="minorHAnsi" w:cs="Arial"/>
          <w:bCs/>
          <w:color w:val="auto"/>
          <w:sz w:val="22"/>
          <w:szCs w:val="22"/>
        </w:rPr>
        <w:t>are</w:t>
      </w:r>
      <w:proofErr w:type="gramEnd"/>
      <w:r w:rsidR="00373912" w:rsidRPr="0072432A">
        <w:rPr>
          <w:rFonts w:asciiTheme="minorHAnsi" w:hAnsiTheme="minorHAnsi" w:cs="Arial"/>
          <w:bCs/>
          <w:color w:val="auto"/>
          <w:sz w:val="22"/>
          <w:szCs w:val="22"/>
        </w:rPr>
        <w:t xml:space="preserve"> highlighted in orange in the table below.</w:t>
      </w:r>
    </w:p>
    <w:p w:rsidR="00B250D4" w:rsidRPr="00B250D4" w:rsidRDefault="00B250D4" w:rsidP="00974F08">
      <w:pPr>
        <w:pStyle w:val="BasicParagraph"/>
        <w:spacing w:line="240" w:lineRule="auto"/>
        <w:rPr>
          <w:rFonts w:asciiTheme="minorHAnsi" w:hAnsiTheme="minorHAnsi" w:cs="Arial"/>
          <w:bCs/>
          <w:color w:val="auto"/>
        </w:rPr>
      </w:pPr>
    </w:p>
    <w:tbl>
      <w:tblPr>
        <w:tblStyle w:val="TableGrid"/>
        <w:tblW w:w="0" w:type="auto"/>
        <w:tblInd w:w="108" w:type="dxa"/>
        <w:tblLook w:val="04A0" w:firstRow="1" w:lastRow="0" w:firstColumn="1" w:lastColumn="0" w:noHBand="0" w:noVBand="1"/>
      </w:tblPr>
      <w:tblGrid>
        <w:gridCol w:w="1489"/>
        <w:gridCol w:w="943"/>
        <w:gridCol w:w="943"/>
        <w:gridCol w:w="944"/>
        <w:gridCol w:w="945"/>
        <w:gridCol w:w="943"/>
        <w:gridCol w:w="943"/>
        <w:gridCol w:w="943"/>
        <w:gridCol w:w="943"/>
        <w:gridCol w:w="943"/>
        <w:gridCol w:w="929"/>
      </w:tblGrid>
      <w:tr w:rsidR="00373912" w:rsidTr="0046548E">
        <w:tc>
          <w:tcPr>
            <w:tcW w:w="10908" w:type="dxa"/>
            <w:gridSpan w:val="11"/>
          </w:tcPr>
          <w:p w:rsidR="00373912" w:rsidRPr="00492B21" w:rsidRDefault="00373912" w:rsidP="00373912">
            <w:pPr>
              <w:pStyle w:val="BasicParagraph"/>
              <w:spacing w:after="120" w:line="240" w:lineRule="auto"/>
              <w:rPr>
                <w:rFonts w:asciiTheme="minorHAnsi" w:hAnsiTheme="minorHAnsi" w:cs="Arial"/>
                <w:bCs/>
                <w:color w:val="auto"/>
              </w:rPr>
            </w:pPr>
            <w:r>
              <w:rPr>
                <w:rFonts w:asciiTheme="minorHAnsi" w:hAnsiTheme="minorHAnsi" w:cs="Arial"/>
                <w:bCs/>
                <w:color w:val="auto"/>
              </w:rPr>
              <w:t xml:space="preserve">ELEMENTS NOT MET – Quality Area 2 </w:t>
            </w:r>
          </w:p>
        </w:tc>
      </w:tr>
      <w:tr w:rsidR="00B250D4" w:rsidTr="00373912">
        <w:tc>
          <w:tcPr>
            <w:tcW w:w="1489" w:type="dxa"/>
          </w:tcPr>
          <w:p w:rsidR="00492B21" w:rsidRPr="00492B21" w:rsidRDefault="00492B21" w:rsidP="00974F08">
            <w:pPr>
              <w:pStyle w:val="BasicParagraph"/>
              <w:spacing w:line="240" w:lineRule="auto"/>
              <w:rPr>
                <w:rFonts w:asciiTheme="minorHAnsi" w:hAnsiTheme="minorHAnsi" w:cs="Arial"/>
                <w:bCs/>
                <w:color w:val="auto"/>
              </w:rPr>
            </w:pPr>
            <w:r w:rsidRPr="00492B21">
              <w:rPr>
                <w:rFonts w:asciiTheme="minorHAnsi" w:hAnsiTheme="minorHAnsi" w:cs="Arial"/>
                <w:bCs/>
                <w:color w:val="auto"/>
              </w:rPr>
              <w:t>Top 10 Elements Not Met</w:t>
            </w:r>
          </w:p>
        </w:tc>
        <w:tc>
          <w:tcPr>
            <w:tcW w:w="943" w:type="dxa"/>
          </w:tcPr>
          <w:p w:rsidR="00492B21" w:rsidRPr="00492B21" w:rsidRDefault="00492B21" w:rsidP="00492B21">
            <w:pPr>
              <w:pStyle w:val="BasicParagraph"/>
              <w:spacing w:line="240" w:lineRule="auto"/>
              <w:jc w:val="center"/>
              <w:rPr>
                <w:rFonts w:asciiTheme="minorHAnsi" w:hAnsiTheme="minorHAnsi" w:cs="Arial"/>
                <w:bCs/>
                <w:color w:val="auto"/>
              </w:rPr>
            </w:pPr>
          </w:p>
          <w:p w:rsidR="00492B21" w:rsidRPr="00492B21" w:rsidRDefault="00492B21" w:rsidP="00492B21">
            <w:pPr>
              <w:pStyle w:val="BasicParagraph"/>
              <w:spacing w:line="240" w:lineRule="auto"/>
              <w:jc w:val="center"/>
              <w:rPr>
                <w:rFonts w:asciiTheme="minorHAnsi" w:hAnsiTheme="minorHAnsi" w:cs="Arial"/>
                <w:bCs/>
                <w:color w:val="auto"/>
              </w:rPr>
            </w:pPr>
            <w:r w:rsidRPr="00492B21">
              <w:rPr>
                <w:rFonts w:asciiTheme="minorHAnsi" w:hAnsiTheme="minorHAnsi" w:cs="Arial"/>
                <w:bCs/>
                <w:color w:val="auto"/>
              </w:rPr>
              <w:t>1</w:t>
            </w:r>
          </w:p>
        </w:tc>
        <w:tc>
          <w:tcPr>
            <w:tcW w:w="943" w:type="dxa"/>
          </w:tcPr>
          <w:p w:rsidR="00492B21" w:rsidRPr="00492B21" w:rsidRDefault="00492B21" w:rsidP="00492B21">
            <w:pPr>
              <w:pStyle w:val="BasicParagraph"/>
              <w:spacing w:line="240" w:lineRule="auto"/>
              <w:jc w:val="center"/>
              <w:rPr>
                <w:rFonts w:asciiTheme="minorHAnsi" w:hAnsiTheme="minorHAnsi" w:cs="Arial"/>
                <w:bCs/>
                <w:color w:val="auto"/>
              </w:rPr>
            </w:pPr>
          </w:p>
          <w:p w:rsidR="00492B21" w:rsidRPr="00492B21" w:rsidRDefault="00492B21" w:rsidP="00492B21">
            <w:pPr>
              <w:pStyle w:val="BasicParagraph"/>
              <w:spacing w:line="240" w:lineRule="auto"/>
              <w:jc w:val="center"/>
              <w:rPr>
                <w:rFonts w:asciiTheme="minorHAnsi" w:hAnsiTheme="minorHAnsi" w:cs="Arial"/>
                <w:bCs/>
                <w:color w:val="auto"/>
              </w:rPr>
            </w:pPr>
            <w:r w:rsidRPr="00492B21">
              <w:rPr>
                <w:rFonts w:asciiTheme="minorHAnsi" w:hAnsiTheme="minorHAnsi" w:cs="Arial"/>
                <w:bCs/>
                <w:color w:val="auto"/>
              </w:rPr>
              <w:t>2</w:t>
            </w:r>
          </w:p>
        </w:tc>
        <w:tc>
          <w:tcPr>
            <w:tcW w:w="944" w:type="dxa"/>
            <w:tcBorders>
              <w:bottom w:val="single" w:sz="4" w:space="0" w:color="auto"/>
            </w:tcBorders>
          </w:tcPr>
          <w:p w:rsidR="00492B21" w:rsidRPr="00492B21" w:rsidRDefault="00492B21" w:rsidP="00492B21">
            <w:pPr>
              <w:pStyle w:val="BasicParagraph"/>
              <w:spacing w:line="240" w:lineRule="auto"/>
              <w:jc w:val="center"/>
              <w:rPr>
                <w:rFonts w:asciiTheme="minorHAnsi" w:hAnsiTheme="minorHAnsi" w:cs="Arial"/>
                <w:bCs/>
                <w:color w:val="auto"/>
              </w:rPr>
            </w:pPr>
          </w:p>
          <w:p w:rsidR="00492B21" w:rsidRPr="00492B21" w:rsidRDefault="00492B21" w:rsidP="00492B21">
            <w:pPr>
              <w:pStyle w:val="BasicParagraph"/>
              <w:spacing w:line="240" w:lineRule="auto"/>
              <w:jc w:val="center"/>
              <w:rPr>
                <w:rFonts w:asciiTheme="minorHAnsi" w:hAnsiTheme="minorHAnsi" w:cs="Arial"/>
                <w:bCs/>
                <w:color w:val="auto"/>
              </w:rPr>
            </w:pPr>
            <w:r w:rsidRPr="00492B21">
              <w:rPr>
                <w:rFonts w:asciiTheme="minorHAnsi" w:hAnsiTheme="minorHAnsi" w:cs="Arial"/>
                <w:bCs/>
                <w:color w:val="auto"/>
              </w:rPr>
              <w:t>3</w:t>
            </w:r>
          </w:p>
        </w:tc>
        <w:tc>
          <w:tcPr>
            <w:tcW w:w="945" w:type="dxa"/>
          </w:tcPr>
          <w:p w:rsidR="00492B21" w:rsidRPr="00492B21" w:rsidRDefault="00492B21" w:rsidP="00492B21">
            <w:pPr>
              <w:pStyle w:val="BasicParagraph"/>
              <w:spacing w:line="240" w:lineRule="auto"/>
              <w:jc w:val="center"/>
              <w:rPr>
                <w:rFonts w:asciiTheme="minorHAnsi" w:hAnsiTheme="minorHAnsi" w:cs="Arial"/>
                <w:bCs/>
                <w:color w:val="auto"/>
              </w:rPr>
            </w:pPr>
          </w:p>
          <w:p w:rsidR="00492B21" w:rsidRPr="00492B21" w:rsidRDefault="00492B21" w:rsidP="00492B21">
            <w:pPr>
              <w:pStyle w:val="BasicParagraph"/>
              <w:spacing w:line="240" w:lineRule="auto"/>
              <w:jc w:val="center"/>
              <w:rPr>
                <w:rFonts w:asciiTheme="minorHAnsi" w:hAnsiTheme="minorHAnsi" w:cs="Arial"/>
                <w:bCs/>
                <w:color w:val="auto"/>
              </w:rPr>
            </w:pPr>
            <w:r w:rsidRPr="00492B21">
              <w:rPr>
                <w:rFonts w:asciiTheme="minorHAnsi" w:hAnsiTheme="minorHAnsi" w:cs="Arial"/>
                <w:bCs/>
                <w:color w:val="auto"/>
              </w:rPr>
              <w:t>4</w:t>
            </w:r>
          </w:p>
        </w:tc>
        <w:tc>
          <w:tcPr>
            <w:tcW w:w="943" w:type="dxa"/>
          </w:tcPr>
          <w:p w:rsidR="00492B21" w:rsidRPr="00492B21" w:rsidRDefault="00492B21" w:rsidP="00492B21">
            <w:pPr>
              <w:pStyle w:val="BasicParagraph"/>
              <w:spacing w:line="240" w:lineRule="auto"/>
              <w:jc w:val="center"/>
              <w:rPr>
                <w:rFonts w:asciiTheme="minorHAnsi" w:hAnsiTheme="minorHAnsi" w:cs="Arial"/>
                <w:bCs/>
                <w:color w:val="auto"/>
              </w:rPr>
            </w:pPr>
          </w:p>
          <w:p w:rsidR="00492B21" w:rsidRPr="00492B21" w:rsidRDefault="00492B21" w:rsidP="00492B21">
            <w:pPr>
              <w:pStyle w:val="BasicParagraph"/>
              <w:spacing w:line="240" w:lineRule="auto"/>
              <w:jc w:val="center"/>
              <w:rPr>
                <w:rFonts w:asciiTheme="minorHAnsi" w:hAnsiTheme="minorHAnsi" w:cs="Arial"/>
                <w:bCs/>
                <w:color w:val="auto"/>
              </w:rPr>
            </w:pPr>
            <w:r w:rsidRPr="00492B21">
              <w:rPr>
                <w:rFonts w:asciiTheme="minorHAnsi" w:hAnsiTheme="minorHAnsi" w:cs="Arial"/>
                <w:bCs/>
                <w:color w:val="auto"/>
              </w:rPr>
              <w:t>5</w:t>
            </w:r>
          </w:p>
        </w:tc>
        <w:tc>
          <w:tcPr>
            <w:tcW w:w="943" w:type="dxa"/>
          </w:tcPr>
          <w:p w:rsidR="00492B21" w:rsidRPr="00492B21" w:rsidRDefault="00492B21" w:rsidP="00492B21">
            <w:pPr>
              <w:pStyle w:val="BasicParagraph"/>
              <w:spacing w:line="240" w:lineRule="auto"/>
              <w:jc w:val="center"/>
              <w:rPr>
                <w:rFonts w:asciiTheme="minorHAnsi" w:hAnsiTheme="minorHAnsi" w:cs="Arial"/>
                <w:bCs/>
                <w:color w:val="auto"/>
              </w:rPr>
            </w:pPr>
          </w:p>
          <w:p w:rsidR="00492B21" w:rsidRPr="00492B21" w:rsidRDefault="00492B21" w:rsidP="00492B21">
            <w:pPr>
              <w:pStyle w:val="BasicParagraph"/>
              <w:spacing w:line="240" w:lineRule="auto"/>
              <w:jc w:val="center"/>
              <w:rPr>
                <w:rFonts w:asciiTheme="minorHAnsi" w:hAnsiTheme="minorHAnsi" w:cs="Arial"/>
                <w:bCs/>
                <w:color w:val="auto"/>
              </w:rPr>
            </w:pPr>
            <w:r w:rsidRPr="00492B21">
              <w:rPr>
                <w:rFonts w:asciiTheme="minorHAnsi" w:hAnsiTheme="minorHAnsi" w:cs="Arial"/>
                <w:bCs/>
                <w:color w:val="auto"/>
              </w:rPr>
              <w:t>6</w:t>
            </w:r>
          </w:p>
        </w:tc>
        <w:tc>
          <w:tcPr>
            <w:tcW w:w="943" w:type="dxa"/>
          </w:tcPr>
          <w:p w:rsidR="00492B21" w:rsidRPr="00492B21" w:rsidRDefault="00492B21" w:rsidP="00492B21">
            <w:pPr>
              <w:pStyle w:val="BasicParagraph"/>
              <w:spacing w:line="240" w:lineRule="auto"/>
              <w:jc w:val="center"/>
              <w:rPr>
                <w:rFonts w:asciiTheme="minorHAnsi" w:hAnsiTheme="minorHAnsi" w:cs="Arial"/>
                <w:bCs/>
                <w:color w:val="auto"/>
              </w:rPr>
            </w:pPr>
          </w:p>
          <w:p w:rsidR="00492B21" w:rsidRPr="00492B21" w:rsidRDefault="00492B21" w:rsidP="00492B21">
            <w:pPr>
              <w:pStyle w:val="BasicParagraph"/>
              <w:spacing w:line="240" w:lineRule="auto"/>
              <w:jc w:val="center"/>
              <w:rPr>
                <w:rFonts w:asciiTheme="minorHAnsi" w:hAnsiTheme="minorHAnsi" w:cs="Arial"/>
                <w:bCs/>
                <w:color w:val="auto"/>
              </w:rPr>
            </w:pPr>
            <w:r w:rsidRPr="00492B21">
              <w:rPr>
                <w:rFonts w:asciiTheme="minorHAnsi" w:hAnsiTheme="minorHAnsi" w:cs="Arial"/>
                <w:bCs/>
                <w:color w:val="auto"/>
              </w:rPr>
              <w:t>7</w:t>
            </w:r>
          </w:p>
        </w:tc>
        <w:tc>
          <w:tcPr>
            <w:tcW w:w="943" w:type="dxa"/>
          </w:tcPr>
          <w:p w:rsidR="00492B21" w:rsidRPr="00492B21" w:rsidRDefault="00492B21" w:rsidP="00492B21">
            <w:pPr>
              <w:pStyle w:val="BasicParagraph"/>
              <w:spacing w:line="240" w:lineRule="auto"/>
              <w:jc w:val="center"/>
              <w:rPr>
                <w:rFonts w:asciiTheme="minorHAnsi" w:hAnsiTheme="minorHAnsi" w:cs="Arial"/>
                <w:bCs/>
                <w:color w:val="auto"/>
              </w:rPr>
            </w:pPr>
          </w:p>
          <w:p w:rsidR="00492B21" w:rsidRPr="00492B21" w:rsidRDefault="00492B21" w:rsidP="00492B21">
            <w:pPr>
              <w:pStyle w:val="BasicParagraph"/>
              <w:spacing w:line="240" w:lineRule="auto"/>
              <w:jc w:val="center"/>
              <w:rPr>
                <w:rFonts w:asciiTheme="minorHAnsi" w:hAnsiTheme="minorHAnsi" w:cs="Arial"/>
                <w:bCs/>
                <w:color w:val="auto"/>
              </w:rPr>
            </w:pPr>
            <w:r w:rsidRPr="00492B21">
              <w:rPr>
                <w:rFonts w:asciiTheme="minorHAnsi" w:hAnsiTheme="minorHAnsi" w:cs="Arial"/>
                <w:bCs/>
                <w:color w:val="auto"/>
              </w:rPr>
              <w:t>8</w:t>
            </w:r>
          </w:p>
        </w:tc>
        <w:tc>
          <w:tcPr>
            <w:tcW w:w="943" w:type="dxa"/>
          </w:tcPr>
          <w:p w:rsidR="00492B21" w:rsidRPr="00492B21" w:rsidRDefault="00492B21" w:rsidP="00492B21">
            <w:pPr>
              <w:pStyle w:val="BasicParagraph"/>
              <w:spacing w:line="240" w:lineRule="auto"/>
              <w:jc w:val="center"/>
              <w:rPr>
                <w:rFonts w:asciiTheme="minorHAnsi" w:hAnsiTheme="minorHAnsi" w:cs="Arial"/>
                <w:bCs/>
                <w:color w:val="auto"/>
              </w:rPr>
            </w:pPr>
          </w:p>
          <w:p w:rsidR="00492B21" w:rsidRPr="00492B21" w:rsidRDefault="00492B21" w:rsidP="00492B21">
            <w:pPr>
              <w:pStyle w:val="BasicParagraph"/>
              <w:spacing w:line="240" w:lineRule="auto"/>
              <w:jc w:val="center"/>
              <w:rPr>
                <w:rFonts w:asciiTheme="minorHAnsi" w:hAnsiTheme="minorHAnsi" w:cs="Arial"/>
                <w:bCs/>
                <w:color w:val="auto"/>
              </w:rPr>
            </w:pPr>
            <w:r w:rsidRPr="00492B21">
              <w:rPr>
                <w:rFonts w:asciiTheme="minorHAnsi" w:hAnsiTheme="minorHAnsi" w:cs="Arial"/>
                <w:bCs/>
                <w:color w:val="auto"/>
              </w:rPr>
              <w:t>9</w:t>
            </w:r>
          </w:p>
        </w:tc>
        <w:tc>
          <w:tcPr>
            <w:tcW w:w="929" w:type="dxa"/>
          </w:tcPr>
          <w:p w:rsidR="00492B21" w:rsidRPr="00492B21" w:rsidRDefault="00492B21" w:rsidP="00492B21">
            <w:pPr>
              <w:pStyle w:val="BasicParagraph"/>
              <w:spacing w:line="240" w:lineRule="auto"/>
              <w:jc w:val="center"/>
              <w:rPr>
                <w:rFonts w:asciiTheme="minorHAnsi" w:hAnsiTheme="minorHAnsi" w:cs="Arial"/>
                <w:bCs/>
                <w:color w:val="auto"/>
              </w:rPr>
            </w:pPr>
          </w:p>
          <w:p w:rsidR="00492B21" w:rsidRPr="00492B21" w:rsidRDefault="00492B21" w:rsidP="00492B21">
            <w:pPr>
              <w:pStyle w:val="BasicParagraph"/>
              <w:spacing w:line="240" w:lineRule="auto"/>
              <w:jc w:val="center"/>
              <w:rPr>
                <w:rFonts w:asciiTheme="minorHAnsi" w:hAnsiTheme="minorHAnsi" w:cs="Arial"/>
                <w:bCs/>
                <w:color w:val="auto"/>
              </w:rPr>
            </w:pPr>
            <w:r w:rsidRPr="00492B21">
              <w:rPr>
                <w:rFonts w:asciiTheme="minorHAnsi" w:hAnsiTheme="minorHAnsi" w:cs="Arial"/>
                <w:bCs/>
                <w:color w:val="auto"/>
              </w:rPr>
              <w:t>10</w:t>
            </w:r>
          </w:p>
        </w:tc>
      </w:tr>
      <w:tr w:rsidR="00B250D4" w:rsidTr="00373912">
        <w:tc>
          <w:tcPr>
            <w:tcW w:w="1489" w:type="dxa"/>
          </w:tcPr>
          <w:p w:rsidR="00492B21" w:rsidRPr="00492B21" w:rsidRDefault="00492B21" w:rsidP="00974F08">
            <w:pPr>
              <w:pStyle w:val="BasicParagraph"/>
              <w:spacing w:line="240" w:lineRule="auto"/>
              <w:rPr>
                <w:rFonts w:asciiTheme="minorHAnsi" w:hAnsiTheme="minorHAnsi" w:cs="Arial"/>
                <w:bCs/>
                <w:color w:val="auto"/>
              </w:rPr>
            </w:pPr>
            <w:r w:rsidRPr="00492B21">
              <w:rPr>
                <w:rFonts w:asciiTheme="minorHAnsi" w:hAnsiTheme="minorHAnsi" w:cs="Arial"/>
                <w:bCs/>
                <w:color w:val="auto"/>
              </w:rPr>
              <w:t>Family Day Care</w:t>
            </w:r>
          </w:p>
        </w:tc>
        <w:tc>
          <w:tcPr>
            <w:tcW w:w="943" w:type="dxa"/>
          </w:tcPr>
          <w:p w:rsidR="00492B21" w:rsidRPr="00492B21" w:rsidRDefault="00492B21" w:rsidP="00B250D4">
            <w:pPr>
              <w:pStyle w:val="BasicParagraph"/>
              <w:spacing w:before="120" w:line="240" w:lineRule="auto"/>
              <w:jc w:val="center"/>
              <w:rPr>
                <w:rFonts w:asciiTheme="minorHAnsi" w:hAnsiTheme="minorHAnsi" w:cs="Arial"/>
                <w:bCs/>
                <w:color w:val="auto"/>
              </w:rPr>
            </w:pPr>
            <w:r w:rsidRPr="00492B21">
              <w:rPr>
                <w:rFonts w:asciiTheme="minorHAnsi" w:hAnsiTheme="minorHAnsi" w:cs="Arial"/>
                <w:bCs/>
                <w:color w:val="auto"/>
              </w:rPr>
              <w:t>1.2.1</w:t>
            </w:r>
          </w:p>
        </w:tc>
        <w:tc>
          <w:tcPr>
            <w:tcW w:w="943" w:type="dxa"/>
          </w:tcPr>
          <w:p w:rsidR="00492B21" w:rsidRPr="00492B21" w:rsidRDefault="00492B21" w:rsidP="00492B21">
            <w:pPr>
              <w:pStyle w:val="BasicParagraph"/>
              <w:spacing w:before="120" w:line="240" w:lineRule="auto"/>
              <w:jc w:val="center"/>
              <w:rPr>
                <w:rFonts w:asciiTheme="minorHAnsi" w:hAnsiTheme="minorHAnsi" w:cs="Arial"/>
                <w:bCs/>
                <w:color w:val="auto"/>
              </w:rPr>
            </w:pPr>
            <w:r w:rsidRPr="00492B21">
              <w:rPr>
                <w:rFonts w:asciiTheme="minorHAnsi" w:hAnsiTheme="minorHAnsi" w:cs="Arial"/>
                <w:bCs/>
                <w:color w:val="auto"/>
              </w:rPr>
              <w:t>7.22</w:t>
            </w:r>
          </w:p>
        </w:tc>
        <w:tc>
          <w:tcPr>
            <w:tcW w:w="944" w:type="dxa"/>
            <w:shd w:val="pct10" w:color="auto" w:fill="auto"/>
          </w:tcPr>
          <w:p w:rsidR="00492B21" w:rsidRPr="00492B21" w:rsidRDefault="00492B21" w:rsidP="00492B21">
            <w:pPr>
              <w:pStyle w:val="BasicParagraph"/>
              <w:spacing w:before="120" w:line="240" w:lineRule="auto"/>
              <w:jc w:val="center"/>
              <w:rPr>
                <w:rFonts w:asciiTheme="minorHAnsi" w:hAnsiTheme="minorHAnsi" w:cs="Arial"/>
                <w:bCs/>
                <w:color w:val="auto"/>
              </w:rPr>
            </w:pPr>
            <w:r w:rsidRPr="00373912">
              <w:rPr>
                <w:rFonts w:asciiTheme="minorHAnsi" w:hAnsiTheme="minorHAnsi" w:cs="Arial"/>
                <w:bCs/>
                <w:color w:val="auto"/>
              </w:rPr>
              <w:t>2.3.2</w:t>
            </w:r>
          </w:p>
        </w:tc>
        <w:tc>
          <w:tcPr>
            <w:tcW w:w="945" w:type="dxa"/>
          </w:tcPr>
          <w:p w:rsidR="00492B21" w:rsidRPr="00492B21" w:rsidRDefault="00492B21" w:rsidP="00492B21">
            <w:pPr>
              <w:pStyle w:val="BasicParagraph"/>
              <w:spacing w:before="120" w:line="240" w:lineRule="auto"/>
              <w:jc w:val="center"/>
              <w:rPr>
                <w:rFonts w:asciiTheme="minorHAnsi" w:hAnsiTheme="minorHAnsi" w:cs="Arial"/>
                <w:bCs/>
                <w:color w:val="auto"/>
              </w:rPr>
            </w:pPr>
            <w:r w:rsidRPr="00492B21">
              <w:rPr>
                <w:rFonts w:asciiTheme="minorHAnsi" w:hAnsiTheme="minorHAnsi" w:cs="Arial"/>
                <w:bCs/>
                <w:color w:val="auto"/>
              </w:rPr>
              <w:t>3.3.2</w:t>
            </w:r>
          </w:p>
        </w:tc>
        <w:tc>
          <w:tcPr>
            <w:tcW w:w="943" w:type="dxa"/>
          </w:tcPr>
          <w:p w:rsidR="00492B21" w:rsidRPr="00492B21" w:rsidRDefault="00492B21" w:rsidP="00492B21">
            <w:pPr>
              <w:pStyle w:val="BasicParagraph"/>
              <w:spacing w:before="120" w:line="240" w:lineRule="auto"/>
              <w:jc w:val="center"/>
              <w:rPr>
                <w:rFonts w:asciiTheme="minorHAnsi" w:hAnsiTheme="minorHAnsi" w:cs="Arial"/>
                <w:bCs/>
                <w:color w:val="auto"/>
              </w:rPr>
            </w:pPr>
            <w:r w:rsidRPr="00492B21">
              <w:rPr>
                <w:rFonts w:asciiTheme="minorHAnsi" w:hAnsiTheme="minorHAnsi" w:cs="Arial"/>
                <w:bCs/>
                <w:color w:val="auto"/>
              </w:rPr>
              <w:t>1.2.3</w:t>
            </w:r>
          </w:p>
        </w:tc>
        <w:tc>
          <w:tcPr>
            <w:tcW w:w="943" w:type="dxa"/>
            <w:tcBorders>
              <w:bottom w:val="single" w:sz="4" w:space="0" w:color="auto"/>
            </w:tcBorders>
          </w:tcPr>
          <w:p w:rsidR="00492B21" w:rsidRPr="00492B21" w:rsidRDefault="00492B21" w:rsidP="00492B21">
            <w:pPr>
              <w:pStyle w:val="BasicParagraph"/>
              <w:spacing w:before="120" w:line="240" w:lineRule="auto"/>
              <w:jc w:val="center"/>
              <w:rPr>
                <w:rFonts w:asciiTheme="minorHAnsi" w:hAnsiTheme="minorHAnsi" w:cs="Arial"/>
                <w:bCs/>
                <w:color w:val="auto"/>
              </w:rPr>
            </w:pPr>
            <w:r w:rsidRPr="00492B21">
              <w:rPr>
                <w:rFonts w:asciiTheme="minorHAnsi" w:hAnsiTheme="minorHAnsi" w:cs="Arial"/>
                <w:bCs/>
                <w:color w:val="auto"/>
              </w:rPr>
              <w:t>7.3.1</w:t>
            </w:r>
          </w:p>
        </w:tc>
        <w:tc>
          <w:tcPr>
            <w:tcW w:w="943" w:type="dxa"/>
            <w:tcBorders>
              <w:bottom w:val="single" w:sz="4" w:space="0" w:color="auto"/>
            </w:tcBorders>
          </w:tcPr>
          <w:p w:rsidR="00492B21" w:rsidRPr="00492B21" w:rsidRDefault="00492B21" w:rsidP="00492B21">
            <w:pPr>
              <w:pStyle w:val="BasicParagraph"/>
              <w:spacing w:before="120" w:line="240" w:lineRule="auto"/>
              <w:jc w:val="center"/>
              <w:rPr>
                <w:rFonts w:asciiTheme="minorHAnsi" w:hAnsiTheme="minorHAnsi" w:cs="Arial"/>
                <w:bCs/>
                <w:color w:val="auto"/>
              </w:rPr>
            </w:pPr>
            <w:r w:rsidRPr="00492B21">
              <w:rPr>
                <w:rFonts w:asciiTheme="minorHAnsi" w:hAnsiTheme="minorHAnsi" w:cs="Arial"/>
                <w:bCs/>
                <w:color w:val="auto"/>
              </w:rPr>
              <w:t>3.3.1</w:t>
            </w:r>
          </w:p>
        </w:tc>
        <w:tc>
          <w:tcPr>
            <w:tcW w:w="943" w:type="dxa"/>
          </w:tcPr>
          <w:p w:rsidR="00492B21" w:rsidRPr="00492B21" w:rsidRDefault="00492B21" w:rsidP="00492B21">
            <w:pPr>
              <w:pStyle w:val="BasicParagraph"/>
              <w:spacing w:before="120" w:line="240" w:lineRule="auto"/>
              <w:jc w:val="center"/>
              <w:rPr>
                <w:rFonts w:asciiTheme="minorHAnsi" w:hAnsiTheme="minorHAnsi" w:cs="Arial"/>
                <w:bCs/>
                <w:color w:val="auto"/>
              </w:rPr>
            </w:pPr>
            <w:r w:rsidRPr="00492B21">
              <w:rPr>
                <w:rFonts w:asciiTheme="minorHAnsi" w:hAnsiTheme="minorHAnsi" w:cs="Arial"/>
                <w:bCs/>
                <w:color w:val="auto"/>
              </w:rPr>
              <w:t>7.3.5</w:t>
            </w:r>
          </w:p>
        </w:tc>
        <w:tc>
          <w:tcPr>
            <w:tcW w:w="943" w:type="dxa"/>
            <w:tcBorders>
              <w:bottom w:val="single" w:sz="4" w:space="0" w:color="auto"/>
            </w:tcBorders>
          </w:tcPr>
          <w:p w:rsidR="00492B21" w:rsidRPr="00492B21" w:rsidRDefault="00492B21" w:rsidP="00492B21">
            <w:pPr>
              <w:pStyle w:val="BasicParagraph"/>
              <w:spacing w:before="120" w:line="240" w:lineRule="auto"/>
              <w:jc w:val="center"/>
              <w:rPr>
                <w:rFonts w:asciiTheme="minorHAnsi" w:hAnsiTheme="minorHAnsi" w:cs="Arial"/>
                <w:bCs/>
                <w:color w:val="auto"/>
              </w:rPr>
            </w:pPr>
            <w:r w:rsidRPr="00492B21">
              <w:rPr>
                <w:rFonts w:asciiTheme="minorHAnsi" w:hAnsiTheme="minorHAnsi" w:cs="Arial"/>
                <w:bCs/>
                <w:color w:val="auto"/>
              </w:rPr>
              <w:t>3.2.2</w:t>
            </w:r>
          </w:p>
        </w:tc>
        <w:tc>
          <w:tcPr>
            <w:tcW w:w="929" w:type="dxa"/>
          </w:tcPr>
          <w:p w:rsidR="00492B21" w:rsidRPr="00492B21" w:rsidRDefault="00492B21" w:rsidP="00492B21">
            <w:pPr>
              <w:pStyle w:val="BasicParagraph"/>
              <w:spacing w:before="120" w:line="240" w:lineRule="auto"/>
              <w:jc w:val="center"/>
              <w:rPr>
                <w:rFonts w:asciiTheme="minorHAnsi" w:hAnsiTheme="minorHAnsi" w:cs="Arial"/>
                <w:bCs/>
                <w:color w:val="auto"/>
              </w:rPr>
            </w:pPr>
            <w:r w:rsidRPr="00492B21">
              <w:rPr>
                <w:rFonts w:asciiTheme="minorHAnsi" w:hAnsiTheme="minorHAnsi" w:cs="Arial"/>
                <w:bCs/>
                <w:color w:val="auto"/>
              </w:rPr>
              <w:t>4.1.1</w:t>
            </w:r>
          </w:p>
        </w:tc>
      </w:tr>
      <w:tr w:rsidR="00B250D4" w:rsidTr="00373912">
        <w:tc>
          <w:tcPr>
            <w:tcW w:w="1489" w:type="dxa"/>
          </w:tcPr>
          <w:p w:rsidR="00492B21" w:rsidRPr="00492B21" w:rsidRDefault="00492B21" w:rsidP="00974F08">
            <w:pPr>
              <w:pStyle w:val="BasicParagraph"/>
              <w:spacing w:line="240" w:lineRule="auto"/>
              <w:rPr>
                <w:rFonts w:asciiTheme="minorHAnsi" w:hAnsiTheme="minorHAnsi" w:cs="Arial"/>
                <w:bCs/>
                <w:color w:val="auto"/>
              </w:rPr>
            </w:pPr>
            <w:r w:rsidRPr="00492B21">
              <w:rPr>
                <w:rFonts w:asciiTheme="minorHAnsi" w:hAnsiTheme="minorHAnsi" w:cs="Arial"/>
                <w:bCs/>
                <w:color w:val="auto"/>
              </w:rPr>
              <w:t>Long Day Care</w:t>
            </w:r>
          </w:p>
        </w:tc>
        <w:tc>
          <w:tcPr>
            <w:tcW w:w="943" w:type="dxa"/>
          </w:tcPr>
          <w:p w:rsidR="00492B21" w:rsidRPr="00492B21" w:rsidRDefault="00492B21" w:rsidP="00492B21">
            <w:pPr>
              <w:pStyle w:val="BasicParagraph"/>
              <w:spacing w:before="120" w:line="240" w:lineRule="auto"/>
              <w:jc w:val="center"/>
              <w:rPr>
                <w:rFonts w:asciiTheme="minorHAnsi" w:hAnsiTheme="minorHAnsi" w:cs="Arial"/>
                <w:bCs/>
                <w:color w:val="auto"/>
              </w:rPr>
            </w:pPr>
            <w:r w:rsidRPr="00492B21">
              <w:rPr>
                <w:rFonts w:asciiTheme="minorHAnsi" w:hAnsiTheme="minorHAnsi" w:cs="Arial"/>
                <w:bCs/>
                <w:color w:val="auto"/>
              </w:rPr>
              <w:t>1.1.2</w:t>
            </w:r>
          </w:p>
        </w:tc>
        <w:tc>
          <w:tcPr>
            <w:tcW w:w="943" w:type="dxa"/>
          </w:tcPr>
          <w:p w:rsidR="00492B21" w:rsidRPr="00492B21" w:rsidRDefault="00492B21" w:rsidP="00492B21">
            <w:pPr>
              <w:pStyle w:val="BasicParagraph"/>
              <w:spacing w:before="120" w:line="240" w:lineRule="auto"/>
              <w:jc w:val="center"/>
              <w:rPr>
                <w:rFonts w:asciiTheme="minorHAnsi" w:hAnsiTheme="minorHAnsi" w:cs="Arial"/>
                <w:bCs/>
                <w:color w:val="auto"/>
              </w:rPr>
            </w:pPr>
            <w:r w:rsidRPr="00492B21">
              <w:rPr>
                <w:rFonts w:asciiTheme="minorHAnsi" w:hAnsiTheme="minorHAnsi" w:cs="Arial"/>
                <w:bCs/>
                <w:color w:val="auto"/>
              </w:rPr>
              <w:t>5.2.2</w:t>
            </w:r>
          </w:p>
        </w:tc>
        <w:tc>
          <w:tcPr>
            <w:tcW w:w="944" w:type="dxa"/>
          </w:tcPr>
          <w:p w:rsidR="00492B21" w:rsidRPr="00492B21" w:rsidRDefault="00492B21" w:rsidP="00492B21">
            <w:pPr>
              <w:pStyle w:val="BasicParagraph"/>
              <w:spacing w:before="120" w:line="240" w:lineRule="auto"/>
              <w:jc w:val="center"/>
              <w:rPr>
                <w:rFonts w:asciiTheme="minorHAnsi" w:hAnsiTheme="minorHAnsi" w:cs="Arial"/>
                <w:bCs/>
                <w:color w:val="auto"/>
              </w:rPr>
            </w:pPr>
            <w:r w:rsidRPr="00492B21">
              <w:rPr>
                <w:rFonts w:asciiTheme="minorHAnsi" w:hAnsiTheme="minorHAnsi" w:cs="Arial"/>
                <w:bCs/>
                <w:color w:val="auto"/>
              </w:rPr>
              <w:t>1.2.1</w:t>
            </w:r>
          </w:p>
        </w:tc>
        <w:tc>
          <w:tcPr>
            <w:tcW w:w="945" w:type="dxa"/>
          </w:tcPr>
          <w:p w:rsidR="00492B21" w:rsidRPr="00B250D4" w:rsidRDefault="00B250D4" w:rsidP="00492B21">
            <w:pPr>
              <w:pStyle w:val="BasicParagraph"/>
              <w:spacing w:before="120" w:line="240" w:lineRule="auto"/>
              <w:rPr>
                <w:rFonts w:asciiTheme="minorHAnsi" w:hAnsiTheme="minorHAnsi" w:cs="Arial"/>
                <w:bCs/>
                <w:color w:val="auto"/>
              </w:rPr>
            </w:pPr>
            <w:r w:rsidRPr="00B250D4">
              <w:rPr>
                <w:rFonts w:asciiTheme="minorHAnsi" w:hAnsiTheme="minorHAnsi" w:cs="Arial"/>
                <w:bCs/>
                <w:color w:val="auto"/>
              </w:rPr>
              <w:t>4.1.1</w:t>
            </w:r>
          </w:p>
        </w:tc>
        <w:tc>
          <w:tcPr>
            <w:tcW w:w="943" w:type="dxa"/>
          </w:tcPr>
          <w:p w:rsidR="00492B21" w:rsidRPr="00B250D4" w:rsidRDefault="00B250D4" w:rsidP="00492B21">
            <w:pPr>
              <w:pStyle w:val="BasicParagraph"/>
              <w:spacing w:before="120" w:line="240" w:lineRule="auto"/>
              <w:rPr>
                <w:rFonts w:asciiTheme="minorHAnsi" w:hAnsiTheme="minorHAnsi" w:cs="Arial"/>
                <w:bCs/>
                <w:color w:val="auto"/>
              </w:rPr>
            </w:pPr>
            <w:r w:rsidRPr="00B250D4">
              <w:rPr>
                <w:rFonts w:asciiTheme="minorHAnsi" w:hAnsiTheme="minorHAnsi" w:cs="Arial"/>
                <w:bCs/>
                <w:color w:val="auto"/>
              </w:rPr>
              <w:t>5.2.3</w:t>
            </w:r>
          </w:p>
        </w:tc>
        <w:tc>
          <w:tcPr>
            <w:tcW w:w="943" w:type="dxa"/>
            <w:tcBorders>
              <w:bottom w:val="single" w:sz="4" w:space="0" w:color="auto"/>
            </w:tcBorders>
            <w:shd w:val="pct10" w:color="auto" w:fill="auto"/>
          </w:tcPr>
          <w:p w:rsidR="00492B21" w:rsidRPr="00373912" w:rsidRDefault="00B250D4" w:rsidP="00B250D4">
            <w:pPr>
              <w:pStyle w:val="BasicParagraph"/>
              <w:spacing w:before="120" w:line="240" w:lineRule="auto"/>
              <w:jc w:val="center"/>
              <w:rPr>
                <w:rFonts w:asciiTheme="minorHAnsi" w:hAnsiTheme="minorHAnsi" w:cs="Arial"/>
                <w:bCs/>
                <w:color w:val="auto"/>
              </w:rPr>
            </w:pPr>
            <w:r w:rsidRPr="00373912">
              <w:rPr>
                <w:rFonts w:asciiTheme="minorHAnsi" w:hAnsiTheme="minorHAnsi" w:cs="Arial"/>
                <w:bCs/>
                <w:color w:val="auto"/>
              </w:rPr>
              <w:t>2.3.2</w:t>
            </w:r>
          </w:p>
        </w:tc>
        <w:tc>
          <w:tcPr>
            <w:tcW w:w="943" w:type="dxa"/>
            <w:shd w:val="pct10" w:color="auto" w:fill="auto"/>
          </w:tcPr>
          <w:p w:rsidR="00492B21" w:rsidRPr="00373912" w:rsidRDefault="00B250D4" w:rsidP="00B250D4">
            <w:pPr>
              <w:pStyle w:val="BasicParagraph"/>
              <w:spacing w:before="120" w:line="240" w:lineRule="auto"/>
              <w:jc w:val="center"/>
              <w:rPr>
                <w:rFonts w:asciiTheme="minorHAnsi" w:hAnsiTheme="minorHAnsi" w:cs="Arial"/>
                <w:bCs/>
                <w:color w:val="auto"/>
              </w:rPr>
            </w:pPr>
            <w:r w:rsidRPr="00373912">
              <w:rPr>
                <w:rFonts w:asciiTheme="minorHAnsi" w:hAnsiTheme="minorHAnsi" w:cs="Arial"/>
                <w:bCs/>
                <w:color w:val="auto"/>
              </w:rPr>
              <w:t>2.1.3</w:t>
            </w:r>
          </w:p>
        </w:tc>
        <w:tc>
          <w:tcPr>
            <w:tcW w:w="943" w:type="dxa"/>
          </w:tcPr>
          <w:p w:rsidR="00492B21" w:rsidRPr="00B250D4" w:rsidRDefault="00B250D4" w:rsidP="00B250D4">
            <w:pPr>
              <w:pStyle w:val="BasicParagraph"/>
              <w:spacing w:before="120" w:line="240" w:lineRule="auto"/>
              <w:jc w:val="center"/>
              <w:rPr>
                <w:rFonts w:asciiTheme="minorHAnsi" w:hAnsiTheme="minorHAnsi" w:cs="Arial"/>
                <w:bCs/>
                <w:color w:val="auto"/>
              </w:rPr>
            </w:pPr>
            <w:r w:rsidRPr="00B250D4">
              <w:rPr>
                <w:rFonts w:asciiTheme="minorHAnsi" w:hAnsiTheme="minorHAnsi" w:cs="Arial"/>
                <w:bCs/>
                <w:color w:val="auto"/>
              </w:rPr>
              <w:t>7.3.5</w:t>
            </w:r>
          </w:p>
        </w:tc>
        <w:tc>
          <w:tcPr>
            <w:tcW w:w="943" w:type="dxa"/>
            <w:shd w:val="pct10" w:color="auto" w:fill="auto"/>
          </w:tcPr>
          <w:p w:rsidR="00492B21" w:rsidRPr="00B250D4" w:rsidRDefault="00B250D4" w:rsidP="00492B21">
            <w:pPr>
              <w:pStyle w:val="BasicParagraph"/>
              <w:spacing w:before="120" w:line="240" w:lineRule="auto"/>
              <w:rPr>
                <w:rFonts w:asciiTheme="minorHAnsi" w:hAnsiTheme="minorHAnsi" w:cs="Arial"/>
                <w:bCs/>
                <w:color w:val="auto"/>
              </w:rPr>
            </w:pPr>
            <w:r w:rsidRPr="00373912">
              <w:rPr>
                <w:rFonts w:asciiTheme="minorHAnsi" w:hAnsiTheme="minorHAnsi" w:cs="Arial"/>
                <w:bCs/>
                <w:color w:val="auto"/>
              </w:rPr>
              <w:t>2.3.1</w:t>
            </w:r>
          </w:p>
        </w:tc>
        <w:tc>
          <w:tcPr>
            <w:tcW w:w="929" w:type="dxa"/>
            <w:tcBorders>
              <w:bottom w:val="single" w:sz="4" w:space="0" w:color="auto"/>
            </w:tcBorders>
          </w:tcPr>
          <w:p w:rsidR="00492B21" w:rsidRPr="00B250D4" w:rsidRDefault="00B250D4" w:rsidP="00492B21">
            <w:pPr>
              <w:pStyle w:val="BasicParagraph"/>
              <w:spacing w:before="120" w:line="240" w:lineRule="auto"/>
              <w:rPr>
                <w:rFonts w:asciiTheme="minorHAnsi" w:hAnsiTheme="minorHAnsi" w:cs="Arial"/>
                <w:bCs/>
                <w:color w:val="auto"/>
              </w:rPr>
            </w:pPr>
            <w:r w:rsidRPr="00B250D4">
              <w:rPr>
                <w:rFonts w:asciiTheme="minorHAnsi" w:hAnsiTheme="minorHAnsi" w:cs="Arial"/>
                <w:bCs/>
                <w:color w:val="auto"/>
              </w:rPr>
              <w:t>7.2.2</w:t>
            </w:r>
          </w:p>
        </w:tc>
      </w:tr>
      <w:tr w:rsidR="00B250D4" w:rsidTr="00373912">
        <w:tc>
          <w:tcPr>
            <w:tcW w:w="1489" w:type="dxa"/>
          </w:tcPr>
          <w:p w:rsidR="00492B21" w:rsidRPr="00492B21" w:rsidRDefault="00492B21" w:rsidP="00974F08">
            <w:pPr>
              <w:pStyle w:val="BasicParagraph"/>
              <w:spacing w:line="240" w:lineRule="auto"/>
              <w:rPr>
                <w:rFonts w:asciiTheme="minorHAnsi" w:hAnsiTheme="minorHAnsi" w:cs="Arial"/>
                <w:bCs/>
                <w:color w:val="auto"/>
              </w:rPr>
            </w:pPr>
            <w:r w:rsidRPr="00492B21">
              <w:rPr>
                <w:rFonts w:asciiTheme="minorHAnsi" w:hAnsiTheme="minorHAnsi" w:cs="Arial"/>
                <w:bCs/>
                <w:color w:val="auto"/>
              </w:rPr>
              <w:t>Kindergarten</w:t>
            </w:r>
          </w:p>
        </w:tc>
        <w:tc>
          <w:tcPr>
            <w:tcW w:w="943" w:type="dxa"/>
          </w:tcPr>
          <w:p w:rsidR="00492B21" w:rsidRPr="00B250D4" w:rsidRDefault="00B250D4" w:rsidP="00492B21">
            <w:pPr>
              <w:pStyle w:val="BasicParagraph"/>
              <w:spacing w:before="120" w:line="240" w:lineRule="auto"/>
              <w:rPr>
                <w:rFonts w:asciiTheme="minorHAnsi" w:hAnsiTheme="minorHAnsi" w:cs="Arial"/>
                <w:bCs/>
                <w:color w:val="auto"/>
              </w:rPr>
            </w:pPr>
            <w:r w:rsidRPr="00B250D4">
              <w:rPr>
                <w:rFonts w:asciiTheme="minorHAnsi" w:hAnsiTheme="minorHAnsi" w:cs="Arial"/>
                <w:bCs/>
                <w:color w:val="auto"/>
              </w:rPr>
              <w:t>7.2.2</w:t>
            </w:r>
          </w:p>
        </w:tc>
        <w:tc>
          <w:tcPr>
            <w:tcW w:w="943" w:type="dxa"/>
          </w:tcPr>
          <w:p w:rsidR="00492B21" w:rsidRPr="00B250D4" w:rsidRDefault="00B250D4" w:rsidP="00492B21">
            <w:pPr>
              <w:pStyle w:val="BasicParagraph"/>
              <w:spacing w:before="120" w:line="240" w:lineRule="auto"/>
              <w:rPr>
                <w:rFonts w:asciiTheme="minorHAnsi" w:hAnsiTheme="minorHAnsi" w:cs="Arial"/>
                <w:bCs/>
                <w:color w:val="auto"/>
              </w:rPr>
            </w:pPr>
            <w:r w:rsidRPr="00B250D4">
              <w:rPr>
                <w:rFonts w:asciiTheme="minorHAnsi" w:hAnsiTheme="minorHAnsi" w:cs="Arial"/>
                <w:bCs/>
                <w:color w:val="auto"/>
              </w:rPr>
              <w:t>1.2.1</w:t>
            </w:r>
          </w:p>
        </w:tc>
        <w:tc>
          <w:tcPr>
            <w:tcW w:w="944" w:type="dxa"/>
          </w:tcPr>
          <w:p w:rsidR="00492B21" w:rsidRPr="00B250D4" w:rsidRDefault="00B250D4" w:rsidP="00492B21">
            <w:pPr>
              <w:pStyle w:val="BasicParagraph"/>
              <w:spacing w:before="120" w:line="240" w:lineRule="auto"/>
              <w:rPr>
                <w:rFonts w:asciiTheme="minorHAnsi" w:hAnsiTheme="minorHAnsi" w:cs="Arial"/>
                <w:bCs/>
                <w:color w:val="auto"/>
              </w:rPr>
            </w:pPr>
            <w:r w:rsidRPr="00B250D4">
              <w:rPr>
                <w:rFonts w:asciiTheme="minorHAnsi" w:hAnsiTheme="minorHAnsi" w:cs="Arial"/>
                <w:bCs/>
                <w:color w:val="auto"/>
              </w:rPr>
              <w:t>5.2.2</w:t>
            </w:r>
          </w:p>
        </w:tc>
        <w:tc>
          <w:tcPr>
            <w:tcW w:w="945" w:type="dxa"/>
          </w:tcPr>
          <w:p w:rsidR="00492B21" w:rsidRPr="00B250D4" w:rsidRDefault="00B250D4" w:rsidP="00492B21">
            <w:pPr>
              <w:pStyle w:val="BasicParagraph"/>
              <w:spacing w:before="120" w:line="240" w:lineRule="auto"/>
              <w:rPr>
                <w:rFonts w:asciiTheme="minorHAnsi" w:hAnsiTheme="minorHAnsi" w:cs="Arial"/>
                <w:bCs/>
                <w:color w:val="auto"/>
              </w:rPr>
            </w:pPr>
            <w:r w:rsidRPr="00B250D4">
              <w:rPr>
                <w:rFonts w:asciiTheme="minorHAnsi" w:hAnsiTheme="minorHAnsi" w:cs="Arial"/>
                <w:bCs/>
                <w:color w:val="auto"/>
              </w:rPr>
              <w:t>7.35</w:t>
            </w:r>
          </w:p>
        </w:tc>
        <w:tc>
          <w:tcPr>
            <w:tcW w:w="943" w:type="dxa"/>
          </w:tcPr>
          <w:p w:rsidR="00492B21" w:rsidRPr="00B250D4" w:rsidRDefault="00B250D4" w:rsidP="00492B21">
            <w:pPr>
              <w:pStyle w:val="BasicParagraph"/>
              <w:spacing w:before="120" w:line="240" w:lineRule="auto"/>
              <w:rPr>
                <w:rFonts w:asciiTheme="minorHAnsi" w:hAnsiTheme="minorHAnsi" w:cs="Arial"/>
                <w:bCs/>
                <w:color w:val="auto"/>
              </w:rPr>
            </w:pPr>
            <w:r w:rsidRPr="00B250D4">
              <w:rPr>
                <w:rFonts w:asciiTheme="minorHAnsi" w:hAnsiTheme="minorHAnsi" w:cs="Arial"/>
                <w:bCs/>
                <w:color w:val="auto"/>
              </w:rPr>
              <w:t>7.1.4</w:t>
            </w:r>
          </w:p>
        </w:tc>
        <w:tc>
          <w:tcPr>
            <w:tcW w:w="943" w:type="dxa"/>
            <w:shd w:val="pct10" w:color="auto" w:fill="auto"/>
          </w:tcPr>
          <w:p w:rsidR="00492B21" w:rsidRPr="00373912" w:rsidRDefault="00B250D4" w:rsidP="00492B21">
            <w:pPr>
              <w:pStyle w:val="BasicParagraph"/>
              <w:spacing w:before="120" w:line="240" w:lineRule="auto"/>
              <w:rPr>
                <w:rFonts w:asciiTheme="minorHAnsi" w:hAnsiTheme="minorHAnsi" w:cs="Arial"/>
                <w:bCs/>
                <w:color w:val="auto"/>
              </w:rPr>
            </w:pPr>
            <w:r w:rsidRPr="00373912">
              <w:rPr>
                <w:rFonts w:asciiTheme="minorHAnsi" w:hAnsiTheme="minorHAnsi" w:cs="Arial"/>
                <w:bCs/>
                <w:color w:val="auto"/>
              </w:rPr>
              <w:t>2.3.2</w:t>
            </w:r>
          </w:p>
        </w:tc>
        <w:tc>
          <w:tcPr>
            <w:tcW w:w="943" w:type="dxa"/>
          </w:tcPr>
          <w:p w:rsidR="00492B21" w:rsidRPr="00B250D4" w:rsidRDefault="00B250D4" w:rsidP="00492B21">
            <w:pPr>
              <w:pStyle w:val="BasicParagraph"/>
              <w:spacing w:before="120" w:line="240" w:lineRule="auto"/>
              <w:rPr>
                <w:rFonts w:asciiTheme="minorHAnsi" w:hAnsiTheme="minorHAnsi" w:cs="Arial"/>
                <w:bCs/>
                <w:color w:val="auto"/>
              </w:rPr>
            </w:pPr>
            <w:r w:rsidRPr="00B250D4">
              <w:rPr>
                <w:rFonts w:asciiTheme="minorHAnsi" w:hAnsiTheme="minorHAnsi" w:cs="Arial"/>
                <w:bCs/>
                <w:color w:val="auto"/>
              </w:rPr>
              <w:t>1.1.1</w:t>
            </w:r>
          </w:p>
        </w:tc>
        <w:tc>
          <w:tcPr>
            <w:tcW w:w="943" w:type="dxa"/>
          </w:tcPr>
          <w:p w:rsidR="00492B21" w:rsidRPr="00B250D4" w:rsidRDefault="00B250D4" w:rsidP="00492B21">
            <w:pPr>
              <w:pStyle w:val="BasicParagraph"/>
              <w:spacing w:before="120" w:line="240" w:lineRule="auto"/>
              <w:rPr>
                <w:rFonts w:asciiTheme="minorHAnsi" w:hAnsiTheme="minorHAnsi" w:cs="Arial"/>
                <w:bCs/>
                <w:color w:val="auto"/>
              </w:rPr>
            </w:pPr>
            <w:r w:rsidRPr="00B250D4">
              <w:rPr>
                <w:rFonts w:asciiTheme="minorHAnsi" w:hAnsiTheme="minorHAnsi" w:cs="Arial"/>
                <w:bCs/>
                <w:color w:val="auto"/>
              </w:rPr>
              <w:t>4.1.1</w:t>
            </w:r>
          </w:p>
        </w:tc>
        <w:tc>
          <w:tcPr>
            <w:tcW w:w="943" w:type="dxa"/>
          </w:tcPr>
          <w:p w:rsidR="00492B21" w:rsidRPr="00B250D4" w:rsidRDefault="00B250D4" w:rsidP="00492B21">
            <w:pPr>
              <w:pStyle w:val="BasicParagraph"/>
              <w:spacing w:before="120" w:line="240" w:lineRule="auto"/>
              <w:rPr>
                <w:rFonts w:asciiTheme="minorHAnsi" w:hAnsiTheme="minorHAnsi" w:cs="Arial"/>
                <w:bCs/>
                <w:color w:val="auto"/>
              </w:rPr>
            </w:pPr>
            <w:r w:rsidRPr="00B250D4">
              <w:rPr>
                <w:rFonts w:asciiTheme="minorHAnsi" w:hAnsiTheme="minorHAnsi" w:cs="Arial"/>
                <w:bCs/>
                <w:color w:val="auto"/>
              </w:rPr>
              <w:t>1.2.2</w:t>
            </w:r>
          </w:p>
        </w:tc>
        <w:tc>
          <w:tcPr>
            <w:tcW w:w="929" w:type="dxa"/>
            <w:shd w:val="pct10" w:color="auto" w:fill="auto"/>
          </w:tcPr>
          <w:p w:rsidR="00492B21" w:rsidRPr="00B250D4" w:rsidRDefault="00B250D4" w:rsidP="00492B21">
            <w:pPr>
              <w:pStyle w:val="BasicParagraph"/>
              <w:spacing w:before="120" w:line="240" w:lineRule="auto"/>
              <w:rPr>
                <w:rFonts w:asciiTheme="minorHAnsi" w:hAnsiTheme="minorHAnsi" w:cs="Arial"/>
                <w:bCs/>
                <w:color w:val="auto"/>
              </w:rPr>
            </w:pPr>
            <w:r w:rsidRPr="00373912">
              <w:rPr>
                <w:rFonts w:asciiTheme="minorHAnsi" w:hAnsiTheme="minorHAnsi" w:cs="Arial"/>
                <w:bCs/>
                <w:color w:val="auto"/>
              </w:rPr>
              <w:t>2.1.1</w:t>
            </w:r>
          </w:p>
        </w:tc>
      </w:tr>
      <w:tr w:rsidR="00B250D4" w:rsidTr="00373912">
        <w:tc>
          <w:tcPr>
            <w:tcW w:w="1489" w:type="dxa"/>
          </w:tcPr>
          <w:p w:rsidR="00492B21" w:rsidRPr="00492B21" w:rsidRDefault="00492B21" w:rsidP="00974F08">
            <w:pPr>
              <w:pStyle w:val="BasicParagraph"/>
              <w:spacing w:line="240" w:lineRule="auto"/>
              <w:rPr>
                <w:rFonts w:asciiTheme="minorHAnsi" w:hAnsiTheme="minorHAnsi" w:cs="Arial"/>
                <w:bCs/>
                <w:color w:val="auto"/>
              </w:rPr>
            </w:pPr>
            <w:r w:rsidRPr="00492B21">
              <w:rPr>
                <w:rFonts w:asciiTheme="minorHAnsi" w:hAnsiTheme="minorHAnsi" w:cs="Arial"/>
                <w:bCs/>
                <w:color w:val="auto"/>
              </w:rPr>
              <w:t>Outside School Hours Care</w:t>
            </w:r>
          </w:p>
        </w:tc>
        <w:tc>
          <w:tcPr>
            <w:tcW w:w="943" w:type="dxa"/>
          </w:tcPr>
          <w:p w:rsidR="00492B21" w:rsidRPr="00B250D4" w:rsidRDefault="00B250D4" w:rsidP="00492B21">
            <w:pPr>
              <w:pStyle w:val="BasicParagraph"/>
              <w:spacing w:before="120" w:line="240" w:lineRule="auto"/>
              <w:rPr>
                <w:rFonts w:asciiTheme="minorHAnsi" w:hAnsiTheme="minorHAnsi" w:cs="Arial"/>
                <w:bCs/>
                <w:color w:val="auto"/>
              </w:rPr>
            </w:pPr>
            <w:r w:rsidRPr="00B250D4">
              <w:rPr>
                <w:rFonts w:asciiTheme="minorHAnsi" w:hAnsiTheme="minorHAnsi" w:cs="Arial"/>
                <w:bCs/>
                <w:color w:val="auto"/>
              </w:rPr>
              <w:t>1.2.1</w:t>
            </w:r>
          </w:p>
        </w:tc>
        <w:tc>
          <w:tcPr>
            <w:tcW w:w="943" w:type="dxa"/>
          </w:tcPr>
          <w:p w:rsidR="00492B21" w:rsidRPr="00B250D4" w:rsidRDefault="00B250D4" w:rsidP="00492B21">
            <w:pPr>
              <w:pStyle w:val="BasicParagraph"/>
              <w:spacing w:before="120" w:line="240" w:lineRule="auto"/>
              <w:rPr>
                <w:rFonts w:asciiTheme="minorHAnsi" w:hAnsiTheme="minorHAnsi" w:cs="Arial"/>
                <w:bCs/>
                <w:color w:val="auto"/>
              </w:rPr>
            </w:pPr>
            <w:r w:rsidRPr="00B250D4">
              <w:rPr>
                <w:rFonts w:asciiTheme="minorHAnsi" w:hAnsiTheme="minorHAnsi" w:cs="Arial"/>
                <w:bCs/>
                <w:color w:val="auto"/>
              </w:rPr>
              <w:t>7.2.2</w:t>
            </w:r>
          </w:p>
        </w:tc>
        <w:tc>
          <w:tcPr>
            <w:tcW w:w="944" w:type="dxa"/>
          </w:tcPr>
          <w:p w:rsidR="00492B21" w:rsidRPr="00B250D4" w:rsidRDefault="00B250D4" w:rsidP="00492B21">
            <w:pPr>
              <w:pStyle w:val="BasicParagraph"/>
              <w:spacing w:before="120" w:line="240" w:lineRule="auto"/>
              <w:rPr>
                <w:rFonts w:asciiTheme="minorHAnsi" w:hAnsiTheme="minorHAnsi" w:cs="Arial"/>
                <w:bCs/>
                <w:color w:val="auto"/>
              </w:rPr>
            </w:pPr>
            <w:r w:rsidRPr="00B250D4">
              <w:rPr>
                <w:rFonts w:asciiTheme="minorHAnsi" w:hAnsiTheme="minorHAnsi" w:cs="Arial"/>
                <w:bCs/>
                <w:color w:val="auto"/>
              </w:rPr>
              <w:t>7.3.5</w:t>
            </w:r>
          </w:p>
        </w:tc>
        <w:tc>
          <w:tcPr>
            <w:tcW w:w="945" w:type="dxa"/>
          </w:tcPr>
          <w:p w:rsidR="00492B21" w:rsidRPr="00B250D4" w:rsidRDefault="00B250D4" w:rsidP="00492B21">
            <w:pPr>
              <w:pStyle w:val="BasicParagraph"/>
              <w:spacing w:before="120" w:line="240" w:lineRule="auto"/>
              <w:rPr>
                <w:rFonts w:asciiTheme="minorHAnsi" w:hAnsiTheme="minorHAnsi" w:cs="Arial"/>
                <w:bCs/>
                <w:color w:val="auto"/>
              </w:rPr>
            </w:pPr>
            <w:r w:rsidRPr="00B250D4">
              <w:rPr>
                <w:rFonts w:asciiTheme="minorHAnsi" w:hAnsiTheme="minorHAnsi" w:cs="Arial"/>
                <w:bCs/>
                <w:color w:val="auto"/>
              </w:rPr>
              <w:t>1.2.3</w:t>
            </w:r>
          </w:p>
        </w:tc>
        <w:tc>
          <w:tcPr>
            <w:tcW w:w="943" w:type="dxa"/>
          </w:tcPr>
          <w:p w:rsidR="00492B21" w:rsidRPr="00B250D4" w:rsidRDefault="00B250D4" w:rsidP="00492B21">
            <w:pPr>
              <w:pStyle w:val="BasicParagraph"/>
              <w:spacing w:before="120" w:line="240" w:lineRule="auto"/>
              <w:rPr>
                <w:rFonts w:asciiTheme="minorHAnsi" w:hAnsiTheme="minorHAnsi" w:cs="Arial"/>
                <w:bCs/>
                <w:color w:val="auto"/>
              </w:rPr>
            </w:pPr>
            <w:r w:rsidRPr="00B250D4">
              <w:rPr>
                <w:rFonts w:asciiTheme="minorHAnsi" w:hAnsiTheme="minorHAnsi" w:cs="Arial"/>
                <w:bCs/>
                <w:color w:val="auto"/>
              </w:rPr>
              <w:t>7.3.1</w:t>
            </w:r>
          </w:p>
        </w:tc>
        <w:tc>
          <w:tcPr>
            <w:tcW w:w="943" w:type="dxa"/>
            <w:shd w:val="pct10" w:color="auto" w:fill="auto"/>
          </w:tcPr>
          <w:p w:rsidR="00492B21" w:rsidRPr="00373912" w:rsidRDefault="00B250D4" w:rsidP="00492B21">
            <w:pPr>
              <w:pStyle w:val="BasicParagraph"/>
              <w:spacing w:before="120" w:line="240" w:lineRule="auto"/>
              <w:rPr>
                <w:rFonts w:asciiTheme="minorHAnsi" w:hAnsiTheme="minorHAnsi" w:cs="Arial"/>
                <w:bCs/>
                <w:color w:val="auto"/>
              </w:rPr>
            </w:pPr>
            <w:r w:rsidRPr="00373912">
              <w:rPr>
                <w:rFonts w:asciiTheme="minorHAnsi" w:hAnsiTheme="minorHAnsi" w:cs="Arial"/>
                <w:bCs/>
                <w:color w:val="auto"/>
              </w:rPr>
              <w:t>2.3.2</w:t>
            </w:r>
          </w:p>
        </w:tc>
        <w:tc>
          <w:tcPr>
            <w:tcW w:w="943" w:type="dxa"/>
          </w:tcPr>
          <w:p w:rsidR="00492B21" w:rsidRPr="00B250D4" w:rsidRDefault="00B250D4" w:rsidP="00492B21">
            <w:pPr>
              <w:pStyle w:val="BasicParagraph"/>
              <w:spacing w:before="120" w:line="240" w:lineRule="auto"/>
              <w:rPr>
                <w:rFonts w:asciiTheme="minorHAnsi" w:hAnsiTheme="minorHAnsi" w:cs="Arial"/>
                <w:bCs/>
                <w:color w:val="auto"/>
              </w:rPr>
            </w:pPr>
            <w:r w:rsidRPr="00B250D4">
              <w:rPr>
                <w:rFonts w:asciiTheme="minorHAnsi" w:hAnsiTheme="minorHAnsi" w:cs="Arial"/>
                <w:bCs/>
                <w:color w:val="auto"/>
              </w:rPr>
              <w:t>4.1.1</w:t>
            </w:r>
          </w:p>
        </w:tc>
        <w:tc>
          <w:tcPr>
            <w:tcW w:w="943" w:type="dxa"/>
          </w:tcPr>
          <w:p w:rsidR="00492B21" w:rsidRPr="00B250D4" w:rsidRDefault="00B250D4" w:rsidP="00492B21">
            <w:pPr>
              <w:pStyle w:val="BasicParagraph"/>
              <w:spacing w:before="120" w:line="240" w:lineRule="auto"/>
              <w:rPr>
                <w:rFonts w:asciiTheme="minorHAnsi" w:hAnsiTheme="minorHAnsi" w:cs="Arial"/>
                <w:bCs/>
                <w:color w:val="auto"/>
              </w:rPr>
            </w:pPr>
            <w:r w:rsidRPr="00B250D4">
              <w:rPr>
                <w:rFonts w:asciiTheme="minorHAnsi" w:hAnsiTheme="minorHAnsi" w:cs="Arial"/>
                <w:bCs/>
                <w:color w:val="auto"/>
              </w:rPr>
              <w:t>7.1.4</w:t>
            </w:r>
          </w:p>
        </w:tc>
        <w:tc>
          <w:tcPr>
            <w:tcW w:w="943" w:type="dxa"/>
          </w:tcPr>
          <w:p w:rsidR="00492B21" w:rsidRPr="00B250D4" w:rsidRDefault="00B250D4" w:rsidP="00492B21">
            <w:pPr>
              <w:pStyle w:val="BasicParagraph"/>
              <w:spacing w:before="120" w:line="240" w:lineRule="auto"/>
              <w:rPr>
                <w:rFonts w:asciiTheme="minorHAnsi" w:hAnsiTheme="minorHAnsi" w:cs="Arial"/>
                <w:bCs/>
                <w:color w:val="auto"/>
              </w:rPr>
            </w:pPr>
            <w:r w:rsidRPr="00B250D4">
              <w:rPr>
                <w:rFonts w:asciiTheme="minorHAnsi" w:hAnsiTheme="minorHAnsi" w:cs="Arial"/>
                <w:bCs/>
                <w:color w:val="auto"/>
              </w:rPr>
              <w:t>1.1.4</w:t>
            </w:r>
          </w:p>
        </w:tc>
        <w:tc>
          <w:tcPr>
            <w:tcW w:w="929" w:type="dxa"/>
          </w:tcPr>
          <w:p w:rsidR="00492B21" w:rsidRPr="00B250D4" w:rsidRDefault="00B250D4" w:rsidP="00492B21">
            <w:pPr>
              <w:pStyle w:val="BasicParagraph"/>
              <w:spacing w:before="120" w:line="240" w:lineRule="auto"/>
              <w:rPr>
                <w:rFonts w:asciiTheme="minorHAnsi" w:hAnsiTheme="minorHAnsi" w:cs="Arial"/>
                <w:bCs/>
                <w:color w:val="auto"/>
              </w:rPr>
            </w:pPr>
            <w:r w:rsidRPr="00B250D4">
              <w:rPr>
                <w:rFonts w:asciiTheme="minorHAnsi" w:hAnsiTheme="minorHAnsi" w:cs="Arial"/>
                <w:bCs/>
                <w:color w:val="auto"/>
              </w:rPr>
              <w:t>3.3.2</w:t>
            </w:r>
          </w:p>
        </w:tc>
      </w:tr>
    </w:tbl>
    <w:p w:rsidR="00974F08" w:rsidRPr="00DE4AC2" w:rsidRDefault="00974F08" w:rsidP="00974F08">
      <w:pPr>
        <w:rPr>
          <w:rFonts w:asciiTheme="minorHAnsi" w:hAnsiTheme="minorHAnsi"/>
        </w:rPr>
      </w:pPr>
    </w:p>
    <w:p w:rsidR="00CA6CC0" w:rsidRPr="00DE4AC2" w:rsidRDefault="00CA6CC0" w:rsidP="00974F08">
      <w:pPr>
        <w:rPr>
          <w:rFonts w:asciiTheme="minorHAnsi" w:hAnsiTheme="minorHAnsi"/>
        </w:rPr>
      </w:pPr>
      <w:r w:rsidRPr="00DE4AC2">
        <w:rPr>
          <w:rFonts w:asciiTheme="minorHAnsi" w:hAnsiTheme="minorHAnsi"/>
        </w:rPr>
        <w:t xml:space="preserve">A central objective of the National Quality Framework (NQF) is ensuring the safety, health, and wellbeing of children in education and care services. It is a requirement under the </w:t>
      </w:r>
      <w:r w:rsidRPr="00974331">
        <w:rPr>
          <w:rFonts w:asciiTheme="minorHAnsi" w:hAnsiTheme="minorHAnsi"/>
          <w:i/>
        </w:rPr>
        <w:t>Education and Care Services National Law Act 2010</w:t>
      </w:r>
      <w:r w:rsidRPr="00DE4AC2">
        <w:rPr>
          <w:rFonts w:asciiTheme="minorHAnsi" w:hAnsiTheme="minorHAnsi"/>
        </w:rPr>
        <w:t xml:space="preserve"> (National Law) for approve</w:t>
      </w:r>
      <w:r w:rsidR="00974331">
        <w:rPr>
          <w:rFonts w:asciiTheme="minorHAnsi" w:hAnsiTheme="minorHAnsi"/>
        </w:rPr>
        <w:t>d providers</w:t>
      </w:r>
      <w:r w:rsidR="00974331" w:rsidRPr="00373912">
        <w:rPr>
          <w:rFonts w:asciiTheme="minorHAnsi" w:hAnsiTheme="minorHAnsi"/>
        </w:rPr>
        <w:t>,</w:t>
      </w:r>
      <w:r w:rsidR="00974331">
        <w:rPr>
          <w:rFonts w:asciiTheme="minorHAnsi" w:hAnsiTheme="minorHAnsi"/>
        </w:rPr>
        <w:t xml:space="preserve"> </w:t>
      </w:r>
      <w:r w:rsidRPr="00DE4AC2">
        <w:rPr>
          <w:rFonts w:asciiTheme="minorHAnsi" w:hAnsiTheme="minorHAnsi"/>
        </w:rPr>
        <w:t xml:space="preserve">nominated supervisors </w:t>
      </w:r>
      <w:r w:rsidR="00974331" w:rsidRPr="00373912">
        <w:rPr>
          <w:rFonts w:asciiTheme="minorHAnsi" w:hAnsiTheme="minorHAnsi"/>
        </w:rPr>
        <w:t>and family day care educators</w:t>
      </w:r>
      <w:r w:rsidR="00974331">
        <w:rPr>
          <w:rFonts w:asciiTheme="minorHAnsi" w:hAnsiTheme="minorHAnsi"/>
        </w:rPr>
        <w:t xml:space="preserve"> </w:t>
      </w:r>
      <w:r w:rsidRPr="00DE4AC2">
        <w:rPr>
          <w:rFonts w:asciiTheme="minorHAnsi" w:hAnsiTheme="minorHAnsi"/>
        </w:rPr>
        <w:t xml:space="preserve">to ensure children are adequately supervised and that precautions are taken to protect children from harm or hazard (section 165, 167). </w:t>
      </w:r>
    </w:p>
    <w:p w:rsidR="00CA6CC0" w:rsidRPr="00DE4AC2" w:rsidRDefault="00CA6CC0" w:rsidP="00974F08">
      <w:pPr>
        <w:rPr>
          <w:rFonts w:asciiTheme="minorHAnsi" w:hAnsiTheme="minorHAnsi"/>
        </w:rPr>
      </w:pPr>
      <w:r w:rsidRPr="00DE4AC2">
        <w:rPr>
          <w:rFonts w:asciiTheme="minorHAnsi" w:hAnsiTheme="minorHAnsi"/>
        </w:rPr>
        <w:t>The National Law contains minimum requirements to support children’s health, safety, and wellbeing. Key factors to consider when planning learning environments, routines, and experiences include:</w:t>
      </w:r>
    </w:p>
    <w:p w:rsidR="002402E5" w:rsidRPr="00DE4AC2" w:rsidRDefault="002402E5" w:rsidP="00974F08">
      <w:pPr>
        <w:rPr>
          <w:rFonts w:asciiTheme="minorHAnsi" w:hAnsiTheme="minorHAnsi"/>
        </w:rPr>
      </w:pPr>
    </w:p>
    <w:p w:rsidR="00965D2E" w:rsidRPr="00DE4AC2" w:rsidRDefault="00CA6CC0" w:rsidP="00974F08">
      <w:pPr>
        <w:pStyle w:val="ListParagraph"/>
        <w:numPr>
          <w:ilvl w:val="0"/>
          <w:numId w:val="13"/>
        </w:numPr>
      </w:pPr>
      <w:r w:rsidRPr="00DE4AC2">
        <w:t>How to ensure children are adequately supervised at all times</w:t>
      </w:r>
    </w:p>
    <w:p w:rsidR="00CA6CC0" w:rsidRPr="00DE4AC2" w:rsidRDefault="00CA6CC0" w:rsidP="00974F08">
      <w:pPr>
        <w:pStyle w:val="ListParagraph"/>
        <w:numPr>
          <w:ilvl w:val="0"/>
          <w:numId w:val="13"/>
        </w:numPr>
      </w:pPr>
      <w:r w:rsidRPr="00DE4AC2">
        <w:t>How hazards and risks will be identified and minimised</w:t>
      </w:r>
    </w:p>
    <w:p w:rsidR="00CA6CC0" w:rsidRPr="00DE4AC2" w:rsidRDefault="00CA6CC0" w:rsidP="00974F08">
      <w:pPr>
        <w:pStyle w:val="ListParagraph"/>
        <w:numPr>
          <w:ilvl w:val="0"/>
          <w:numId w:val="13"/>
        </w:numPr>
      </w:pPr>
      <w:r w:rsidRPr="00DE4AC2">
        <w:t>How to effectively prevent and manage illness and injury and encourage childhood immunisation</w:t>
      </w:r>
    </w:p>
    <w:p w:rsidR="00CA6CC0" w:rsidRPr="00DE4AC2" w:rsidRDefault="00CA6CC0" w:rsidP="00974F08">
      <w:pPr>
        <w:pStyle w:val="ListParagraph"/>
        <w:numPr>
          <w:ilvl w:val="0"/>
          <w:numId w:val="13"/>
        </w:numPr>
      </w:pPr>
      <w:r w:rsidRPr="00DE4AC2">
        <w:t>How to promote healthy food choices and physical activity</w:t>
      </w:r>
    </w:p>
    <w:p w:rsidR="00965D2E" w:rsidRPr="00DE4AC2" w:rsidRDefault="00CA6CC0" w:rsidP="00974F08">
      <w:pPr>
        <w:pStyle w:val="ListParagraph"/>
        <w:numPr>
          <w:ilvl w:val="0"/>
          <w:numId w:val="13"/>
        </w:numPr>
      </w:pPr>
      <w:r w:rsidRPr="00DE4AC2">
        <w:t xml:space="preserve">How to </w:t>
      </w:r>
      <w:r w:rsidR="00974F08" w:rsidRPr="00DE4AC2">
        <w:t>promote children’s healthy development</w:t>
      </w:r>
    </w:p>
    <w:p w:rsidR="002402E5" w:rsidRPr="00DE4AC2" w:rsidRDefault="00CA6CC0" w:rsidP="00974F08">
      <w:pPr>
        <w:pStyle w:val="ListParagraph"/>
        <w:numPr>
          <w:ilvl w:val="0"/>
          <w:numId w:val="13"/>
        </w:numPr>
      </w:pPr>
      <w:r w:rsidRPr="00DE4AC2">
        <w:t xml:space="preserve">How </w:t>
      </w:r>
      <w:r w:rsidR="00965D2E" w:rsidRPr="00DE4AC2">
        <w:t xml:space="preserve">children </w:t>
      </w:r>
      <w:r w:rsidR="00DE4AC2" w:rsidRPr="00DE4AC2">
        <w:t xml:space="preserve">are protected </w:t>
      </w:r>
      <w:r w:rsidR="00965D2E" w:rsidRPr="00DE4AC2">
        <w:t xml:space="preserve">from the risk </w:t>
      </w:r>
      <w:r w:rsidR="002402E5" w:rsidRPr="00DE4AC2">
        <w:t>of abuse</w:t>
      </w:r>
      <w:r w:rsidRPr="00DE4AC2">
        <w:t xml:space="preserve">.  </w:t>
      </w:r>
    </w:p>
    <w:p w:rsidR="007E58AB" w:rsidRDefault="00454E06" w:rsidP="00DE4AC2">
      <w:pPr>
        <w:rPr>
          <w:rFonts w:asciiTheme="minorHAnsi" w:hAnsiTheme="minorHAnsi"/>
        </w:rPr>
      </w:pPr>
      <w:r>
        <w:rPr>
          <w:rFonts w:asciiTheme="minorHAnsi" w:hAnsiTheme="minorHAnsi"/>
        </w:rPr>
        <w:t xml:space="preserve">             </w:t>
      </w:r>
    </w:p>
    <w:p w:rsidR="00373912" w:rsidRDefault="00373912" w:rsidP="00295766">
      <w:pPr>
        <w:rPr>
          <w:b/>
        </w:rPr>
      </w:pPr>
    </w:p>
    <w:p w:rsidR="00373912" w:rsidRDefault="00373912" w:rsidP="00295766">
      <w:pPr>
        <w:rPr>
          <w:b/>
        </w:rPr>
      </w:pPr>
    </w:p>
    <w:p w:rsidR="00243C2B" w:rsidRDefault="00243C2B" w:rsidP="00295766">
      <w:pPr>
        <w:rPr>
          <w:b/>
        </w:rPr>
      </w:pPr>
    </w:p>
    <w:p w:rsidR="00295766" w:rsidRDefault="00295766" w:rsidP="00295766">
      <w:pPr>
        <w:rPr>
          <w:b/>
        </w:rPr>
      </w:pPr>
      <w:r w:rsidRPr="006025E6">
        <w:rPr>
          <w:b/>
        </w:rPr>
        <w:t>Insight from the Sector</w:t>
      </w:r>
    </w:p>
    <w:p w:rsidR="00295766" w:rsidRPr="006025E6" w:rsidRDefault="00295766" w:rsidP="00295766">
      <w:pPr>
        <w:rPr>
          <w:b/>
        </w:rPr>
      </w:pPr>
    </w:p>
    <w:p w:rsidR="00D0101C" w:rsidRDefault="00D0101C" w:rsidP="00D0101C">
      <w:r>
        <w:t>Let’s Go Family Day Care achieved an exceeding rating last year.  Since our assessment and rating process, our service has self-assessed our performance and set new goals and areas of focus that we continuously strive to reach. It has encouraged us to push forward, and continue to provide a quality education and care service for our families and the community. We are a small privately run service; delivering a quality program based on passion, commitment and team work. We have a strong local community presence that is strengthened by our collaborative approach with families and close working relationships with community services.</w:t>
      </w:r>
    </w:p>
    <w:p w:rsidR="00D0101C" w:rsidRDefault="00D0101C" w:rsidP="00D0101C"/>
    <w:p w:rsidR="00D0101C" w:rsidRDefault="00D0101C" w:rsidP="00D0101C">
      <w:r>
        <w:t>Quality improvement for me stems from stakeholder feedback. This is achieved by creating opportunities for others, such as educators, families and the wider community to share their thoughts and experiences. This also creates the opportunit</w:t>
      </w:r>
      <w:r w:rsidR="0072432A">
        <w:t>y to share learnings, provide a</w:t>
      </w:r>
      <w:r>
        <w:t> stronger service and celebrate our achievements together. I also take an active role in continuously looking at how I can best equip educators with resources, knowledge and support that helps to ensure they have the necessary skills and practice to provide a high quality service and experiences for each child.</w:t>
      </w:r>
    </w:p>
    <w:p w:rsidR="00D0101C" w:rsidRDefault="00D0101C" w:rsidP="00D0101C"/>
    <w:p w:rsidR="00D0101C" w:rsidRDefault="00D0101C" w:rsidP="00D0101C">
      <w:r>
        <w:t>We have developed a basic structure for planning for the children, which gives the educators a guide for their programming requirements. The educators assist each other via a network of sharing knowledge, resources and ideas to provide the best possible outcome for children’s learning and development.  Support is also available for individual coaching sessions fo</w:t>
      </w:r>
      <w:r w:rsidR="0072432A">
        <w:t xml:space="preserve">r planning on a regular </w:t>
      </w:r>
      <w:proofErr w:type="gramStart"/>
      <w:r w:rsidR="0072432A">
        <w:t xml:space="preserve">basis, </w:t>
      </w:r>
      <w:r>
        <w:t>that</w:t>
      </w:r>
      <w:proofErr w:type="gramEnd"/>
      <w:r>
        <w:t xml:space="preserve"> also maintains a culture of ongoing reflection, offers appropriate levels of challenge and assists in high morale and satisfaction for all educators.</w:t>
      </w:r>
    </w:p>
    <w:p w:rsidR="00D0101C" w:rsidRDefault="00D0101C" w:rsidP="00D0101C"/>
    <w:p w:rsidR="00D0101C" w:rsidRDefault="00D0101C" w:rsidP="00D0101C">
      <w:r>
        <w:t xml:space="preserve">It has been an enjoyable journey thus far, and </w:t>
      </w:r>
      <w:proofErr w:type="gramStart"/>
      <w:r>
        <w:t>look</w:t>
      </w:r>
      <w:proofErr w:type="gramEnd"/>
      <w:r>
        <w:t xml:space="preserve"> forward to seeing how far it takes me.</w:t>
      </w:r>
    </w:p>
    <w:p w:rsidR="00295766" w:rsidRPr="00DE4AC2" w:rsidRDefault="00295766" w:rsidP="00DE4AC2">
      <w:pPr>
        <w:rPr>
          <w:rStyle w:val="Bodytextblack"/>
          <w:rFonts w:asciiTheme="minorHAnsi" w:hAnsiTheme="minorHAnsi" w:cs="Times New Roman"/>
          <w:color w:val="auto"/>
          <w:sz w:val="22"/>
          <w:szCs w:val="22"/>
        </w:rPr>
      </w:pPr>
    </w:p>
    <w:p w:rsidR="00CA6CC0" w:rsidRPr="00DE1553" w:rsidRDefault="00CA6CC0" w:rsidP="00974F08">
      <w:pPr>
        <w:rPr>
          <w:rFonts w:asciiTheme="minorHAnsi" w:hAnsiTheme="minorHAnsi" w:cs="Arial"/>
          <w:b/>
          <w:bCs/>
          <w:sz w:val="24"/>
          <w:szCs w:val="24"/>
        </w:rPr>
      </w:pPr>
      <w:r w:rsidRPr="00DE1553">
        <w:rPr>
          <w:rFonts w:asciiTheme="minorHAnsi" w:hAnsiTheme="minorHAnsi" w:cs="Arial"/>
          <w:b/>
          <w:bCs/>
          <w:sz w:val="24"/>
          <w:szCs w:val="24"/>
        </w:rPr>
        <w:t xml:space="preserve">Excursions and maximum approved places </w:t>
      </w:r>
    </w:p>
    <w:p w:rsidR="00CA6CC0" w:rsidRPr="00DE1553" w:rsidRDefault="00CA6CC0" w:rsidP="00974F08">
      <w:pPr>
        <w:rPr>
          <w:rFonts w:asciiTheme="minorHAnsi" w:hAnsiTheme="minorHAnsi" w:cs="Arial"/>
        </w:rPr>
      </w:pPr>
    </w:p>
    <w:p w:rsidR="00CA6CC0" w:rsidRPr="00DE1553" w:rsidRDefault="00CA6CC0" w:rsidP="00974F08">
      <w:pPr>
        <w:rPr>
          <w:rFonts w:asciiTheme="minorHAnsi" w:hAnsiTheme="minorHAnsi"/>
        </w:rPr>
      </w:pPr>
      <w:r w:rsidRPr="00DE1553">
        <w:rPr>
          <w:rFonts w:asciiTheme="minorHAnsi" w:hAnsiTheme="minorHAnsi"/>
        </w:rPr>
        <w:t xml:space="preserve">Excursions and regular outings are an important way of ensuring that children are able to explore and experience environments away from </w:t>
      </w:r>
      <w:r w:rsidR="00DA6189">
        <w:rPr>
          <w:rFonts w:asciiTheme="minorHAnsi" w:hAnsiTheme="minorHAnsi"/>
        </w:rPr>
        <w:t>their</w:t>
      </w:r>
      <w:r w:rsidRPr="00DE1553">
        <w:rPr>
          <w:rFonts w:asciiTheme="minorHAnsi" w:hAnsiTheme="minorHAnsi"/>
        </w:rPr>
        <w:t xml:space="preserve"> education and care service.  Each excursion must be carefully planned and a risk assessment must be undertaken which identifies and assesses risks that the excursion may pose to the safety, health and wellbeing of any children taken on the excursion; including transportation, the number of adults involved and the types of activities undertaken. Authorisations must also be obtained from each parent or other </w:t>
      </w:r>
      <w:r w:rsidR="00974331" w:rsidRPr="00373912">
        <w:rPr>
          <w:rFonts w:asciiTheme="minorHAnsi" w:hAnsiTheme="minorHAnsi"/>
        </w:rPr>
        <w:t>appropriate</w:t>
      </w:r>
      <w:r w:rsidR="00974331">
        <w:rPr>
          <w:rFonts w:asciiTheme="minorHAnsi" w:hAnsiTheme="minorHAnsi"/>
        </w:rPr>
        <w:t xml:space="preserve"> </w:t>
      </w:r>
      <w:r w:rsidRPr="00DE1553">
        <w:rPr>
          <w:rFonts w:asciiTheme="minorHAnsi" w:hAnsiTheme="minorHAnsi"/>
        </w:rPr>
        <w:t>person</w:t>
      </w:r>
      <w:r w:rsidR="00974331">
        <w:rPr>
          <w:rFonts w:asciiTheme="minorHAnsi" w:hAnsiTheme="minorHAnsi"/>
        </w:rPr>
        <w:t xml:space="preserve"> before a child is taken on an excursion</w:t>
      </w:r>
      <w:r w:rsidRPr="00DE1553">
        <w:rPr>
          <w:rFonts w:asciiTheme="minorHAnsi" w:hAnsiTheme="minorHAnsi"/>
        </w:rPr>
        <w:t xml:space="preserve">. </w:t>
      </w:r>
      <w:r w:rsidR="00974331">
        <w:rPr>
          <w:rFonts w:asciiTheme="minorHAnsi" w:hAnsiTheme="minorHAnsi"/>
        </w:rPr>
        <w:t xml:space="preserve">For </w:t>
      </w:r>
      <w:r w:rsidR="00974331" w:rsidRPr="00373912">
        <w:rPr>
          <w:rFonts w:asciiTheme="minorHAnsi" w:hAnsiTheme="minorHAnsi"/>
        </w:rPr>
        <w:t>regula</w:t>
      </w:r>
      <w:r w:rsidR="00DA6189" w:rsidRPr="00373912">
        <w:rPr>
          <w:rFonts w:asciiTheme="minorHAnsi" w:hAnsiTheme="minorHAnsi"/>
        </w:rPr>
        <w:t>r</w:t>
      </w:r>
      <w:r w:rsidR="00DA6189">
        <w:rPr>
          <w:rFonts w:asciiTheme="minorHAnsi" w:hAnsiTheme="minorHAnsi"/>
        </w:rPr>
        <w:t xml:space="preserve"> outings </w:t>
      </w:r>
      <w:r w:rsidR="00974331">
        <w:rPr>
          <w:rFonts w:asciiTheme="minorHAnsi" w:hAnsiTheme="minorHAnsi"/>
        </w:rPr>
        <w:t xml:space="preserve">authorisations must be given at least annually (more often is preferable) </w:t>
      </w:r>
      <w:r w:rsidRPr="00DE1553">
        <w:rPr>
          <w:rFonts w:asciiTheme="minorHAnsi" w:hAnsiTheme="minorHAnsi"/>
        </w:rPr>
        <w:t xml:space="preserve">(regulations 100- 102).  </w:t>
      </w:r>
    </w:p>
    <w:p w:rsidR="00CA6CC0" w:rsidRPr="00DE1553" w:rsidRDefault="00CA6CC0" w:rsidP="00974F08">
      <w:pPr>
        <w:rPr>
          <w:rFonts w:asciiTheme="minorHAnsi" w:hAnsiTheme="minorHAnsi"/>
        </w:rPr>
      </w:pPr>
    </w:p>
    <w:p w:rsidR="00CA6CC0" w:rsidRDefault="00CA6CC0" w:rsidP="00974F08">
      <w:pPr>
        <w:rPr>
          <w:rFonts w:asciiTheme="minorHAnsi" w:hAnsiTheme="minorHAnsi"/>
        </w:rPr>
      </w:pPr>
      <w:r w:rsidRPr="00DE1553">
        <w:rPr>
          <w:rFonts w:asciiTheme="minorHAnsi" w:hAnsiTheme="minorHAnsi"/>
        </w:rPr>
        <w:t xml:space="preserve">There has been some confusion about the maximum number of children who are allowed to </w:t>
      </w:r>
      <w:r w:rsidRPr="00373912">
        <w:rPr>
          <w:rFonts w:asciiTheme="minorHAnsi" w:hAnsiTheme="minorHAnsi"/>
        </w:rPr>
        <w:t xml:space="preserve">be </w:t>
      </w:r>
      <w:r w:rsidR="00974331" w:rsidRPr="00373912">
        <w:rPr>
          <w:rFonts w:asciiTheme="minorHAnsi" w:hAnsiTheme="minorHAnsi"/>
        </w:rPr>
        <w:t xml:space="preserve">educated and </w:t>
      </w:r>
      <w:r w:rsidRPr="00373912">
        <w:rPr>
          <w:rFonts w:asciiTheme="minorHAnsi" w:hAnsiTheme="minorHAnsi"/>
        </w:rPr>
        <w:t>cared for</w:t>
      </w:r>
      <w:r w:rsidRPr="00DE1553">
        <w:rPr>
          <w:rFonts w:asciiTheme="minorHAnsi" w:hAnsiTheme="minorHAnsi"/>
        </w:rPr>
        <w:t xml:space="preserve"> by a service while some of the children are away from the premises at excursions or regular outings - including bush kinders. The maximum number of approved places for children who can be educated and cared for by the service at any one time must not be exceeded (section 52(g)). This means that the service will need to consider all children being educated and cared for by the service at any one time, including the children at the education and care </w:t>
      </w:r>
      <w:r w:rsidR="00974331">
        <w:rPr>
          <w:rFonts w:asciiTheme="minorHAnsi" w:hAnsiTheme="minorHAnsi"/>
        </w:rPr>
        <w:t xml:space="preserve">service </w:t>
      </w:r>
      <w:r w:rsidRPr="00DE1553">
        <w:rPr>
          <w:rFonts w:asciiTheme="minorHAnsi" w:hAnsiTheme="minorHAnsi"/>
        </w:rPr>
        <w:t>premises and those at the excursion or regular outing. This is also the case when calculating the ratio requirements and in meeting the educator qualification requirements.</w:t>
      </w:r>
    </w:p>
    <w:p w:rsidR="00141B32" w:rsidRDefault="00141B32" w:rsidP="00974F08">
      <w:pPr>
        <w:rPr>
          <w:rFonts w:asciiTheme="minorHAnsi" w:hAnsiTheme="minorHAnsi"/>
        </w:rPr>
      </w:pPr>
    </w:p>
    <w:p w:rsidR="00141B32" w:rsidRDefault="005B71B8" w:rsidP="00974F08">
      <w:pPr>
        <w:rPr>
          <w:rFonts w:asciiTheme="minorHAnsi" w:hAnsiTheme="minorHAnsi"/>
        </w:rPr>
      </w:pPr>
      <w:r w:rsidRPr="00373912">
        <w:rPr>
          <w:rFonts w:asciiTheme="minorHAnsi" w:hAnsiTheme="minorHAnsi"/>
        </w:rPr>
        <w:t xml:space="preserve">Further information on </w:t>
      </w:r>
      <w:r w:rsidR="00141B32" w:rsidRPr="00373912">
        <w:rPr>
          <w:rFonts w:asciiTheme="minorHAnsi" w:hAnsiTheme="minorHAnsi"/>
        </w:rPr>
        <w:t xml:space="preserve">requirements when conducting excursions, regular outings or running bush kindergartens is available at: </w:t>
      </w:r>
      <w:hyperlink r:id="rId10" w:history="1">
        <w:r w:rsidR="00141B32" w:rsidRPr="00373912">
          <w:rPr>
            <w:rStyle w:val="Hyperlink"/>
            <w:rFonts w:asciiTheme="minorHAnsi" w:hAnsiTheme="minorHAnsi"/>
          </w:rPr>
          <w:t>www.education.vic.gov.au/childhood/providers/regulation/Pages/nqffactsheets.aspx</w:t>
        </w:r>
      </w:hyperlink>
    </w:p>
    <w:p w:rsidR="00CA6CC0" w:rsidRPr="00DE1553" w:rsidRDefault="00CA6CC0" w:rsidP="00974F08">
      <w:pPr>
        <w:rPr>
          <w:rFonts w:asciiTheme="minorHAnsi" w:hAnsiTheme="minorHAnsi" w:cs="Arial"/>
        </w:rPr>
      </w:pPr>
    </w:p>
    <w:p w:rsidR="00CA6CC0" w:rsidRPr="00DE1553" w:rsidRDefault="00CA6CC0" w:rsidP="00974F08">
      <w:pPr>
        <w:pStyle w:val="BasicParagraph"/>
        <w:spacing w:line="240" w:lineRule="auto"/>
        <w:rPr>
          <w:rFonts w:asciiTheme="minorHAnsi" w:hAnsiTheme="minorHAnsi" w:cs="Arial"/>
          <w:color w:val="auto"/>
        </w:rPr>
      </w:pPr>
      <w:r w:rsidRPr="00DE1553">
        <w:rPr>
          <w:rStyle w:val="Headingblack"/>
          <w:rFonts w:asciiTheme="minorHAnsi" w:hAnsiTheme="minorHAnsi"/>
          <w:color w:val="auto"/>
          <w:sz w:val="24"/>
          <w:szCs w:val="24"/>
        </w:rPr>
        <w:t>Healthy Eating in the National Quality Standard</w:t>
      </w:r>
    </w:p>
    <w:p w:rsidR="00CA6CC0" w:rsidRPr="00DE1553" w:rsidRDefault="00CA6CC0" w:rsidP="00974F08">
      <w:pPr>
        <w:pStyle w:val="BasicParagraph"/>
        <w:spacing w:line="240" w:lineRule="auto"/>
        <w:rPr>
          <w:rFonts w:asciiTheme="minorHAnsi" w:hAnsiTheme="minorHAnsi" w:cs="Arial"/>
          <w:color w:val="auto"/>
        </w:rPr>
      </w:pPr>
    </w:p>
    <w:p w:rsidR="00DE4AC2" w:rsidRDefault="00CA6CC0" w:rsidP="00974F08">
      <w:pPr>
        <w:rPr>
          <w:rFonts w:asciiTheme="minorHAnsi" w:hAnsiTheme="minorHAnsi"/>
        </w:rPr>
      </w:pPr>
      <w:r w:rsidRPr="00DE1553">
        <w:rPr>
          <w:rFonts w:asciiTheme="minorHAnsi" w:hAnsiTheme="minorHAnsi"/>
        </w:rPr>
        <w:t>The Department</w:t>
      </w:r>
      <w:r w:rsidR="00DE4AC2">
        <w:rPr>
          <w:rFonts w:asciiTheme="minorHAnsi" w:hAnsiTheme="minorHAnsi"/>
        </w:rPr>
        <w:t>,</w:t>
      </w:r>
      <w:r w:rsidRPr="00DE1553">
        <w:rPr>
          <w:rFonts w:asciiTheme="minorHAnsi" w:hAnsiTheme="minorHAnsi"/>
        </w:rPr>
        <w:t xml:space="preserve"> in collaboration with Nutrition Australia and the Department of Health and Human Services have produced a guide to assist education and care services to provide appropriate nutrition to children, promote healthy eating to families</w:t>
      </w:r>
      <w:r w:rsidR="00DE4AC2">
        <w:rPr>
          <w:rFonts w:asciiTheme="minorHAnsi" w:hAnsiTheme="minorHAnsi"/>
        </w:rPr>
        <w:t>,</w:t>
      </w:r>
      <w:r w:rsidRPr="00DE1553">
        <w:rPr>
          <w:rFonts w:asciiTheme="minorHAnsi" w:hAnsiTheme="minorHAnsi"/>
        </w:rPr>
        <w:t xml:space="preserve"> and meet the requirements of element 2.1.1 of the National Quality Standard (NQS), the National Law and associated regulations. </w:t>
      </w:r>
      <w:r w:rsidR="00974331">
        <w:rPr>
          <w:rFonts w:asciiTheme="minorHAnsi" w:hAnsiTheme="minorHAnsi"/>
        </w:rPr>
        <w:t xml:space="preserve"> This resource is also valuable for those services operating under the </w:t>
      </w:r>
      <w:r w:rsidR="00974331" w:rsidRPr="00974331">
        <w:rPr>
          <w:rFonts w:asciiTheme="minorHAnsi" w:hAnsiTheme="minorHAnsi"/>
          <w:i/>
        </w:rPr>
        <w:t>Children’s Services Act 1996.</w:t>
      </w:r>
    </w:p>
    <w:p w:rsidR="00DE4AC2" w:rsidRDefault="00DE4AC2" w:rsidP="00974F08">
      <w:pPr>
        <w:rPr>
          <w:rFonts w:asciiTheme="minorHAnsi" w:hAnsiTheme="minorHAnsi"/>
        </w:rPr>
      </w:pPr>
    </w:p>
    <w:p w:rsidR="00DE4AC2" w:rsidRDefault="00DE4AC2" w:rsidP="00DE4AC2">
      <w:pPr>
        <w:rPr>
          <w:rFonts w:asciiTheme="minorHAnsi" w:hAnsiTheme="minorHAnsi"/>
          <w:u w:val="single"/>
        </w:rPr>
      </w:pPr>
      <w:r>
        <w:rPr>
          <w:rFonts w:asciiTheme="minorHAnsi" w:hAnsiTheme="minorHAnsi"/>
        </w:rPr>
        <w:t xml:space="preserve">The guide provides information on topics such as food groups and discretionary foods, and is organised by service type. Links to </w:t>
      </w:r>
      <w:r w:rsidRPr="00965278">
        <w:rPr>
          <w:rFonts w:asciiTheme="minorHAnsi" w:hAnsiTheme="minorHAnsi"/>
        </w:rPr>
        <w:t xml:space="preserve">the Healthy </w:t>
      </w:r>
      <w:r>
        <w:rPr>
          <w:rFonts w:asciiTheme="minorHAnsi" w:hAnsiTheme="minorHAnsi"/>
        </w:rPr>
        <w:t>E</w:t>
      </w:r>
      <w:r w:rsidRPr="00965278">
        <w:rPr>
          <w:rFonts w:asciiTheme="minorHAnsi" w:hAnsiTheme="minorHAnsi"/>
        </w:rPr>
        <w:t xml:space="preserve">ating </w:t>
      </w:r>
      <w:r>
        <w:rPr>
          <w:rFonts w:asciiTheme="minorHAnsi" w:hAnsiTheme="minorHAnsi"/>
        </w:rPr>
        <w:t>A</w:t>
      </w:r>
      <w:r w:rsidRPr="00965278">
        <w:rPr>
          <w:rFonts w:asciiTheme="minorHAnsi" w:hAnsiTheme="minorHAnsi"/>
        </w:rPr>
        <w:t xml:space="preserve">dvisory </w:t>
      </w:r>
      <w:r>
        <w:rPr>
          <w:rFonts w:asciiTheme="minorHAnsi" w:hAnsiTheme="minorHAnsi"/>
        </w:rPr>
        <w:t>S</w:t>
      </w:r>
      <w:r w:rsidRPr="00965278">
        <w:rPr>
          <w:rFonts w:asciiTheme="minorHAnsi" w:hAnsiTheme="minorHAnsi"/>
        </w:rPr>
        <w:t>ervice</w:t>
      </w:r>
      <w:r>
        <w:rPr>
          <w:rFonts w:asciiTheme="minorHAnsi" w:hAnsiTheme="minorHAnsi"/>
          <w:i/>
        </w:rPr>
        <w:t xml:space="preserve">, </w:t>
      </w:r>
      <w:r>
        <w:rPr>
          <w:rFonts w:asciiTheme="minorHAnsi" w:hAnsiTheme="minorHAnsi"/>
        </w:rPr>
        <w:t xml:space="preserve">resources, and training </w:t>
      </w:r>
      <w:r w:rsidRPr="00965278">
        <w:rPr>
          <w:rFonts w:asciiTheme="minorHAnsi" w:hAnsiTheme="minorHAnsi"/>
        </w:rPr>
        <w:t>are</w:t>
      </w:r>
      <w:r>
        <w:rPr>
          <w:rFonts w:asciiTheme="minorHAnsi" w:hAnsiTheme="minorHAnsi"/>
        </w:rPr>
        <w:t xml:space="preserve"> also</w:t>
      </w:r>
      <w:r w:rsidRPr="00965278">
        <w:rPr>
          <w:rFonts w:asciiTheme="minorHAnsi" w:hAnsiTheme="minorHAnsi"/>
        </w:rPr>
        <w:t xml:space="preserve"> included</w:t>
      </w:r>
      <w:r>
        <w:rPr>
          <w:rFonts w:asciiTheme="minorHAnsi" w:hAnsiTheme="minorHAnsi"/>
        </w:rPr>
        <w:t>. T</w:t>
      </w:r>
      <w:r w:rsidRPr="00DE1553">
        <w:rPr>
          <w:rFonts w:asciiTheme="minorHAnsi" w:hAnsiTheme="minorHAnsi"/>
        </w:rPr>
        <w:t xml:space="preserve">his </w:t>
      </w:r>
      <w:r>
        <w:rPr>
          <w:rFonts w:asciiTheme="minorHAnsi" w:hAnsiTheme="minorHAnsi"/>
        </w:rPr>
        <w:t xml:space="preserve">publication </w:t>
      </w:r>
      <w:r w:rsidRPr="00DE1553">
        <w:rPr>
          <w:rFonts w:asciiTheme="minorHAnsi" w:hAnsiTheme="minorHAnsi"/>
        </w:rPr>
        <w:t>is intended to provide guidance</w:t>
      </w:r>
      <w:r w:rsidRPr="00965278">
        <w:rPr>
          <w:rFonts w:asciiTheme="minorHAnsi" w:hAnsiTheme="minorHAnsi"/>
        </w:rPr>
        <w:t xml:space="preserve"> </w:t>
      </w:r>
      <w:r>
        <w:rPr>
          <w:rFonts w:asciiTheme="minorHAnsi" w:hAnsiTheme="minorHAnsi"/>
        </w:rPr>
        <w:t>to a</w:t>
      </w:r>
      <w:r w:rsidRPr="00965278">
        <w:rPr>
          <w:rFonts w:asciiTheme="minorHAnsi" w:hAnsiTheme="minorHAnsi"/>
        </w:rPr>
        <w:t>nyone</w:t>
      </w:r>
      <w:r w:rsidRPr="00DE1553">
        <w:rPr>
          <w:rFonts w:asciiTheme="minorHAnsi" w:hAnsiTheme="minorHAnsi"/>
        </w:rPr>
        <w:t xml:space="preserve"> involved in promoting healthy eating or providing food and beverages to children within an early childhood setting</w:t>
      </w:r>
      <w:r>
        <w:rPr>
          <w:rFonts w:asciiTheme="minorHAnsi" w:hAnsiTheme="minorHAnsi"/>
        </w:rPr>
        <w:t xml:space="preserve">, and does </w:t>
      </w:r>
      <w:r w:rsidRPr="00DE1553">
        <w:rPr>
          <w:rFonts w:asciiTheme="minorHAnsi" w:hAnsiTheme="minorHAnsi"/>
        </w:rPr>
        <w:t>not replace obligations outlined in the NQS and National Law.</w:t>
      </w:r>
      <w:r>
        <w:rPr>
          <w:rFonts w:asciiTheme="minorHAnsi" w:hAnsiTheme="minorHAnsi"/>
        </w:rPr>
        <w:t xml:space="preserve"> The guide is available at: </w:t>
      </w:r>
    </w:p>
    <w:p w:rsidR="00454E06" w:rsidRDefault="004D3C4D" w:rsidP="00DE4AC2">
      <w:pPr>
        <w:rPr>
          <w:rFonts w:asciiTheme="minorHAnsi" w:hAnsiTheme="minorHAnsi"/>
          <w:w w:val="94"/>
        </w:rPr>
      </w:pPr>
      <w:hyperlink r:id="rId11" w:history="1">
        <w:r w:rsidR="00454E06" w:rsidRPr="005C19AD">
          <w:rPr>
            <w:rStyle w:val="Hyperlink"/>
            <w:rFonts w:asciiTheme="minorHAnsi" w:hAnsiTheme="minorHAnsi"/>
            <w:w w:val="94"/>
          </w:rPr>
          <w:t>www.education.vic.gov.au/childhood/providers/regulation/Pages/nqffactsheets.aspx</w:t>
        </w:r>
      </w:hyperlink>
    </w:p>
    <w:p w:rsidR="00295766" w:rsidRDefault="00295766" w:rsidP="00DE4AC2">
      <w:pPr>
        <w:jc w:val="both"/>
        <w:rPr>
          <w:rFonts w:asciiTheme="minorHAnsi" w:hAnsiTheme="minorHAnsi"/>
          <w:b/>
          <w:bCs/>
          <w:lang w:val="en-US"/>
        </w:rPr>
      </w:pPr>
    </w:p>
    <w:p w:rsidR="00974331" w:rsidRDefault="00974331" w:rsidP="00DE4AC2">
      <w:pPr>
        <w:jc w:val="both"/>
        <w:rPr>
          <w:rFonts w:asciiTheme="minorHAnsi" w:hAnsiTheme="minorHAnsi"/>
          <w:b/>
          <w:bCs/>
          <w:lang w:val="en-US"/>
        </w:rPr>
      </w:pPr>
    </w:p>
    <w:p w:rsidR="00DE4AC2" w:rsidRPr="00DE4AC2" w:rsidRDefault="00295766" w:rsidP="00DE4AC2">
      <w:pPr>
        <w:jc w:val="both"/>
        <w:rPr>
          <w:rFonts w:asciiTheme="minorHAnsi" w:hAnsiTheme="minorHAnsi"/>
          <w:b/>
          <w:bCs/>
          <w:lang w:val="en-US"/>
        </w:rPr>
      </w:pPr>
      <w:r w:rsidRPr="00373912">
        <w:rPr>
          <w:rFonts w:asciiTheme="minorHAnsi" w:hAnsiTheme="minorHAnsi"/>
          <w:b/>
          <w:bCs/>
          <w:lang w:val="en-US"/>
        </w:rPr>
        <w:t>N</w:t>
      </w:r>
      <w:r w:rsidR="00974331" w:rsidRPr="00373912">
        <w:rPr>
          <w:rFonts w:asciiTheme="minorHAnsi" w:hAnsiTheme="minorHAnsi"/>
          <w:b/>
          <w:bCs/>
          <w:lang w:val="en-US"/>
        </w:rPr>
        <w:t>ew Licensing Fees and P</w:t>
      </w:r>
      <w:r w:rsidR="00DE4AC2" w:rsidRPr="00373912">
        <w:rPr>
          <w:rFonts w:asciiTheme="minorHAnsi" w:hAnsiTheme="minorHAnsi"/>
          <w:b/>
          <w:bCs/>
          <w:lang w:val="en-US"/>
        </w:rPr>
        <w:t>enalties</w:t>
      </w:r>
      <w:r>
        <w:rPr>
          <w:rFonts w:asciiTheme="minorHAnsi" w:hAnsiTheme="minorHAnsi"/>
          <w:b/>
          <w:bCs/>
          <w:lang w:val="en-US"/>
        </w:rPr>
        <w:t xml:space="preserve"> – </w:t>
      </w:r>
      <w:r w:rsidRPr="00295766">
        <w:rPr>
          <w:rFonts w:asciiTheme="minorHAnsi" w:hAnsiTheme="minorHAnsi"/>
          <w:bCs/>
          <w:lang w:val="en-US"/>
        </w:rPr>
        <w:t>Children’s Services Act</w:t>
      </w:r>
    </w:p>
    <w:p w:rsidR="00DE4AC2" w:rsidRPr="007834D9" w:rsidRDefault="00DE4AC2" w:rsidP="00DE4AC2">
      <w:pPr>
        <w:jc w:val="both"/>
        <w:rPr>
          <w:rFonts w:asciiTheme="minorHAnsi" w:hAnsiTheme="minorHAnsi"/>
          <w:bCs/>
          <w:lang w:val="en-US"/>
        </w:rPr>
      </w:pPr>
    </w:p>
    <w:p w:rsidR="00DE4AC2" w:rsidRDefault="00DE4AC2" w:rsidP="00DE4AC2">
      <w:pPr>
        <w:jc w:val="both"/>
        <w:rPr>
          <w:rFonts w:asciiTheme="minorHAnsi" w:hAnsiTheme="minorHAnsi"/>
        </w:rPr>
      </w:pPr>
      <w:r w:rsidRPr="007834D9">
        <w:rPr>
          <w:rFonts w:asciiTheme="minorHAnsi" w:hAnsiTheme="minorHAnsi"/>
        </w:rPr>
        <w:t xml:space="preserve">The </w:t>
      </w:r>
      <w:r w:rsidRPr="00974331">
        <w:rPr>
          <w:rFonts w:asciiTheme="minorHAnsi" w:hAnsiTheme="minorHAnsi"/>
          <w:i/>
        </w:rPr>
        <w:t>Children’s Services Act 1996</w:t>
      </w:r>
      <w:r w:rsidRPr="007834D9">
        <w:rPr>
          <w:rFonts w:asciiTheme="minorHAnsi" w:hAnsiTheme="minorHAnsi"/>
        </w:rPr>
        <w:t xml:space="preserve"> and the Children‘s Services Regulations 2009 identify a range of fees and penalties payable in relation to the licensing of children’s services. Licensing fees and penalties are updated annually on 1 July based on an increase to the value of a fee unit and penalty unit announced by the Treasurer. From 1 July 2016 to 30 June 2017 the value of a fee unit will be $13.94 and the value of a penalty unit will be $155.46.Updated licensing fees and penalties </w:t>
      </w:r>
      <w:r w:rsidR="00141B32" w:rsidRPr="00373912">
        <w:rPr>
          <w:rFonts w:asciiTheme="minorHAnsi" w:hAnsiTheme="minorHAnsi"/>
        </w:rPr>
        <w:t xml:space="preserve">are </w:t>
      </w:r>
      <w:r w:rsidRPr="00373912">
        <w:rPr>
          <w:rFonts w:asciiTheme="minorHAnsi" w:hAnsiTheme="minorHAnsi"/>
        </w:rPr>
        <w:t>available from</w:t>
      </w:r>
      <w:r w:rsidRPr="007834D9">
        <w:rPr>
          <w:rFonts w:asciiTheme="minorHAnsi" w:hAnsiTheme="minorHAnsi"/>
        </w:rPr>
        <w:t xml:space="preserve"> 1 July 2016 on the Department of Education and Training website at:www.education.vic.gov.au/childhood/providers/regulation/Pages/feesandpenalties.aspx</w:t>
      </w:r>
    </w:p>
    <w:p w:rsidR="00295766" w:rsidRDefault="00295766" w:rsidP="00DE4AC2">
      <w:pPr>
        <w:jc w:val="both"/>
        <w:rPr>
          <w:rFonts w:asciiTheme="minorHAnsi" w:hAnsiTheme="minorHAnsi"/>
        </w:rPr>
      </w:pPr>
    </w:p>
    <w:p w:rsidR="00295766" w:rsidRPr="00295766" w:rsidRDefault="00295766" w:rsidP="00DE4AC2">
      <w:pPr>
        <w:jc w:val="both"/>
        <w:rPr>
          <w:rFonts w:asciiTheme="minorHAnsi" w:hAnsiTheme="minorHAnsi"/>
          <w:b/>
        </w:rPr>
      </w:pPr>
      <w:r w:rsidRPr="00295766">
        <w:rPr>
          <w:rFonts w:asciiTheme="minorHAnsi" w:hAnsiTheme="minorHAnsi"/>
          <w:b/>
        </w:rPr>
        <w:t>National Quality Framework</w:t>
      </w:r>
    </w:p>
    <w:p w:rsidR="00DE4AC2" w:rsidRDefault="00DE4AC2" w:rsidP="00974F08">
      <w:pPr>
        <w:pStyle w:val="BasicParagraph"/>
        <w:spacing w:line="240" w:lineRule="auto"/>
        <w:ind w:right="57"/>
        <w:rPr>
          <w:rStyle w:val="Hyperlinkteal"/>
          <w:rFonts w:asciiTheme="minorHAnsi" w:hAnsiTheme="minorHAnsi"/>
          <w:color w:val="auto"/>
          <w:sz w:val="24"/>
          <w:szCs w:val="24"/>
        </w:rPr>
      </w:pPr>
    </w:p>
    <w:p w:rsidR="00295766" w:rsidRDefault="00295766" w:rsidP="00974F08">
      <w:pPr>
        <w:pStyle w:val="BasicParagraph"/>
        <w:spacing w:line="240" w:lineRule="auto"/>
        <w:ind w:right="57"/>
        <w:rPr>
          <w:rStyle w:val="Hyperlinkteal"/>
          <w:rFonts w:asciiTheme="minorHAnsi" w:hAnsiTheme="minorHAnsi"/>
          <w:b w:val="0"/>
          <w:color w:val="auto"/>
          <w:sz w:val="24"/>
          <w:szCs w:val="24"/>
        </w:rPr>
      </w:pPr>
      <w:r>
        <w:rPr>
          <w:rStyle w:val="Hyperlinkteal"/>
          <w:rFonts w:asciiTheme="minorHAnsi" w:hAnsiTheme="minorHAnsi"/>
          <w:b w:val="0"/>
          <w:color w:val="auto"/>
          <w:sz w:val="24"/>
          <w:szCs w:val="24"/>
        </w:rPr>
        <w:t>The National Regulations set fees for education and care services operating under the National Quality Framework which are indexed annually. ACECQA publish information on indexation of fees on their website:</w:t>
      </w:r>
    </w:p>
    <w:p w:rsidR="00295766" w:rsidRDefault="004D3C4D" w:rsidP="00974F08">
      <w:pPr>
        <w:pStyle w:val="BasicParagraph"/>
        <w:spacing w:line="240" w:lineRule="auto"/>
        <w:ind w:right="57"/>
        <w:rPr>
          <w:rStyle w:val="Hyperlinkteal"/>
          <w:rFonts w:asciiTheme="minorHAnsi" w:hAnsiTheme="minorHAnsi"/>
          <w:b w:val="0"/>
          <w:color w:val="auto"/>
          <w:sz w:val="24"/>
          <w:szCs w:val="24"/>
        </w:rPr>
      </w:pPr>
      <w:hyperlink r:id="rId12" w:history="1">
        <w:r w:rsidR="00295766" w:rsidRPr="005C19AD">
          <w:rPr>
            <w:rStyle w:val="Hyperlink"/>
            <w:rFonts w:asciiTheme="minorHAnsi" w:hAnsiTheme="minorHAnsi" w:cs="Arial"/>
          </w:rPr>
          <w:t>www.acecqa.gov.au/indexation-of-fees</w:t>
        </w:r>
      </w:hyperlink>
    </w:p>
    <w:p w:rsidR="00295766" w:rsidRPr="00295766" w:rsidRDefault="00295766" w:rsidP="00974F08">
      <w:pPr>
        <w:pStyle w:val="BasicParagraph"/>
        <w:spacing w:line="240" w:lineRule="auto"/>
        <w:ind w:right="57"/>
        <w:rPr>
          <w:rStyle w:val="Hyperlinkteal"/>
          <w:rFonts w:asciiTheme="minorHAnsi" w:hAnsiTheme="minorHAnsi"/>
          <w:b w:val="0"/>
          <w:color w:val="auto"/>
          <w:sz w:val="24"/>
          <w:szCs w:val="24"/>
        </w:rPr>
      </w:pPr>
    </w:p>
    <w:p w:rsidR="008C4367" w:rsidRDefault="008C4367" w:rsidP="00974F08">
      <w:pPr>
        <w:pStyle w:val="BasicParagraph"/>
        <w:spacing w:line="240" w:lineRule="auto"/>
        <w:ind w:right="57"/>
        <w:rPr>
          <w:rStyle w:val="Hyperlinkteal"/>
          <w:rFonts w:asciiTheme="minorHAnsi" w:hAnsiTheme="minorHAnsi"/>
          <w:color w:val="auto"/>
          <w:sz w:val="24"/>
          <w:szCs w:val="24"/>
        </w:rPr>
      </w:pPr>
      <w:r w:rsidRPr="00DE1553">
        <w:rPr>
          <w:rStyle w:val="Hyperlinkteal"/>
          <w:rFonts w:asciiTheme="minorHAnsi" w:hAnsiTheme="minorHAnsi"/>
          <w:color w:val="auto"/>
          <w:sz w:val="24"/>
          <w:szCs w:val="24"/>
        </w:rPr>
        <w:t>Kindergarten Funding</w:t>
      </w:r>
    </w:p>
    <w:p w:rsidR="00DE1553" w:rsidRPr="00DE1553" w:rsidRDefault="00DE1553" w:rsidP="00974F08">
      <w:pPr>
        <w:pStyle w:val="BasicParagraph"/>
        <w:spacing w:line="240" w:lineRule="auto"/>
        <w:ind w:right="57"/>
        <w:rPr>
          <w:rStyle w:val="Hyperlinkteal"/>
          <w:rFonts w:asciiTheme="minorHAnsi" w:hAnsiTheme="minorHAnsi"/>
          <w:color w:val="auto"/>
          <w:sz w:val="24"/>
          <w:szCs w:val="24"/>
        </w:rPr>
      </w:pPr>
    </w:p>
    <w:p w:rsidR="008C4367" w:rsidRPr="00DE1553" w:rsidRDefault="008C4367" w:rsidP="00974F08">
      <w:pPr>
        <w:rPr>
          <w:rStyle w:val="Hyperlinkteal"/>
          <w:rFonts w:asciiTheme="minorHAnsi" w:hAnsiTheme="minorHAnsi"/>
          <w:b w:val="0"/>
          <w:bCs w:val="0"/>
          <w:color w:val="auto"/>
          <w:sz w:val="22"/>
          <w:szCs w:val="22"/>
        </w:rPr>
      </w:pPr>
      <w:r w:rsidRPr="00DE1553">
        <w:rPr>
          <w:rStyle w:val="Hyperlinkteal"/>
          <w:rFonts w:asciiTheme="minorHAnsi" w:hAnsiTheme="minorHAnsi"/>
          <w:b w:val="0"/>
          <w:bCs w:val="0"/>
          <w:color w:val="auto"/>
          <w:sz w:val="22"/>
          <w:szCs w:val="22"/>
        </w:rPr>
        <w:t>The kindergarten funding guide has been redeveloped for 2016 -2017 to help service providers more easily identify the range of funding available, how to apply</w:t>
      </w:r>
      <w:r w:rsidR="0076292B">
        <w:rPr>
          <w:rStyle w:val="Hyperlinkteal"/>
          <w:rFonts w:asciiTheme="minorHAnsi" w:hAnsiTheme="minorHAnsi"/>
          <w:b w:val="0"/>
          <w:bCs w:val="0"/>
          <w:color w:val="auto"/>
          <w:sz w:val="22"/>
          <w:szCs w:val="22"/>
        </w:rPr>
        <w:t xml:space="preserve"> for funding</w:t>
      </w:r>
      <w:r w:rsidRPr="00DE1553">
        <w:rPr>
          <w:rStyle w:val="Hyperlinkteal"/>
          <w:rFonts w:asciiTheme="minorHAnsi" w:hAnsiTheme="minorHAnsi"/>
          <w:b w:val="0"/>
          <w:bCs w:val="0"/>
          <w:color w:val="auto"/>
          <w:sz w:val="22"/>
          <w:szCs w:val="22"/>
        </w:rPr>
        <w:t xml:space="preserve"> and their obligations and accountability in receiving funding. Whilst historically the kindergarten guide has been produced on an annual basis, the Department has produced a two-year guide for 2016 and 2017. </w:t>
      </w:r>
    </w:p>
    <w:p w:rsidR="008C4367" w:rsidRPr="00DE1553" w:rsidRDefault="008C4367" w:rsidP="00974F08">
      <w:pPr>
        <w:rPr>
          <w:rStyle w:val="Hyperlinkteal"/>
          <w:rFonts w:asciiTheme="minorHAnsi" w:hAnsiTheme="minorHAnsi"/>
          <w:b w:val="0"/>
          <w:bCs w:val="0"/>
          <w:color w:val="auto"/>
          <w:sz w:val="22"/>
          <w:szCs w:val="22"/>
        </w:rPr>
      </w:pPr>
    </w:p>
    <w:p w:rsidR="008C4367" w:rsidRPr="00DE1553" w:rsidRDefault="008C4367" w:rsidP="00974F08">
      <w:pPr>
        <w:rPr>
          <w:rStyle w:val="Hyperlinkteal"/>
          <w:rFonts w:asciiTheme="minorHAnsi" w:hAnsiTheme="minorHAnsi"/>
          <w:b w:val="0"/>
          <w:bCs w:val="0"/>
          <w:color w:val="auto"/>
          <w:sz w:val="22"/>
          <w:szCs w:val="22"/>
        </w:rPr>
      </w:pPr>
      <w:r w:rsidRPr="00DE1553">
        <w:rPr>
          <w:rStyle w:val="Hyperlinkteal"/>
          <w:rFonts w:asciiTheme="minorHAnsi" w:hAnsiTheme="minorHAnsi"/>
          <w:b w:val="0"/>
          <w:bCs w:val="0"/>
          <w:color w:val="auto"/>
          <w:sz w:val="22"/>
          <w:szCs w:val="22"/>
        </w:rPr>
        <w:t>The new kindergarten guide will include information on recent policy and funding updates in the early childhood sector including the introduction of the No Jab No Play legislation, the improved educator to child ratio requirement and the new rural funding model for 2017.</w:t>
      </w:r>
    </w:p>
    <w:p w:rsidR="008C4367" w:rsidRPr="00DE1553" w:rsidRDefault="008C4367" w:rsidP="00974F08">
      <w:pPr>
        <w:rPr>
          <w:rStyle w:val="Hyperlinkteal"/>
          <w:rFonts w:asciiTheme="minorHAnsi" w:hAnsiTheme="minorHAnsi"/>
          <w:b w:val="0"/>
          <w:bCs w:val="0"/>
          <w:color w:val="auto"/>
          <w:sz w:val="22"/>
          <w:szCs w:val="22"/>
        </w:rPr>
      </w:pPr>
    </w:p>
    <w:p w:rsidR="00352C62" w:rsidRDefault="008C4367" w:rsidP="00295766">
      <w:pPr>
        <w:rPr>
          <w:rStyle w:val="Hyperlinkteal"/>
          <w:rFonts w:asciiTheme="minorHAnsi" w:hAnsiTheme="minorHAnsi"/>
          <w:b w:val="0"/>
          <w:bCs w:val="0"/>
          <w:color w:val="auto"/>
          <w:sz w:val="22"/>
          <w:szCs w:val="22"/>
        </w:rPr>
      </w:pPr>
      <w:r w:rsidRPr="00DE1553">
        <w:rPr>
          <w:rStyle w:val="Hyperlinkteal"/>
          <w:rFonts w:asciiTheme="minorHAnsi" w:hAnsiTheme="minorHAnsi"/>
          <w:b w:val="0"/>
          <w:bCs w:val="0"/>
          <w:color w:val="auto"/>
          <w:sz w:val="22"/>
          <w:szCs w:val="22"/>
        </w:rPr>
        <w:t>A copy of the 2016 – 2017 kindergarten funding guide will be available in term three. Service providers will be sent an email with a link to the Department’s website where an electronic version will be available along with funding rates published online. A hard copy of the guide will also be sent to all funded</w:t>
      </w:r>
      <w:r w:rsidR="00894AEA" w:rsidRPr="00DE1553">
        <w:rPr>
          <w:rStyle w:val="Hyperlinkteal"/>
          <w:rFonts w:asciiTheme="minorHAnsi" w:hAnsiTheme="minorHAnsi"/>
          <w:b w:val="0"/>
          <w:bCs w:val="0"/>
          <w:color w:val="auto"/>
          <w:sz w:val="22"/>
          <w:szCs w:val="22"/>
        </w:rPr>
        <w:t xml:space="preserve"> kindergarten</w:t>
      </w:r>
      <w:r w:rsidRPr="00DE1553">
        <w:rPr>
          <w:rStyle w:val="Hyperlinkteal"/>
          <w:rFonts w:asciiTheme="minorHAnsi" w:hAnsiTheme="minorHAnsi"/>
          <w:b w:val="0"/>
          <w:bCs w:val="0"/>
          <w:color w:val="auto"/>
          <w:sz w:val="22"/>
          <w:szCs w:val="22"/>
        </w:rPr>
        <w:t xml:space="preserve"> service providers during term three.</w:t>
      </w:r>
    </w:p>
    <w:p w:rsidR="00295766" w:rsidRPr="00295766" w:rsidRDefault="00295766" w:rsidP="00295766">
      <w:pPr>
        <w:rPr>
          <w:rStyle w:val="Headingblack"/>
          <w:rFonts w:asciiTheme="minorHAnsi" w:hAnsiTheme="minorHAnsi"/>
          <w:b w:val="0"/>
          <w:bCs w:val="0"/>
          <w:color w:val="auto"/>
          <w:sz w:val="22"/>
          <w:szCs w:val="22"/>
        </w:rPr>
      </w:pPr>
    </w:p>
    <w:p w:rsidR="00DE4AC2" w:rsidRPr="00DE1553" w:rsidRDefault="00DE4AC2" w:rsidP="00DE4AC2">
      <w:pPr>
        <w:rPr>
          <w:rFonts w:asciiTheme="minorHAnsi" w:hAnsiTheme="minorHAnsi" w:cs="Arial"/>
          <w:b/>
          <w:bCs/>
          <w:sz w:val="24"/>
          <w:szCs w:val="24"/>
        </w:rPr>
      </w:pPr>
      <w:r w:rsidRPr="00DE1553">
        <w:rPr>
          <w:rFonts w:asciiTheme="minorHAnsi" w:hAnsiTheme="minorHAnsi" w:cs="Arial"/>
          <w:b/>
          <w:bCs/>
          <w:sz w:val="24"/>
          <w:szCs w:val="24"/>
        </w:rPr>
        <w:t xml:space="preserve">Educator </w:t>
      </w:r>
      <w:r w:rsidRPr="00373912">
        <w:rPr>
          <w:rFonts w:asciiTheme="minorHAnsi" w:hAnsiTheme="minorHAnsi" w:cs="Arial"/>
          <w:b/>
          <w:bCs/>
          <w:sz w:val="24"/>
          <w:szCs w:val="24"/>
        </w:rPr>
        <w:t>t</w:t>
      </w:r>
      <w:r w:rsidR="00141B32" w:rsidRPr="00373912">
        <w:rPr>
          <w:rFonts w:asciiTheme="minorHAnsi" w:hAnsiTheme="minorHAnsi" w:cs="Arial"/>
          <w:b/>
          <w:bCs/>
          <w:sz w:val="24"/>
          <w:szCs w:val="24"/>
        </w:rPr>
        <w:t>o Child R</w:t>
      </w:r>
      <w:r w:rsidRPr="00373912">
        <w:rPr>
          <w:rFonts w:asciiTheme="minorHAnsi" w:hAnsiTheme="minorHAnsi" w:cs="Arial"/>
          <w:b/>
          <w:bCs/>
          <w:sz w:val="24"/>
          <w:szCs w:val="24"/>
        </w:rPr>
        <w:t>atios</w:t>
      </w:r>
    </w:p>
    <w:p w:rsidR="00DE4AC2" w:rsidRPr="00DE1553" w:rsidRDefault="00DE4AC2" w:rsidP="00DE4AC2">
      <w:pPr>
        <w:rPr>
          <w:rFonts w:asciiTheme="minorHAnsi" w:hAnsiTheme="minorHAnsi" w:cs="Arial"/>
        </w:rPr>
      </w:pPr>
    </w:p>
    <w:p w:rsidR="00DE4AC2" w:rsidRDefault="00DE4AC2" w:rsidP="00DE4AC2">
      <w:pPr>
        <w:rPr>
          <w:rFonts w:asciiTheme="minorHAnsi" w:hAnsiTheme="minorHAnsi"/>
        </w:rPr>
      </w:pPr>
      <w:r w:rsidRPr="00DE1553">
        <w:rPr>
          <w:rFonts w:asciiTheme="minorHAnsi" w:hAnsiTheme="minorHAnsi"/>
        </w:rPr>
        <w:t>Improved educator to child ratios are a key factor in delivering quality education and care in Victorian services approved under the National Quality Framework. From 1 January 2016</w:t>
      </w:r>
      <w:r>
        <w:rPr>
          <w:rFonts w:asciiTheme="minorHAnsi" w:hAnsiTheme="minorHAnsi"/>
        </w:rPr>
        <w:t xml:space="preserve">, </w:t>
      </w:r>
      <w:r w:rsidRPr="00DE1553">
        <w:rPr>
          <w:rFonts w:asciiTheme="minorHAnsi" w:hAnsiTheme="minorHAnsi"/>
        </w:rPr>
        <w:t xml:space="preserve">the educator to child ratio for children 36 months to preschool age is </w:t>
      </w:r>
      <w:r w:rsidR="006A0B0E" w:rsidRPr="00DE1553">
        <w:rPr>
          <w:rFonts w:asciiTheme="minorHAnsi" w:hAnsiTheme="minorHAnsi"/>
        </w:rPr>
        <w:t>one</w:t>
      </w:r>
      <w:r w:rsidRPr="00DE1553">
        <w:rPr>
          <w:rFonts w:asciiTheme="minorHAnsi" w:hAnsiTheme="minorHAnsi"/>
        </w:rPr>
        <w:t xml:space="preserve"> educator to 11 children</w:t>
      </w:r>
      <w:r>
        <w:rPr>
          <w:rFonts w:asciiTheme="minorHAnsi" w:hAnsiTheme="minorHAnsi"/>
        </w:rPr>
        <w:t>, and</w:t>
      </w:r>
      <w:r w:rsidRPr="00DE1553">
        <w:rPr>
          <w:rFonts w:asciiTheme="minorHAnsi" w:hAnsiTheme="minorHAnsi"/>
        </w:rPr>
        <w:t xml:space="preserve"> educators need to meet the appropriate qualification requirements</w:t>
      </w:r>
      <w:r>
        <w:rPr>
          <w:rFonts w:asciiTheme="minorHAnsi" w:hAnsiTheme="minorHAnsi"/>
        </w:rPr>
        <w:t xml:space="preserve"> t</w:t>
      </w:r>
      <w:r w:rsidRPr="00DE1553">
        <w:rPr>
          <w:rFonts w:asciiTheme="minorHAnsi" w:hAnsiTheme="minorHAnsi"/>
        </w:rPr>
        <w:t xml:space="preserve">o be included in </w:t>
      </w:r>
      <w:r>
        <w:rPr>
          <w:rFonts w:asciiTheme="minorHAnsi" w:hAnsiTheme="minorHAnsi"/>
        </w:rPr>
        <w:t xml:space="preserve">the </w:t>
      </w:r>
      <w:r w:rsidRPr="00DE1553">
        <w:rPr>
          <w:rFonts w:asciiTheme="minorHAnsi" w:hAnsiTheme="minorHAnsi"/>
        </w:rPr>
        <w:t xml:space="preserve">educator to child ratios. </w:t>
      </w:r>
    </w:p>
    <w:p w:rsidR="00DE4AC2" w:rsidRDefault="00DE4AC2" w:rsidP="00DE4AC2">
      <w:pPr>
        <w:rPr>
          <w:rFonts w:asciiTheme="minorHAnsi" w:hAnsiTheme="minorHAnsi"/>
        </w:rPr>
      </w:pPr>
    </w:p>
    <w:p w:rsidR="00DE4AC2" w:rsidRPr="00DE1553" w:rsidRDefault="00DE4AC2" w:rsidP="00DE4AC2">
      <w:pPr>
        <w:rPr>
          <w:rFonts w:asciiTheme="minorHAnsi" w:hAnsiTheme="minorHAnsi"/>
        </w:rPr>
      </w:pPr>
      <w:r w:rsidRPr="00DE1553">
        <w:rPr>
          <w:rFonts w:asciiTheme="minorHAnsi" w:hAnsiTheme="minorHAnsi"/>
        </w:rPr>
        <w:t xml:space="preserve">Services </w:t>
      </w:r>
      <w:r w:rsidR="00C05109">
        <w:rPr>
          <w:rFonts w:asciiTheme="minorHAnsi" w:hAnsiTheme="minorHAnsi"/>
        </w:rPr>
        <w:t xml:space="preserve">having difficulty </w:t>
      </w:r>
      <w:r>
        <w:rPr>
          <w:rFonts w:asciiTheme="minorHAnsi" w:hAnsiTheme="minorHAnsi"/>
        </w:rPr>
        <w:t>meet</w:t>
      </w:r>
      <w:r w:rsidR="00C05109">
        <w:rPr>
          <w:rFonts w:asciiTheme="minorHAnsi" w:hAnsiTheme="minorHAnsi"/>
        </w:rPr>
        <w:t>ing</w:t>
      </w:r>
      <w:r>
        <w:rPr>
          <w:rFonts w:asciiTheme="minorHAnsi" w:hAnsiTheme="minorHAnsi"/>
        </w:rPr>
        <w:t xml:space="preserve"> ratio requirements</w:t>
      </w:r>
      <w:r w:rsidR="00C05109" w:rsidRPr="00C05109">
        <w:rPr>
          <w:rFonts w:asciiTheme="minorHAnsi" w:hAnsiTheme="minorHAnsi"/>
        </w:rPr>
        <w:t xml:space="preserve"> </w:t>
      </w:r>
      <w:r w:rsidR="00C05109">
        <w:rPr>
          <w:rFonts w:asciiTheme="minorHAnsi" w:hAnsiTheme="minorHAnsi"/>
        </w:rPr>
        <w:t xml:space="preserve">due to extenuating circumstances </w:t>
      </w:r>
      <w:r w:rsidR="00C05109" w:rsidRPr="00DE1553">
        <w:rPr>
          <w:rFonts w:asciiTheme="minorHAnsi" w:hAnsiTheme="minorHAnsi"/>
        </w:rPr>
        <w:t>can apply for a temporary waiver from the educator to child ratios</w:t>
      </w:r>
      <w:r w:rsidRPr="00DE1553">
        <w:rPr>
          <w:rFonts w:asciiTheme="minorHAnsi" w:hAnsiTheme="minorHAnsi"/>
        </w:rPr>
        <w:t>. If you</w:t>
      </w:r>
      <w:r w:rsidR="00C05109">
        <w:rPr>
          <w:rFonts w:asciiTheme="minorHAnsi" w:hAnsiTheme="minorHAnsi"/>
        </w:rPr>
        <w:t xml:space="preserve"> have a </w:t>
      </w:r>
      <w:r w:rsidRPr="00DE1553">
        <w:rPr>
          <w:rFonts w:asciiTheme="minorHAnsi" w:hAnsiTheme="minorHAnsi"/>
        </w:rPr>
        <w:t>r</w:t>
      </w:r>
      <w:r w:rsidR="00C05109">
        <w:rPr>
          <w:rFonts w:asciiTheme="minorHAnsi" w:hAnsiTheme="minorHAnsi"/>
        </w:rPr>
        <w:t xml:space="preserve">atio waiver in place and </w:t>
      </w:r>
      <w:r w:rsidRPr="00DE1553">
        <w:rPr>
          <w:rFonts w:asciiTheme="minorHAnsi" w:hAnsiTheme="minorHAnsi"/>
        </w:rPr>
        <w:t xml:space="preserve">you </w:t>
      </w:r>
      <w:r w:rsidR="00C05109">
        <w:rPr>
          <w:rFonts w:asciiTheme="minorHAnsi" w:hAnsiTheme="minorHAnsi"/>
        </w:rPr>
        <w:t xml:space="preserve">are </w:t>
      </w:r>
      <w:r w:rsidRPr="00DE1553">
        <w:rPr>
          <w:rFonts w:asciiTheme="minorHAnsi" w:hAnsiTheme="minorHAnsi"/>
        </w:rPr>
        <w:t xml:space="preserve">now </w:t>
      </w:r>
      <w:r w:rsidR="00C05109">
        <w:rPr>
          <w:rFonts w:asciiTheme="minorHAnsi" w:hAnsiTheme="minorHAnsi"/>
        </w:rPr>
        <w:t xml:space="preserve">able </w:t>
      </w:r>
      <w:r w:rsidRPr="00DE1553">
        <w:rPr>
          <w:rFonts w:asciiTheme="minorHAnsi" w:hAnsiTheme="minorHAnsi"/>
        </w:rPr>
        <w:t xml:space="preserve">meet educator to child ratios, </w:t>
      </w:r>
      <w:r w:rsidR="00C05109">
        <w:rPr>
          <w:rFonts w:asciiTheme="minorHAnsi" w:hAnsiTheme="minorHAnsi"/>
        </w:rPr>
        <w:t xml:space="preserve">please </w:t>
      </w:r>
      <w:r w:rsidRPr="00DE1553">
        <w:rPr>
          <w:rFonts w:asciiTheme="minorHAnsi" w:hAnsiTheme="minorHAnsi"/>
        </w:rPr>
        <w:t>advise the Department to remove the temporary wai</w:t>
      </w:r>
      <w:r>
        <w:rPr>
          <w:rFonts w:asciiTheme="minorHAnsi" w:hAnsiTheme="minorHAnsi"/>
        </w:rPr>
        <w:t>ver from your service approval.</w:t>
      </w:r>
    </w:p>
    <w:p w:rsidR="00DE4AC2" w:rsidRPr="00DE1553" w:rsidRDefault="00DE4AC2" w:rsidP="00DE4AC2">
      <w:pPr>
        <w:rPr>
          <w:rFonts w:asciiTheme="minorHAnsi" w:hAnsiTheme="minorHAnsi"/>
        </w:rPr>
      </w:pPr>
    </w:p>
    <w:p w:rsidR="00DE4AC2" w:rsidRPr="00DE1553" w:rsidRDefault="00DE4AC2" w:rsidP="00DE4AC2">
      <w:pPr>
        <w:rPr>
          <w:rFonts w:asciiTheme="minorHAnsi" w:hAnsiTheme="minorHAnsi"/>
        </w:rPr>
      </w:pPr>
      <w:r w:rsidRPr="00373912">
        <w:rPr>
          <w:rFonts w:asciiTheme="minorHAnsi" w:hAnsiTheme="minorHAnsi"/>
        </w:rPr>
        <w:t>Facts sheets</w:t>
      </w:r>
      <w:r w:rsidR="00141B32" w:rsidRPr="00373912">
        <w:rPr>
          <w:rFonts w:asciiTheme="minorHAnsi" w:hAnsiTheme="minorHAnsi"/>
        </w:rPr>
        <w:t xml:space="preserve">, </w:t>
      </w:r>
      <w:r w:rsidRPr="00373912">
        <w:rPr>
          <w:rFonts w:asciiTheme="minorHAnsi" w:hAnsiTheme="minorHAnsi"/>
        </w:rPr>
        <w:t xml:space="preserve">about </w:t>
      </w:r>
      <w:r w:rsidRPr="00373912">
        <w:rPr>
          <w:rFonts w:asciiTheme="minorHAnsi" w:hAnsiTheme="minorHAnsi"/>
          <w:iCs/>
        </w:rPr>
        <w:t xml:space="preserve">educator to child ratios for centre-based services and funded kindergarten are available </w:t>
      </w:r>
      <w:r w:rsidR="00141B32" w:rsidRPr="00373912">
        <w:rPr>
          <w:rFonts w:asciiTheme="minorHAnsi" w:hAnsiTheme="minorHAnsi"/>
          <w:iCs/>
        </w:rPr>
        <w:t xml:space="preserve">at: </w:t>
      </w:r>
      <w:r w:rsidRPr="00373912">
        <w:rPr>
          <w:rFonts w:asciiTheme="minorHAnsi" w:hAnsiTheme="minorHAnsi"/>
        </w:rPr>
        <w:t> </w:t>
      </w:r>
      <w:hyperlink r:id="rId13" w:history="1">
        <w:r w:rsidRPr="00373912">
          <w:rPr>
            <w:rStyle w:val="Hyperlink"/>
            <w:rFonts w:asciiTheme="minorHAnsi" w:hAnsiTheme="minorHAnsi" w:cs="Arial"/>
          </w:rPr>
          <w:t>www.education.vic.gov.au/childhood/providers/regulation/Pages/nqffactsheets.aspx</w:t>
        </w:r>
      </w:hyperlink>
      <w:r w:rsidRPr="00373912">
        <w:rPr>
          <w:rFonts w:asciiTheme="minorHAnsi" w:hAnsiTheme="minorHAnsi"/>
          <w:color w:val="1F497D"/>
        </w:rPr>
        <w:t>.</w:t>
      </w:r>
    </w:p>
    <w:p w:rsidR="00295766" w:rsidRDefault="00295766" w:rsidP="00C05109">
      <w:pPr>
        <w:pStyle w:val="BodyText"/>
        <w:spacing w:before="0"/>
        <w:ind w:left="0" w:right="1140" w:firstLine="0"/>
        <w:rPr>
          <w:rFonts w:asciiTheme="minorHAnsi" w:hAnsiTheme="minorHAnsi" w:cs="Arial"/>
          <w:b/>
          <w:sz w:val="24"/>
          <w:szCs w:val="24"/>
        </w:rPr>
      </w:pPr>
    </w:p>
    <w:p w:rsidR="00141B32" w:rsidRDefault="00141B32" w:rsidP="00C05109">
      <w:pPr>
        <w:pStyle w:val="BodyText"/>
        <w:spacing w:before="0"/>
        <w:ind w:left="0" w:right="1140" w:firstLine="0"/>
        <w:rPr>
          <w:rFonts w:asciiTheme="minorHAnsi" w:hAnsiTheme="minorHAnsi" w:cs="Arial"/>
          <w:b/>
          <w:sz w:val="24"/>
          <w:szCs w:val="24"/>
        </w:rPr>
      </w:pPr>
    </w:p>
    <w:p w:rsidR="00141B32" w:rsidRDefault="00141B32" w:rsidP="00C05109">
      <w:pPr>
        <w:pStyle w:val="BodyText"/>
        <w:spacing w:before="0"/>
        <w:ind w:left="0" w:right="1140" w:firstLine="0"/>
        <w:rPr>
          <w:rFonts w:asciiTheme="minorHAnsi" w:hAnsiTheme="minorHAnsi" w:cs="Arial"/>
          <w:b/>
          <w:sz w:val="24"/>
          <w:szCs w:val="24"/>
        </w:rPr>
      </w:pPr>
    </w:p>
    <w:p w:rsidR="00141B32" w:rsidRDefault="00141B32" w:rsidP="00C05109">
      <w:pPr>
        <w:pStyle w:val="BodyText"/>
        <w:spacing w:before="0"/>
        <w:ind w:left="0" w:right="1140" w:firstLine="0"/>
        <w:rPr>
          <w:rFonts w:asciiTheme="minorHAnsi" w:hAnsiTheme="minorHAnsi" w:cs="Arial"/>
          <w:b/>
          <w:sz w:val="24"/>
          <w:szCs w:val="24"/>
        </w:rPr>
      </w:pPr>
    </w:p>
    <w:p w:rsidR="00141B32" w:rsidRDefault="00141B32" w:rsidP="00C05109">
      <w:pPr>
        <w:pStyle w:val="BodyText"/>
        <w:spacing w:before="0"/>
        <w:ind w:left="0" w:right="1140" w:firstLine="0"/>
        <w:rPr>
          <w:rFonts w:asciiTheme="minorHAnsi" w:hAnsiTheme="minorHAnsi" w:cs="Arial"/>
          <w:b/>
          <w:sz w:val="24"/>
          <w:szCs w:val="24"/>
        </w:rPr>
      </w:pPr>
    </w:p>
    <w:p w:rsidR="00C05109" w:rsidRDefault="00DE4AC2" w:rsidP="00C05109">
      <w:pPr>
        <w:pStyle w:val="BodyText"/>
        <w:spacing w:before="0"/>
        <w:ind w:left="0" w:right="1140" w:firstLine="0"/>
        <w:rPr>
          <w:rFonts w:asciiTheme="minorHAnsi" w:hAnsiTheme="minorHAnsi" w:cs="Arial"/>
          <w:b/>
          <w:sz w:val="24"/>
          <w:szCs w:val="24"/>
        </w:rPr>
      </w:pPr>
      <w:r w:rsidRPr="00373912">
        <w:rPr>
          <w:rFonts w:asciiTheme="minorHAnsi" w:hAnsiTheme="minorHAnsi" w:cs="Arial"/>
          <w:b/>
          <w:sz w:val="24"/>
          <w:szCs w:val="24"/>
        </w:rPr>
        <w:t xml:space="preserve">Staff </w:t>
      </w:r>
      <w:proofErr w:type="spellStart"/>
      <w:r w:rsidRPr="00373912">
        <w:rPr>
          <w:rFonts w:asciiTheme="minorHAnsi" w:hAnsiTheme="minorHAnsi" w:cs="Arial"/>
          <w:b/>
          <w:sz w:val="24"/>
          <w:szCs w:val="24"/>
        </w:rPr>
        <w:t>Immunisation</w:t>
      </w:r>
      <w:proofErr w:type="spellEnd"/>
      <w:r w:rsidRPr="00DE1553">
        <w:rPr>
          <w:rFonts w:asciiTheme="minorHAnsi" w:hAnsiTheme="minorHAnsi" w:cs="Arial"/>
          <w:b/>
          <w:sz w:val="24"/>
          <w:szCs w:val="24"/>
        </w:rPr>
        <w:t xml:space="preserve"> </w:t>
      </w:r>
    </w:p>
    <w:p w:rsidR="00C05109" w:rsidRPr="00C05109" w:rsidRDefault="00C05109" w:rsidP="00C05109">
      <w:pPr>
        <w:pStyle w:val="BodyText"/>
        <w:spacing w:before="0"/>
        <w:ind w:left="0" w:right="1140" w:firstLine="0"/>
        <w:rPr>
          <w:rFonts w:asciiTheme="minorHAnsi" w:hAnsiTheme="minorHAnsi" w:cs="Arial"/>
          <w:b/>
          <w:sz w:val="24"/>
          <w:szCs w:val="24"/>
        </w:rPr>
      </w:pPr>
    </w:p>
    <w:p w:rsidR="00DE4AC2" w:rsidRPr="00DE1553" w:rsidRDefault="00DE4AC2" w:rsidP="00C05109">
      <w:pPr>
        <w:rPr>
          <w:rFonts w:asciiTheme="minorHAnsi" w:hAnsiTheme="minorHAnsi"/>
        </w:rPr>
      </w:pPr>
      <w:r w:rsidRPr="00DE1553">
        <w:rPr>
          <w:rFonts w:asciiTheme="minorHAnsi" w:hAnsiTheme="minorHAnsi"/>
        </w:rPr>
        <w:t xml:space="preserve">The National Law </w:t>
      </w:r>
      <w:r w:rsidR="00141B32">
        <w:rPr>
          <w:rFonts w:asciiTheme="minorHAnsi" w:hAnsiTheme="minorHAnsi"/>
        </w:rPr>
        <w:t xml:space="preserve">and Children’s Services Act </w:t>
      </w:r>
      <w:r w:rsidR="00373912">
        <w:rPr>
          <w:rFonts w:asciiTheme="minorHAnsi" w:hAnsiTheme="minorHAnsi"/>
        </w:rPr>
        <w:t>do</w:t>
      </w:r>
      <w:r w:rsidRPr="00DE1553">
        <w:rPr>
          <w:rFonts w:asciiTheme="minorHAnsi" w:hAnsiTheme="minorHAnsi"/>
        </w:rPr>
        <w:t xml:space="preserve"> not require staff working at education and care services</w:t>
      </w:r>
      <w:r>
        <w:rPr>
          <w:rFonts w:asciiTheme="minorHAnsi" w:hAnsiTheme="minorHAnsi"/>
        </w:rPr>
        <w:t xml:space="preserve"> </w:t>
      </w:r>
      <w:r w:rsidRPr="00DE1553">
        <w:rPr>
          <w:rFonts w:asciiTheme="minorHAnsi" w:hAnsiTheme="minorHAnsi"/>
          <w:spacing w:val="-39"/>
        </w:rPr>
        <w:t xml:space="preserve"> </w:t>
      </w:r>
      <w:r>
        <w:rPr>
          <w:rFonts w:asciiTheme="minorHAnsi" w:hAnsiTheme="minorHAnsi"/>
          <w:spacing w:val="-39"/>
        </w:rPr>
        <w:t xml:space="preserve">  </w:t>
      </w:r>
      <w:r w:rsidRPr="00DE1553">
        <w:rPr>
          <w:rFonts w:asciiTheme="minorHAnsi" w:hAnsiTheme="minorHAnsi"/>
        </w:rPr>
        <w:t xml:space="preserve">to be immunised. </w:t>
      </w:r>
      <w:r w:rsidR="00C05109" w:rsidRPr="00DE1553">
        <w:rPr>
          <w:rFonts w:asciiTheme="minorHAnsi" w:hAnsiTheme="minorHAnsi"/>
          <w:spacing w:val="-4"/>
        </w:rPr>
        <w:t>However,</w:t>
      </w:r>
      <w:r w:rsidRPr="00DE1553">
        <w:rPr>
          <w:rFonts w:asciiTheme="minorHAnsi" w:hAnsiTheme="minorHAnsi"/>
        </w:rPr>
        <w:t xml:space="preserve"> the Education and Care</w:t>
      </w:r>
      <w:r w:rsidRPr="00DE1553">
        <w:rPr>
          <w:rFonts w:asciiTheme="minorHAnsi" w:hAnsiTheme="minorHAnsi"/>
          <w:spacing w:val="-10"/>
        </w:rPr>
        <w:t xml:space="preserve"> </w:t>
      </w:r>
      <w:r w:rsidRPr="00DE1553">
        <w:rPr>
          <w:rFonts w:asciiTheme="minorHAnsi" w:hAnsiTheme="minorHAnsi"/>
        </w:rPr>
        <w:t xml:space="preserve">Services National Regulations 2011 </w:t>
      </w:r>
      <w:r w:rsidR="00295766">
        <w:rPr>
          <w:rFonts w:asciiTheme="minorHAnsi" w:hAnsiTheme="minorHAnsi"/>
        </w:rPr>
        <w:t>(National Regulations</w:t>
      </w:r>
      <w:proofErr w:type="gramStart"/>
      <w:r w:rsidR="00295766">
        <w:rPr>
          <w:rFonts w:asciiTheme="minorHAnsi" w:hAnsiTheme="minorHAnsi"/>
        </w:rPr>
        <w:t>)</w:t>
      </w:r>
      <w:r w:rsidRPr="00DE1553">
        <w:rPr>
          <w:rFonts w:asciiTheme="minorHAnsi" w:hAnsiTheme="minorHAnsi"/>
        </w:rPr>
        <w:t>(</w:t>
      </w:r>
      <w:proofErr w:type="gramEnd"/>
      <w:r w:rsidRPr="00DE1553">
        <w:rPr>
          <w:rFonts w:asciiTheme="minorHAnsi" w:hAnsiTheme="minorHAnsi"/>
        </w:rPr>
        <w:t xml:space="preserve">regulation 88) does prescribe </w:t>
      </w:r>
      <w:r w:rsidR="00141B32">
        <w:rPr>
          <w:rFonts w:asciiTheme="minorHAnsi" w:hAnsiTheme="minorHAnsi"/>
        </w:rPr>
        <w:t xml:space="preserve">that services </w:t>
      </w:r>
      <w:r w:rsidRPr="00DE1553">
        <w:rPr>
          <w:rFonts w:asciiTheme="minorHAnsi" w:hAnsiTheme="minorHAnsi"/>
        </w:rPr>
        <w:t>take reasonable precautions to prevent the spread of infectious</w:t>
      </w:r>
      <w:r w:rsidRPr="00DE1553">
        <w:rPr>
          <w:rFonts w:asciiTheme="minorHAnsi" w:hAnsiTheme="minorHAnsi"/>
          <w:spacing w:val="-28"/>
        </w:rPr>
        <w:t xml:space="preserve"> </w:t>
      </w:r>
      <w:r w:rsidRPr="00DE1553">
        <w:rPr>
          <w:rFonts w:asciiTheme="minorHAnsi" w:hAnsiTheme="minorHAnsi"/>
        </w:rPr>
        <w:t>diseases.</w:t>
      </w:r>
    </w:p>
    <w:p w:rsidR="00DE4AC2" w:rsidRDefault="00DE4AC2" w:rsidP="00C05109">
      <w:pPr>
        <w:rPr>
          <w:rFonts w:asciiTheme="minorHAnsi" w:hAnsiTheme="minorHAnsi"/>
        </w:rPr>
      </w:pPr>
    </w:p>
    <w:p w:rsidR="00DE4AC2" w:rsidRPr="00DE1553" w:rsidRDefault="00DE4AC2" w:rsidP="00C05109">
      <w:pPr>
        <w:rPr>
          <w:rFonts w:asciiTheme="minorHAnsi" w:hAnsiTheme="minorHAnsi"/>
        </w:rPr>
      </w:pPr>
      <w:r w:rsidRPr="00DE1553">
        <w:rPr>
          <w:rFonts w:asciiTheme="minorHAnsi" w:hAnsiTheme="minorHAnsi"/>
        </w:rPr>
        <w:t xml:space="preserve">Staff </w:t>
      </w:r>
      <w:r w:rsidR="00C05109">
        <w:rPr>
          <w:rFonts w:asciiTheme="minorHAnsi" w:hAnsiTheme="minorHAnsi"/>
        </w:rPr>
        <w:t>working in</w:t>
      </w:r>
      <w:r w:rsidRPr="00DE1553">
        <w:rPr>
          <w:rFonts w:asciiTheme="minorHAnsi" w:hAnsiTheme="minorHAnsi"/>
        </w:rPr>
        <w:t xml:space="preserve"> education and care services are at an increased risk of catching and passing on infectious diseases. </w:t>
      </w:r>
      <w:r w:rsidR="006A0B0E" w:rsidRPr="00DE1553">
        <w:rPr>
          <w:rFonts w:asciiTheme="minorHAnsi" w:hAnsiTheme="minorHAnsi"/>
        </w:rPr>
        <w:t xml:space="preserve">Infections are common in early childhood settings and </w:t>
      </w:r>
      <w:r w:rsidR="006A0B0E">
        <w:rPr>
          <w:rFonts w:asciiTheme="minorHAnsi" w:hAnsiTheme="minorHAnsi"/>
        </w:rPr>
        <w:t xml:space="preserve">extended contact with </w:t>
      </w:r>
      <w:r w:rsidR="006A0B0E" w:rsidRPr="00DE1553">
        <w:rPr>
          <w:rFonts w:asciiTheme="minorHAnsi" w:hAnsiTheme="minorHAnsi"/>
        </w:rPr>
        <w:t>large number</w:t>
      </w:r>
      <w:r w:rsidR="006A0B0E">
        <w:rPr>
          <w:rFonts w:asciiTheme="minorHAnsi" w:hAnsiTheme="minorHAnsi"/>
        </w:rPr>
        <w:t>s</w:t>
      </w:r>
      <w:r w:rsidR="006A0B0E" w:rsidRPr="00DE1553">
        <w:rPr>
          <w:rFonts w:asciiTheme="minorHAnsi" w:hAnsiTheme="minorHAnsi"/>
        </w:rPr>
        <w:t xml:space="preserve"> of children provides an opportunity for infectious diseases to</w:t>
      </w:r>
      <w:r w:rsidR="006A0B0E">
        <w:rPr>
          <w:rFonts w:asciiTheme="minorHAnsi" w:hAnsiTheme="minorHAnsi"/>
        </w:rPr>
        <w:t xml:space="preserve"> spread.</w:t>
      </w:r>
    </w:p>
    <w:p w:rsidR="00DE4AC2" w:rsidRDefault="00DE4AC2" w:rsidP="00C05109">
      <w:pPr>
        <w:rPr>
          <w:rFonts w:asciiTheme="minorHAnsi" w:hAnsiTheme="minorHAnsi"/>
        </w:rPr>
      </w:pPr>
    </w:p>
    <w:p w:rsidR="00DE4AC2" w:rsidRPr="00DE1553" w:rsidRDefault="00DE4AC2" w:rsidP="00C05109">
      <w:pPr>
        <w:rPr>
          <w:rFonts w:asciiTheme="minorHAnsi" w:hAnsiTheme="minorHAnsi"/>
        </w:rPr>
      </w:pPr>
      <w:r w:rsidRPr="00DE1553">
        <w:rPr>
          <w:rFonts w:asciiTheme="minorHAnsi" w:hAnsiTheme="minorHAnsi"/>
        </w:rPr>
        <w:t xml:space="preserve">The Department of Health and Human Services (DHHS) provides best practice advice based on </w:t>
      </w:r>
      <w:r w:rsidRPr="00DE1553">
        <w:rPr>
          <w:rFonts w:asciiTheme="minorHAnsi" w:hAnsiTheme="minorHAnsi"/>
          <w:i/>
        </w:rPr>
        <w:t>The Australian Immunisation Handbook</w:t>
      </w:r>
      <w:r w:rsidRPr="00DE1553">
        <w:rPr>
          <w:rFonts w:asciiTheme="minorHAnsi" w:hAnsiTheme="minorHAnsi"/>
        </w:rPr>
        <w:t xml:space="preserve"> regarding immunisation of staff who work with young children. This advice recommends the following vaccinations that services may consider</w:t>
      </w:r>
      <w:r>
        <w:rPr>
          <w:rFonts w:asciiTheme="minorHAnsi" w:hAnsiTheme="minorHAnsi"/>
        </w:rPr>
        <w:t xml:space="preserve"> for staff members</w:t>
      </w:r>
      <w:r w:rsidRPr="00DE1553">
        <w:rPr>
          <w:rFonts w:asciiTheme="minorHAnsi" w:hAnsiTheme="minorHAnsi"/>
        </w:rPr>
        <w:t xml:space="preserve">: </w:t>
      </w:r>
    </w:p>
    <w:p w:rsidR="00DE4AC2" w:rsidRPr="00DE1553" w:rsidRDefault="00DE4AC2" w:rsidP="00C05109">
      <w:pPr>
        <w:rPr>
          <w:rFonts w:asciiTheme="minorHAnsi" w:hAnsiTheme="minorHAnsi"/>
        </w:rPr>
      </w:pPr>
    </w:p>
    <w:p w:rsidR="00DE4AC2" w:rsidRPr="00DE1553" w:rsidRDefault="00DE4AC2" w:rsidP="00C05109">
      <w:pPr>
        <w:pStyle w:val="ListParagraph"/>
        <w:numPr>
          <w:ilvl w:val="0"/>
          <w:numId w:val="7"/>
        </w:numPr>
        <w:rPr>
          <w:rFonts w:eastAsia="Arial"/>
        </w:rPr>
      </w:pPr>
      <w:r w:rsidRPr="00DE1553">
        <w:t>Whooping cough (pertussis)</w:t>
      </w:r>
    </w:p>
    <w:p w:rsidR="00DE4AC2" w:rsidRPr="00DE1553" w:rsidRDefault="00DE4AC2" w:rsidP="00C05109">
      <w:pPr>
        <w:pStyle w:val="ListParagraph"/>
        <w:numPr>
          <w:ilvl w:val="0"/>
          <w:numId w:val="7"/>
        </w:numPr>
        <w:rPr>
          <w:rFonts w:eastAsia="Arial"/>
        </w:rPr>
      </w:pPr>
      <w:r w:rsidRPr="00DE1553">
        <w:t>Measles, mumps, rubella (MMR)</w:t>
      </w:r>
    </w:p>
    <w:p w:rsidR="00DE4AC2" w:rsidRPr="00DE1553" w:rsidRDefault="00DE4AC2" w:rsidP="00C05109">
      <w:pPr>
        <w:pStyle w:val="ListParagraph"/>
        <w:numPr>
          <w:ilvl w:val="0"/>
          <w:numId w:val="7"/>
        </w:numPr>
        <w:rPr>
          <w:rFonts w:eastAsia="Arial"/>
        </w:rPr>
      </w:pPr>
      <w:r w:rsidRPr="00DE1553">
        <w:t>Chickenpox (varicella)</w:t>
      </w:r>
      <w:r w:rsidRPr="00DE1553">
        <w:rPr>
          <w:spacing w:val="-10"/>
        </w:rPr>
        <w:t xml:space="preserve"> </w:t>
      </w:r>
    </w:p>
    <w:p w:rsidR="00DE4AC2" w:rsidRPr="00DE1553" w:rsidRDefault="00DE4AC2" w:rsidP="00C05109">
      <w:pPr>
        <w:pStyle w:val="ListParagraph"/>
        <w:numPr>
          <w:ilvl w:val="0"/>
          <w:numId w:val="7"/>
        </w:numPr>
        <w:rPr>
          <w:rFonts w:eastAsia="Arial"/>
        </w:rPr>
      </w:pPr>
      <w:r w:rsidRPr="00DE1553">
        <w:t xml:space="preserve">Hepatitis A &amp; Hepatitis </w:t>
      </w:r>
      <w:r w:rsidR="00C05109">
        <w:t>B</w:t>
      </w:r>
    </w:p>
    <w:p w:rsidR="00DE4AC2" w:rsidRPr="00DE1553" w:rsidRDefault="00DE4AC2" w:rsidP="00C05109">
      <w:pPr>
        <w:pStyle w:val="ListParagraph"/>
        <w:numPr>
          <w:ilvl w:val="0"/>
          <w:numId w:val="7"/>
        </w:numPr>
        <w:rPr>
          <w:rFonts w:eastAsia="Arial"/>
        </w:rPr>
      </w:pPr>
      <w:r w:rsidRPr="00DE1553">
        <w:t>Seasonal Influenza</w:t>
      </w:r>
      <w:r w:rsidR="00141B32">
        <w:t>.</w:t>
      </w:r>
    </w:p>
    <w:p w:rsidR="00DE4AC2" w:rsidRDefault="00DE4AC2" w:rsidP="00C05109">
      <w:pPr>
        <w:rPr>
          <w:rFonts w:eastAsia="Arial"/>
        </w:rPr>
      </w:pPr>
    </w:p>
    <w:p w:rsidR="00DE4AC2" w:rsidRDefault="00DE4AC2" w:rsidP="00C05109">
      <w:pPr>
        <w:rPr>
          <w:rFonts w:eastAsia="Arial"/>
        </w:rPr>
      </w:pPr>
      <w:r>
        <w:rPr>
          <w:rFonts w:eastAsia="Arial"/>
        </w:rPr>
        <w:t xml:space="preserve">A copy of the immunisation handbook is available </w:t>
      </w:r>
      <w:r w:rsidR="006A0B0E">
        <w:rPr>
          <w:rFonts w:eastAsia="Arial"/>
        </w:rPr>
        <w:t>at</w:t>
      </w:r>
      <w:r>
        <w:rPr>
          <w:rFonts w:eastAsia="Arial"/>
        </w:rPr>
        <w:t xml:space="preserve"> </w:t>
      </w:r>
      <w:hyperlink r:id="rId14" w:history="1">
        <w:r w:rsidRPr="00C860F8">
          <w:rPr>
            <w:rStyle w:val="Hyperlink"/>
            <w:rFonts w:eastAsia="Arial"/>
          </w:rPr>
          <w:t>www.immunise.health.gov.au/internet/immunise/publishing.nsf/Content/Handbook10-home</w:t>
        </w:r>
      </w:hyperlink>
    </w:p>
    <w:p w:rsidR="00DE4AC2" w:rsidRPr="00336CD9" w:rsidRDefault="00DE4AC2" w:rsidP="00DE4AC2">
      <w:pPr>
        <w:rPr>
          <w:rFonts w:eastAsia="Arial"/>
        </w:rPr>
      </w:pPr>
    </w:p>
    <w:p w:rsidR="00DE4AC2" w:rsidRDefault="00DE4AC2" w:rsidP="00DE4AC2">
      <w:pPr>
        <w:rPr>
          <w:rFonts w:asciiTheme="minorHAnsi" w:hAnsiTheme="minorHAnsi"/>
        </w:rPr>
      </w:pPr>
      <w:r w:rsidRPr="00DE1553">
        <w:rPr>
          <w:rFonts w:asciiTheme="minorHAnsi" w:hAnsiTheme="minorHAnsi"/>
        </w:rPr>
        <w:t xml:space="preserve">Services may wish to consider developing or amending their policies and procedures to reflect how vaccination requirements for educators, staff, </w:t>
      </w:r>
      <w:r w:rsidR="006A0B0E" w:rsidRPr="00DE1553">
        <w:rPr>
          <w:rFonts w:asciiTheme="minorHAnsi" w:hAnsiTheme="minorHAnsi"/>
        </w:rPr>
        <w:t>students,</w:t>
      </w:r>
      <w:r w:rsidRPr="00DE1553">
        <w:rPr>
          <w:rFonts w:asciiTheme="minorHAnsi" w:hAnsiTheme="minorHAnsi"/>
        </w:rPr>
        <w:t xml:space="preserve"> and volunteers</w:t>
      </w:r>
      <w:r w:rsidRPr="00DE1553">
        <w:rPr>
          <w:rFonts w:asciiTheme="minorHAnsi" w:hAnsiTheme="minorHAnsi"/>
          <w:spacing w:val="-28"/>
        </w:rPr>
        <w:t xml:space="preserve"> </w:t>
      </w:r>
      <w:r w:rsidRPr="00DE1553">
        <w:rPr>
          <w:rFonts w:asciiTheme="minorHAnsi" w:hAnsiTheme="minorHAnsi"/>
        </w:rPr>
        <w:t xml:space="preserve">will be managed, including processes for vaccine refusal, medical </w:t>
      </w:r>
      <w:r w:rsidR="006A0B0E" w:rsidRPr="00DE1553">
        <w:rPr>
          <w:rFonts w:asciiTheme="minorHAnsi" w:hAnsiTheme="minorHAnsi"/>
        </w:rPr>
        <w:t>contraindication,</w:t>
      </w:r>
      <w:r w:rsidRPr="00DE1553">
        <w:rPr>
          <w:rFonts w:asciiTheme="minorHAnsi" w:hAnsiTheme="minorHAnsi"/>
        </w:rPr>
        <w:t xml:space="preserve"> and vaccine</w:t>
      </w:r>
      <w:r w:rsidRPr="00DE1553">
        <w:rPr>
          <w:rFonts w:asciiTheme="minorHAnsi" w:hAnsiTheme="minorHAnsi"/>
          <w:spacing w:val="-3"/>
        </w:rPr>
        <w:t xml:space="preserve"> </w:t>
      </w:r>
      <w:r w:rsidRPr="00DE1553">
        <w:rPr>
          <w:rFonts w:asciiTheme="minorHAnsi" w:hAnsiTheme="minorHAnsi"/>
        </w:rPr>
        <w:t>failure.</w:t>
      </w:r>
    </w:p>
    <w:p w:rsidR="00DE4AC2" w:rsidRDefault="00DE4AC2" w:rsidP="00DE4AC2">
      <w:pPr>
        <w:rPr>
          <w:rFonts w:asciiTheme="minorHAnsi" w:hAnsiTheme="minorHAnsi"/>
        </w:rPr>
      </w:pPr>
    </w:p>
    <w:p w:rsidR="00DE4AC2" w:rsidRDefault="00DE4AC2" w:rsidP="00DE4AC2">
      <w:pPr>
        <w:ind w:right="284"/>
      </w:pPr>
      <w:r w:rsidRPr="007B4F3B">
        <w:t xml:space="preserve">The National Health and Medical Research Council publication </w:t>
      </w:r>
      <w:r w:rsidRPr="007B4F3B">
        <w:rPr>
          <w:i/>
          <w:iCs/>
        </w:rPr>
        <w:t xml:space="preserve">Staying Healthy: Preventing infectious diseases in early childhood education and care services (2013) </w:t>
      </w:r>
      <w:r w:rsidRPr="00A053A0">
        <w:rPr>
          <w:iCs/>
        </w:rPr>
        <w:t>also provides</w:t>
      </w:r>
      <w:r w:rsidRPr="007B4F3B">
        <w:rPr>
          <w:i/>
          <w:iCs/>
        </w:rPr>
        <w:t xml:space="preserve"> </w:t>
      </w:r>
      <w:r w:rsidRPr="007B4F3B">
        <w:t>guidelines for the prevention of i</w:t>
      </w:r>
      <w:r>
        <w:t xml:space="preserve">llness from infectious diseases. </w:t>
      </w:r>
    </w:p>
    <w:p w:rsidR="00DE4AC2" w:rsidRDefault="00DE4AC2" w:rsidP="00DE4AC2">
      <w:pPr>
        <w:ind w:right="284"/>
      </w:pPr>
    </w:p>
    <w:p w:rsidR="00DE4AC2" w:rsidRDefault="00DE4AC2" w:rsidP="00DE4AC2">
      <w:pPr>
        <w:ind w:right="284"/>
        <w:rPr>
          <w:rFonts w:asciiTheme="minorHAnsi" w:hAnsiTheme="minorHAnsi" w:cs="Arial"/>
          <w:color w:val="231F20"/>
          <w:sz w:val="24"/>
          <w:szCs w:val="24"/>
        </w:rPr>
      </w:pPr>
      <w:r>
        <w:t>A copy of this publication by the Medical Research Council is available at:</w:t>
      </w:r>
      <w:r w:rsidRPr="00336CD9">
        <w:rPr>
          <w:rFonts w:asciiTheme="minorHAnsi" w:hAnsiTheme="minorHAnsi" w:cs="Arial"/>
          <w:color w:val="231F20"/>
          <w:sz w:val="24"/>
          <w:szCs w:val="24"/>
        </w:rPr>
        <w:t xml:space="preserve"> </w:t>
      </w:r>
      <w:hyperlink r:id="rId15" w:history="1">
        <w:r w:rsidRPr="00C860F8">
          <w:rPr>
            <w:rStyle w:val="Hyperlink"/>
            <w:rFonts w:asciiTheme="minorHAnsi" w:hAnsiTheme="minorHAnsi" w:cs="Arial"/>
            <w:sz w:val="24"/>
            <w:szCs w:val="24"/>
          </w:rPr>
          <w:t>www.immunise.health.gov.au/internet/immunise/publishing.nsf/Content/Handbook10-home</w:t>
        </w:r>
      </w:hyperlink>
    </w:p>
    <w:p w:rsidR="00492B21" w:rsidRPr="00DE1553" w:rsidRDefault="00492B21" w:rsidP="00974F08">
      <w:pPr>
        <w:rPr>
          <w:rFonts w:asciiTheme="minorHAnsi" w:hAnsiTheme="minorHAnsi" w:cs="Arial"/>
        </w:rPr>
      </w:pPr>
    </w:p>
    <w:p w:rsidR="00B95B66" w:rsidRPr="00373912" w:rsidRDefault="001A4BBC" w:rsidP="00974F08">
      <w:pPr>
        <w:rPr>
          <w:b/>
          <w:bCs/>
          <w:sz w:val="24"/>
          <w:szCs w:val="24"/>
        </w:rPr>
      </w:pPr>
      <w:r>
        <w:rPr>
          <w:b/>
          <w:bCs/>
          <w:sz w:val="24"/>
          <w:szCs w:val="24"/>
        </w:rPr>
        <w:t xml:space="preserve">Online </w:t>
      </w:r>
      <w:r w:rsidRPr="00373912">
        <w:rPr>
          <w:b/>
          <w:bCs/>
          <w:sz w:val="24"/>
          <w:szCs w:val="24"/>
        </w:rPr>
        <w:t>T</w:t>
      </w:r>
      <w:r w:rsidR="00B95B66" w:rsidRPr="00373912">
        <w:rPr>
          <w:b/>
          <w:bCs/>
          <w:sz w:val="24"/>
          <w:szCs w:val="24"/>
        </w:rPr>
        <w:t>raining for OSHC from Nutrition Australia</w:t>
      </w:r>
    </w:p>
    <w:p w:rsidR="00B95B66" w:rsidRDefault="00B95B66" w:rsidP="00974F08">
      <w:r w:rsidRPr="00373912">
        <w:rPr>
          <w:bCs/>
        </w:rPr>
        <w:t xml:space="preserve">The </w:t>
      </w:r>
      <w:r w:rsidR="001A4BBC" w:rsidRPr="00373912">
        <w:rPr>
          <w:bCs/>
          <w:i/>
        </w:rPr>
        <w:t>Healthy Eating in Outside School Hours C</w:t>
      </w:r>
      <w:r w:rsidRPr="00373912">
        <w:rPr>
          <w:bCs/>
          <w:i/>
        </w:rPr>
        <w:t>are</w:t>
      </w:r>
      <w:r w:rsidRPr="00373912">
        <w:t xml:space="preserve"> training</w:t>
      </w:r>
      <w:r>
        <w:t xml:space="preserve"> module has been created specifically to assist OSHC co-ordinators, educators and management to promote healthy eating for children attending the service.</w:t>
      </w:r>
    </w:p>
    <w:p w:rsidR="00B95B66" w:rsidRDefault="00B95B66" w:rsidP="00974F08">
      <w:r>
        <w:t>By completing these modules, staff will learn about the importance of good nutrition and will receive a certificate on completion of the training.</w:t>
      </w:r>
      <w:r w:rsidR="00A053A0">
        <w:t xml:space="preserve"> </w:t>
      </w:r>
      <w:r>
        <w:t xml:space="preserve">The module is available at: </w:t>
      </w:r>
      <w:hyperlink r:id="rId16" w:history="1">
        <w:r>
          <w:rPr>
            <w:rStyle w:val="Hyperlink"/>
          </w:rPr>
          <w:t>http://heas.health.vic.gov.au/training/training-options</w:t>
        </w:r>
      </w:hyperlink>
    </w:p>
    <w:p w:rsidR="0062611A" w:rsidRDefault="0062611A" w:rsidP="00974F08">
      <w:pPr>
        <w:ind w:right="284"/>
      </w:pPr>
    </w:p>
    <w:p w:rsidR="0062611A" w:rsidRPr="00711B84" w:rsidRDefault="001A4BBC" w:rsidP="00974F08">
      <w:pPr>
        <w:spacing w:line="252" w:lineRule="auto"/>
        <w:rPr>
          <w:b/>
          <w:bCs/>
          <w:sz w:val="24"/>
          <w:szCs w:val="24"/>
        </w:rPr>
      </w:pPr>
      <w:r>
        <w:rPr>
          <w:b/>
          <w:bCs/>
          <w:sz w:val="24"/>
          <w:szCs w:val="24"/>
        </w:rPr>
        <w:t xml:space="preserve">Perceptions of </w:t>
      </w:r>
      <w:r w:rsidRPr="00373912">
        <w:rPr>
          <w:b/>
          <w:bCs/>
          <w:sz w:val="24"/>
          <w:szCs w:val="24"/>
        </w:rPr>
        <w:t>P</w:t>
      </w:r>
      <w:r w:rsidR="0062611A" w:rsidRPr="00373912">
        <w:rPr>
          <w:b/>
          <w:bCs/>
          <w:sz w:val="24"/>
          <w:szCs w:val="24"/>
        </w:rPr>
        <w:t>arenting</w:t>
      </w:r>
    </w:p>
    <w:p w:rsidR="0062611A" w:rsidRDefault="0062611A" w:rsidP="00974F08">
      <w:r>
        <w:t xml:space="preserve">The Parenting Research Centre has released a report mapping the gaps between expert and public understandings of effective parenting in Australia.   </w:t>
      </w:r>
    </w:p>
    <w:p w:rsidR="0062611A" w:rsidRDefault="0062611A" w:rsidP="00974F08">
      <w:pPr>
        <w:autoSpaceDE w:val="0"/>
        <w:autoSpaceDN w:val="0"/>
      </w:pPr>
    </w:p>
    <w:p w:rsidR="0062611A" w:rsidRDefault="0062611A" w:rsidP="00974F08">
      <w:pPr>
        <w:autoSpaceDE w:val="0"/>
        <w:autoSpaceDN w:val="0"/>
      </w:pPr>
      <w:r>
        <w:t xml:space="preserve">The evidence says that parenting has the greatest impact on the long-term health and wellbeing of children. We also know that parenting is a skill learnt ‘on the job’. But much of the public discourse about parents and parenting features commentary, views and opinions built on the assumption that ‘parenting comes naturally’. This report is one example of divergence between what research says about parenting and what the public generally thinks about parenting. The Perceptions of Parenting report paints a picture of the shared understandings, assumptions and patterns of reasoning that Australians draw upon to think about parenting. </w:t>
      </w:r>
      <w:r>
        <w:rPr>
          <w:color w:val="1F497D"/>
        </w:rPr>
        <w:t>(Perceptions of Parenting, FrameWorks Institute, 2016)</w:t>
      </w:r>
    </w:p>
    <w:p w:rsidR="0062611A" w:rsidRDefault="0062611A" w:rsidP="00974F08">
      <w:pPr>
        <w:spacing w:line="252" w:lineRule="auto"/>
      </w:pPr>
    </w:p>
    <w:p w:rsidR="0062611A" w:rsidRDefault="0062611A" w:rsidP="00974F08">
      <w:pPr>
        <w:spacing w:line="252" w:lineRule="auto"/>
      </w:pPr>
      <w:r>
        <w:t xml:space="preserve">The report is available at </w:t>
      </w:r>
      <w:hyperlink r:id="rId17" w:history="1">
        <w:r>
          <w:rPr>
            <w:rStyle w:val="Hyperlink"/>
            <w:color w:val="0563C1"/>
          </w:rPr>
          <w:t>www.parentingrc.org.au/perceptions</w:t>
        </w:r>
      </w:hyperlink>
      <w:r>
        <w:t>.</w:t>
      </w:r>
    </w:p>
    <w:p w:rsidR="00295766" w:rsidRDefault="00295766" w:rsidP="00974F08">
      <w:pPr>
        <w:spacing w:line="252" w:lineRule="auto"/>
        <w:rPr>
          <w:b/>
        </w:rPr>
      </w:pPr>
    </w:p>
    <w:p w:rsidR="00492064" w:rsidRDefault="00492064" w:rsidP="00974F08">
      <w:pPr>
        <w:spacing w:line="252" w:lineRule="auto"/>
        <w:rPr>
          <w:b/>
        </w:rPr>
      </w:pPr>
      <w:r>
        <w:rPr>
          <w:b/>
        </w:rPr>
        <w:t xml:space="preserve">The Inclusion </w:t>
      </w:r>
      <w:r w:rsidR="00B63B8C">
        <w:rPr>
          <w:b/>
        </w:rPr>
        <w:t>and</w:t>
      </w:r>
      <w:r w:rsidR="004E2911">
        <w:rPr>
          <w:b/>
        </w:rPr>
        <w:t xml:space="preserve"> Professional Support </w:t>
      </w:r>
      <w:r w:rsidR="004E2911" w:rsidRPr="00373912">
        <w:rPr>
          <w:b/>
        </w:rPr>
        <w:t>P</w:t>
      </w:r>
      <w:r w:rsidR="00B63B8C" w:rsidRPr="00373912">
        <w:rPr>
          <w:b/>
        </w:rPr>
        <w:t>rogram</w:t>
      </w:r>
      <w:r w:rsidR="001A4BBC" w:rsidRPr="00373912">
        <w:rPr>
          <w:b/>
        </w:rPr>
        <w:t xml:space="preserve"> – update from Community Child Care</w:t>
      </w:r>
    </w:p>
    <w:p w:rsidR="00B63B8C" w:rsidRPr="004E2911" w:rsidRDefault="00B63B8C" w:rsidP="00974F08">
      <w:pPr>
        <w:spacing w:line="252" w:lineRule="auto"/>
      </w:pPr>
    </w:p>
    <w:p w:rsidR="004E2911" w:rsidRPr="004E2911" w:rsidRDefault="004E2911" w:rsidP="004E2911">
      <w:pPr>
        <w:pStyle w:val="Pa0"/>
        <w:rPr>
          <w:rStyle w:val="A4"/>
          <w:b w:val="0"/>
          <w:bCs w:val="0"/>
        </w:rPr>
      </w:pPr>
      <w:r w:rsidRPr="004E2911">
        <w:rPr>
          <w:rStyle w:val="A4"/>
          <w:b w:val="0"/>
        </w:rPr>
        <w:t>The Inclusion and Professional Support Program (IPSP), funded through the Australian Government ended in June 2016. The conclusion of this program has resulted in subsid</w:t>
      </w:r>
      <w:r>
        <w:rPr>
          <w:rStyle w:val="A4"/>
          <w:b w:val="0"/>
        </w:rPr>
        <w:t>ised professional development no</w:t>
      </w:r>
      <w:r w:rsidRPr="004E2911">
        <w:rPr>
          <w:rStyle w:val="A4"/>
          <w:b w:val="0"/>
        </w:rPr>
        <w:t xml:space="preserve"> longer being available for long day care, family day care and outside school hours care services.</w:t>
      </w:r>
    </w:p>
    <w:p w:rsidR="004E2911" w:rsidRPr="004E2911" w:rsidRDefault="004E2911" w:rsidP="004E2911">
      <w:pPr>
        <w:pStyle w:val="Pa0"/>
        <w:tabs>
          <w:tab w:val="left" w:pos="1890"/>
        </w:tabs>
        <w:rPr>
          <w:rStyle w:val="A4"/>
          <w:b w:val="0"/>
          <w:bCs w:val="0"/>
        </w:rPr>
      </w:pPr>
      <w:r w:rsidRPr="004E2911">
        <w:rPr>
          <w:rStyle w:val="A4"/>
          <w:b w:val="0"/>
          <w:bCs w:val="0"/>
        </w:rPr>
        <w:tab/>
      </w:r>
    </w:p>
    <w:p w:rsidR="004E2911" w:rsidRPr="004E2911" w:rsidRDefault="004E2911" w:rsidP="004E2911">
      <w:pPr>
        <w:pStyle w:val="Pa0"/>
        <w:rPr>
          <w:rStyle w:val="A4"/>
          <w:b w:val="0"/>
          <w:bCs w:val="0"/>
        </w:rPr>
      </w:pPr>
      <w:r w:rsidRPr="004E2911">
        <w:rPr>
          <w:rStyle w:val="A4"/>
          <w:b w:val="0"/>
        </w:rPr>
        <w:t>The new Inclusion Support Program (ISP), commenced on 1 July 2016 and includes an Inclusion Agency in each state and Territory, the Inclusion Development Fund and a National Inclusion Development Fund Manager.</w:t>
      </w:r>
    </w:p>
    <w:p w:rsidR="004E2911" w:rsidRPr="004E2911" w:rsidRDefault="004E2911" w:rsidP="004E2911"/>
    <w:p w:rsidR="004E2911" w:rsidRPr="004E2911" w:rsidRDefault="004E2911" w:rsidP="004E2911">
      <w:pPr>
        <w:rPr>
          <w:rStyle w:val="A4"/>
          <w:rFonts w:ascii="Arial" w:hAnsi="Arial" w:cs="Arial"/>
          <w:b w:val="0"/>
        </w:rPr>
      </w:pPr>
      <w:r w:rsidRPr="004E2911">
        <w:rPr>
          <w:rStyle w:val="A4"/>
          <w:rFonts w:ascii="Arial" w:hAnsi="Arial" w:cs="Arial"/>
          <w:b w:val="0"/>
        </w:rPr>
        <w:t>All C</w:t>
      </w:r>
      <w:r w:rsidR="0072432A">
        <w:rPr>
          <w:rStyle w:val="A4"/>
          <w:rFonts w:ascii="Arial" w:hAnsi="Arial" w:cs="Arial"/>
          <w:b w:val="0"/>
        </w:rPr>
        <w:t xml:space="preserve">hild Care Benefit </w:t>
      </w:r>
      <w:r w:rsidRPr="004E2911">
        <w:rPr>
          <w:rStyle w:val="A4"/>
          <w:rFonts w:ascii="Arial" w:hAnsi="Arial" w:cs="Arial"/>
          <w:b w:val="0"/>
        </w:rPr>
        <w:t>approved education and care services are eligible</w:t>
      </w:r>
      <w:r w:rsidR="0072432A">
        <w:rPr>
          <w:rStyle w:val="A4"/>
          <w:rFonts w:ascii="Arial" w:hAnsi="Arial" w:cs="Arial"/>
          <w:b w:val="0"/>
        </w:rPr>
        <w:t xml:space="preserve"> for support from this program</w:t>
      </w:r>
      <w:r w:rsidRPr="004E2911">
        <w:rPr>
          <w:rStyle w:val="A4"/>
          <w:rFonts w:ascii="Arial" w:hAnsi="Arial" w:cs="Arial"/>
          <w:b w:val="0"/>
        </w:rPr>
        <w:t xml:space="preserve"> including long day care, family day care, out</w:t>
      </w:r>
      <w:r>
        <w:rPr>
          <w:rStyle w:val="A4"/>
          <w:rFonts w:ascii="Arial" w:hAnsi="Arial" w:cs="Arial"/>
          <w:b w:val="0"/>
        </w:rPr>
        <w:t>s</w:t>
      </w:r>
      <w:r w:rsidR="005B71B8">
        <w:rPr>
          <w:rStyle w:val="A4"/>
          <w:rFonts w:ascii="Arial" w:hAnsi="Arial" w:cs="Arial"/>
          <w:b w:val="0"/>
        </w:rPr>
        <w:t xml:space="preserve">ide school </w:t>
      </w:r>
      <w:proofErr w:type="gramStart"/>
      <w:r w:rsidR="005B71B8">
        <w:rPr>
          <w:rStyle w:val="A4"/>
          <w:rFonts w:ascii="Arial" w:hAnsi="Arial" w:cs="Arial"/>
          <w:b w:val="0"/>
        </w:rPr>
        <w:t>hours</w:t>
      </w:r>
      <w:proofErr w:type="gramEnd"/>
      <w:r w:rsidR="005B71B8">
        <w:rPr>
          <w:rStyle w:val="A4"/>
          <w:rFonts w:ascii="Arial" w:hAnsi="Arial" w:cs="Arial"/>
          <w:b w:val="0"/>
        </w:rPr>
        <w:t xml:space="preserve"> care, mobile, </w:t>
      </w:r>
      <w:r w:rsidRPr="004E2911">
        <w:rPr>
          <w:rStyle w:val="A4"/>
          <w:rFonts w:ascii="Arial" w:hAnsi="Arial" w:cs="Arial"/>
          <w:b w:val="0"/>
        </w:rPr>
        <w:t xml:space="preserve">occasional care and Budget Based Funded services. </w:t>
      </w:r>
    </w:p>
    <w:p w:rsidR="004E2911" w:rsidRDefault="004E2911" w:rsidP="004E2911"/>
    <w:p w:rsidR="0072432A" w:rsidRDefault="004E2911" w:rsidP="004E2911">
      <w:r>
        <w:t xml:space="preserve">Community Child Care (CCC) is delighted to be the lead organisation for the Victorian Inclusion Agency (VIA).  The VIA is a consortium of Community Child Care, KU Children’s Services, and Yooralla. </w:t>
      </w:r>
    </w:p>
    <w:p w:rsidR="0072432A" w:rsidRDefault="0072432A" w:rsidP="004E2911"/>
    <w:p w:rsidR="004E2911" w:rsidRDefault="004E2911" w:rsidP="004E2911">
      <w:r>
        <w:t xml:space="preserve">VIA is confident that with the synergy created by the three organisations’ knowledge, experience and values, will enable the delivery of an innovative, responsive Inclusion Agency across Victoria. </w:t>
      </w:r>
    </w:p>
    <w:p w:rsidR="004E2911" w:rsidRDefault="004E2911" w:rsidP="004E2911">
      <w:pPr>
        <w:rPr>
          <w:b/>
        </w:rPr>
      </w:pPr>
    </w:p>
    <w:p w:rsidR="004E2911" w:rsidRDefault="004E2911" w:rsidP="004E2911">
      <w:pPr>
        <w:rPr>
          <w:b/>
        </w:rPr>
      </w:pPr>
      <w:r>
        <w:rPr>
          <w:b/>
        </w:rPr>
        <w:t>To find out more about how the Victorian Inclusion Agency can support you please:</w:t>
      </w:r>
    </w:p>
    <w:p w:rsidR="004E2911" w:rsidRDefault="004E2911" w:rsidP="004E2911">
      <w:r>
        <w:t>Call us on - 1800 177 01 or</w:t>
      </w:r>
    </w:p>
    <w:p w:rsidR="004E2911" w:rsidRDefault="004E2911" w:rsidP="004E2911">
      <w:r>
        <w:t xml:space="preserve">Email us at - </w:t>
      </w:r>
      <w:hyperlink r:id="rId18" w:history="1">
        <w:r>
          <w:rPr>
            <w:rStyle w:val="Hyperlink"/>
          </w:rPr>
          <w:t>via@ccc.org.au</w:t>
        </w:r>
      </w:hyperlink>
      <w:r>
        <w:t xml:space="preserve"> or</w:t>
      </w:r>
    </w:p>
    <w:p w:rsidR="004E2911" w:rsidRDefault="004E2911" w:rsidP="004E2911">
      <w:r>
        <w:t xml:space="preserve">Go to - </w:t>
      </w:r>
      <w:hyperlink r:id="rId19" w:history="1">
        <w:r>
          <w:rPr>
            <w:rStyle w:val="Hyperlink"/>
          </w:rPr>
          <w:t>www.viac.com.au</w:t>
        </w:r>
      </w:hyperlink>
      <w:r>
        <w:t xml:space="preserve">  or</w:t>
      </w:r>
    </w:p>
    <w:p w:rsidR="004E2911" w:rsidRDefault="004E2911" w:rsidP="004E2911">
      <w:r>
        <w:t xml:space="preserve">The Australian Government Department of Education website - </w:t>
      </w:r>
      <w:hyperlink r:id="rId20" w:history="1">
        <w:r>
          <w:rPr>
            <w:rStyle w:val="Hyperlink"/>
          </w:rPr>
          <w:t>www.education.gov.au/inclusion-support-programme</w:t>
        </w:r>
      </w:hyperlink>
    </w:p>
    <w:p w:rsidR="004E2911" w:rsidRDefault="004E2911" w:rsidP="00974F08">
      <w:pPr>
        <w:spacing w:line="252" w:lineRule="auto"/>
        <w:rPr>
          <w:b/>
        </w:rPr>
      </w:pPr>
    </w:p>
    <w:p w:rsidR="0072432A" w:rsidRDefault="004E2911" w:rsidP="00A053A0">
      <w:pPr>
        <w:pStyle w:val="BasicParagraph"/>
        <w:suppressAutoHyphens/>
        <w:spacing w:before="113" w:line="240" w:lineRule="auto"/>
        <w:ind w:right="113"/>
        <w:rPr>
          <w:rStyle w:val="Headingblack"/>
          <w:rFonts w:asciiTheme="minorHAnsi" w:hAnsiTheme="minorHAnsi"/>
          <w:sz w:val="24"/>
          <w:szCs w:val="24"/>
        </w:rPr>
      </w:pPr>
      <w:r w:rsidRPr="0072432A">
        <w:rPr>
          <w:rStyle w:val="Headingblack"/>
          <w:rFonts w:asciiTheme="minorHAnsi" w:hAnsiTheme="minorHAnsi"/>
          <w:sz w:val="24"/>
          <w:szCs w:val="24"/>
        </w:rPr>
        <w:t xml:space="preserve">VICSEG - </w:t>
      </w:r>
      <w:r w:rsidR="00A053A0" w:rsidRPr="0072432A">
        <w:rPr>
          <w:rStyle w:val="Headingblack"/>
          <w:rFonts w:asciiTheme="minorHAnsi" w:hAnsiTheme="minorHAnsi"/>
          <w:sz w:val="24"/>
          <w:szCs w:val="24"/>
        </w:rPr>
        <w:t xml:space="preserve">Cultural Competency </w:t>
      </w:r>
      <w:r w:rsidRPr="0072432A">
        <w:rPr>
          <w:rStyle w:val="Headingblack"/>
          <w:rFonts w:asciiTheme="minorHAnsi" w:hAnsiTheme="minorHAnsi"/>
          <w:sz w:val="24"/>
          <w:szCs w:val="24"/>
        </w:rPr>
        <w:t>Training</w:t>
      </w:r>
      <w:r w:rsidR="00A053A0" w:rsidRPr="0072432A">
        <w:rPr>
          <w:rStyle w:val="Headingblack"/>
          <w:rFonts w:asciiTheme="minorHAnsi" w:hAnsiTheme="minorHAnsi"/>
          <w:sz w:val="24"/>
          <w:szCs w:val="24"/>
        </w:rPr>
        <w:t xml:space="preserve"> </w:t>
      </w:r>
    </w:p>
    <w:p w:rsidR="0072432A" w:rsidRPr="0072432A" w:rsidRDefault="0072432A" w:rsidP="0072432A">
      <w:pPr>
        <w:pStyle w:val="BasicParagraph"/>
        <w:suppressAutoHyphens/>
        <w:spacing w:line="240" w:lineRule="auto"/>
        <w:ind w:right="113"/>
        <w:rPr>
          <w:rStyle w:val="Headingblack"/>
          <w:rFonts w:asciiTheme="minorHAnsi" w:hAnsiTheme="minorHAnsi"/>
          <w:sz w:val="24"/>
          <w:szCs w:val="24"/>
        </w:rPr>
      </w:pPr>
    </w:p>
    <w:p w:rsidR="00A053A0" w:rsidRPr="00DE1553" w:rsidRDefault="00A053A0" w:rsidP="00A053A0">
      <w:pPr>
        <w:rPr>
          <w:rFonts w:asciiTheme="minorHAnsi" w:hAnsiTheme="minorHAnsi"/>
        </w:rPr>
      </w:pPr>
      <w:r w:rsidRPr="0072432A">
        <w:rPr>
          <w:rFonts w:asciiTheme="minorHAnsi" w:hAnsiTheme="minorHAnsi"/>
        </w:rPr>
        <w:t xml:space="preserve">Develop </w:t>
      </w:r>
      <w:r w:rsidR="004E2911" w:rsidRPr="0072432A">
        <w:rPr>
          <w:rFonts w:asciiTheme="minorHAnsi" w:hAnsiTheme="minorHAnsi"/>
        </w:rPr>
        <w:t xml:space="preserve">an </w:t>
      </w:r>
      <w:r w:rsidRPr="0072432A">
        <w:rPr>
          <w:rFonts w:asciiTheme="minorHAnsi" w:hAnsiTheme="minorHAnsi"/>
        </w:rPr>
        <w:t>understanding of how culture influences perceptions of disability</w:t>
      </w:r>
      <w:r w:rsidR="006A0B0E" w:rsidRPr="0072432A">
        <w:rPr>
          <w:rFonts w:asciiTheme="minorHAnsi" w:hAnsiTheme="minorHAnsi"/>
        </w:rPr>
        <w:t xml:space="preserve">. </w:t>
      </w:r>
      <w:r w:rsidR="004E2911" w:rsidRPr="0072432A">
        <w:rPr>
          <w:rFonts w:asciiTheme="minorHAnsi" w:hAnsiTheme="minorHAnsi"/>
        </w:rPr>
        <w:t>This training is r</w:t>
      </w:r>
      <w:r w:rsidRPr="0072432A">
        <w:rPr>
          <w:rFonts w:asciiTheme="minorHAnsi" w:hAnsiTheme="minorHAnsi"/>
        </w:rPr>
        <w:t xml:space="preserve">un by experienced facilitators from the education, </w:t>
      </w:r>
      <w:r w:rsidR="006A0B0E" w:rsidRPr="0072432A">
        <w:rPr>
          <w:rFonts w:asciiTheme="minorHAnsi" w:hAnsiTheme="minorHAnsi"/>
        </w:rPr>
        <w:t>disability,</w:t>
      </w:r>
      <w:r w:rsidRPr="0072432A">
        <w:rPr>
          <w:rFonts w:asciiTheme="minorHAnsi" w:hAnsiTheme="minorHAnsi"/>
        </w:rPr>
        <w:t xml:space="preserve"> and multicultural fields</w:t>
      </w:r>
      <w:r w:rsidR="006A0B0E" w:rsidRPr="0072432A">
        <w:rPr>
          <w:rFonts w:asciiTheme="minorHAnsi" w:hAnsiTheme="minorHAnsi"/>
        </w:rPr>
        <w:t xml:space="preserve">. </w:t>
      </w:r>
      <w:r w:rsidR="004E2911" w:rsidRPr="0072432A">
        <w:rPr>
          <w:rFonts w:asciiTheme="minorHAnsi" w:hAnsiTheme="minorHAnsi"/>
        </w:rPr>
        <w:t>It is r</w:t>
      </w:r>
      <w:r w:rsidRPr="0072432A">
        <w:rPr>
          <w:rFonts w:asciiTheme="minorHAnsi" w:hAnsiTheme="minorHAnsi"/>
        </w:rPr>
        <w:t>elevant to schools and service providers of organisations preparing for NDIS</w:t>
      </w:r>
      <w:r w:rsidR="004E2911" w:rsidRPr="0072432A">
        <w:rPr>
          <w:rFonts w:asciiTheme="minorHAnsi" w:hAnsiTheme="minorHAnsi"/>
        </w:rPr>
        <w:t xml:space="preserve">. </w:t>
      </w:r>
      <w:r w:rsidRPr="0072432A">
        <w:rPr>
          <w:rFonts w:asciiTheme="minorHAnsi" w:hAnsiTheme="minorHAnsi"/>
        </w:rPr>
        <w:t xml:space="preserve"> Bookings can be made through VicSeg’s website: </w:t>
      </w:r>
      <w:hyperlink r:id="rId21" w:history="1">
        <w:r w:rsidRPr="0072432A">
          <w:rPr>
            <w:rStyle w:val="Hyperlink"/>
            <w:rFonts w:asciiTheme="minorHAnsi" w:hAnsiTheme="minorHAnsi"/>
          </w:rPr>
          <w:t>agecs.org.au/vicseg-cultural-competency-training/</w:t>
        </w:r>
      </w:hyperlink>
      <w:r w:rsidRPr="00DE1553">
        <w:rPr>
          <w:rFonts w:asciiTheme="minorHAnsi" w:hAnsiTheme="minorHAnsi"/>
        </w:rPr>
        <w:tab/>
      </w:r>
    </w:p>
    <w:p w:rsidR="00A053A0" w:rsidRPr="00DE1553" w:rsidRDefault="00A053A0" w:rsidP="00A053A0">
      <w:pPr>
        <w:pStyle w:val="BasicParagraph"/>
        <w:spacing w:line="240" w:lineRule="auto"/>
        <w:rPr>
          <w:rStyle w:val="Headingblack"/>
          <w:rFonts w:asciiTheme="minorHAnsi" w:hAnsiTheme="minorHAnsi"/>
          <w:sz w:val="24"/>
          <w:szCs w:val="24"/>
        </w:rPr>
      </w:pPr>
    </w:p>
    <w:p w:rsidR="00A053A0" w:rsidRPr="00DE1553" w:rsidRDefault="00A053A0" w:rsidP="00A053A0">
      <w:pPr>
        <w:pStyle w:val="BasicParagraph"/>
        <w:spacing w:line="240" w:lineRule="auto"/>
        <w:rPr>
          <w:rStyle w:val="Headingblack"/>
          <w:rFonts w:asciiTheme="minorHAnsi" w:hAnsiTheme="minorHAnsi"/>
        </w:rPr>
      </w:pPr>
      <w:r w:rsidRPr="00DE1553">
        <w:rPr>
          <w:rStyle w:val="Headingblack"/>
          <w:rFonts w:asciiTheme="minorHAnsi" w:hAnsiTheme="minorHAnsi"/>
          <w:sz w:val="24"/>
          <w:szCs w:val="24"/>
        </w:rPr>
        <w:t>Warrawong Professional Learning Grants Open from 25 July 2016</w:t>
      </w:r>
    </w:p>
    <w:p w:rsidR="00A053A0" w:rsidRPr="00DE1553" w:rsidRDefault="00A053A0" w:rsidP="00A053A0">
      <w:pPr>
        <w:rPr>
          <w:rFonts w:asciiTheme="minorHAnsi" w:hAnsiTheme="minorHAnsi"/>
        </w:rPr>
      </w:pPr>
    </w:p>
    <w:p w:rsidR="00A053A0" w:rsidRPr="00DE1553" w:rsidRDefault="00A053A0" w:rsidP="00A053A0">
      <w:pPr>
        <w:rPr>
          <w:rFonts w:asciiTheme="minorHAnsi" w:hAnsiTheme="minorHAnsi"/>
        </w:rPr>
      </w:pPr>
      <w:r w:rsidRPr="00DE1553">
        <w:rPr>
          <w:rFonts w:asciiTheme="minorHAnsi" w:hAnsiTheme="minorHAnsi"/>
        </w:rPr>
        <w:t>The Foundation of Graduates in Early Childhood Studies, established and endowed by the Association of Graduates in Early Childhood Studies (AGECS) has grants of up to $10,000 available to not-for-profit</w:t>
      </w:r>
      <w:r>
        <w:rPr>
          <w:rFonts w:asciiTheme="minorHAnsi" w:hAnsiTheme="minorHAnsi"/>
        </w:rPr>
        <w:t xml:space="preserve"> </w:t>
      </w:r>
      <w:r w:rsidRPr="00DE1553">
        <w:rPr>
          <w:rFonts w:asciiTheme="minorHAnsi" w:hAnsiTheme="minorHAnsi"/>
        </w:rPr>
        <w:t>early childhood services or organisations within Victoria. The grants enable staff to undertake training or professional development in the field of early childhood, and projects and initiatives relating to the training and professional development of staff working in the field of early childhood with children up to 8 years of age</w:t>
      </w:r>
      <w:r w:rsidR="006A0B0E" w:rsidRPr="00DE1553">
        <w:rPr>
          <w:rFonts w:asciiTheme="minorHAnsi" w:hAnsiTheme="minorHAnsi"/>
        </w:rPr>
        <w:t xml:space="preserve">. </w:t>
      </w:r>
      <w:r w:rsidRPr="00DE1553">
        <w:rPr>
          <w:rFonts w:asciiTheme="minorHAnsi" w:hAnsiTheme="minorHAnsi"/>
        </w:rPr>
        <w:t xml:space="preserve">Find further information, guidelines, </w:t>
      </w:r>
      <w:r w:rsidR="006A0B0E" w:rsidRPr="00DE1553">
        <w:rPr>
          <w:rFonts w:asciiTheme="minorHAnsi" w:hAnsiTheme="minorHAnsi"/>
        </w:rPr>
        <w:t>criteria,</w:t>
      </w:r>
      <w:r w:rsidRPr="00DE1553">
        <w:rPr>
          <w:rFonts w:asciiTheme="minorHAnsi" w:hAnsiTheme="minorHAnsi"/>
        </w:rPr>
        <w:t xml:space="preserve"> and a link t</w:t>
      </w:r>
      <w:r>
        <w:rPr>
          <w:rFonts w:asciiTheme="minorHAnsi" w:hAnsiTheme="minorHAnsi"/>
        </w:rPr>
        <w:t xml:space="preserve">o the online application form at </w:t>
      </w:r>
      <w:hyperlink r:id="rId22" w:history="1">
        <w:r w:rsidRPr="00A053A0">
          <w:rPr>
            <w:rStyle w:val="Hyperlink"/>
            <w:rFonts w:asciiTheme="minorHAnsi" w:hAnsiTheme="minorHAnsi"/>
          </w:rPr>
          <w:t>www.foresthillecf.org.au</w:t>
        </w:r>
      </w:hyperlink>
    </w:p>
    <w:p w:rsidR="00DE1553" w:rsidRDefault="00DE1553" w:rsidP="00974F08">
      <w:pPr>
        <w:jc w:val="both"/>
        <w:rPr>
          <w:rFonts w:asciiTheme="minorHAnsi" w:hAnsiTheme="minorHAnsi"/>
        </w:rPr>
      </w:pPr>
    </w:p>
    <w:p w:rsidR="00C93F47" w:rsidRDefault="00C93F47" w:rsidP="00C93F47">
      <w:pPr>
        <w:rPr>
          <w:b/>
          <w:bCs/>
          <w:color w:val="000000"/>
        </w:rPr>
      </w:pPr>
      <w:r>
        <w:rPr>
          <w:b/>
          <w:bCs/>
          <w:color w:val="000000"/>
        </w:rPr>
        <w:t xml:space="preserve">Protecting Children: Mandatory Reporting and Other Obligations for Early Childhood Services </w:t>
      </w:r>
    </w:p>
    <w:p w:rsidR="00C93F47" w:rsidRDefault="00C93F47" w:rsidP="00C93F47">
      <w:pPr>
        <w:rPr>
          <w:color w:val="000000"/>
        </w:rPr>
      </w:pPr>
      <w:r>
        <w:rPr>
          <w:b/>
          <w:bCs/>
          <w:color w:val="000000"/>
        </w:rPr>
        <w:t>Train the Trainer (TTT) Program</w:t>
      </w:r>
    </w:p>
    <w:p w:rsidR="00C93F47" w:rsidRDefault="00C93F47" w:rsidP="00C93F47">
      <w:pPr>
        <w:rPr>
          <w:color w:val="000000"/>
        </w:rPr>
      </w:pPr>
    </w:p>
    <w:p w:rsidR="00C93F47" w:rsidRDefault="00492064" w:rsidP="00C93F47">
      <w:pPr>
        <w:rPr>
          <w:color w:val="000000"/>
        </w:rPr>
      </w:pPr>
      <w:r>
        <w:rPr>
          <w:color w:val="000000"/>
        </w:rPr>
        <w:t xml:space="preserve">The Department is committed to supporting early childhood services to ensure the safety, </w:t>
      </w:r>
      <w:r w:rsidR="006A0B0E">
        <w:rPr>
          <w:color w:val="000000"/>
        </w:rPr>
        <w:t>health,</w:t>
      </w:r>
      <w:r>
        <w:rPr>
          <w:color w:val="000000"/>
        </w:rPr>
        <w:t xml:space="preserve"> and wellbeing of children and has funded t</w:t>
      </w:r>
      <w:r w:rsidR="00C93F47">
        <w:rPr>
          <w:color w:val="000000"/>
        </w:rPr>
        <w:t xml:space="preserve">he TTT </w:t>
      </w:r>
      <w:r>
        <w:rPr>
          <w:color w:val="000000"/>
        </w:rPr>
        <w:t xml:space="preserve">training program for licensed and approved early childhood services, to ensure </w:t>
      </w:r>
      <w:r w:rsidR="006A0B0E">
        <w:rPr>
          <w:color w:val="000000"/>
        </w:rPr>
        <w:t xml:space="preserve">that </w:t>
      </w:r>
      <w:r>
        <w:rPr>
          <w:color w:val="000000"/>
        </w:rPr>
        <w:t xml:space="preserve">early childhood staff are able to effectively protect children from the risk of abuse. </w:t>
      </w:r>
    </w:p>
    <w:p w:rsidR="00C93F47" w:rsidRDefault="00C93F47" w:rsidP="00C93F47">
      <w:pPr>
        <w:rPr>
          <w:color w:val="000000"/>
        </w:rPr>
      </w:pPr>
    </w:p>
    <w:p w:rsidR="00C93F47" w:rsidRDefault="00C93F47" w:rsidP="00C93F47">
      <w:pPr>
        <w:rPr>
          <w:color w:val="000000"/>
        </w:rPr>
      </w:pPr>
      <w:r>
        <w:rPr>
          <w:color w:val="000000"/>
        </w:rPr>
        <w:t>The Australian Childhood Foundation (ACF) will deliver the TTT program in 15 locations across Victoria</w:t>
      </w:r>
      <w:r w:rsidR="00492064">
        <w:rPr>
          <w:color w:val="000000"/>
        </w:rPr>
        <w:t xml:space="preserve"> during August 2016. </w:t>
      </w:r>
      <w:r>
        <w:rPr>
          <w:color w:val="000000"/>
        </w:rPr>
        <w:t xml:space="preserve">Participants will receive a comprehensive training resource manual to facilitate their delivery of the training and content to other early childhood staff within their organisation, </w:t>
      </w:r>
      <w:r w:rsidR="00492064">
        <w:rPr>
          <w:color w:val="000000"/>
        </w:rPr>
        <w:t>network,</w:t>
      </w:r>
      <w:r>
        <w:rPr>
          <w:color w:val="000000"/>
        </w:rPr>
        <w:t xml:space="preserve"> or service. As this is a TTT program, </w:t>
      </w:r>
      <w:r w:rsidR="00492064">
        <w:rPr>
          <w:color w:val="000000"/>
        </w:rPr>
        <w:t xml:space="preserve">it is expected </w:t>
      </w:r>
      <w:r>
        <w:rPr>
          <w:color w:val="000000"/>
        </w:rPr>
        <w:t>that participants deliver the training content to other early childhood professionals</w:t>
      </w:r>
      <w:r w:rsidR="00492064">
        <w:rPr>
          <w:color w:val="000000"/>
        </w:rPr>
        <w:t>.</w:t>
      </w:r>
      <w:r>
        <w:rPr>
          <w:color w:val="000000"/>
        </w:rPr>
        <w:t> </w:t>
      </w:r>
    </w:p>
    <w:p w:rsidR="00492064" w:rsidRDefault="00492064" w:rsidP="00C93F47">
      <w:pPr>
        <w:rPr>
          <w:color w:val="000000"/>
        </w:rPr>
      </w:pPr>
    </w:p>
    <w:p w:rsidR="00C93F47" w:rsidRDefault="00492064" w:rsidP="00C93F47">
      <w:pPr>
        <w:rPr>
          <w:color w:val="000000"/>
        </w:rPr>
      </w:pPr>
      <w:r>
        <w:rPr>
          <w:color w:val="000000"/>
        </w:rPr>
        <w:t xml:space="preserve">Please click on the following link to access the registration and workshop locations </w:t>
      </w:r>
      <w:hyperlink r:id="rId23" w:tgtFrame="_blank" w:history="1">
        <w:r>
          <w:rPr>
            <w:rStyle w:val="Hyperlink"/>
          </w:rPr>
          <w:t>www.childhood.org.au/for-professionals/workshops-and-seminars/seminar-listing-page/2016/mandatory-reporting?key=%7bDB27635E-AD46-4CE8-B216-92AEEB3837B9%7d</w:t>
        </w:r>
      </w:hyperlink>
    </w:p>
    <w:p w:rsidR="00295766" w:rsidRDefault="00295766" w:rsidP="00974F08">
      <w:pPr>
        <w:jc w:val="both"/>
        <w:rPr>
          <w:rFonts w:asciiTheme="minorHAnsi" w:hAnsiTheme="minorHAnsi"/>
        </w:rPr>
      </w:pPr>
    </w:p>
    <w:p w:rsidR="00C07137" w:rsidRPr="004E2911" w:rsidRDefault="004E2911" w:rsidP="00C07137">
      <w:pPr>
        <w:rPr>
          <w:color w:val="000000"/>
        </w:rPr>
      </w:pPr>
      <w:r w:rsidRPr="004E2911">
        <w:rPr>
          <w:b/>
          <w:bCs/>
          <w:iCs/>
          <w:color w:val="000000"/>
        </w:rPr>
        <w:t>Advice re Toilet Training and Handling Soiled C</w:t>
      </w:r>
      <w:r w:rsidR="00C07137" w:rsidRPr="004E2911">
        <w:rPr>
          <w:b/>
          <w:bCs/>
          <w:iCs/>
          <w:color w:val="000000"/>
        </w:rPr>
        <w:t>lothes</w:t>
      </w:r>
    </w:p>
    <w:p w:rsidR="00C07137" w:rsidRDefault="00C07137" w:rsidP="00C07137">
      <w:pPr>
        <w:rPr>
          <w:color w:val="000000"/>
        </w:rPr>
      </w:pPr>
      <w:r>
        <w:rPr>
          <w:color w:val="000000"/>
        </w:rPr>
        <w:t> </w:t>
      </w:r>
    </w:p>
    <w:p w:rsidR="00C07137" w:rsidRDefault="00C07137" w:rsidP="00C07137">
      <w:pPr>
        <w:rPr>
          <w:color w:val="000000"/>
        </w:rPr>
      </w:pPr>
      <w:r>
        <w:rPr>
          <w:color w:val="000000"/>
        </w:rPr>
        <w:t>The National Health and Medical Research Council publication</w:t>
      </w:r>
      <w:r>
        <w:rPr>
          <w:i/>
          <w:iCs/>
          <w:color w:val="000000"/>
        </w:rPr>
        <w:t xml:space="preserve"> </w:t>
      </w:r>
      <w:hyperlink r:id="rId24" w:tgtFrame="_blank" w:history="1">
        <w:r>
          <w:rPr>
            <w:rStyle w:val="Hyperlink"/>
            <w:i/>
            <w:iCs/>
          </w:rPr>
          <w:t>Staying Healthy in Child Care: Preventing infectious diseases in early childhood education and  care services</w:t>
        </w:r>
      </w:hyperlink>
      <w:r>
        <w:rPr>
          <w:color w:val="000000"/>
        </w:rPr>
        <w:t xml:space="preserve"> advises on hygieni</w:t>
      </w:r>
      <w:r w:rsidR="004E2911">
        <w:rPr>
          <w:color w:val="000000"/>
        </w:rPr>
        <w:t>c nappy changing and toileting practices in s</w:t>
      </w:r>
      <w:r>
        <w:rPr>
          <w:color w:val="000000"/>
        </w:rPr>
        <w:t xml:space="preserve">ection 3.2 (p 45): </w:t>
      </w:r>
    </w:p>
    <w:p w:rsidR="00C07137" w:rsidRDefault="00C07137" w:rsidP="00C07137">
      <w:pPr>
        <w:rPr>
          <w:color w:val="000000"/>
        </w:rPr>
      </w:pPr>
      <w:r>
        <w:rPr>
          <w:color w:val="000000"/>
        </w:rPr>
        <w:t> </w:t>
      </w:r>
    </w:p>
    <w:p w:rsidR="00C07137" w:rsidRDefault="00C07137" w:rsidP="00C07137">
      <w:pPr>
        <w:rPr>
          <w:color w:val="000000"/>
        </w:rPr>
      </w:pPr>
      <w:r>
        <w:rPr>
          <w:b/>
          <w:bCs/>
          <w:i/>
          <w:iCs/>
          <w:color w:val="000000"/>
        </w:rPr>
        <w:t>Ask parents to supply a clean change of clothing for children who are toilet training. Place soiled clothes in a plastic bag or alternative, and keep these bags in a designated place until parents can take them home.</w:t>
      </w:r>
    </w:p>
    <w:p w:rsidR="00C07137" w:rsidRDefault="00C07137" w:rsidP="00C07137">
      <w:pPr>
        <w:rPr>
          <w:color w:val="000000"/>
        </w:rPr>
      </w:pPr>
      <w:r>
        <w:rPr>
          <w:color w:val="000000"/>
        </w:rPr>
        <w:t> </w:t>
      </w:r>
    </w:p>
    <w:p w:rsidR="00C07137" w:rsidRDefault="00C07137" w:rsidP="00454E06">
      <w:pPr>
        <w:rPr>
          <w:color w:val="000000"/>
        </w:rPr>
      </w:pPr>
      <w:r>
        <w:rPr>
          <w:color w:val="000000"/>
        </w:rPr>
        <w:t xml:space="preserve">While the publication does not provide specific advice regarding discarding faeces, it is assumed that early </w:t>
      </w:r>
      <w:r w:rsidR="004E2911">
        <w:rPr>
          <w:color w:val="000000"/>
        </w:rPr>
        <w:t xml:space="preserve">childhood services </w:t>
      </w:r>
      <w:r>
        <w:rPr>
          <w:color w:val="000000"/>
        </w:rPr>
        <w:t xml:space="preserve">will dispose of any faecal matter in the toilet before staff place the soiled clothing in a bag. It would be unhygienic for faeces to be kept in a plastic bag for any length of time in your centre. </w:t>
      </w:r>
    </w:p>
    <w:p w:rsidR="00C30AD5" w:rsidRDefault="00C30AD5" w:rsidP="00454E06">
      <w:pPr>
        <w:rPr>
          <w:color w:val="000000"/>
        </w:rPr>
      </w:pPr>
    </w:p>
    <w:p w:rsidR="00C30AD5" w:rsidRPr="00C30AD5" w:rsidRDefault="00C30AD5" w:rsidP="00C30AD5">
      <w:pPr>
        <w:pStyle w:val="BasicParagraph"/>
        <w:suppressAutoHyphens/>
        <w:spacing w:before="113" w:line="240" w:lineRule="auto"/>
        <w:ind w:right="113"/>
        <w:rPr>
          <w:rStyle w:val="Headingblack"/>
          <w:rFonts w:asciiTheme="minorHAnsi" w:hAnsiTheme="minorHAnsi"/>
          <w:sz w:val="24"/>
          <w:szCs w:val="24"/>
        </w:rPr>
      </w:pPr>
      <w:r w:rsidRPr="00C30AD5">
        <w:rPr>
          <w:rStyle w:val="Headingblack"/>
          <w:rFonts w:asciiTheme="minorHAnsi" w:hAnsiTheme="minorHAnsi"/>
          <w:sz w:val="24"/>
          <w:szCs w:val="24"/>
        </w:rPr>
        <w:t>Circular for Early Years and Kindergarten Newsletter</w:t>
      </w:r>
    </w:p>
    <w:p w:rsidR="00C30AD5" w:rsidRDefault="00C30AD5" w:rsidP="00C30AD5">
      <w:pPr>
        <w:rPr>
          <w:color w:val="000000"/>
        </w:rPr>
      </w:pPr>
      <w:r w:rsidRPr="00C30AD5">
        <w:rPr>
          <w:color w:val="000000"/>
        </w:rPr>
        <w:t xml:space="preserve">The City of Whittlesea’s Immunisation Team was awarded a $25,000 Sanofi Pasteur </w:t>
      </w:r>
      <w:proofErr w:type="spellStart"/>
      <w:r w:rsidRPr="00C30AD5">
        <w:rPr>
          <w:color w:val="000000"/>
        </w:rPr>
        <w:t>Vaxigrant</w:t>
      </w:r>
      <w:proofErr w:type="spellEnd"/>
      <w:r w:rsidRPr="00C30AD5">
        <w:rPr>
          <w:color w:val="000000"/>
        </w:rPr>
        <w:t xml:space="preserve"> to increase vaccination coverage in Indigenous Australians within the City of Whittlesea.</w:t>
      </w:r>
      <w:r>
        <w:rPr>
          <w:color w:val="000000"/>
        </w:rPr>
        <w:t xml:space="preserve"> </w:t>
      </w:r>
      <w:r w:rsidRPr="00C30AD5">
        <w:rPr>
          <w:color w:val="000000"/>
        </w:rPr>
        <w:t xml:space="preserve">The grant funded the creation of a children’s storybook ‘A Yarn about Germs’.   The book was written for and inspired by pre-schoolers attending the </w:t>
      </w:r>
      <w:proofErr w:type="spellStart"/>
      <w:r w:rsidRPr="00C30AD5">
        <w:rPr>
          <w:color w:val="000000"/>
        </w:rPr>
        <w:t>Bubup</w:t>
      </w:r>
      <w:proofErr w:type="spellEnd"/>
      <w:r w:rsidRPr="00C30AD5">
        <w:rPr>
          <w:color w:val="000000"/>
        </w:rPr>
        <w:t xml:space="preserve"> </w:t>
      </w:r>
      <w:proofErr w:type="spellStart"/>
      <w:r w:rsidRPr="00C30AD5">
        <w:rPr>
          <w:color w:val="000000"/>
        </w:rPr>
        <w:t>Wilam</w:t>
      </w:r>
      <w:proofErr w:type="spellEnd"/>
      <w:r w:rsidRPr="00C30AD5">
        <w:rPr>
          <w:color w:val="000000"/>
        </w:rPr>
        <w:t xml:space="preserve"> Early Learning Centre and depicts children’s thoughts about germs and how vaccine</w:t>
      </w:r>
      <w:r w:rsidR="0072432A">
        <w:rPr>
          <w:color w:val="000000"/>
        </w:rPr>
        <w:t>s</w:t>
      </w:r>
      <w:r w:rsidRPr="00C30AD5">
        <w:rPr>
          <w:color w:val="000000"/>
        </w:rPr>
        <w:t xml:space="preserve"> can protect them. </w:t>
      </w:r>
    </w:p>
    <w:p w:rsidR="00C30AD5" w:rsidRPr="00C30AD5" w:rsidRDefault="00C30AD5" w:rsidP="00C30AD5">
      <w:pPr>
        <w:rPr>
          <w:color w:val="000000"/>
        </w:rPr>
      </w:pPr>
      <w:r w:rsidRPr="00C30AD5">
        <w:rPr>
          <w:color w:val="000000"/>
        </w:rPr>
        <w:t xml:space="preserve"> </w:t>
      </w:r>
    </w:p>
    <w:p w:rsidR="00C30AD5" w:rsidRPr="00C30AD5" w:rsidRDefault="00C30AD5" w:rsidP="00C30AD5">
      <w:pPr>
        <w:rPr>
          <w:color w:val="000000"/>
        </w:rPr>
      </w:pPr>
      <w:r w:rsidRPr="00C30AD5">
        <w:rPr>
          <w:color w:val="000000"/>
        </w:rPr>
        <w:t xml:space="preserve">To obtain a copy for your kindergarten or early years centre please contact Tanya Perrin, City of Whittlesea on 9217 2276 or </w:t>
      </w:r>
      <w:hyperlink r:id="rId25" w:history="1">
        <w:r w:rsidRPr="00C30AD5">
          <w:rPr>
            <w:color w:val="000000"/>
          </w:rPr>
          <w:t>teamimmunisation@whittlesea.vic.gov.au</w:t>
        </w:r>
      </w:hyperlink>
      <w:r w:rsidRPr="00C30AD5">
        <w:rPr>
          <w:color w:val="000000"/>
        </w:rPr>
        <w:t xml:space="preserve"> for further information.</w:t>
      </w:r>
    </w:p>
    <w:p w:rsidR="00C30AD5" w:rsidRPr="00454E06" w:rsidRDefault="00C30AD5" w:rsidP="00454E06">
      <w:pPr>
        <w:rPr>
          <w:color w:val="000000"/>
        </w:rPr>
      </w:pPr>
    </w:p>
    <w:sectPr w:rsidR="00C30AD5" w:rsidRPr="00454E06" w:rsidSect="007D08CF">
      <w:pgSz w:w="12240" w:h="15840"/>
      <w:pgMar w:top="720" w:right="720" w:bottom="720" w:left="720" w:header="720" w:footer="720" w:gutter="0"/>
      <w:cols w:space="720"/>
      <w:noEndnote/>
      <w:docGrid w:linePitch="299"/>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4DAD4AF" w15:done="0"/>
  <w15:commentEx w15:paraId="0A1E2BA6"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161F7"/>
    <w:multiLevelType w:val="hybridMultilevel"/>
    <w:tmpl w:val="0C2C688E"/>
    <w:lvl w:ilvl="0" w:tplc="2BA84C76">
      <w:numFmt w:val="bullet"/>
      <w:lvlText w:val="•"/>
      <w:lvlJc w:val="left"/>
      <w:pPr>
        <w:ind w:left="900" w:hanging="360"/>
      </w:pPr>
      <w:rPr>
        <w:rFonts w:ascii="Calibri" w:eastAsiaTheme="minorHAnsi"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C2F23DB"/>
    <w:multiLevelType w:val="hybridMultilevel"/>
    <w:tmpl w:val="D70A2F1A"/>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2">
    <w:nsid w:val="0E075AE5"/>
    <w:multiLevelType w:val="hybridMultilevel"/>
    <w:tmpl w:val="91001A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D2F4433"/>
    <w:multiLevelType w:val="hybridMultilevel"/>
    <w:tmpl w:val="658E6B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0CC1679"/>
    <w:multiLevelType w:val="hybridMultilevel"/>
    <w:tmpl w:val="CE68F806"/>
    <w:lvl w:ilvl="0" w:tplc="2BA84C76">
      <w:numFmt w:val="bullet"/>
      <w:lvlText w:val="•"/>
      <w:lvlJc w:val="left"/>
      <w:pPr>
        <w:ind w:left="900" w:hanging="360"/>
      </w:pPr>
      <w:rPr>
        <w:rFonts w:ascii="Calibri" w:eastAsiaTheme="minorHAnsi"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2697F85"/>
    <w:multiLevelType w:val="hybridMultilevel"/>
    <w:tmpl w:val="DDDA96D4"/>
    <w:lvl w:ilvl="0" w:tplc="2BA84C76">
      <w:numFmt w:val="bullet"/>
      <w:lvlText w:val="•"/>
      <w:lvlJc w:val="left"/>
      <w:pPr>
        <w:ind w:left="900" w:hanging="360"/>
      </w:pPr>
      <w:rPr>
        <w:rFonts w:ascii="Calibri" w:eastAsiaTheme="minorHAnsi"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6612D9D"/>
    <w:multiLevelType w:val="hybridMultilevel"/>
    <w:tmpl w:val="162C09E6"/>
    <w:lvl w:ilvl="0" w:tplc="2BA84C76">
      <w:numFmt w:val="bullet"/>
      <w:lvlText w:val="•"/>
      <w:lvlJc w:val="left"/>
      <w:pPr>
        <w:ind w:left="900" w:hanging="360"/>
      </w:pPr>
      <w:rPr>
        <w:rFonts w:ascii="Calibri" w:eastAsiaTheme="minorHAnsi"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7BB0D28"/>
    <w:multiLevelType w:val="hybridMultilevel"/>
    <w:tmpl w:val="BE4ABBB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nsid w:val="5E0F2F40"/>
    <w:multiLevelType w:val="hybridMultilevel"/>
    <w:tmpl w:val="EF30CB62"/>
    <w:lvl w:ilvl="0" w:tplc="0C090001">
      <w:start w:val="1"/>
      <w:numFmt w:val="bullet"/>
      <w:lvlText w:val=""/>
      <w:lvlJc w:val="left"/>
      <w:pPr>
        <w:ind w:left="1260" w:hanging="360"/>
      </w:pPr>
      <w:rPr>
        <w:rFonts w:ascii="Symbol" w:hAnsi="Symbol" w:hint="default"/>
      </w:rPr>
    </w:lvl>
    <w:lvl w:ilvl="1" w:tplc="0C090003" w:tentative="1">
      <w:start w:val="1"/>
      <w:numFmt w:val="bullet"/>
      <w:lvlText w:val="o"/>
      <w:lvlJc w:val="left"/>
      <w:pPr>
        <w:ind w:left="1980" w:hanging="360"/>
      </w:pPr>
      <w:rPr>
        <w:rFonts w:ascii="Courier New" w:hAnsi="Courier New" w:cs="Courier New" w:hint="default"/>
      </w:rPr>
    </w:lvl>
    <w:lvl w:ilvl="2" w:tplc="0C090005" w:tentative="1">
      <w:start w:val="1"/>
      <w:numFmt w:val="bullet"/>
      <w:lvlText w:val=""/>
      <w:lvlJc w:val="left"/>
      <w:pPr>
        <w:ind w:left="2700" w:hanging="360"/>
      </w:pPr>
      <w:rPr>
        <w:rFonts w:ascii="Wingdings" w:hAnsi="Wingdings" w:hint="default"/>
      </w:rPr>
    </w:lvl>
    <w:lvl w:ilvl="3" w:tplc="0C090001" w:tentative="1">
      <w:start w:val="1"/>
      <w:numFmt w:val="bullet"/>
      <w:lvlText w:val=""/>
      <w:lvlJc w:val="left"/>
      <w:pPr>
        <w:ind w:left="3420" w:hanging="360"/>
      </w:pPr>
      <w:rPr>
        <w:rFonts w:ascii="Symbol" w:hAnsi="Symbol" w:hint="default"/>
      </w:rPr>
    </w:lvl>
    <w:lvl w:ilvl="4" w:tplc="0C090003" w:tentative="1">
      <w:start w:val="1"/>
      <w:numFmt w:val="bullet"/>
      <w:lvlText w:val="o"/>
      <w:lvlJc w:val="left"/>
      <w:pPr>
        <w:ind w:left="4140" w:hanging="360"/>
      </w:pPr>
      <w:rPr>
        <w:rFonts w:ascii="Courier New" w:hAnsi="Courier New" w:cs="Courier New" w:hint="default"/>
      </w:rPr>
    </w:lvl>
    <w:lvl w:ilvl="5" w:tplc="0C090005" w:tentative="1">
      <w:start w:val="1"/>
      <w:numFmt w:val="bullet"/>
      <w:lvlText w:val=""/>
      <w:lvlJc w:val="left"/>
      <w:pPr>
        <w:ind w:left="4860" w:hanging="360"/>
      </w:pPr>
      <w:rPr>
        <w:rFonts w:ascii="Wingdings" w:hAnsi="Wingdings" w:hint="default"/>
      </w:rPr>
    </w:lvl>
    <w:lvl w:ilvl="6" w:tplc="0C090001" w:tentative="1">
      <w:start w:val="1"/>
      <w:numFmt w:val="bullet"/>
      <w:lvlText w:val=""/>
      <w:lvlJc w:val="left"/>
      <w:pPr>
        <w:ind w:left="5580" w:hanging="360"/>
      </w:pPr>
      <w:rPr>
        <w:rFonts w:ascii="Symbol" w:hAnsi="Symbol" w:hint="default"/>
      </w:rPr>
    </w:lvl>
    <w:lvl w:ilvl="7" w:tplc="0C090003" w:tentative="1">
      <w:start w:val="1"/>
      <w:numFmt w:val="bullet"/>
      <w:lvlText w:val="o"/>
      <w:lvlJc w:val="left"/>
      <w:pPr>
        <w:ind w:left="6300" w:hanging="360"/>
      </w:pPr>
      <w:rPr>
        <w:rFonts w:ascii="Courier New" w:hAnsi="Courier New" w:cs="Courier New" w:hint="default"/>
      </w:rPr>
    </w:lvl>
    <w:lvl w:ilvl="8" w:tplc="0C090005" w:tentative="1">
      <w:start w:val="1"/>
      <w:numFmt w:val="bullet"/>
      <w:lvlText w:val=""/>
      <w:lvlJc w:val="left"/>
      <w:pPr>
        <w:ind w:left="7020" w:hanging="360"/>
      </w:pPr>
      <w:rPr>
        <w:rFonts w:ascii="Wingdings" w:hAnsi="Wingdings" w:hint="default"/>
      </w:rPr>
    </w:lvl>
  </w:abstractNum>
  <w:abstractNum w:abstractNumId="9">
    <w:nsid w:val="714B2B1C"/>
    <w:multiLevelType w:val="hybridMultilevel"/>
    <w:tmpl w:val="F6AA8540"/>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10">
    <w:nsid w:val="71B457F0"/>
    <w:multiLevelType w:val="hybridMultilevel"/>
    <w:tmpl w:val="C39CD6D0"/>
    <w:lvl w:ilvl="0" w:tplc="2BA84C76">
      <w:numFmt w:val="bullet"/>
      <w:lvlText w:val="•"/>
      <w:lvlJc w:val="left"/>
      <w:pPr>
        <w:ind w:left="900" w:hanging="360"/>
      </w:pPr>
      <w:rPr>
        <w:rFonts w:ascii="Calibri" w:eastAsiaTheme="minorHAnsi" w:hAnsi="Calibri" w:cs="Times New Roman" w:hint="default"/>
      </w:rPr>
    </w:lvl>
    <w:lvl w:ilvl="1" w:tplc="0C090003" w:tentative="1">
      <w:start w:val="1"/>
      <w:numFmt w:val="bullet"/>
      <w:lvlText w:val="o"/>
      <w:lvlJc w:val="left"/>
      <w:pPr>
        <w:ind w:left="1620" w:hanging="360"/>
      </w:pPr>
      <w:rPr>
        <w:rFonts w:ascii="Courier New" w:hAnsi="Courier New" w:cs="Courier New" w:hint="default"/>
      </w:rPr>
    </w:lvl>
    <w:lvl w:ilvl="2" w:tplc="0C090005" w:tentative="1">
      <w:start w:val="1"/>
      <w:numFmt w:val="bullet"/>
      <w:lvlText w:val=""/>
      <w:lvlJc w:val="left"/>
      <w:pPr>
        <w:ind w:left="2340" w:hanging="360"/>
      </w:pPr>
      <w:rPr>
        <w:rFonts w:ascii="Wingdings" w:hAnsi="Wingdings" w:hint="default"/>
      </w:rPr>
    </w:lvl>
    <w:lvl w:ilvl="3" w:tplc="0C090001" w:tentative="1">
      <w:start w:val="1"/>
      <w:numFmt w:val="bullet"/>
      <w:lvlText w:val=""/>
      <w:lvlJc w:val="left"/>
      <w:pPr>
        <w:ind w:left="3060" w:hanging="360"/>
      </w:pPr>
      <w:rPr>
        <w:rFonts w:ascii="Symbol" w:hAnsi="Symbol" w:hint="default"/>
      </w:rPr>
    </w:lvl>
    <w:lvl w:ilvl="4" w:tplc="0C090003" w:tentative="1">
      <w:start w:val="1"/>
      <w:numFmt w:val="bullet"/>
      <w:lvlText w:val="o"/>
      <w:lvlJc w:val="left"/>
      <w:pPr>
        <w:ind w:left="3780" w:hanging="360"/>
      </w:pPr>
      <w:rPr>
        <w:rFonts w:ascii="Courier New" w:hAnsi="Courier New" w:cs="Courier New" w:hint="default"/>
      </w:rPr>
    </w:lvl>
    <w:lvl w:ilvl="5" w:tplc="0C090005" w:tentative="1">
      <w:start w:val="1"/>
      <w:numFmt w:val="bullet"/>
      <w:lvlText w:val=""/>
      <w:lvlJc w:val="left"/>
      <w:pPr>
        <w:ind w:left="4500" w:hanging="360"/>
      </w:pPr>
      <w:rPr>
        <w:rFonts w:ascii="Wingdings" w:hAnsi="Wingdings" w:hint="default"/>
      </w:rPr>
    </w:lvl>
    <w:lvl w:ilvl="6" w:tplc="0C090001" w:tentative="1">
      <w:start w:val="1"/>
      <w:numFmt w:val="bullet"/>
      <w:lvlText w:val=""/>
      <w:lvlJc w:val="left"/>
      <w:pPr>
        <w:ind w:left="5220" w:hanging="360"/>
      </w:pPr>
      <w:rPr>
        <w:rFonts w:ascii="Symbol" w:hAnsi="Symbol" w:hint="default"/>
      </w:rPr>
    </w:lvl>
    <w:lvl w:ilvl="7" w:tplc="0C090003" w:tentative="1">
      <w:start w:val="1"/>
      <w:numFmt w:val="bullet"/>
      <w:lvlText w:val="o"/>
      <w:lvlJc w:val="left"/>
      <w:pPr>
        <w:ind w:left="5940" w:hanging="360"/>
      </w:pPr>
      <w:rPr>
        <w:rFonts w:ascii="Courier New" w:hAnsi="Courier New" w:cs="Courier New" w:hint="default"/>
      </w:rPr>
    </w:lvl>
    <w:lvl w:ilvl="8" w:tplc="0C090005" w:tentative="1">
      <w:start w:val="1"/>
      <w:numFmt w:val="bullet"/>
      <w:lvlText w:val=""/>
      <w:lvlJc w:val="left"/>
      <w:pPr>
        <w:ind w:left="6660" w:hanging="360"/>
      </w:pPr>
      <w:rPr>
        <w:rFonts w:ascii="Wingdings" w:hAnsi="Wingdings" w:hint="default"/>
      </w:rPr>
    </w:lvl>
  </w:abstractNum>
  <w:abstractNum w:abstractNumId="11">
    <w:nsid w:val="7B4A1356"/>
    <w:multiLevelType w:val="hybridMultilevel"/>
    <w:tmpl w:val="2F8451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7EC75D40"/>
    <w:multiLevelType w:val="hybridMultilevel"/>
    <w:tmpl w:val="3C4C84B0"/>
    <w:lvl w:ilvl="0" w:tplc="0C090001">
      <w:start w:val="1"/>
      <w:numFmt w:val="bullet"/>
      <w:lvlText w:val=""/>
      <w:lvlJc w:val="left"/>
      <w:pPr>
        <w:ind w:left="1665" w:hanging="360"/>
      </w:pPr>
      <w:rPr>
        <w:rFonts w:ascii="Symbol" w:hAnsi="Symbol" w:hint="default"/>
      </w:rPr>
    </w:lvl>
    <w:lvl w:ilvl="1" w:tplc="0C090003" w:tentative="1">
      <w:start w:val="1"/>
      <w:numFmt w:val="bullet"/>
      <w:lvlText w:val="o"/>
      <w:lvlJc w:val="left"/>
      <w:pPr>
        <w:ind w:left="2385" w:hanging="360"/>
      </w:pPr>
      <w:rPr>
        <w:rFonts w:ascii="Courier New" w:hAnsi="Courier New" w:cs="Courier New" w:hint="default"/>
      </w:rPr>
    </w:lvl>
    <w:lvl w:ilvl="2" w:tplc="0C090005" w:tentative="1">
      <w:start w:val="1"/>
      <w:numFmt w:val="bullet"/>
      <w:lvlText w:val=""/>
      <w:lvlJc w:val="left"/>
      <w:pPr>
        <w:ind w:left="3105" w:hanging="360"/>
      </w:pPr>
      <w:rPr>
        <w:rFonts w:ascii="Wingdings" w:hAnsi="Wingdings" w:hint="default"/>
      </w:rPr>
    </w:lvl>
    <w:lvl w:ilvl="3" w:tplc="0C090001" w:tentative="1">
      <w:start w:val="1"/>
      <w:numFmt w:val="bullet"/>
      <w:lvlText w:val=""/>
      <w:lvlJc w:val="left"/>
      <w:pPr>
        <w:ind w:left="3825" w:hanging="360"/>
      </w:pPr>
      <w:rPr>
        <w:rFonts w:ascii="Symbol" w:hAnsi="Symbol" w:hint="default"/>
      </w:rPr>
    </w:lvl>
    <w:lvl w:ilvl="4" w:tplc="0C090003" w:tentative="1">
      <w:start w:val="1"/>
      <w:numFmt w:val="bullet"/>
      <w:lvlText w:val="o"/>
      <w:lvlJc w:val="left"/>
      <w:pPr>
        <w:ind w:left="4545" w:hanging="360"/>
      </w:pPr>
      <w:rPr>
        <w:rFonts w:ascii="Courier New" w:hAnsi="Courier New" w:cs="Courier New" w:hint="default"/>
      </w:rPr>
    </w:lvl>
    <w:lvl w:ilvl="5" w:tplc="0C090005" w:tentative="1">
      <w:start w:val="1"/>
      <w:numFmt w:val="bullet"/>
      <w:lvlText w:val=""/>
      <w:lvlJc w:val="left"/>
      <w:pPr>
        <w:ind w:left="5265" w:hanging="360"/>
      </w:pPr>
      <w:rPr>
        <w:rFonts w:ascii="Wingdings" w:hAnsi="Wingdings" w:hint="default"/>
      </w:rPr>
    </w:lvl>
    <w:lvl w:ilvl="6" w:tplc="0C090001" w:tentative="1">
      <w:start w:val="1"/>
      <w:numFmt w:val="bullet"/>
      <w:lvlText w:val=""/>
      <w:lvlJc w:val="left"/>
      <w:pPr>
        <w:ind w:left="5985" w:hanging="360"/>
      </w:pPr>
      <w:rPr>
        <w:rFonts w:ascii="Symbol" w:hAnsi="Symbol" w:hint="default"/>
      </w:rPr>
    </w:lvl>
    <w:lvl w:ilvl="7" w:tplc="0C090003" w:tentative="1">
      <w:start w:val="1"/>
      <w:numFmt w:val="bullet"/>
      <w:lvlText w:val="o"/>
      <w:lvlJc w:val="left"/>
      <w:pPr>
        <w:ind w:left="6705" w:hanging="360"/>
      </w:pPr>
      <w:rPr>
        <w:rFonts w:ascii="Courier New" w:hAnsi="Courier New" w:cs="Courier New" w:hint="default"/>
      </w:rPr>
    </w:lvl>
    <w:lvl w:ilvl="8" w:tplc="0C090005" w:tentative="1">
      <w:start w:val="1"/>
      <w:numFmt w:val="bullet"/>
      <w:lvlText w:val=""/>
      <w:lvlJc w:val="left"/>
      <w:pPr>
        <w:ind w:left="7425" w:hanging="360"/>
      </w:pPr>
      <w:rPr>
        <w:rFonts w:ascii="Wingdings" w:hAnsi="Wingdings" w:hint="default"/>
      </w:rPr>
    </w:lvl>
  </w:abstractNum>
  <w:num w:numId="1">
    <w:abstractNumId w:val="9"/>
  </w:num>
  <w:num w:numId="2">
    <w:abstractNumId w:val="1"/>
  </w:num>
  <w:num w:numId="3">
    <w:abstractNumId w:val="12"/>
  </w:num>
  <w:num w:numId="4">
    <w:abstractNumId w:val="7"/>
  </w:num>
  <w:num w:numId="5">
    <w:abstractNumId w:val="11"/>
  </w:num>
  <w:num w:numId="6">
    <w:abstractNumId w:val="2"/>
  </w:num>
  <w:num w:numId="7">
    <w:abstractNumId w:val="3"/>
  </w:num>
  <w:num w:numId="8">
    <w:abstractNumId w:val="8"/>
  </w:num>
  <w:num w:numId="9">
    <w:abstractNumId w:val="10"/>
  </w:num>
  <w:num w:numId="10">
    <w:abstractNumId w:val="4"/>
  </w:num>
  <w:num w:numId="11">
    <w:abstractNumId w:val="5"/>
  </w:num>
  <w:num w:numId="12">
    <w:abstractNumId w:val="6"/>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367"/>
    <w:rsid w:val="00141B32"/>
    <w:rsid w:val="00187FEC"/>
    <w:rsid w:val="00192A51"/>
    <w:rsid w:val="001A4BBC"/>
    <w:rsid w:val="002402E5"/>
    <w:rsid w:val="00243C2B"/>
    <w:rsid w:val="00276CB0"/>
    <w:rsid w:val="00295766"/>
    <w:rsid w:val="002A5302"/>
    <w:rsid w:val="00312B7F"/>
    <w:rsid w:val="00334D31"/>
    <w:rsid w:val="00352C62"/>
    <w:rsid w:val="00373912"/>
    <w:rsid w:val="00454E06"/>
    <w:rsid w:val="00476021"/>
    <w:rsid w:val="00492064"/>
    <w:rsid w:val="00492B21"/>
    <w:rsid w:val="004E1200"/>
    <w:rsid w:val="004E2911"/>
    <w:rsid w:val="004F05AD"/>
    <w:rsid w:val="0057501F"/>
    <w:rsid w:val="005853D9"/>
    <w:rsid w:val="005B71B8"/>
    <w:rsid w:val="0062611A"/>
    <w:rsid w:val="006A0B0E"/>
    <w:rsid w:val="00711B84"/>
    <w:rsid w:val="0072432A"/>
    <w:rsid w:val="0076292B"/>
    <w:rsid w:val="007B4F3B"/>
    <w:rsid w:val="007D08CF"/>
    <w:rsid w:val="007E58AB"/>
    <w:rsid w:val="0081105E"/>
    <w:rsid w:val="00894AEA"/>
    <w:rsid w:val="008C4367"/>
    <w:rsid w:val="00904EE8"/>
    <w:rsid w:val="00965D2E"/>
    <w:rsid w:val="00974331"/>
    <w:rsid w:val="00974F08"/>
    <w:rsid w:val="009C11F3"/>
    <w:rsid w:val="00A053A0"/>
    <w:rsid w:val="00B250D4"/>
    <w:rsid w:val="00B63B8C"/>
    <w:rsid w:val="00B94762"/>
    <w:rsid w:val="00B95B66"/>
    <w:rsid w:val="00BB280D"/>
    <w:rsid w:val="00BB6085"/>
    <w:rsid w:val="00BF26F9"/>
    <w:rsid w:val="00C05109"/>
    <w:rsid w:val="00C07137"/>
    <w:rsid w:val="00C30AD5"/>
    <w:rsid w:val="00C93F47"/>
    <w:rsid w:val="00CA6CC0"/>
    <w:rsid w:val="00CE00A3"/>
    <w:rsid w:val="00D0101C"/>
    <w:rsid w:val="00D03C3F"/>
    <w:rsid w:val="00DA6189"/>
    <w:rsid w:val="00DE1553"/>
    <w:rsid w:val="00DE4AC2"/>
    <w:rsid w:val="00DF0C2F"/>
    <w:rsid w:val="00E135D6"/>
    <w:rsid w:val="00F14853"/>
    <w:rsid w:val="00F57C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F8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021"/>
    <w:pPr>
      <w:spacing w:after="0" w:line="240" w:lineRule="auto"/>
    </w:pPr>
    <w:rPr>
      <w:rFonts w:ascii="Calibri" w:hAnsi="Calibri" w:cs="Times New Roman"/>
    </w:rPr>
  </w:style>
  <w:style w:type="paragraph" w:styleId="Heading2">
    <w:name w:val="heading 2"/>
    <w:basedOn w:val="Normal"/>
    <w:link w:val="Heading2Char"/>
    <w:uiPriority w:val="1"/>
    <w:qFormat/>
    <w:rsid w:val="007D08CF"/>
    <w:pPr>
      <w:widowControl w:val="0"/>
      <w:spacing w:before="219"/>
      <w:ind w:left="548"/>
      <w:outlineLvl w:val="1"/>
    </w:pPr>
    <w:rPr>
      <w:rFonts w:ascii="Arial" w:eastAsia="Arial" w:hAnsi="Arial" w:cstheme="minorBidi"/>
      <w:b/>
      <w:bCs/>
      <w:sz w:val="44"/>
      <w:szCs w:val="4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8C4367"/>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BasicParagraph">
    <w:name w:val="[Basic Paragraph]"/>
    <w:basedOn w:val="NoParagraphStyle"/>
    <w:uiPriority w:val="99"/>
    <w:rsid w:val="008C4367"/>
  </w:style>
  <w:style w:type="character" w:customStyle="1" w:styleId="Headingblack">
    <w:name w:val="Heading black"/>
    <w:basedOn w:val="DefaultParagraphFont"/>
    <w:uiPriority w:val="99"/>
    <w:rsid w:val="008C4367"/>
    <w:rPr>
      <w:rFonts w:ascii="Arial" w:hAnsi="Arial" w:cs="Arial"/>
      <w:b/>
      <w:bCs/>
      <w:color w:val="000000"/>
      <w:sz w:val="28"/>
      <w:szCs w:val="28"/>
      <w:u w:val="none"/>
    </w:rPr>
  </w:style>
  <w:style w:type="character" w:customStyle="1" w:styleId="Bodytextblack">
    <w:name w:val="Body text black"/>
    <w:uiPriority w:val="99"/>
    <w:rsid w:val="008C4367"/>
    <w:rPr>
      <w:rFonts w:ascii="Arial" w:hAnsi="Arial" w:cs="Arial"/>
      <w:color w:val="000000"/>
      <w:sz w:val="17"/>
      <w:szCs w:val="17"/>
      <w:u w:val="none"/>
    </w:rPr>
  </w:style>
  <w:style w:type="character" w:customStyle="1" w:styleId="Hyperlinkteal">
    <w:name w:val="Hyperlink teal"/>
    <w:uiPriority w:val="99"/>
    <w:rsid w:val="008C4367"/>
    <w:rPr>
      <w:rFonts w:ascii="Arial" w:hAnsi="Arial" w:cs="Arial"/>
      <w:b/>
      <w:bCs/>
      <w:color w:val="35858D"/>
      <w:sz w:val="17"/>
      <w:szCs w:val="17"/>
      <w:u w:val="none"/>
    </w:rPr>
  </w:style>
  <w:style w:type="character" w:styleId="Hyperlink">
    <w:name w:val="Hyperlink"/>
    <w:basedOn w:val="DefaultParagraphFont"/>
    <w:uiPriority w:val="99"/>
    <w:unhideWhenUsed/>
    <w:rsid w:val="00CA6CC0"/>
    <w:rPr>
      <w:color w:val="0000FF"/>
      <w:u w:val="single"/>
    </w:rPr>
  </w:style>
  <w:style w:type="character" w:customStyle="1" w:styleId="Heading2Char">
    <w:name w:val="Heading 2 Char"/>
    <w:basedOn w:val="DefaultParagraphFont"/>
    <w:link w:val="Heading2"/>
    <w:uiPriority w:val="1"/>
    <w:rsid w:val="007D08CF"/>
    <w:rPr>
      <w:rFonts w:ascii="Arial" w:eastAsia="Arial" w:hAnsi="Arial"/>
      <w:b/>
      <w:bCs/>
      <w:sz w:val="44"/>
      <w:szCs w:val="44"/>
      <w:lang w:val="en-US"/>
    </w:rPr>
  </w:style>
  <w:style w:type="paragraph" w:styleId="BodyText">
    <w:name w:val="Body Text"/>
    <w:basedOn w:val="Normal"/>
    <w:link w:val="BodyTextChar"/>
    <w:uiPriority w:val="1"/>
    <w:qFormat/>
    <w:rsid w:val="007D08CF"/>
    <w:pPr>
      <w:widowControl w:val="0"/>
      <w:spacing w:before="173"/>
      <w:ind w:left="548" w:hanging="360"/>
    </w:pPr>
    <w:rPr>
      <w:rFonts w:ascii="Arial" w:eastAsia="Arial" w:hAnsi="Arial" w:cstheme="minorBidi"/>
      <w:sz w:val="36"/>
      <w:szCs w:val="36"/>
      <w:lang w:val="en-US"/>
    </w:rPr>
  </w:style>
  <w:style w:type="character" w:customStyle="1" w:styleId="BodyTextChar">
    <w:name w:val="Body Text Char"/>
    <w:basedOn w:val="DefaultParagraphFont"/>
    <w:link w:val="BodyText"/>
    <w:uiPriority w:val="1"/>
    <w:rsid w:val="007D08CF"/>
    <w:rPr>
      <w:rFonts w:ascii="Arial" w:eastAsia="Arial" w:hAnsi="Arial"/>
      <w:sz w:val="36"/>
      <w:szCs w:val="36"/>
      <w:lang w:val="en-US"/>
    </w:rPr>
  </w:style>
  <w:style w:type="paragraph" w:styleId="ListParagraph">
    <w:name w:val="List Paragraph"/>
    <w:basedOn w:val="Normal"/>
    <w:uiPriority w:val="1"/>
    <w:qFormat/>
    <w:rsid w:val="007D08CF"/>
    <w:pPr>
      <w:widowControl w:val="0"/>
    </w:pPr>
    <w:rPr>
      <w:rFonts w:asciiTheme="minorHAnsi" w:hAnsiTheme="minorHAnsi" w:cstheme="minorBidi"/>
      <w:lang w:val="en-US"/>
    </w:rPr>
  </w:style>
  <w:style w:type="character" w:styleId="CommentReference">
    <w:name w:val="annotation reference"/>
    <w:basedOn w:val="DefaultParagraphFont"/>
    <w:uiPriority w:val="99"/>
    <w:semiHidden/>
    <w:unhideWhenUsed/>
    <w:rsid w:val="00974F08"/>
    <w:rPr>
      <w:sz w:val="16"/>
      <w:szCs w:val="16"/>
    </w:rPr>
  </w:style>
  <w:style w:type="paragraph" w:styleId="CommentText">
    <w:name w:val="annotation text"/>
    <w:basedOn w:val="Normal"/>
    <w:link w:val="CommentTextChar"/>
    <w:uiPriority w:val="99"/>
    <w:semiHidden/>
    <w:unhideWhenUsed/>
    <w:rsid w:val="00974F08"/>
    <w:rPr>
      <w:sz w:val="20"/>
      <w:szCs w:val="20"/>
    </w:rPr>
  </w:style>
  <w:style w:type="character" w:customStyle="1" w:styleId="CommentTextChar">
    <w:name w:val="Comment Text Char"/>
    <w:basedOn w:val="DefaultParagraphFont"/>
    <w:link w:val="CommentText"/>
    <w:uiPriority w:val="99"/>
    <w:semiHidden/>
    <w:rsid w:val="00974F08"/>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74F08"/>
    <w:rPr>
      <w:b/>
      <w:bCs/>
    </w:rPr>
  </w:style>
  <w:style w:type="character" w:customStyle="1" w:styleId="CommentSubjectChar">
    <w:name w:val="Comment Subject Char"/>
    <w:basedOn w:val="CommentTextChar"/>
    <w:link w:val="CommentSubject"/>
    <w:uiPriority w:val="99"/>
    <w:semiHidden/>
    <w:rsid w:val="00974F08"/>
    <w:rPr>
      <w:rFonts w:ascii="Calibri" w:hAnsi="Calibri" w:cs="Times New Roman"/>
      <w:b/>
      <w:bCs/>
      <w:sz w:val="20"/>
      <w:szCs w:val="20"/>
    </w:rPr>
  </w:style>
  <w:style w:type="paragraph" w:styleId="BalloonText">
    <w:name w:val="Balloon Text"/>
    <w:basedOn w:val="Normal"/>
    <w:link w:val="BalloonTextChar"/>
    <w:uiPriority w:val="99"/>
    <w:semiHidden/>
    <w:unhideWhenUsed/>
    <w:rsid w:val="00974F08"/>
    <w:rPr>
      <w:rFonts w:ascii="Tahoma" w:hAnsi="Tahoma" w:cs="Tahoma"/>
      <w:sz w:val="16"/>
      <w:szCs w:val="16"/>
    </w:rPr>
  </w:style>
  <w:style w:type="character" w:customStyle="1" w:styleId="BalloonTextChar">
    <w:name w:val="Balloon Text Char"/>
    <w:basedOn w:val="DefaultParagraphFont"/>
    <w:link w:val="BalloonText"/>
    <w:uiPriority w:val="99"/>
    <w:semiHidden/>
    <w:rsid w:val="00974F08"/>
    <w:rPr>
      <w:rFonts w:ascii="Tahoma" w:hAnsi="Tahoma" w:cs="Tahoma"/>
      <w:sz w:val="16"/>
      <w:szCs w:val="16"/>
    </w:rPr>
  </w:style>
  <w:style w:type="table" w:styleId="TableGrid">
    <w:name w:val="Table Grid"/>
    <w:basedOn w:val="TableNormal"/>
    <w:uiPriority w:val="59"/>
    <w:rsid w:val="00492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0">
    <w:name w:val="Pa0"/>
    <w:basedOn w:val="Normal"/>
    <w:next w:val="Normal"/>
    <w:uiPriority w:val="99"/>
    <w:rsid w:val="004E2911"/>
    <w:pPr>
      <w:autoSpaceDE w:val="0"/>
      <w:autoSpaceDN w:val="0"/>
      <w:adjustRightInd w:val="0"/>
      <w:spacing w:line="241" w:lineRule="atLeast"/>
    </w:pPr>
    <w:rPr>
      <w:rFonts w:ascii="Arial" w:hAnsi="Arial" w:cs="Arial"/>
      <w:sz w:val="24"/>
      <w:szCs w:val="24"/>
    </w:rPr>
  </w:style>
  <w:style w:type="character" w:customStyle="1" w:styleId="A4">
    <w:name w:val="A4"/>
    <w:uiPriority w:val="99"/>
    <w:rsid w:val="004E2911"/>
    <w:rPr>
      <w:b/>
      <w:bCs/>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021"/>
    <w:pPr>
      <w:spacing w:after="0" w:line="240" w:lineRule="auto"/>
    </w:pPr>
    <w:rPr>
      <w:rFonts w:ascii="Calibri" w:hAnsi="Calibri" w:cs="Times New Roman"/>
    </w:rPr>
  </w:style>
  <w:style w:type="paragraph" w:styleId="Heading2">
    <w:name w:val="heading 2"/>
    <w:basedOn w:val="Normal"/>
    <w:link w:val="Heading2Char"/>
    <w:uiPriority w:val="1"/>
    <w:qFormat/>
    <w:rsid w:val="007D08CF"/>
    <w:pPr>
      <w:widowControl w:val="0"/>
      <w:spacing w:before="219"/>
      <w:ind w:left="548"/>
      <w:outlineLvl w:val="1"/>
    </w:pPr>
    <w:rPr>
      <w:rFonts w:ascii="Arial" w:eastAsia="Arial" w:hAnsi="Arial" w:cstheme="minorBidi"/>
      <w:b/>
      <w:bCs/>
      <w:sz w:val="44"/>
      <w:szCs w:val="4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8C4367"/>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BasicParagraph">
    <w:name w:val="[Basic Paragraph]"/>
    <w:basedOn w:val="NoParagraphStyle"/>
    <w:uiPriority w:val="99"/>
    <w:rsid w:val="008C4367"/>
  </w:style>
  <w:style w:type="character" w:customStyle="1" w:styleId="Headingblack">
    <w:name w:val="Heading black"/>
    <w:basedOn w:val="DefaultParagraphFont"/>
    <w:uiPriority w:val="99"/>
    <w:rsid w:val="008C4367"/>
    <w:rPr>
      <w:rFonts w:ascii="Arial" w:hAnsi="Arial" w:cs="Arial"/>
      <w:b/>
      <w:bCs/>
      <w:color w:val="000000"/>
      <w:sz w:val="28"/>
      <w:szCs w:val="28"/>
      <w:u w:val="none"/>
    </w:rPr>
  </w:style>
  <w:style w:type="character" w:customStyle="1" w:styleId="Bodytextblack">
    <w:name w:val="Body text black"/>
    <w:uiPriority w:val="99"/>
    <w:rsid w:val="008C4367"/>
    <w:rPr>
      <w:rFonts w:ascii="Arial" w:hAnsi="Arial" w:cs="Arial"/>
      <w:color w:val="000000"/>
      <w:sz w:val="17"/>
      <w:szCs w:val="17"/>
      <w:u w:val="none"/>
    </w:rPr>
  </w:style>
  <w:style w:type="character" w:customStyle="1" w:styleId="Hyperlinkteal">
    <w:name w:val="Hyperlink teal"/>
    <w:uiPriority w:val="99"/>
    <w:rsid w:val="008C4367"/>
    <w:rPr>
      <w:rFonts w:ascii="Arial" w:hAnsi="Arial" w:cs="Arial"/>
      <w:b/>
      <w:bCs/>
      <w:color w:val="35858D"/>
      <w:sz w:val="17"/>
      <w:szCs w:val="17"/>
      <w:u w:val="none"/>
    </w:rPr>
  </w:style>
  <w:style w:type="character" w:styleId="Hyperlink">
    <w:name w:val="Hyperlink"/>
    <w:basedOn w:val="DefaultParagraphFont"/>
    <w:uiPriority w:val="99"/>
    <w:unhideWhenUsed/>
    <w:rsid w:val="00CA6CC0"/>
    <w:rPr>
      <w:color w:val="0000FF"/>
      <w:u w:val="single"/>
    </w:rPr>
  </w:style>
  <w:style w:type="character" w:customStyle="1" w:styleId="Heading2Char">
    <w:name w:val="Heading 2 Char"/>
    <w:basedOn w:val="DefaultParagraphFont"/>
    <w:link w:val="Heading2"/>
    <w:uiPriority w:val="1"/>
    <w:rsid w:val="007D08CF"/>
    <w:rPr>
      <w:rFonts w:ascii="Arial" w:eastAsia="Arial" w:hAnsi="Arial"/>
      <w:b/>
      <w:bCs/>
      <w:sz w:val="44"/>
      <w:szCs w:val="44"/>
      <w:lang w:val="en-US"/>
    </w:rPr>
  </w:style>
  <w:style w:type="paragraph" w:styleId="BodyText">
    <w:name w:val="Body Text"/>
    <w:basedOn w:val="Normal"/>
    <w:link w:val="BodyTextChar"/>
    <w:uiPriority w:val="1"/>
    <w:qFormat/>
    <w:rsid w:val="007D08CF"/>
    <w:pPr>
      <w:widowControl w:val="0"/>
      <w:spacing w:before="173"/>
      <w:ind w:left="548" w:hanging="360"/>
    </w:pPr>
    <w:rPr>
      <w:rFonts w:ascii="Arial" w:eastAsia="Arial" w:hAnsi="Arial" w:cstheme="minorBidi"/>
      <w:sz w:val="36"/>
      <w:szCs w:val="36"/>
      <w:lang w:val="en-US"/>
    </w:rPr>
  </w:style>
  <w:style w:type="character" w:customStyle="1" w:styleId="BodyTextChar">
    <w:name w:val="Body Text Char"/>
    <w:basedOn w:val="DefaultParagraphFont"/>
    <w:link w:val="BodyText"/>
    <w:uiPriority w:val="1"/>
    <w:rsid w:val="007D08CF"/>
    <w:rPr>
      <w:rFonts w:ascii="Arial" w:eastAsia="Arial" w:hAnsi="Arial"/>
      <w:sz w:val="36"/>
      <w:szCs w:val="36"/>
      <w:lang w:val="en-US"/>
    </w:rPr>
  </w:style>
  <w:style w:type="paragraph" w:styleId="ListParagraph">
    <w:name w:val="List Paragraph"/>
    <w:basedOn w:val="Normal"/>
    <w:uiPriority w:val="1"/>
    <w:qFormat/>
    <w:rsid w:val="007D08CF"/>
    <w:pPr>
      <w:widowControl w:val="0"/>
    </w:pPr>
    <w:rPr>
      <w:rFonts w:asciiTheme="minorHAnsi" w:hAnsiTheme="minorHAnsi" w:cstheme="minorBidi"/>
      <w:lang w:val="en-US"/>
    </w:rPr>
  </w:style>
  <w:style w:type="character" w:styleId="CommentReference">
    <w:name w:val="annotation reference"/>
    <w:basedOn w:val="DefaultParagraphFont"/>
    <w:uiPriority w:val="99"/>
    <w:semiHidden/>
    <w:unhideWhenUsed/>
    <w:rsid w:val="00974F08"/>
    <w:rPr>
      <w:sz w:val="16"/>
      <w:szCs w:val="16"/>
    </w:rPr>
  </w:style>
  <w:style w:type="paragraph" w:styleId="CommentText">
    <w:name w:val="annotation text"/>
    <w:basedOn w:val="Normal"/>
    <w:link w:val="CommentTextChar"/>
    <w:uiPriority w:val="99"/>
    <w:semiHidden/>
    <w:unhideWhenUsed/>
    <w:rsid w:val="00974F08"/>
    <w:rPr>
      <w:sz w:val="20"/>
      <w:szCs w:val="20"/>
    </w:rPr>
  </w:style>
  <w:style w:type="character" w:customStyle="1" w:styleId="CommentTextChar">
    <w:name w:val="Comment Text Char"/>
    <w:basedOn w:val="DefaultParagraphFont"/>
    <w:link w:val="CommentText"/>
    <w:uiPriority w:val="99"/>
    <w:semiHidden/>
    <w:rsid w:val="00974F08"/>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74F08"/>
    <w:rPr>
      <w:b/>
      <w:bCs/>
    </w:rPr>
  </w:style>
  <w:style w:type="character" w:customStyle="1" w:styleId="CommentSubjectChar">
    <w:name w:val="Comment Subject Char"/>
    <w:basedOn w:val="CommentTextChar"/>
    <w:link w:val="CommentSubject"/>
    <w:uiPriority w:val="99"/>
    <w:semiHidden/>
    <w:rsid w:val="00974F08"/>
    <w:rPr>
      <w:rFonts w:ascii="Calibri" w:hAnsi="Calibri" w:cs="Times New Roman"/>
      <w:b/>
      <w:bCs/>
      <w:sz w:val="20"/>
      <w:szCs w:val="20"/>
    </w:rPr>
  </w:style>
  <w:style w:type="paragraph" w:styleId="BalloonText">
    <w:name w:val="Balloon Text"/>
    <w:basedOn w:val="Normal"/>
    <w:link w:val="BalloonTextChar"/>
    <w:uiPriority w:val="99"/>
    <w:semiHidden/>
    <w:unhideWhenUsed/>
    <w:rsid w:val="00974F08"/>
    <w:rPr>
      <w:rFonts w:ascii="Tahoma" w:hAnsi="Tahoma" w:cs="Tahoma"/>
      <w:sz w:val="16"/>
      <w:szCs w:val="16"/>
    </w:rPr>
  </w:style>
  <w:style w:type="character" w:customStyle="1" w:styleId="BalloonTextChar">
    <w:name w:val="Balloon Text Char"/>
    <w:basedOn w:val="DefaultParagraphFont"/>
    <w:link w:val="BalloonText"/>
    <w:uiPriority w:val="99"/>
    <w:semiHidden/>
    <w:rsid w:val="00974F08"/>
    <w:rPr>
      <w:rFonts w:ascii="Tahoma" w:hAnsi="Tahoma" w:cs="Tahoma"/>
      <w:sz w:val="16"/>
      <w:szCs w:val="16"/>
    </w:rPr>
  </w:style>
  <w:style w:type="table" w:styleId="TableGrid">
    <w:name w:val="Table Grid"/>
    <w:basedOn w:val="TableNormal"/>
    <w:uiPriority w:val="59"/>
    <w:rsid w:val="00492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0">
    <w:name w:val="Pa0"/>
    <w:basedOn w:val="Normal"/>
    <w:next w:val="Normal"/>
    <w:uiPriority w:val="99"/>
    <w:rsid w:val="004E2911"/>
    <w:pPr>
      <w:autoSpaceDE w:val="0"/>
      <w:autoSpaceDN w:val="0"/>
      <w:adjustRightInd w:val="0"/>
      <w:spacing w:line="241" w:lineRule="atLeast"/>
    </w:pPr>
    <w:rPr>
      <w:rFonts w:ascii="Arial" w:hAnsi="Arial" w:cs="Arial"/>
      <w:sz w:val="24"/>
      <w:szCs w:val="24"/>
    </w:rPr>
  </w:style>
  <w:style w:type="character" w:customStyle="1" w:styleId="A4">
    <w:name w:val="A4"/>
    <w:uiPriority w:val="99"/>
    <w:rsid w:val="004E2911"/>
    <w:rPr>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825393">
      <w:bodyDiv w:val="1"/>
      <w:marLeft w:val="0"/>
      <w:marRight w:val="0"/>
      <w:marTop w:val="0"/>
      <w:marBottom w:val="0"/>
      <w:divBdr>
        <w:top w:val="none" w:sz="0" w:space="0" w:color="auto"/>
        <w:left w:val="none" w:sz="0" w:space="0" w:color="auto"/>
        <w:bottom w:val="none" w:sz="0" w:space="0" w:color="auto"/>
        <w:right w:val="none" w:sz="0" w:space="0" w:color="auto"/>
      </w:divBdr>
    </w:div>
    <w:div w:id="636110407">
      <w:bodyDiv w:val="1"/>
      <w:marLeft w:val="0"/>
      <w:marRight w:val="0"/>
      <w:marTop w:val="0"/>
      <w:marBottom w:val="0"/>
      <w:divBdr>
        <w:top w:val="none" w:sz="0" w:space="0" w:color="auto"/>
        <w:left w:val="none" w:sz="0" w:space="0" w:color="auto"/>
        <w:bottom w:val="none" w:sz="0" w:space="0" w:color="auto"/>
        <w:right w:val="none" w:sz="0" w:space="0" w:color="auto"/>
      </w:divBdr>
    </w:div>
    <w:div w:id="672873942">
      <w:bodyDiv w:val="1"/>
      <w:marLeft w:val="0"/>
      <w:marRight w:val="0"/>
      <w:marTop w:val="0"/>
      <w:marBottom w:val="0"/>
      <w:divBdr>
        <w:top w:val="none" w:sz="0" w:space="0" w:color="auto"/>
        <w:left w:val="none" w:sz="0" w:space="0" w:color="auto"/>
        <w:bottom w:val="none" w:sz="0" w:space="0" w:color="auto"/>
        <w:right w:val="none" w:sz="0" w:space="0" w:color="auto"/>
      </w:divBdr>
    </w:div>
    <w:div w:id="1332104623">
      <w:bodyDiv w:val="1"/>
      <w:marLeft w:val="0"/>
      <w:marRight w:val="0"/>
      <w:marTop w:val="0"/>
      <w:marBottom w:val="0"/>
      <w:divBdr>
        <w:top w:val="none" w:sz="0" w:space="0" w:color="auto"/>
        <w:left w:val="none" w:sz="0" w:space="0" w:color="auto"/>
        <w:bottom w:val="none" w:sz="0" w:space="0" w:color="auto"/>
        <w:right w:val="none" w:sz="0" w:space="0" w:color="auto"/>
      </w:divBdr>
    </w:div>
    <w:div w:id="1344016967">
      <w:bodyDiv w:val="1"/>
      <w:marLeft w:val="0"/>
      <w:marRight w:val="0"/>
      <w:marTop w:val="0"/>
      <w:marBottom w:val="0"/>
      <w:divBdr>
        <w:top w:val="none" w:sz="0" w:space="0" w:color="auto"/>
        <w:left w:val="none" w:sz="0" w:space="0" w:color="auto"/>
        <w:bottom w:val="none" w:sz="0" w:space="0" w:color="auto"/>
        <w:right w:val="none" w:sz="0" w:space="0" w:color="auto"/>
      </w:divBdr>
    </w:div>
    <w:div w:id="1434469893">
      <w:bodyDiv w:val="1"/>
      <w:marLeft w:val="0"/>
      <w:marRight w:val="0"/>
      <w:marTop w:val="0"/>
      <w:marBottom w:val="0"/>
      <w:divBdr>
        <w:top w:val="none" w:sz="0" w:space="0" w:color="auto"/>
        <w:left w:val="none" w:sz="0" w:space="0" w:color="auto"/>
        <w:bottom w:val="none" w:sz="0" w:space="0" w:color="auto"/>
        <w:right w:val="none" w:sz="0" w:space="0" w:color="auto"/>
      </w:divBdr>
    </w:div>
    <w:div w:id="174609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tion.vic.gov.au/veyldf" TargetMode="External"/><Relationship Id="rId13" Type="http://schemas.openxmlformats.org/officeDocument/2006/relationships/hyperlink" Target="http://www.education.vic.gov.au/childhood/providers/regulation/Pages/nqffactsheets.aspx" TargetMode="External"/><Relationship Id="rId18" Type="http://schemas.openxmlformats.org/officeDocument/2006/relationships/hyperlink" Target="mailto:via@ccc.org.a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agecs.org.au/vicseg-cultural-competency-training/" TargetMode="External"/><Relationship Id="rId7" Type="http://schemas.openxmlformats.org/officeDocument/2006/relationships/hyperlink" Target="http://www.education.vic.gov.au/childhood/providers/regulation/Pages/newsletters.aspx" TargetMode="External"/><Relationship Id="rId12" Type="http://schemas.openxmlformats.org/officeDocument/2006/relationships/hyperlink" Target="http://www.acecqa.gov.au/indexation-of-fees" TargetMode="External"/><Relationship Id="rId17" Type="http://schemas.openxmlformats.org/officeDocument/2006/relationships/hyperlink" Target="http://www.parentingrc.org.au/perceptions" TargetMode="External"/><Relationship Id="rId25" Type="http://schemas.openxmlformats.org/officeDocument/2006/relationships/hyperlink" Target="mailto:teamimmunisation@whittlesea.vic.gov.au" TargetMode="External"/><Relationship Id="rId2" Type="http://schemas.openxmlformats.org/officeDocument/2006/relationships/numbering" Target="numbering.xml"/><Relationship Id="rId16" Type="http://schemas.openxmlformats.org/officeDocument/2006/relationships/hyperlink" Target="http://heas.health.vic.gov.au/training/training-options" TargetMode="External"/><Relationship Id="rId20" Type="http://schemas.openxmlformats.org/officeDocument/2006/relationships/hyperlink" Target="http://www.education.gov.au/inclusion-support-programme" TargetMode="External"/><Relationship Id="rId29"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ducation.vic.gov.au/childhood/providers/regulation/Pages/nqffactsheets.aspx" TargetMode="External"/><Relationship Id="rId24" Type="http://schemas.openxmlformats.org/officeDocument/2006/relationships/hyperlink" Target="https://www.nhmrc.gov.au/guidelines-publications/ch55" TargetMode="External"/><Relationship Id="rId5" Type="http://schemas.openxmlformats.org/officeDocument/2006/relationships/settings" Target="settings.xml"/><Relationship Id="rId15" Type="http://schemas.openxmlformats.org/officeDocument/2006/relationships/hyperlink" Target="http://www.immunise.health.gov.au/internet/immunise/publishing.nsf/Content/Handbook10-home" TargetMode="External"/><Relationship Id="rId23" Type="http://schemas.openxmlformats.org/officeDocument/2006/relationships/hyperlink" Target="http://www.childhood.org.au/for-professionals/workshops-and-seminars/seminar-listing-page/2016/mandatory-reporting?key=%7bDB27635E-AD46-4CE8-B216-92AEEB3837B9%7d" TargetMode="External"/><Relationship Id="rId28" Type="http://schemas.microsoft.com/office/2011/relationships/commentsExtended" Target="commentsExtended.xml"/><Relationship Id="rId10" Type="http://schemas.openxmlformats.org/officeDocument/2006/relationships/hyperlink" Target="http://www.education.vic.gov.au/childhood/providers/regulation/Pages/nqffactsheets.aspx" TargetMode="External"/><Relationship Id="rId19" Type="http://schemas.openxmlformats.org/officeDocument/2006/relationships/hyperlink" Target="http://www.viac.com.au" TargetMode="External"/><Relationship Id="rId31"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yperlink" Target="http://www.vcaa.vic.edu.au/Pages/earlyyears/subscribe.aspx" TargetMode="External"/><Relationship Id="rId14" Type="http://schemas.openxmlformats.org/officeDocument/2006/relationships/hyperlink" Target="http://www.immunise.health.gov.au/internet/immunise/publishing.nsf/Content/Handbook10-home" TargetMode="External"/><Relationship Id="rId22" Type="http://schemas.openxmlformats.org/officeDocument/2006/relationships/hyperlink" Target="file:///D:/Users/09271249/Documents/www.foresthillecf.org.au" TargetMode="External"/><Relationship Id="rId27" Type="http://schemas.openxmlformats.org/officeDocument/2006/relationships/theme" Target="theme/theme1.xml"/><Relationship Id="rId30"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A2A3E-4358-4810-B79F-ABECE5EDE6C8}"/>
</file>

<file path=customXml/itemProps2.xml><?xml version="1.0" encoding="utf-8"?>
<ds:datastoreItem xmlns:ds="http://schemas.openxmlformats.org/officeDocument/2006/customXml" ds:itemID="{B2A2F028-2164-4787-914B-AE640864C5FA}"/>
</file>

<file path=customXml/itemProps3.xml><?xml version="1.0" encoding="utf-8"?>
<ds:datastoreItem xmlns:ds="http://schemas.openxmlformats.org/officeDocument/2006/customXml" ds:itemID="{CE277C88-61CD-4B75-B678-21109F48F56A}"/>
</file>

<file path=customXml/itemProps4.xml><?xml version="1.0" encoding="utf-8"?>
<ds:datastoreItem xmlns:ds="http://schemas.openxmlformats.org/officeDocument/2006/customXml" ds:itemID="{017B9283-5BCF-4949-8C3E-959CEC5653DD}"/>
</file>

<file path=docProps/app.xml><?xml version="1.0" encoding="utf-8"?>
<Properties xmlns="http://schemas.openxmlformats.org/officeDocument/2006/extended-properties" xmlns:vt="http://schemas.openxmlformats.org/officeDocument/2006/docPropsVTypes">
  <Template>Normal</Template>
  <TotalTime>34</TotalTime>
  <Pages>1</Pages>
  <Words>3580</Words>
  <Characters>20410</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23943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Reid, Marian M</dc:creator>
  <cp:lastModifiedBy>Kringas, Andrew P</cp:lastModifiedBy>
  <cp:revision>9</cp:revision>
  <cp:lastPrinted>2016-07-11T01:47:00Z</cp:lastPrinted>
  <dcterms:created xsi:type="dcterms:W3CDTF">2016-08-19T06:55:00Z</dcterms:created>
  <dcterms:modified xsi:type="dcterms:W3CDTF">2016-08-24T23:37:00Z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