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95DEE" w14:textId="77777777" w:rsidR="003A3393" w:rsidRDefault="003A3393" w:rsidP="003A3393">
      <w:pPr>
        <w:pStyle w:val="Title"/>
      </w:pPr>
    </w:p>
    <w:p w14:paraId="0BE528BD" w14:textId="77777777" w:rsidR="003A3393" w:rsidRDefault="003A3393" w:rsidP="003A3393">
      <w:pPr>
        <w:pStyle w:val="Title"/>
      </w:pPr>
    </w:p>
    <w:p w14:paraId="715893C1" w14:textId="77777777" w:rsidR="003A3393" w:rsidRDefault="003A3393" w:rsidP="003A3393">
      <w:pPr>
        <w:pStyle w:val="Title"/>
      </w:pPr>
    </w:p>
    <w:p w14:paraId="6E293CAF" w14:textId="77777777" w:rsidR="003A3393" w:rsidRDefault="003A3393" w:rsidP="003A3393">
      <w:pPr>
        <w:pStyle w:val="Title"/>
      </w:pPr>
    </w:p>
    <w:p w14:paraId="3F0A033B" w14:textId="77777777" w:rsidR="003A3393" w:rsidRDefault="003A3393" w:rsidP="003A3393">
      <w:pPr>
        <w:pStyle w:val="Title"/>
      </w:pPr>
    </w:p>
    <w:p w14:paraId="7E2AB96F" w14:textId="77777777" w:rsidR="003A3393" w:rsidRDefault="003A3393" w:rsidP="003A3393">
      <w:pPr>
        <w:pStyle w:val="Title"/>
      </w:pPr>
    </w:p>
    <w:p w14:paraId="4818D0B5" w14:textId="0AA53F46" w:rsidR="003A3393" w:rsidRDefault="003A3393" w:rsidP="003A3393">
      <w:pPr>
        <w:pStyle w:val="Title"/>
      </w:pPr>
      <w:r>
        <w:t>Children</w:t>
      </w:r>
      <w:r w:rsidR="0057047D">
        <w:t>’s</w:t>
      </w:r>
      <w:r>
        <w:t xml:space="preserve"> facilit</w:t>
      </w:r>
      <w:r w:rsidR="007E6B2F">
        <w:t>I</w:t>
      </w:r>
      <w:r>
        <w:t xml:space="preserve">es </w:t>
      </w:r>
    </w:p>
    <w:p w14:paraId="7B0B937B" w14:textId="2A76D2CB" w:rsidR="003A3393" w:rsidRDefault="00BD2CBE" w:rsidP="003A3393">
      <w:pPr>
        <w:pStyle w:val="Title"/>
      </w:pPr>
      <w:r>
        <w:t>capital program</w:t>
      </w:r>
      <w:r w:rsidR="003A3393">
        <w:br/>
      </w:r>
      <w:r w:rsidR="003A3393">
        <w:rPr>
          <w:color w:val="B4292D" w:themeColor="text2"/>
        </w:rPr>
        <w:t>2017-18 Minor Grant</w:t>
      </w:r>
      <w:r w:rsidR="003A3393" w:rsidRPr="00D732D1">
        <w:rPr>
          <w:color w:val="B4292D" w:themeColor="text2"/>
        </w:rPr>
        <w:br/>
      </w:r>
      <w:r w:rsidR="003A3393">
        <w:rPr>
          <w:color w:val="B4292D" w:themeColor="text2"/>
        </w:rPr>
        <w:t xml:space="preserve">guidelines </w:t>
      </w:r>
    </w:p>
    <w:p w14:paraId="0625CCD3" w14:textId="77777777" w:rsidR="003A3393" w:rsidRDefault="003A3393" w:rsidP="00184E10">
      <w:pPr>
        <w:pStyle w:val="Heading2"/>
      </w:pPr>
    </w:p>
    <w:p w14:paraId="732F66EF" w14:textId="77777777" w:rsidR="003A3393" w:rsidRDefault="003A3393" w:rsidP="00184E10">
      <w:pPr>
        <w:pStyle w:val="Heading2"/>
      </w:pPr>
    </w:p>
    <w:p w14:paraId="7C8CC612" w14:textId="77777777" w:rsidR="003A3393" w:rsidRDefault="003A3393" w:rsidP="00184E10">
      <w:pPr>
        <w:pStyle w:val="Heading2"/>
      </w:pPr>
    </w:p>
    <w:p w14:paraId="3F97AC6E" w14:textId="77777777" w:rsidR="003A3393" w:rsidRDefault="003A3393" w:rsidP="00184E10">
      <w:pPr>
        <w:pStyle w:val="Heading2"/>
      </w:pPr>
    </w:p>
    <w:p w14:paraId="38BED699" w14:textId="77777777" w:rsidR="003A3393" w:rsidRDefault="003A3393" w:rsidP="00184E10">
      <w:pPr>
        <w:pStyle w:val="Heading2"/>
      </w:pPr>
    </w:p>
    <w:p w14:paraId="0C3B6EDF" w14:textId="77777777" w:rsidR="003A3393" w:rsidRDefault="003A3393" w:rsidP="00184E10">
      <w:pPr>
        <w:pStyle w:val="Heading2"/>
      </w:pPr>
    </w:p>
    <w:p w14:paraId="5F1918D5" w14:textId="77777777" w:rsidR="003A3393" w:rsidRDefault="003A3393" w:rsidP="00184E10">
      <w:pPr>
        <w:pStyle w:val="Heading2"/>
      </w:pPr>
    </w:p>
    <w:p w14:paraId="60DA8994" w14:textId="77777777" w:rsidR="003A3393" w:rsidRDefault="003A3393" w:rsidP="00184E10">
      <w:pPr>
        <w:pStyle w:val="Heading2"/>
      </w:pPr>
    </w:p>
    <w:p w14:paraId="3ADCE9AD" w14:textId="77777777" w:rsidR="003A3393" w:rsidRPr="003A3393" w:rsidRDefault="003A3393" w:rsidP="003A3393"/>
    <w:p w14:paraId="47FD75CD" w14:textId="77777777" w:rsidR="003A3393" w:rsidRDefault="003A3393" w:rsidP="00184E10">
      <w:pPr>
        <w:pStyle w:val="Heading2"/>
      </w:pPr>
    </w:p>
    <w:p w14:paraId="619D1F26" w14:textId="77777777" w:rsidR="003A3393" w:rsidRDefault="003A3393" w:rsidP="00184E10">
      <w:pPr>
        <w:pStyle w:val="Heading2"/>
      </w:pPr>
    </w:p>
    <w:p w14:paraId="63C0E14D" w14:textId="77777777" w:rsidR="003A3393" w:rsidRDefault="003A3393" w:rsidP="00184E10">
      <w:pPr>
        <w:pStyle w:val="Heading2"/>
      </w:pPr>
    </w:p>
    <w:p w14:paraId="79902168" w14:textId="77777777" w:rsidR="003A3393" w:rsidRDefault="003A3393" w:rsidP="00184E10">
      <w:pPr>
        <w:pStyle w:val="Heading2"/>
      </w:pPr>
    </w:p>
    <w:p w14:paraId="295E9C34" w14:textId="77777777" w:rsidR="003A3393" w:rsidRDefault="003A3393" w:rsidP="00184E10">
      <w:pPr>
        <w:pStyle w:val="Heading2"/>
      </w:pPr>
    </w:p>
    <w:p w14:paraId="2D9B2F77" w14:textId="77777777" w:rsidR="00A951D3" w:rsidRDefault="00A951D3" w:rsidP="00A951D3"/>
    <w:p w14:paraId="3578A107" w14:textId="77777777" w:rsidR="003A3393" w:rsidRDefault="003A3393" w:rsidP="00A951D3"/>
    <w:p w14:paraId="6FC6573E" w14:textId="77777777" w:rsidR="003A3393" w:rsidRDefault="003A3393" w:rsidP="00A951D3">
      <w:pPr>
        <w:rPr>
          <w:color w:val="000000"/>
          <w:u w:color="000000"/>
        </w:rPr>
      </w:pPr>
    </w:p>
    <w:p w14:paraId="270DCD3A" w14:textId="77777777" w:rsidR="003A3393" w:rsidRDefault="003A3393" w:rsidP="00A951D3">
      <w:pPr>
        <w:rPr>
          <w:color w:val="000000"/>
          <w:u w:color="000000"/>
        </w:rPr>
      </w:pPr>
    </w:p>
    <w:p w14:paraId="5786EC88" w14:textId="77777777" w:rsidR="003A3393" w:rsidRDefault="003A3393" w:rsidP="00A951D3">
      <w:pPr>
        <w:rPr>
          <w:color w:val="000000"/>
          <w:u w:color="000000"/>
        </w:rPr>
      </w:pPr>
    </w:p>
    <w:p w14:paraId="6E2CFBAA" w14:textId="77777777" w:rsidR="003A3393" w:rsidRDefault="003A3393" w:rsidP="00A951D3">
      <w:pPr>
        <w:rPr>
          <w:color w:val="000000"/>
          <w:u w:color="000000"/>
        </w:rPr>
      </w:pPr>
    </w:p>
    <w:p w14:paraId="4EBF95EE" w14:textId="77777777" w:rsidR="003A3393" w:rsidRDefault="003A3393" w:rsidP="00A951D3">
      <w:pPr>
        <w:rPr>
          <w:color w:val="000000"/>
          <w:u w:color="000000"/>
        </w:rPr>
      </w:pPr>
    </w:p>
    <w:p w14:paraId="26E797F7" w14:textId="77777777" w:rsidR="003A3393" w:rsidRDefault="003A3393" w:rsidP="00A951D3">
      <w:pPr>
        <w:rPr>
          <w:color w:val="000000"/>
          <w:u w:color="000000"/>
        </w:rPr>
      </w:pPr>
    </w:p>
    <w:p w14:paraId="1DBDA3AB" w14:textId="77777777" w:rsidR="003A3393" w:rsidRDefault="003A3393" w:rsidP="00A951D3">
      <w:pPr>
        <w:rPr>
          <w:color w:val="000000"/>
          <w:u w:color="000000"/>
        </w:rPr>
      </w:pPr>
    </w:p>
    <w:p w14:paraId="0F3C8ECC" w14:textId="77777777" w:rsidR="003A3393" w:rsidRDefault="003A3393" w:rsidP="00A951D3">
      <w:pPr>
        <w:rPr>
          <w:color w:val="000000"/>
          <w:u w:color="000000"/>
        </w:rPr>
      </w:pPr>
    </w:p>
    <w:p w14:paraId="213EDA04" w14:textId="77777777" w:rsidR="003A3393" w:rsidRPr="005863FB" w:rsidRDefault="003A3393" w:rsidP="003A3393">
      <w:pPr>
        <w:pStyle w:val="CopyrightDetailsBold"/>
        <w:rPr>
          <w:lang w:val="en-AU"/>
        </w:rPr>
      </w:pPr>
    </w:p>
    <w:p w14:paraId="033E7DE2" w14:textId="77777777" w:rsidR="003A3393" w:rsidRPr="005863FB" w:rsidRDefault="003A3393" w:rsidP="003A3393"/>
    <w:p w14:paraId="0F7003F2" w14:textId="77777777" w:rsidR="0021003D" w:rsidRDefault="0021003D" w:rsidP="003A3393"/>
    <w:p w14:paraId="57542146" w14:textId="77777777" w:rsidR="0021003D" w:rsidRDefault="0021003D" w:rsidP="003A3393"/>
    <w:p w14:paraId="518D5A69" w14:textId="77777777" w:rsidR="00444E75" w:rsidRDefault="00444E75" w:rsidP="003A3393"/>
    <w:p w14:paraId="36D26222" w14:textId="77777777" w:rsidR="00444E75" w:rsidRDefault="00444E75" w:rsidP="003A3393"/>
    <w:p w14:paraId="400B9316" w14:textId="77777777" w:rsidR="00444E75" w:rsidRDefault="00444E75" w:rsidP="003A3393"/>
    <w:p w14:paraId="17167994" w14:textId="77777777" w:rsidR="00444E75" w:rsidRDefault="00444E75" w:rsidP="003A3393"/>
    <w:p w14:paraId="5442DA49" w14:textId="77777777" w:rsidR="00444E75" w:rsidRDefault="00444E75" w:rsidP="003A3393"/>
    <w:p w14:paraId="23BD1337" w14:textId="77777777" w:rsidR="00444E75" w:rsidRDefault="00444E75" w:rsidP="003A3393"/>
    <w:p w14:paraId="2796DFA7" w14:textId="77777777" w:rsidR="00444E75" w:rsidRDefault="00444E75" w:rsidP="003A3393"/>
    <w:p w14:paraId="620EC5C2" w14:textId="77777777" w:rsidR="00444E75" w:rsidRDefault="00444E75" w:rsidP="003A3393"/>
    <w:p w14:paraId="6BC5973D" w14:textId="77777777" w:rsidR="00444E75" w:rsidRDefault="00444E75" w:rsidP="003A3393"/>
    <w:p w14:paraId="1647F15B" w14:textId="77777777" w:rsidR="00444E75" w:rsidRDefault="00444E75" w:rsidP="003A3393"/>
    <w:p w14:paraId="6102DCA4" w14:textId="77777777" w:rsidR="00444E75" w:rsidRDefault="00444E75" w:rsidP="003A3393"/>
    <w:p w14:paraId="45D75C57" w14:textId="77777777" w:rsidR="00444E75" w:rsidRDefault="00444E75" w:rsidP="003A3393"/>
    <w:p w14:paraId="71FE4A7F" w14:textId="77777777" w:rsidR="00444E75" w:rsidRDefault="00444E75" w:rsidP="003A3393"/>
    <w:p w14:paraId="437CE29F" w14:textId="77777777" w:rsidR="00444E75" w:rsidRDefault="00444E75" w:rsidP="003A3393"/>
    <w:p w14:paraId="290ECA99" w14:textId="77777777" w:rsidR="003A3393" w:rsidRPr="00BA763C" w:rsidRDefault="003A3393" w:rsidP="00444E75">
      <w:pPr>
        <w:pStyle w:val="Caption"/>
      </w:pPr>
      <w:r w:rsidRPr="00BA763C">
        <w:t>Published by the</w:t>
      </w:r>
      <w:r w:rsidRPr="00BA763C">
        <w:br/>
        <w:t>Victorian School Building Authority</w:t>
      </w:r>
      <w:r w:rsidRPr="00BA763C">
        <w:br/>
        <w:t>Department of Education and Training</w:t>
      </w:r>
    </w:p>
    <w:p w14:paraId="377F2B72" w14:textId="77777777" w:rsidR="003A3393" w:rsidRPr="00BA763C" w:rsidRDefault="003A3393" w:rsidP="00444E75">
      <w:pPr>
        <w:pStyle w:val="Caption"/>
      </w:pPr>
      <w:r w:rsidRPr="00BA763C">
        <w:t>Melbourne</w:t>
      </w:r>
      <w:r w:rsidRPr="00BA763C">
        <w:br/>
        <w:t xml:space="preserve">March 2017 </w:t>
      </w:r>
    </w:p>
    <w:p w14:paraId="24B2826B" w14:textId="77777777" w:rsidR="003A3393" w:rsidRPr="00BA763C" w:rsidRDefault="003A3393" w:rsidP="00444E75">
      <w:pPr>
        <w:pStyle w:val="Caption"/>
      </w:pPr>
    </w:p>
    <w:p w14:paraId="6F41F9B7" w14:textId="77777777" w:rsidR="003A3393" w:rsidRPr="00BA763C" w:rsidRDefault="003A3393" w:rsidP="00444E75">
      <w:pPr>
        <w:pStyle w:val="Caption"/>
      </w:pPr>
    </w:p>
    <w:p w14:paraId="5115E02F" w14:textId="77777777" w:rsidR="003A3393" w:rsidRDefault="003A3393" w:rsidP="00444E75">
      <w:pPr>
        <w:pStyle w:val="Caption"/>
      </w:pPr>
      <w:r w:rsidRPr="00BA763C">
        <w:t>©March 2017 Victoria (Department of Education and Training)</w:t>
      </w:r>
      <w:r w:rsidRPr="005863FB">
        <w:t xml:space="preserve"> </w:t>
      </w:r>
    </w:p>
    <w:p w14:paraId="4F464AE8" w14:textId="77777777" w:rsidR="003A3393" w:rsidRPr="005863FB" w:rsidRDefault="003A3393" w:rsidP="00444E75">
      <w:pPr>
        <w:pStyle w:val="Caption"/>
      </w:pPr>
    </w:p>
    <w:p w14:paraId="56B48C55" w14:textId="77777777" w:rsidR="003A3393" w:rsidRPr="005863FB" w:rsidRDefault="003A3393" w:rsidP="00444E75">
      <w:pPr>
        <w:pStyle w:val="Caption"/>
      </w:pPr>
      <w:r w:rsidRPr="005863FB">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677881DA" w14:textId="77777777" w:rsidR="003A3393" w:rsidRPr="005863FB" w:rsidRDefault="003A3393" w:rsidP="00444E75">
      <w:pPr>
        <w:pStyle w:val="Caption"/>
      </w:pPr>
    </w:p>
    <w:p w14:paraId="151A7465" w14:textId="77777777" w:rsidR="003A3393" w:rsidRPr="005863FB" w:rsidRDefault="003A3393" w:rsidP="00444E75">
      <w:pPr>
        <w:pStyle w:val="Caption"/>
      </w:pPr>
    </w:p>
    <w:p w14:paraId="32F00542" w14:textId="77777777" w:rsidR="003A3393" w:rsidRPr="005863FB" w:rsidRDefault="003A3393" w:rsidP="00444E75">
      <w:pPr>
        <w:pStyle w:val="Caption"/>
      </w:pPr>
    </w:p>
    <w:p w14:paraId="3D068227" w14:textId="77777777" w:rsidR="003A3393" w:rsidRPr="005863FB" w:rsidRDefault="003A3393" w:rsidP="00444E75">
      <w:pPr>
        <w:pStyle w:val="Caption"/>
      </w:pPr>
      <w:r w:rsidRPr="005863FB">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3DBBEF74" w14:textId="77777777" w:rsidR="003A3393" w:rsidRPr="005863FB" w:rsidRDefault="003A3393" w:rsidP="00444E75">
      <w:pPr>
        <w:pStyle w:val="Caption"/>
      </w:pPr>
    </w:p>
    <w:p w14:paraId="6DDE1472" w14:textId="77777777" w:rsidR="003A3393" w:rsidRDefault="003A3393" w:rsidP="00444E75">
      <w:pPr>
        <w:pStyle w:val="Caption"/>
        <w:rPr>
          <w:rFonts w:eastAsia="Times New Roman"/>
          <w:u w:val="single"/>
        </w:rPr>
      </w:pPr>
      <w:r w:rsidRPr="005863FB">
        <w:t>Authorised by the Depar</w:t>
      </w:r>
      <w:r>
        <w:t>tment of Education and Training</w:t>
      </w:r>
      <w:r w:rsidRPr="005863FB">
        <w:br/>
        <w:t>2 Treasury Place, East Melbourne, Victoria, 3002.</w:t>
      </w:r>
      <w:r w:rsidRPr="005863FB">
        <w:br/>
        <w:t>ISBN [to be inserted if required]</w:t>
      </w:r>
      <w:r w:rsidRPr="005863FB">
        <w:br/>
        <w:t>This document is also available on the internet at</w:t>
      </w:r>
      <w:r w:rsidRPr="005863FB">
        <w:br/>
      </w:r>
      <w:hyperlink r:id="rId12" w:history="1">
        <w:r w:rsidRPr="00444E75">
          <w:rPr>
            <w:u w:val="single"/>
          </w:rPr>
          <w:t>www.education.vic.gov.au/ecsmanagement/capitalprogram</w:t>
        </w:r>
      </w:hyperlink>
    </w:p>
    <w:p w14:paraId="7BC35B69" w14:textId="77777777" w:rsidR="003A3393" w:rsidRDefault="003A3393" w:rsidP="00A951D3">
      <w:pPr>
        <w:rPr>
          <w:color w:val="000000"/>
          <w:u w:color="000000"/>
        </w:rPr>
      </w:pPr>
    </w:p>
    <w:p w14:paraId="1096D10B" w14:textId="77777777" w:rsidR="003A3393" w:rsidRDefault="003A3393" w:rsidP="00A951D3">
      <w:pPr>
        <w:rPr>
          <w:color w:val="000000"/>
          <w:u w:color="000000"/>
        </w:rPr>
      </w:pPr>
    </w:p>
    <w:p w14:paraId="04DE5D41" w14:textId="77777777" w:rsidR="003A3393" w:rsidRDefault="003A3393" w:rsidP="00A951D3">
      <w:pPr>
        <w:rPr>
          <w:color w:val="000000"/>
          <w:u w:color="000000"/>
        </w:rPr>
      </w:pPr>
    </w:p>
    <w:p w14:paraId="61AC3A50" w14:textId="77777777" w:rsidR="003A3393" w:rsidRDefault="003A3393" w:rsidP="00A951D3">
      <w:pPr>
        <w:rPr>
          <w:color w:val="000000"/>
          <w:u w:color="000000"/>
        </w:rPr>
      </w:pPr>
    </w:p>
    <w:p w14:paraId="2745F5A4" w14:textId="77777777" w:rsidR="003A3393" w:rsidRDefault="003A3393" w:rsidP="00A951D3">
      <w:pPr>
        <w:rPr>
          <w:color w:val="000000"/>
          <w:u w:color="000000"/>
        </w:rPr>
      </w:pPr>
    </w:p>
    <w:p w14:paraId="41ED619B" w14:textId="77777777" w:rsidR="003A3393" w:rsidRDefault="003A3393" w:rsidP="00A951D3">
      <w:pPr>
        <w:rPr>
          <w:color w:val="000000"/>
          <w:u w:color="000000"/>
        </w:rPr>
      </w:pPr>
    </w:p>
    <w:p w14:paraId="4AC646A8" w14:textId="77777777" w:rsidR="003A3393" w:rsidRPr="003A3393" w:rsidRDefault="003A3393" w:rsidP="003A3393">
      <w:pPr>
        <w:pStyle w:val="Heading1"/>
        <w:rPr>
          <w:u w:color="000000"/>
        </w:rPr>
      </w:pPr>
      <w:r>
        <w:rPr>
          <w:u w:color="000000"/>
        </w:rPr>
        <w:t>CONTENTS</w:t>
      </w:r>
    </w:p>
    <w:p w14:paraId="33918295" w14:textId="77777777" w:rsidR="003A3393" w:rsidRDefault="003A3393" w:rsidP="00A951D3">
      <w:pPr>
        <w:rPr>
          <w:color w:val="000000"/>
          <w:u w:color="000000"/>
        </w:rPr>
      </w:pPr>
    </w:p>
    <w:p w14:paraId="704B6904" w14:textId="77777777" w:rsidR="003A3393" w:rsidRPr="003A3393" w:rsidRDefault="003A3393" w:rsidP="003A3393">
      <w:pPr>
        <w:rPr>
          <w:rFonts w:eastAsiaTheme="minorEastAsia"/>
          <w:noProof/>
          <w:sz w:val="22"/>
          <w:szCs w:val="22"/>
        </w:rPr>
      </w:pPr>
      <w:r w:rsidRPr="003A3393">
        <w:fldChar w:fldCharType="begin"/>
      </w:r>
      <w:r w:rsidRPr="003A3393">
        <w:instrText xml:space="preserve"> TOC \o 2-2 \t "Heading, 3" </w:instrText>
      </w:r>
      <w:r w:rsidRPr="003A3393">
        <w:fldChar w:fldCharType="separate"/>
      </w:r>
      <w:r w:rsidRPr="003A3393">
        <w:rPr>
          <w:noProof/>
        </w:rPr>
        <w:t>1.</w:t>
      </w:r>
      <w:r w:rsidRPr="003A3393">
        <w:rPr>
          <w:rFonts w:eastAsiaTheme="minorEastAsia"/>
          <w:noProof/>
          <w:sz w:val="22"/>
          <w:szCs w:val="22"/>
        </w:rPr>
        <w:tab/>
      </w:r>
      <w:r w:rsidRPr="003A3393">
        <w:rPr>
          <w:noProof/>
        </w:rPr>
        <w:t>Introduction</w:t>
      </w:r>
      <w:r w:rsidRPr="003A3393">
        <w:rPr>
          <w:noProof/>
        </w:rPr>
        <w:tab/>
      </w:r>
      <w:r w:rsidRPr="003A3393">
        <w:rPr>
          <w:noProof/>
        </w:rPr>
        <w:tab/>
      </w:r>
      <w:r w:rsidRPr="003A3393">
        <w:rPr>
          <w:noProof/>
        </w:rPr>
        <w:tab/>
      </w:r>
      <w:r w:rsidRPr="003A3393">
        <w:rPr>
          <w:noProof/>
        </w:rPr>
        <w:tab/>
      </w:r>
      <w:r w:rsidRPr="003A3393">
        <w:rPr>
          <w:noProof/>
        </w:rPr>
        <w:tab/>
      </w:r>
      <w:r>
        <w:rPr>
          <w:noProof/>
        </w:rPr>
        <w:tab/>
      </w:r>
      <w:r w:rsidRPr="003A3393">
        <w:rPr>
          <w:noProof/>
        </w:rPr>
        <w:t>4</w:t>
      </w:r>
    </w:p>
    <w:p w14:paraId="1808A4F5" w14:textId="77777777" w:rsidR="003A3393" w:rsidRPr="003A3393" w:rsidRDefault="003A3393" w:rsidP="003A3393">
      <w:pPr>
        <w:rPr>
          <w:rFonts w:eastAsiaTheme="minorEastAsia"/>
          <w:noProof/>
          <w:sz w:val="22"/>
          <w:szCs w:val="22"/>
        </w:rPr>
      </w:pPr>
      <w:r w:rsidRPr="003A3393">
        <w:rPr>
          <w:noProof/>
        </w:rPr>
        <w:t>2.</w:t>
      </w:r>
      <w:r w:rsidRPr="003A3393">
        <w:rPr>
          <w:rFonts w:eastAsiaTheme="minorEastAsia"/>
          <w:noProof/>
          <w:sz w:val="22"/>
          <w:szCs w:val="22"/>
        </w:rPr>
        <w:tab/>
      </w:r>
      <w:r w:rsidRPr="003A3393">
        <w:rPr>
          <w:noProof/>
        </w:rPr>
        <w:t>Minor Infrastructure Expansion Grants</w:t>
      </w:r>
      <w:r w:rsidRPr="003A3393">
        <w:rPr>
          <w:noProof/>
        </w:rPr>
        <w:tab/>
      </w:r>
      <w:r w:rsidRPr="003A3393">
        <w:rPr>
          <w:noProof/>
        </w:rPr>
        <w:tab/>
      </w:r>
      <w:r>
        <w:rPr>
          <w:noProof/>
        </w:rPr>
        <w:tab/>
      </w:r>
      <w:r w:rsidRPr="003A3393">
        <w:rPr>
          <w:noProof/>
        </w:rPr>
        <w:t>5</w:t>
      </w:r>
    </w:p>
    <w:p w14:paraId="1EAD1110" w14:textId="77777777" w:rsidR="003A3393" w:rsidRPr="003A3393" w:rsidRDefault="003A3393" w:rsidP="003A3393">
      <w:pPr>
        <w:rPr>
          <w:rFonts w:eastAsiaTheme="minorEastAsia"/>
          <w:noProof/>
          <w:sz w:val="22"/>
          <w:szCs w:val="22"/>
        </w:rPr>
      </w:pPr>
      <w:r w:rsidRPr="003A3393">
        <w:rPr>
          <w:noProof/>
        </w:rPr>
        <w:t>3.</w:t>
      </w:r>
      <w:r w:rsidRPr="003A3393">
        <w:rPr>
          <w:rFonts w:eastAsiaTheme="minorEastAsia"/>
          <w:noProof/>
          <w:sz w:val="22"/>
          <w:szCs w:val="22"/>
        </w:rPr>
        <w:tab/>
      </w:r>
      <w:r w:rsidRPr="003A3393">
        <w:rPr>
          <w:noProof/>
        </w:rPr>
        <w:t>Minor Infrastructure Refurbishment Grants</w:t>
      </w:r>
      <w:r w:rsidRPr="003A3393">
        <w:rPr>
          <w:noProof/>
        </w:rPr>
        <w:tab/>
        <w:t xml:space="preserve"> </w:t>
      </w:r>
      <w:r w:rsidRPr="003A3393">
        <w:rPr>
          <w:noProof/>
        </w:rPr>
        <w:tab/>
      </w:r>
      <w:r>
        <w:rPr>
          <w:noProof/>
        </w:rPr>
        <w:tab/>
      </w:r>
      <w:r w:rsidRPr="003A3393">
        <w:rPr>
          <w:noProof/>
        </w:rPr>
        <w:t>6</w:t>
      </w:r>
    </w:p>
    <w:p w14:paraId="70746648" w14:textId="77777777" w:rsidR="003A3393" w:rsidRPr="003A3393" w:rsidRDefault="003A3393" w:rsidP="003A3393">
      <w:pPr>
        <w:rPr>
          <w:rFonts w:eastAsiaTheme="minorEastAsia"/>
          <w:noProof/>
          <w:sz w:val="22"/>
          <w:szCs w:val="22"/>
        </w:rPr>
      </w:pPr>
      <w:r w:rsidRPr="003A3393">
        <w:rPr>
          <w:noProof/>
        </w:rPr>
        <w:t>4.</w:t>
      </w:r>
      <w:r w:rsidRPr="003A3393">
        <w:rPr>
          <w:rFonts w:eastAsiaTheme="minorEastAsia"/>
          <w:noProof/>
          <w:sz w:val="22"/>
          <w:szCs w:val="22"/>
        </w:rPr>
        <w:tab/>
      </w:r>
      <w:r w:rsidRPr="003A3393">
        <w:rPr>
          <w:noProof/>
        </w:rPr>
        <w:t>Information Technology Grants</w:t>
      </w:r>
      <w:r w:rsidRPr="003A3393">
        <w:rPr>
          <w:noProof/>
        </w:rPr>
        <w:tab/>
      </w:r>
      <w:r w:rsidRPr="003A3393">
        <w:rPr>
          <w:noProof/>
        </w:rPr>
        <w:tab/>
      </w:r>
      <w:r w:rsidRPr="003A3393">
        <w:rPr>
          <w:noProof/>
        </w:rPr>
        <w:tab/>
      </w:r>
      <w:r>
        <w:rPr>
          <w:noProof/>
        </w:rPr>
        <w:tab/>
      </w:r>
      <w:r w:rsidRPr="003A3393">
        <w:rPr>
          <w:noProof/>
        </w:rPr>
        <w:t>7</w:t>
      </w:r>
    </w:p>
    <w:p w14:paraId="3C84BF55" w14:textId="77777777" w:rsidR="003A3393" w:rsidRPr="003A3393" w:rsidRDefault="003A3393" w:rsidP="003A3393">
      <w:pPr>
        <w:rPr>
          <w:rFonts w:eastAsiaTheme="minorEastAsia"/>
          <w:noProof/>
          <w:sz w:val="22"/>
          <w:szCs w:val="22"/>
        </w:rPr>
      </w:pPr>
      <w:r w:rsidRPr="003A3393">
        <w:rPr>
          <w:noProof/>
        </w:rPr>
        <w:t>5.</w:t>
      </w:r>
      <w:r w:rsidRPr="003A3393">
        <w:rPr>
          <w:rFonts w:eastAsiaTheme="minorEastAsia"/>
          <w:noProof/>
          <w:sz w:val="22"/>
          <w:szCs w:val="22"/>
        </w:rPr>
        <w:tab/>
      </w:r>
      <w:r w:rsidRPr="003A3393">
        <w:rPr>
          <w:noProof/>
        </w:rPr>
        <w:t>Further Information</w:t>
      </w:r>
      <w:r w:rsidRPr="003A3393">
        <w:rPr>
          <w:noProof/>
        </w:rPr>
        <w:tab/>
      </w:r>
      <w:r w:rsidRPr="003A3393">
        <w:rPr>
          <w:noProof/>
        </w:rPr>
        <w:tab/>
      </w:r>
      <w:r w:rsidRPr="003A3393">
        <w:rPr>
          <w:noProof/>
        </w:rPr>
        <w:tab/>
      </w:r>
      <w:r w:rsidRPr="003A3393">
        <w:rPr>
          <w:noProof/>
        </w:rPr>
        <w:tab/>
      </w:r>
      <w:r>
        <w:rPr>
          <w:noProof/>
        </w:rPr>
        <w:tab/>
      </w:r>
      <w:r w:rsidR="00FD5B1C">
        <w:rPr>
          <w:noProof/>
        </w:rPr>
        <w:t>9</w:t>
      </w:r>
    </w:p>
    <w:p w14:paraId="4BACFE5D" w14:textId="77777777" w:rsidR="003A3393" w:rsidRDefault="003A3393" w:rsidP="003A3393">
      <w:pPr>
        <w:rPr>
          <w:color w:val="000000"/>
          <w:u w:color="000000"/>
        </w:rPr>
      </w:pPr>
      <w:r w:rsidRPr="003A3393">
        <w:rPr>
          <w:rFonts w:eastAsia="Arial Bold" w:cs="Arial Bold"/>
          <w:sz w:val="19"/>
          <w:szCs w:val="19"/>
        </w:rPr>
        <w:fldChar w:fldCharType="end"/>
      </w:r>
    </w:p>
    <w:p w14:paraId="46A7117F" w14:textId="77777777" w:rsidR="003A3393" w:rsidRDefault="003A3393" w:rsidP="00A951D3">
      <w:pPr>
        <w:rPr>
          <w:color w:val="000000"/>
          <w:u w:color="000000"/>
        </w:rPr>
      </w:pPr>
    </w:p>
    <w:p w14:paraId="12571B91" w14:textId="77777777" w:rsidR="003A3393" w:rsidRDefault="003A3393" w:rsidP="00A951D3">
      <w:pPr>
        <w:rPr>
          <w:color w:val="000000"/>
          <w:u w:color="000000"/>
        </w:rPr>
      </w:pPr>
    </w:p>
    <w:p w14:paraId="32C948C4" w14:textId="77777777" w:rsidR="003A3393" w:rsidRDefault="003A3393" w:rsidP="00A951D3">
      <w:pPr>
        <w:rPr>
          <w:color w:val="000000"/>
          <w:u w:color="000000"/>
        </w:rPr>
      </w:pPr>
    </w:p>
    <w:p w14:paraId="6EF95ECB" w14:textId="77777777" w:rsidR="003A3393" w:rsidRDefault="003A3393" w:rsidP="00A951D3">
      <w:pPr>
        <w:rPr>
          <w:color w:val="000000"/>
          <w:u w:color="000000"/>
        </w:rPr>
      </w:pPr>
    </w:p>
    <w:p w14:paraId="6FB6788C" w14:textId="77777777" w:rsidR="00444E75" w:rsidRDefault="00444E75">
      <w:pPr>
        <w:spacing w:line="240" w:lineRule="auto"/>
        <w:rPr>
          <w:color w:val="000000"/>
          <w:u w:color="000000"/>
        </w:rPr>
      </w:pPr>
      <w:r>
        <w:rPr>
          <w:color w:val="000000"/>
          <w:u w:color="000000"/>
        </w:rPr>
        <w:br w:type="page"/>
      </w:r>
    </w:p>
    <w:p w14:paraId="70437308" w14:textId="77777777" w:rsidR="003A3393" w:rsidRDefault="003A3393" w:rsidP="00A951D3">
      <w:pPr>
        <w:rPr>
          <w:color w:val="000000"/>
          <w:u w:color="000000"/>
        </w:rPr>
      </w:pPr>
    </w:p>
    <w:p w14:paraId="66A0FDB4" w14:textId="77777777" w:rsidR="003A3393" w:rsidRPr="003A3393" w:rsidRDefault="003A3393" w:rsidP="003A3393">
      <w:pPr>
        <w:pStyle w:val="Heading2"/>
        <w:numPr>
          <w:ilvl w:val="0"/>
          <w:numId w:val="27"/>
        </w:numPr>
        <w:ind w:left="426" w:hanging="426"/>
        <w:rPr>
          <w:color w:val="000000"/>
          <w:u w:color="000000"/>
        </w:rPr>
      </w:pPr>
      <w:r>
        <w:t xml:space="preserve">Introduction  </w:t>
      </w:r>
    </w:p>
    <w:p w14:paraId="4931CFB6" w14:textId="77777777" w:rsidR="003A3393" w:rsidRDefault="003A3393" w:rsidP="00A951D3">
      <w:pPr>
        <w:rPr>
          <w:color w:val="000000"/>
          <w:u w:color="000000"/>
        </w:rPr>
      </w:pPr>
    </w:p>
    <w:p w14:paraId="16FA537C" w14:textId="6799FB1E" w:rsidR="00A951D3" w:rsidRDefault="00A951D3" w:rsidP="00A951D3">
      <w:r>
        <w:rPr>
          <w:color w:val="000000"/>
          <w:u w:color="000000"/>
        </w:rPr>
        <w:t xml:space="preserve">The </w:t>
      </w:r>
      <w:r w:rsidR="006F46D5">
        <w:rPr>
          <w:color w:val="000000"/>
          <w:u w:color="000000"/>
        </w:rPr>
        <w:t xml:space="preserve">Victorian </w:t>
      </w:r>
      <w:r>
        <w:rPr>
          <w:color w:val="000000"/>
          <w:u w:color="000000"/>
        </w:rPr>
        <w:t>Government has a vision to make Victoria the Education State</w:t>
      </w:r>
      <w:r w:rsidR="006F46D5">
        <w:rPr>
          <w:color w:val="000000"/>
          <w:u w:color="000000"/>
        </w:rPr>
        <w:t>. To this end, it has committed</w:t>
      </w:r>
      <w:r>
        <w:t xml:space="preserve"> $50 million between 2015-19 to support local governments and other service providers to invest in early childhood infrastructure. An additional $10 million was also committed to address early years demand in high growth areas, making a total of $60 million invested in early years infrastructure over </w:t>
      </w:r>
      <w:r w:rsidR="006F46D5">
        <w:t>four</w:t>
      </w:r>
      <w:r>
        <w:t xml:space="preserve"> years.</w:t>
      </w:r>
    </w:p>
    <w:p w14:paraId="1C6171C6" w14:textId="77777777" w:rsidR="00A951D3" w:rsidRDefault="00A951D3" w:rsidP="00A951D3">
      <w:pPr>
        <w:rPr>
          <w:color w:val="000000"/>
          <w:u w:color="000000"/>
        </w:rPr>
      </w:pPr>
      <w:r>
        <w:rPr>
          <w:color w:val="000000"/>
          <w:u w:color="000000"/>
        </w:rPr>
        <w:t>A</w:t>
      </w:r>
      <w:r w:rsidRPr="005863FB">
        <w:rPr>
          <w:color w:val="000000"/>
          <w:u w:color="000000"/>
        </w:rPr>
        <w:t xml:space="preserve">ccess to high quality early years services </w:t>
      </w:r>
      <w:r>
        <w:rPr>
          <w:color w:val="000000"/>
          <w:u w:color="000000"/>
        </w:rPr>
        <w:t xml:space="preserve">is </w:t>
      </w:r>
      <w:r w:rsidRPr="005863FB">
        <w:rPr>
          <w:color w:val="000000"/>
          <w:u w:color="000000"/>
        </w:rPr>
        <w:t xml:space="preserve">central to giving every Victorian child the best start in life.  Families deserve a choice of flexible, accessible and affordable early childhood education and care services, including kindergarten programs delivered in a range of settings, alongside other key services such as Maternal and Child Health, early childhood intervention services, playgroups and family services. </w:t>
      </w:r>
    </w:p>
    <w:p w14:paraId="61567578" w14:textId="67D19C63" w:rsidR="00A951D3" w:rsidRDefault="00A951D3" w:rsidP="00A951D3">
      <w:pPr>
        <w:rPr>
          <w:u w:color="000000"/>
        </w:rPr>
      </w:pPr>
      <w:r w:rsidRPr="003D63E9">
        <w:rPr>
          <w:color w:val="000000"/>
          <w:u w:color="000000"/>
        </w:rPr>
        <w:t>The 20</w:t>
      </w:r>
      <w:r>
        <w:rPr>
          <w:color w:val="000000"/>
          <w:u w:color="000000"/>
        </w:rPr>
        <w:t xml:space="preserve">17-18 </w:t>
      </w:r>
      <w:r w:rsidRPr="003D63E9">
        <w:rPr>
          <w:color w:val="000000"/>
          <w:u w:color="000000"/>
        </w:rPr>
        <w:t xml:space="preserve">Children’s Facilities Capital Program Minor Grants round </w:t>
      </w:r>
      <w:r w:rsidR="006F46D5">
        <w:rPr>
          <w:color w:val="000000"/>
          <w:u w:color="000000"/>
        </w:rPr>
        <w:t xml:space="preserve">provides </w:t>
      </w:r>
      <w:r w:rsidRPr="003D63E9">
        <w:rPr>
          <w:color w:val="000000"/>
          <w:u w:color="000000"/>
        </w:rPr>
        <w:t>support</w:t>
      </w:r>
      <w:r w:rsidR="006F46D5">
        <w:rPr>
          <w:color w:val="000000"/>
          <w:u w:color="000000"/>
        </w:rPr>
        <w:t xml:space="preserve"> to</w:t>
      </w:r>
      <w:r w:rsidRPr="003D63E9">
        <w:rPr>
          <w:color w:val="000000"/>
          <w:u w:color="000000"/>
        </w:rPr>
        <w:t xml:space="preserve"> services delivering a funded kindergarten program that require small infrastructure improvements and </w:t>
      </w:r>
      <w:r w:rsidR="006F46D5">
        <w:rPr>
          <w:color w:val="000000"/>
          <w:u w:color="000000"/>
        </w:rPr>
        <w:t>i</w:t>
      </w:r>
      <w:r w:rsidRPr="003D63E9">
        <w:rPr>
          <w:color w:val="000000"/>
          <w:u w:color="000000"/>
        </w:rPr>
        <w:t xml:space="preserve">nformation </w:t>
      </w:r>
      <w:r w:rsidR="006F46D5">
        <w:rPr>
          <w:color w:val="000000"/>
          <w:u w:color="000000"/>
        </w:rPr>
        <w:t>t</w:t>
      </w:r>
      <w:r w:rsidRPr="003D63E9">
        <w:rPr>
          <w:color w:val="000000"/>
          <w:u w:color="000000"/>
        </w:rPr>
        <w:t xml:space="preserve">echnology assistance. </w:t>
      </w:r>
    </w:p>
    <w:p w14:paraId="4CE573CE" w14:textId="62D1DFBD" w:rsidR="00A951D3" w:rsidRDefault="00A951D3" w:rsidP="00A951D3">
      <w:pPr>
        <w:rPr>
          <w:color w:val="000000"/>
          <w:u w:color="000000"/>
        </w:rPr>
      </w:pPr>
      <w:r w:rsidRPr="005863FB">
        <w:rPr>
          <w:color w:val="000000"/>
          <w:u w:color="000000"/>
        </w:rPr>
        <w:t>These guidelines provide details of the 20</w:t>
      </w:r>
      <w:r>
        <w:rPr>
          <w:color w:val="000000"/>
          <w:u w:color="000000"/>
        </w:rPr>
        <w:t xml:space="preserve">17-18 </w:t>
      </w:r>
      <w:r w:rsidRPr="005863FB">
        <w:rPr>
          <w:color w:val="000000"/>
          <w:u w:color="000000"/>
        </w:rPr>
        <w:t xml:space="preserve">Children’s Facilities Capital </w:t>
      </w:r>
      <w:r w:rsidRPr="00FE401D">
        <w:rPr>
          <w:color w:val="000000"/>
          <w:u w:color="000000"/>
        </w:rPr>
        <w:t xml:space="preserve">Program Minor </w:t>
      </w:r>
      <w:r w:rsidR="006F46D5">
        <w:rPr>
          <w:color w:val="000000"/>
          <w:u w:color="000000"/>
        </w:rPr>
        <w:t>G</w:t>
      </w:r>
      <w:r w:rsidRPr="00FE401D">
        <w:rPr>
          <w:color w:val="000000"/>
          <w:u w:color="000000"/>
        </w:rPr>
        <w:t>rants round.</w:t>
      </w:r>
      <w:r>
        <w:rPr>
          <w:color w:val="000000"/>
          <w:u w:color="000000"/>
        </w:rPr>
        <w:t xml:space="preserve"> The Department of Education and Training will assess Minor </w:t>
      </w:r>
      <w:r w:rsidR="006F46D5">
        <w:rPr>
          <w:color w:val="000000"/>
          <w:u w:color="000000"/>
        </w:rPr>
        <w:t>G</w:t>
      </w:r>
      <w:r>
        <w:rPr>
          <w:color w:val="000000"/>
          <w:u w:color="000000"/>
        </w:rPr>
        <w:t xml:space="preserve">rant applications prior to the assessment of Children’s Facilities Capital Program Major </w:t>
      </w:r>
      <w:r w:rsidR="006F46D5">
        <w:rPr>
          <w:color w:val="000000"/>
          <w:u w:color="000000"/>
        </w:rPr>
        <w:t>G</w:t>
      </w:r>
      <w:r>
        <w:rPr>
          <w:color w:val="000000"/>
          <w:u w:color="000000"/>
        </w:rPr>
        <w:t>rants</w:t>
      </w:r>
      <w:r w:rsidR="006F46D5">
        <w:rPr>
          <w:color w:val="000000"/>
          <w:u w:color="000000"/>
        </w:rPr>
        <w:t>, thus</w:t>
      </w:r>
      <w:r>
        <w:rPr>
          <w:color w:val="000000"/>
          <w:u w:color="000000"/>
        </w:rPr>
        <w:t xml:space="preserve"> ensur</w:t>
      </w:r>
      <w:r w:rsidR="006F46D5">
        <w:rPr>
          <w:color w:val="000000"/>
          <w:u w:color="000000"/>
        </w:rPr>
        <w:t>ing</w:t>
      </w:r>
      <w:r>
        <w:rPr>
          <w:color w:val="000000"/>
          <w:u w:color="000000"/>
        </w:rPr>
        <w:t xml:space="preserve"> that successful recipients of Minor Grants receive approval and funding sooner.  The </w:t>
      </w:r>
      <w:r w:rsidRPr="006726CC">
        <w:rPr>
          <w:color w:val="000000"/>
          <w:u w:color="000000"/>
        </w:rPr>
        <w:t>2017-18</w:t>
      </w:r>
      <w:r>
        <w:rPr>
          <w:color w:val="000000"/>
          <w:u w:color="000000"/>
        </w:rPr>
        <w:t xml:space="preserve"> Children’s Facilities Capital Program </w:t>
      </w:r>
      <w:r w:rsidRPr="006726CC">
        <w:rPr>
          <w:color w:val="000000"/>
          <w:u w:color="000000"/>
        </w:rPr>
        <w:t xml:space="preserve">Major </w:t>
      </w:r>
      <w:r w:rsidR="006F46D5">
        <w:rPr>
          <w:color w:val="000000"/>
          <w:u w:color="000000"/>
        </w:rPr>
        <w:t>G</w:t>
      </w:r>
      <w:r w:rsidRPr="006726CC">
        <w:rPr>
          <w:color w:val="000000"/>
          <w:u w:color="000000"/>
        </w:rPr>
        <w:t>rants</w:t>
      </w:r>
      <w:r>
        <w:rPr>
          <w:color w:val="000000"/>
          <w:u w:color="000000"/>
        </w:rPr>
        <w:t xml:space="preserve"> guidelines will be released as a separate document. </w:t>
      </w:r>
    </w:p>
    <w:p w14:paraId="19987F4E" w14:textId="77777777" w:rsidR="00A951D3" w:rsidRDefault="00A951D3" w:rsidP="00A951D3">
      <w:pPr>
        <w:rPr>
          <w:b/>
          <w:color w:val="000000"/>
          <w:u w:color="000000"/>
        </w:rPr>
      </w:pPr>
      <w:r>
        <w:rPr>
          <w:rFonts w:cs="Arial"/>
          <w:color w:val="000000"/>
          <w:u w:color="000000"/>
          <w:lang w:eastAsia="en-AU"/>
        </w:rPr>
        <w:t xml:space="preserve">The </w:t>
      </w:r>
      <w:r w:rsidRPr="005863FB">
        <w:rPr>
          <w:color w:val="000000"/>
          <w:u w:color="000000"/>
        </w:rPr>
        <w:t>20</w:t>
      </w:r>
      <w:r>
        <w:rPr>
          <w:color w:val="000000"/>
          <w:u w:color="000000"/>
        </w:rPr>
        <w:t xml:space="preserve">17-18 </w:t>
      </w:r>
      <w:r w:rsidRPr="005863FB">
        <w:rPr>
          <w:color w:val="000000"/>
          <w:u w:color="000000"/>
        </w:rPr>
        <w:t xml:space="preserve">Children’s Facilities Capital </w:t>
      </w:r>
      <w:r w:rsidRPr="00FE401D">
        <w:rPr>
          <w:color w:val="000000"/>
          <w:u w:color="000000"/>
        </w:rPr>
        <w:t>Program Minor Grants Program</w:t>
      </w:r>
      <w:r>
        <w:rPr>
          <w:b/>
          <w:color w:val="000000"/>
          <w:u w:color="000000"/>
        </w:rPr>
        <w:t xml:space="preserve"> </w:t>
      </w:r>
      <w:r w:rsidRPr="00680EEC">
        <w:rPr>
          <w:color w:val="000000"/>
          <w:u w:color="000000"/>
        </w:rPr>
        <w:t>opens on</w:t>
      </w:r>
      <w:r>
        <w:rPr>
          <w:b/>
          <w:color w:val="000000"/>
          <w:u w:color="000000"/>
        </w:rPr>
        <w:t xml:space="preserve"> Wednesday 19 April 2017 </w:t>
      </w:r>
    </w:p>
    <w:p w14:paraId="0A58822B" w14:textId="28814F6C" w:rsidR="00A951D3" w:rsidRPr="003D63E9" w:rsidRDefault="00A951D3" w:rsidP="00A951D3">
      <w:pPr>
        <w:rPr>
          <w:rFonts w:cs="Arial"/>
          <w:color w:val="000000"/>
          <w:u w:color="000000"/>
          <w:lang w:eastAsia="en-AU"/>
        </w:rPr>
      </w:pPr>
      <w:r w:rsidRPr="006726CC">
        <w:rPr>
          <w:color w:val="000000"/>
          <w:u w:color="000000"/>
        </w:rPr>
        <w:t>A</w:t>
      </w:r>
      <w:r w:rsidRPr="003D63E9">
        <w:rPr>
          <w:rFonts w:cs="Arial"/>
          <w:color w:val="000000"/>
          <w:u w:color="000000"/>
          <w:lang w:eastAsia="en-AU"/>
        </w:rPr>
        <w:t>pplications</w:t>
      </w:r>
      <w:r>
        <w:rPr>
          <w:rFonts w:cs="Arial"/>
          <w:color w:val="000000"/>
          <w:u w:color="000000"/>
          <w:lang w:eastAsia="en-AU"/>
        </w:rPr>
        <w:t xml:space="preserve"> for the </w:t>
      </w:r>
      <w:r w:rsidRPr="005863FB">
        <w:rPr>
          <w:color w:val="000000"/>
          <w:u w:color="000000"/>
        </w:rPr>
        <w:t>20</w:t>
      </w:r>
      <w:r>
        <w:rPr>
          <w:color w:val="000000"/>
          <w:u w:color="000000"/>
        </w:rPr>
        <w:t xml:space="preserve">17-18 </w:t>
      </w:r>
      <w:r w:rsidRPr="005863FB">
        <w:rPr>
          <w:color w:val="000000"/>
          <w:u w:color="000000"/>
        </w:rPr>
        <w:t xml:space="preserve">Children’s Facilities Capital </w:t>
      </w:r>
      <w:r w:rsidRPr="0039233A">
        <w:rPr>
          <w:color w:val="000000"/>
          <w:u w:color="000000"/>
        </w:rPr>
        <w:t xml:space="preserve">Program Minor </w:t>
      </w:r>
      <w:r w:rsidR="006F46D5">
        <w:rPr>
          <w:color w:val="000000"/>
          <w:u w:color="000000"/>
        </w:rPr>
        <w:t>G</w:t>
      </w:r>
      <w:r w:rsidRPr="0039233A">
        <w:rPr>
          <w:color w:val="000000"/>
          <w:u w:color="000000"/>
        </w:rPr>
        <w:t>rants round</w:t>
      </w:r>
      <w:r w:rsidRPr="003D63E9">
        <w:rPr>
          <w:rFonts w:cs="Arial"/>
          <w:color w:val="000000"/>
          <w:u w:color="000000"/>
          <w:lang w:eastAsia="en-AU"/>
        </w:rPr>
        <w:t xml:space="preserve"> must be submitted via the online application form by </w:t>
      </w:r>
      <w:r w:rsidR="003F3A02">
        <w:rPr>
          <w:rFonts w:cs="Arial"/>
          <w:b/>
          <w:color w:val="000000"/>
          <w:u w:color="000000"/>
          <w:lang w:eastAsia="en-AU"/>
        </w:rPr>
        <w:t>midnight</w:t>
      </w:r>
      <w:r w:rsidRPr="003D63E9">
        <w:rPr>
          <w:rFonts w:cs="Arial"/>
          <w:color w:val="000000"/>
          <w:u w:color="000000"/>
          <w:lang w:eastAsia="en-AU"/>
        </w:rPr>
        <w:t xml:space="preserve"> (Eastern Standard Time) on</w:t>
      </w:r>
      <w:r w:rsidRPr="00960634">
        <w:rPr>
          <w:rFonts w:cs="Arial"/>
          <w:b/>
          <w:color w:val="000000"/>
          <w:u w:color="000000"/>
          <w:lang w:eastAsia="en-AU"/>
        </w:rPr>
        <w:t xml:space="preserve"> </w:t>
      </w:r>
      <w:r>
        <w:rPr>
          <w:rFonts w:cs="Arial"/>
          <w:b/>
          <w:color w:val="000000"/>
          <w:u w:color="000000"/>
          <w:lang w:eastAsia="en-AU"/>
        </w:rPr>
        <w:t>Tuesday</w:t>
      </w:r>
      <w:r>
        <w:rPr>
          <w:rFonts w:cs="Arial"/>
          <w:color w:val="000000"/>
          <w:u w:color="000000"/>
          <w:lang w:eastAsia="en-AU"/>
        </w:rPr>
        <w:t xml:space="preserve"> </w:t>
      </w:r>
      <w:r>
        <w:rPr>
          <w:rFonts w:cs="Arial"/>
          <w:b/>
          <w:color w:val="000000"/>
          <w:u w:color="000000"/>
          <w:lang w:eastAsia="en-AU"/>
        </w:rPr>
        <w:t xml:space="preserve">6 June </w:t>
      </w:r>
      <w:r w:rsidRPr="005974E2">
        <w:rPr>
          <w:rFonts w:cs="Arial"/>
          <w:b/>
          <w:color w:val="000000"/>
          <w:u w:color="000000"/>
          <w:lang w:eastAsia="en-AU"/>
        </w:rPr>
        <w:t>2017</w:t>
      </w:r>
      <w:r w:rsidRPr="006726CC">
        <w:rPr>
          <w:rFonts w:cs="Arial"/>
          <w:color w:val="000000"/>
          <w:u w:color="000000"/>
          <w:lang w:eastAsia="en-AU"/>
        </w:rPr>
        <w:t>.</w:t>
      </w:r>
    </w:p>
    <w:p w14:paraId="00867342" w14:textId="77777777" w:rsidR="001B1A48" w:rsidRDefault="001B1A48">
      <w:bookmarkStart w:id="0" w:name="_Toc416955332"/>
    </w:p>
    <w:p w14:paraId="410050F7" w14:textId="77777777" w:rsidR="00A951D3" w:rsidRDefault="00A951D3" w:rsidP="00444E75">
      <w:pPr>
        <w:jc w:val="center"/>
      </w:pPr>
      <w:r>
        <w:rPr>
          <w:noProof/>
          <w:lang w:eastAsia="en-AU"/>
        </w:rPr>
        <w:drawing>
          <wp:inline distT="0" distB="0" distL="0" distR="0" wp14:anchorId="4822B60D" wp14:editId="76AEF20D">
            <wp:extent cx="4531248" cy="300838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xedalepreschool-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41003" cy="3014864"/>
                    </a:xfrm>
                    <a:prstGeom prst="rect">
                      <a:avLst/>
                    </a:prstGeom>
                  </pic:spPr>
                </pic:pic>
              </a:graphicData>
            </a:graphic>
          </wp:inline>
        </w:drawing>
      </w:r>
    </w:p>
    <w:bookmarkEnd w:id="0"/>
    <w:p w14:paraId="442EF118" w14:textId="77777777" w:rsidR="00444E75" w:rsidRDefault="00444E75" w:rsidP="00444E75">
      <w:pPr>
        <w:pStyle w:val="TableHdg"/>
        <w:rPr>
          <w:u w:color="000000"/>
          <w:lang w:eastAsia="en-AU"/>
        </w:rPr>
      </w:pPr>
    </w:p>
    <w:p w14:paraId="57E3F118" w14:textId="77777777" w:rsidR="00444E75" w:rsidRDefault="00444E75" w:rsidP="00444E75">
      <w:pPr>
        <w:pStyle w:val="TableHdg"/>
        <w:rPr>
          <w:u w:color="000000"/>
          <w:lang w:eastAsia="en-AU"/>
        </w:rPr>
      </w:pPr>
    </w:p>
    <w:p w14:paraId="5EA51B94" w14:textId="77777777" w:rsidR="00A951D3" w:rsidRPr="00960634" w:rsidRDefault="00A951D3" w:rsidP="00444E75">
      <w:pPr>
        <w:pStyle w:val="TableHdg"/>
        <w:rPr>
          <w:u w:color="000000"/>
          <w:lang w:eastAsia="en-AU"/>
        </w:rPr>
      </w:pPr>
      <w:r>
        <w:rPr>
          <w:u w:color="000000"/>
          <w:lang w:eastAsia="en-AU"/>
        </w:rPr>
        <w:lastRenderedPageBreak/>
        <w:t>S</w:t>
      </w:r>
      <w:r w:rsidR="00C01082" w:rsidRPr="00E3146E">
        <w:rPr>
          <w:u w:color="000000"/>
          <w:lang w:eastAsia="en-AU"/>
        </w:rPr>
        <w:t>ummary of Minor grants available in the Children’s Facilities Capi</w:t>
      </w:r>
      <w:r w:rsidR="00C01082" w:rsidRPr="00880019">
        <w:rPr>
          <w:u w:color="000000"/>
          <w:lang w:eastAsia="en-AU"/>
        </w:rPr>
        <w:t xml:space="preserve">tal Program </w:t>
      </w:r>
      <w:r w:rsidR="00C01082">
        <w:rPr>
          <w:u w:color="000000"/>
          <w:lang w:eastAsia="en-AU"/>
        </w:rPr>
        <w:t xml:space="preserve">2017-18 </w:t>
      </w:r>
      <w:r w:rsidR="00C01082" w:rsidRPr="00880019">
        <w:rPr>
          <w:u w:color="000000"/>
          <w:lang w:eastAsia="en-AU"/>
        </w:rPr>
        <w:t>grant round</w:t>
      </w:r>
      <w:r w:rsidR="00C01082">
        <w:rPr>
          <w:u w:color="000000"/>
          <w:lang w:eastAsia="en-AU"/>
        </w:rPr>
        <w:t>:</w:t>
      </w:r>
      <w:r w:rsidR="00444E75">
        <w:rPr>
          <w:u w:color="000000"/>
          <w:lang w:eastAsia="en-AU"/>
        </w:rPr>
        <w:br/>
      </w:r>
    </w:p>
    <w:tbl>
      <w:tblPr>
        <w:tblStyle w:val="TableGrid1"/>
        <w:tblW w:w="9357" w:type="dxa"/>
        <w:tblInd w:w="-7" w:type="dxa"/>
        <w:tblLayout w:type="fixed"/>
        <w:tblLook w:val="04A0" w:firstRow="1" w:lastRow="0" w:firstColumn="1" w:lastColumn="0" w:noHBand="0" w:noVBand="1"/>
      </w:tblPr>
      <w:tblGrid>
        <w:gridCol w:w="1420"/>
        <w:gridCol w:w="850"/>
        <w:gridCol w:w="2693"/>
        <w:gridCol w:w="2126"/>
        <w:gridCol w:w="2268"/>
      </w:tblGrid>
      <w:tr w:rsidR="00C01082" w:rsidRPr="00B620A4" w14:paraId="067C372F" w14:textId="77777777" w:rsidTr="00970CDA">
        <w:trPr>
          <w:tblHeader/>
        </w:trPr>
        <w:tc>
          <w:tcPr>
            <w:tcW w:w="1420" w:type="dxa"/>
            <w:shd w:val="clear" w:color="auto" w:fill="D9D9D9" w:themeFill="background1" w:themeFillShade="D9"/>
            <w:vAlign w:val="center"/>
          </w:tcPr>
          <w:p w14:paraId="7F1FF240" w14:textId="77777777" w:rsidR="00C01082" w:rsidRPr="00184E10" w:rsidRDefault="00C01082" w:rsidP="00444E75">
            <w:pPr>
              <w:pStyle w:val="TableTxt"/>
              <w:spacing w:before="120" w:after="120"/>
              <w:rPr>
                <w:rFonts w:asciiTheme="minorHAnsi" w:hAnsiTheme="minorHAnsi"/>
                <w:sz w:val="16"/>
              </w:rPr>
            </w:pPr>
            <w:r w:rsidRPr="00184E10">
              <w:rPr>
                <w:rFonts w:asciiTheme="minorHAnsi" w:hAnsiTheme="minorHAnsi"/>
                <w:sz w:val="16"/>
              </w:rPr>
              <w:t>Grant Type</w:t>
            </w:r>
          </w:p>
        </w:tc>
        <w:tc>
          <w:tcPr>
            <w:tcW w:w="850" w:type="dxa"/>
            <w:shd w:val="clear" w:color="auto" w:fill="D9D9D9" w:themeFill="background1" w:themeFillShade="D9"/>
            <w:vAlign w:val="center"/>
          </w:tcPr>
          <w:p w14:paraId="079D7A43" w14:textId="77777777" w:rsidR="00C01082" w:rsidRPr="00184E10" w:rsidRDefault="00C01082" w:rsidP="00444E75">
            <w:pPr>
              <w:pStyle w:val="TableTxt"/>
              <w:spacing w:before="120" w:after="120"/>
              <w:rPr>
                <w:rFonts w:asciiTheme="minorHAnsi" w:hAnsiTheme="minorHAnsi"/>
                <w:sz w:val="16"/>
              </w:rPr>
            </w:pPr>
            <w:r w:rsidRPr="00184E10">
              <w:rPr>
                <w:rFonts w:asciiTheme="minorHAnsi" w:hAnsiTheme="minorHAnsi"/>
                <w:sz w:val="16"/>
              </w:rPr>
              <w:t xml:space="preserve">Max.  Grant </w:t>
            </w:r>
          </w:p>
        </w:tc>
        <w:tc>
          <w:tcPr>
            <w:tcW w:w="2693" w:type="dxa"/>
            <w:shd w:val="clear" w:color="auto" w:fill="D9D9D9" w:themeFill="background1" w:themeFillShade="D9"/>
            <w:vAlign w:val="center"/>
          </w:tcPr>
          <w:p w14:paraId="3F681D4E" w14:textId="77777777" w:rsidR="00C01082" w:rsidRPr="00184E10" w:rsidRDefault="00C01082" w:rsidP="00444E75">
            <w:pPr>
              <w:pStyle w:val="TableTxt"/>
              <w:spacing w:before="120" w:after="120"/>
              <w:rPr>
                <w:rFonts w:asciiTheme="minorHAnsi" w:hAnsiTheme="minorHAnsi"/>
                <w:sz w:val="16"/>
              </w:rPr>
            </w:pPr>
            <w:r w:rsidRPr="00184E10">
              <w:rPr>
                <w:rFonts w:asciiTheme="minorHAnsi" w:hAnsiTheme="minorHAnsi"/>
                <w:sz w:val="16"/>
              </w:rPr>
              <w:t>Purpose of Grant</w:t>
            </w:r>
          </w:p>
        </w:tc>
        <w:tc>
          <w:tcPr>
            <w:tcW w:w="2126" w:type="dxa"/>
            <w:shd w:val="clear" w:color="auto" w:fill="D9D9D9" w:themeFill="background1" w:themeFillShade="D9"/>
            <w:vAlign w:val="center"/>
          </w:tcPr>
          <w:p w14:paraId="1838FF52" w14:textId="77777777" w:rsidR="00C01082" w:rsidRPr="00184E10" w:rsidRDefault="00C01082" w:rsidP="00444E75">
            <w:pPr>
              <w:pStyle w:val="TableTxt"/>
              <w:spacing w:before="120" w:after="120"/>
              <w:rPr>
                <w:rFonts w:asciiTheme="minorHAnsi" w:hAnsiTheme="minorHAnsi"/>
                <w:sz w:val="16"/>
              </w:rPr>
            </w:pPr>
            <w:r w:rsidRPr="00184E10">
              <w:rPr>
                <w:rFonts w:asciiTheme="minorHAnsi" w:hAnsiTheme="minorHAnsi"/>
                <w:sz w:val="16"/>
              </w:rPr>
              <w:t>Eligible Organisations</w:t>
            </w:r>
          </w:p>
        </w:tc>
        <w:tc>
          <w:tcPr>
            <w:tcW w:w="2268" w:type="dxa"/>
            <w:shd w:val="clear" w:color="auto" w:fill="D9D9D9" w:themeFill="background1" w:themeFillShade="D9"/>
            <w:vAlign w:val="center"/>
          </w:tcPr>
          <w:p w14:paraId="5DA7B94A" w14:textId="77777777" w:rsidR="00C01082" w:rsidRPr="00184E10" w:rsidRDefault="00C01082" w:rsidP="0057047D">
            <w:pPr>
              <w:pStyle w:val="TableTxt"/>
              <w:spacing w:before="120" w:after="120"/>
              <w:rPr>
                <w:rFonts w:asciiTheme="minorHAnsi" w:hAnsiTheme="minorHAnsi"/>
                <w:sz w:val="16"/>
              </w:rPr>
            </w:pPr>
            <w:r w:rsidRPr="00184E10">
              <w:rPr>
                <w:rFonts w:asciiTheme="minorHAnsi" w:hAnsiTheme="minorHAnsi"/>
                <w:sz w:val="16"/>
              </w:rPr>
              <w:t>Ineligible Organisations</w:t>
            </w:r>
          </w:p>
        </w:tc>
      </w:tr>
      <w:tr w:rsidR="00C01082" w:rsidRPr="00B620A4" w14:paraId="7A84C035" w14:textId="77777777" w:rsidTr="00444E75">
        <w:trPr>
          <w:trHeight w:val="567"/>
        </w:trPr>
        <w:tc>
          <w:tcPr>
            <w:tcW w:w="1420" w:type="dxa"/>
            <w:shd w:val="clear" w:color="auto" w:fill="E7EEEE" w:themeFill="accent1" w:themeFillTint="33"/>
          </w:tcPr>
          <w:p w14:paraId="665DBDBE" w14:textId="77777777" w:rsidR="00C01082" w:rsidRPr="00184E10" w:rsidRDefault="00C01082" w:rsidP="00444E75">
            <w:pPr>
              <w:pStyle w:val="TableTxt"/>
              <w:spacing w:before="120" w:after="120"/>
              <w:rPr>
                <w:rFonts w:asciiTheme="minorHAnsi" w:hAnsiTheme="minorHAnsi"/>
                <w:sz w:val="16"/>
              </w:rPr>
            </w:pPr>
            <w:r w:rsidRPr="00184E10">
              <w:rPr>
                <w:rFonts w:asciiTheme="minorHAnsi" w:hAnsiTheme="minorHAnsi"/>
                <w:sz w:val="16"/>
              </w:rPr>
              <w:t>Minor Infrastructure Expansion</w:t>
            </w:r>
          </w:p>
        </w:tc>
        <w:tc>
          <w:tcPr>
            <w:tcW w:w="850" w:type="dxa"/>
          </w:tcPr>
          <w:p w14:paraId="354520A7" w14:textId="77777777" w:rsidR="00C01082" w:rsidRPr="00184E10" w:rsidRDefault="00C01082" w:rsidP="00444E75">
            <w:pPr>
              <w:pStyle w:val="TableTxt"/>
              <w:spacing w:before="120" w:after="120"/>
              <w:rPr>
                <w:rFonts w:asciiTheme="minorHAnsi" w:hAnsiTheme="minorHAnsi"/>
                <w:sz w:val="16"/>
              </w:rPr>
            </w:pPr>
          </w:p>
          <w:p w14:paraId="38027F75" w14:textId="77777777" w:rsidR="00C01082" w:rsidRPr="00184E10" w:rsidRDefault="00C01082" w:rsidP="00444E75">
            <w:pPr>
              <w:pStyle w:val="TableTxt"/>
              <w:spacing w:before="120" w:after="120"/>
              <w:rPr>
                <w:rFonts w:asciiTheme="minorHAnsi" w:hAnsiTheme="minorHAnsi"/>
                <w:sz w:val="16"/>
              </w:rPr>
            </w:pPr>
            <w:r w:rsidRPr="00184E10">
              <w:rPr>
                <w:rFonts w:asciiTheme="minorHAnsi" w:hAnsiTheme="minorHAnsi"/>
                <w:sz w:val="16"/>
              </w:rPr>
              <w:t>$25,000</w:t>
            </w:r>
          </w:p>
          <w:p w14:paraId="52E08EB5" w14:textId="77777777" w:rsidR="00C01082" w:rsidRPr="00184E10" w:rsidRDefault="00C01082" w:rsidP="00444E75">
            <w:pPr>
              <w:pStyle w:val="TableTxt"/>
              <w:spacing w:before="120" w:after="120"/>
              <w:rPr>
                <w:rFonts w:asciiTheme="minorHAnsi" w:hAnsiTheme="minorHAnsi"/>
                <w:sz w:val="16"/>
              </w:rPr>
            </w:pPr>
          </w:p>
          <w:p w14:paraId="0BCFA27A" w14:textId="77777777" w:rsidR="00C01082" w:rsidRPr="00184E10" w:rsidRDefault="00C01082" w:rsidP="00444E75">
            <w:pPr>
              <w:pStyle w:val="TableTxt"/>
              <w:spacing w:before="120" w:after="120"/>
              <w:rPr>
                <w:rFonts w:asciiTheme="minorHAnsi" w:hAnsiTheme="minorHAnsi"/>
                <w:sz w:val="16"/>
              </w:rPr>
            </w:pPr>
          </w:p>
        </w:tc>
        <w:tc>
          <w:tcPr>
            <w:tcW w:w="2693" w:type="dxa"/>
          </w:tcPr>
          <w:p w14:paraId="3798EB4D" w14:textId="77777777" w:rsidR="00C01082" w:rsidRPr="00184E10" w:rsidRDefault="00C01082" w:rsidP="00444E75">
            <w:pPr>
              <w:pStyle w:val="TableTxt"/>
              <w:spacing w:before="120" w:after="120"/>
              <w:rPr>
                <w:rFonts w:asciiTheme="minorHAnsi" w:hAnsiTheme="minorHAnsi"/>
                <w:sz w:val="16"/>
              </w:rPr>
            </w:pPr>
            <w:r w:rsidRPr="00184E10">
              <w:rPr>
                <w:rFonts w:asciiTheme="minorHAnsi" w:hAnsiTheme="minorHAnsi"/>
                <w:sz w:val="16"/>
              </w:rPr>
              <w:t>This grant is a contribution towards the cost of a small refurbishment project designed to increase the usable space of a licensed service.</w:t>
            </w:r>
          </w:p>
          <w:p w14:paraId="0087BFAB" w14:textId="77777777" w:rsidR="00C01082" w:rsidRPr="00184E10" w:rsidRDefault="00C01082" w:rsidP="00444E75">
            <w:pPr>
              <w:pStyle w:val="TableTxt"/>
              <w:spacing w:before="120" w:after="120"/>
              <w:rPr>
                <w:rFonts w:asciiTheme="minorHAnsi" w:hAnsiTheme="minorHAnsi"/>
                <w:sz w:val="16"/>
              </w:rPr>
            </w:pPr>
          </w:p>
        </w:tc>
        <w:tc>
          <w:tcPr>
            <w:tcW w:w="2126" w:type="dxa"/>
            <w:vMerge w:val="restart"/>
          </w:tcPr>
          <w:p w14:paraId="72D0BCAA" w14:textId="77777777" w:rsidR="00C01082" w:rsidRPr="00184E10" w:rsidRDefault="00C01082" w:rsidP="00444E75">
            <w:pPr>
              <w:pStyle w:val="ListBullet"/>
              <w:spacing w:before="120" w:after="120"/>
              <w:rPr>
                <w:rFonts w:asciiTheme="minorHAnsi" w:hAnsiTheme="minorHAnsi"/>
                <w:sz w:val="16"/>
              </w:rPr>
            </w:pPr>
            <w:r w:rsidRPr="00184E10">
              <w:rPr>
                <w:rFonts w:asciiTheme="minorHAnsi" w:hAnsiTheme="minorHAnsi"/>
                <w:sz w:val="16"/>
              </w:rPr>
              <w:t xml:space="preserve">local governments </w:t>
            </w:r>
          </w:p>
          <w:p w14:paraId="4CE2B2C7" w14:textId="77777777" w:rsidR="00C01082" w:rsidRPr="00184E10" w:rsidRDefault="00C01082" w:rsidP="00444E75">
            <w:pPr>
              <w:pStyle w:val="ListBullet"/>
              <w:spacing w:before="120" w:after="120"/>
              <w:rPr>
                <w:rFonts w:asciiTheme="minorHAnsi" w:hAnsiTheme="minorHAnsi"/>
                <w:sz w:val="16"/>
              </w:rPr>
            </w:pPr>
            <w:r w:rsidRPr="00184E10">
              <w:rPr>
                <w:rFonts w:asciiTheme="minorHAnsi" w:hAnsiTheme="minorHAnsi"/>
                <w:sz w:val="16"/>
              </w:rPr>
              <w:t xml:space="preserve">not-for-profit community organisations offering a funded kindergarten program </w:t>
            </w:r>
          </w:p>
          <w:p w14:paraId="2FF16CC3" w14:textId="77777777" w:rsidR="00C01082" w:rsidRPr="00184E10" w:rsidRDefault="00C01082" w:rsidP="00444E75">
            <w:pPr>
              <w:pStyle w:val="ListBullet"/>
              <w:spacing w:before="120" w:after="120"/>
              <w:rPr>
                <w:rFonts w:asciiTheme="minorHAnsi" w:hAnsiTheme="minorHAnsi"/>
                <w:sz w:val="16"/>
              </w:rPr>
            </w:pPr>
            <w:r w:rsidRPr="00184E10">
              <w:rPr>
                <w:rFonts w:asciiTheme="minorHAnsi" w:hAnsiTheme="minorHAnsi"/>
                <w:sz w:val="16"/>
              </w:rPr>
              <w:t>early years management organisations</w:t>
            </w:r>
            <w:r w:rsidRPr="00184E10">
              <w:rPr>
                <w:rStyle w:val="CommentReference"/>
                <w:rFonts w:asciiTheme="minorHAnsi" w:hAnsiTheme="minorHAnsi"/>
                <w:szCs w:val="18"/>
              </w:rPr>
              <w:t xml:space="preserve"> </w:t>
            </w:r>
            <w:r w:rsidRPr="00184E10">
              <w:rPr>
                <w:rFonts w:asciiTheme="minorHAnsi" w:hAnsiTheme="minorHAnsi"/>
                <w:sz w:val="16"/>
              </w:rPr>
              <w:t xml:space="preserve"> </w:t>
            </w:r>
          </w:p>
          <w:p w14:paraId="5BE640F7" w14:textId="03D09C15" w:rsidR="00C01082" w:rsidRPr="00184E10" w:rsidRDefault="00C01082" w:rsidP="00444E75">
            <w:pPr>
              <w:pStyle w:val="ListBullet"/>
              <w:spacing w:before="120" w:after="120"/>
              <w:rPr>
                <w:rFonts w:asciiTheme="minorHAnsi" w:hAnsiTheme="minorHAnsi"/>
                <w:sz w:val="16"/>
              </w:rPr>
            </w:pPr>
            <w:r w:rsidRPr="00184E10">
              <w:rPr>
                <w:rFonts w:asciiTheme="minorHAnsi" w:hAnsiTheme="minorHAnsi"/>
                <w:sz w:val="16"/>
              </w:rPr>
              <w:t>government schools offering a funded kindergarten program</w:t>
            </w:r>
          </w:p>
          <w:p w14:paraId="2B57328D" w14:textId="689F3E4C" w:rsidR="00C01082" w:rsidRPr="00184E10" w:rsidRDefault="00C01082" w:rsidP="00444E75">
            <w:pPr>
              <w:pStyle w:val="ListBullet"/>
              <w:spacing w:before="120" w:after="120"/>
              <w:rPr>
                <w:rFonts w:asciiTheme="minorHAnsi" w:hAnsiTheme="minorHAnsi"/>
                <w:sz w:val="16"/>
              </w:rPr>
            </w:pPr>
            <w:r w:rsidRPr="00184E10">
              <w:rPr>
                <w:rFonts w:asciiTheme="minorHAnsi" w:hAnsiTheme="minorHAnsi"/>
                <w:sz w:val="16"/>
              </w:rPr>
              <w:t>services that applied for grants as part of the 2016-17 Children’s Facilities Capital Program but were not successful are eligible to apply in 2017-18</w:t>
            </w:r>
            <w:r w:rsidR="007F11B4">
              <w:rPr>
                <w:rFonts w:asciiTheme="minorHAnsi" w:hAnsiTheme="minorHAnsi"/>
                <w:sz w:val="16"/>
              </w:rPr>
              <w:t>.</w:t>
            </w:r>
          </w:p>
        </w:tc>
        <w:tc>
          <w:tcPr>
            <w:tcW w:w="2268" w:type="dxa"/>
            <w:vMerge w:val="restart"/>
          </w:tcPr>
          <w:p w14:paraId="4B3B1780" w14:textId="75008DCB" w:rsidR="00C01082" w:rsidRPr="00184E10" w:rsidRDefault="00C01082" w:rsidP="00444E75">
            <w:pPr>
              <w:pStyle w:val="ListBullet"/>
              <w:spacing w:before="120" w:after="120"/>
              <w:rPr>
                <w:rFonts w:asciiTheme="minorHAnsi" w:hAnsiTheme="minorHAnsi"/>
                <w:sz w:val="16"/>
              </w:rPr>
            </w:pPr>
            <w:r w:rsidRPr="00184E10">
              <w:rPr>
                <w:rFonts w:asciiTheme="minorHAnsi" w:hAnsiTheme="minorHAnsi"/>
                <w:sz w:val="16"/>
              </w:rPr>
              <w:t xml:space="preserve">organisations not registered as a not-for-profit with the Australian Charities and Not for Profits Commission with exception provided for Local Government Authorities </w:t>
            </w:r>
          </w:p>
          <w:p w14:paraId="35015FE5" w14:textId="314C9F7B" w:rsidR="00C01082" w:rsidRPr="00184E10" w:rsidRDefault="00C01082" w:rsidP="00444E75">
            <w:pPr>
              <w:pStyle w:val="ListBullet"/>
              <w:spacing w:before="120" w:after="120"/>
              <w:rPr>
                <w:rFonts w:asciiTheme="minorHAnsi" w:hAnsiTheme="minorHAnsi"/>
                <w:sz w:val="16"/>
              </w:rPr>
            </w:pPr>
            <w:r w:rsidRPr="00184E10">
              <w:rPr>
                <w:rFonts w:asciiTheme="minorHAnsi" w:hAnsiTheme="minorHAnsi"/>
                <w:sz w:val="16"/>
              </w:rPr>
              <w:t xml:space="preserve">non-government schools service providers are eligible for major grants, but not minor grants </w:t>
            </w:r>
          </w:p>
          <w:p w14:paraId="10C8983B" w14:textId="2A964E10" w:rsidR="00C01082" w:rsidRPr="00184E10" w:rsidRDefault="00C01082" w:rsidP="005B4F85">
            <w:pPr>
              <w:pStyle w:val="ListBullet"/>
              <w:spacing w:before="120" w:after="120"/>
              <w:rPr>
                <w:rFonts w:asciiTheme="minorHAnsi" w:hAnsiTheme="minorHAnsi"/>
                <w:sz w:val="16"/>
              </w:rPr>
            </w:pPr>
            <w:r w:rsidRPr="00184E10">
              <w:rPr>
                <w:rFonts w:asciiTheme="minorHAnsi" w:hAnsiTheme="minorHAnsi"/>
                <w:sz w:val="16"/>
              </w:rPr>
              <w:t xml:space="preserve">services that received grants as part of the 2016-17 Children’s Facilities Capital Program are not eligible to apply </w:t>
            </w:r>
            <w:bookmarkStart w:id="1" w:name="_GoBack"/>
            <w:bookmarkEnd w:id="1"/>
            <w:r w:rsidRPr="00184E10">
              <w:rPr>
                <w:rFonts w:asciiTheme="minorHAnsi" w:hAnsiTheme="minorHAnsi"/>
                <w:sz w:val="16"/>
              </w:rPr>
              <w:t>in 2017-18</w:t>
            </w:r>
            <w:r w:rsidR="007F11B4">
              <w:rPr>
                <w:rFonts w:asciiTheme="minorHAnsi" w:hAnsiTheme="minorHAnsi"/>
                <w:sz w:val="16"/>
              </w:rPr>
              <w:t>.</w:t>
            </w:r>
          </w:p>
        </w:tc>
      </w:tr>
      <w:tr w:rsidR="00C01082" w:rsidRPr="00B620A4" w14:paraId="716A32D8" w14:textId="77777777" w:rsidTr="00444E75">
        <w:trPr>
          <w:trHeight w:val="2511"/>
        </w:trPr>
        <w:tc>
          <w:tcPr>
            <w:tcW w:w="1420" w:type="dxa"/>
            <w:shd w:val="clear" w:color="auto" w:fill="E7EEEE" w:themeFill="accent1" w:themeFillTint="33"/>
          </w:tcPr>
          <w:p w14:paraId="51CEBAF9" w14:textId="77777777" w:rsidR="00C01082" w:rsidRPr="00184E10" w:rsidRDefault="00C01082" w:rsidP="00444E75">
            <w:pPr>
              <w:pStyle w:val="TableTxt"/>
              <w:spacing w:before="120" w:after="120"/>
              <w:rPr>
                <w:rFonts w:asciiTheme="minorHAnsi" w:hAnsiTheme="minorHAnsi"/>
                <w:sz w:val="16"/>
              </w:rPr>
            </w:pPr>
            <w:r w:rsidRPr="00184E10">
              <w:rPr>
                <w:rFonts w:asciiTheme="minorHAnsi" w:hAnsiTheme="minorHAnsi"/>
                <w:sz w:val="16"/>
              </w:rPr>
              <w:t>Minor Infrastructure Refurbishment</w:t>
            </w:r>
          </w:p>
        </w:tc>
        <w:tc>
          <w:tcPr>
            <w:tcW w:w="850" w:type="dxa"/>
          </w:tcPr>
          <w:p w14:paraId="02E7B6E8" w14:textId="77777777" w:rsidR="00C01082" w:rsidRPr="00184E10" w:rsidRDefault="00C01082" w:rsidP="00444E75">
            <w:pPr>
              <w:pStyle w:val="TableTxt"/>
              <w:spacing w:before="120" w:after="120"/>
              <w:rPr>
                <w:rFonts w:asciiTheme="minorHAnsi" w:hAnsiTheme="minorHAnsi"/>
                <w:sz w:val="16"/>
              </w:rPr>
            </w:pPr>
            <w:r w:rsidRPr="00184E10">
              <w:rPr>
                <w:rFonts w:asciiTheme="minorHAnsi" w:hAnsiTheme="minorHAnsi"/>
                <w:sz w:val="16"/>
              </w:rPr>
              <w:t>$10,000</w:t>
            </w:r>
          </w:p>
          <w:p w14:paraId="0E608A99" w14:textId="77777777" w:rsidR="00C01082" w:rsidRPr="00184E10" w:rsidRDefault="00C01082" w:rsidP="00444E75">
            <w:pPr>
              <w:pStyle w:val="TableTxt"/>
              <w:spacing w:before="120" w:after="120"/>
              <w:rPr>
                <w:rFonts w:asciiTheme="minorHAnsi" w:hAnsiTheme="minorHAnsi"/>
                <w:sz w:val="16"/>
              </w:rPr>
            </w:pPr>
          </w:p>
          <w:p w14:paraId="28B1B86C" w14:textId="77777777" w:rsidR="00C01082" w:rsidRPr="00184E10" w:rsidRDefault="00C01082" w:rsidP="00444E75">
            <w:pPr>
              <w:pStyle w:val="TableTxt"/>
              <w:spacing w:before="120" w:after="120"/>
              <w:rPr>
                <w:rFonts w:asciiTheme="minorHAnsi" w:hAnsiTheme="minorHAnsi"/>
                <w:sz w:val="16"/>
              </w:rPr>
            </w:pPr>
          </w:p>
          <w:p w14:paraId="44FCD17D" w14:textId="77777777" w:rsidR="00C01082" w:rsidRPr="00184E10" w:rsidRDefault="00C01082" w:rsidP="00444E75">
            <w:pPr>
              <w:pStyle w:val="TableTxt"/>
              <w:spacing w:before="120" w:after="120"/>
              <w:rPr>
                <w:rFonts w:asciiTheme="minorHAnsi" w:hAnsiTheme="minorHAnsi"/>
                <w:sz w:val="16"/>
              </w:rPr>
            </w:pPr>
          </w:p>
          <w:p w14:paraId="31FD827A" w14:textId="77777777" w:rsidR="00C01082" w:rsidRPr="00184E10" w:rsidRDefault="00C01082" w:rsidP="00444E75">
            <w:pPr>
              <w:pStyle w:val="TableTxt"/>
              <w:spacing w:before="120" w:after="120"/>
              <w:rPr>
                <w:rFonts w:asciiTheme="minorHAnsi" w:hAnsiTheme="minorHAnsi"/>
                <w:sz w:val="16"/>
              </w:rPr>
            </w:pPr>
          </w:p>
          <w:p w14:paraId="65834288" w14:textId="77777777" w:rsidR="00C01082" w:rsidRPr="00184E10" w:rsidRDefault="00C01082" w:rsidP="00444E75">
            <w:pPr>
              <w:pStyle w:val="TableTxt"/>
              <w:spacing w:before="120" w:after="120"/>
              <w:rPr>
                <w:rFonts w:asciiTheme="minorHAnsi" w:hAnsiTheme="minorHAnsi"/>
                <w:sz w:val="16"/>
              </w:rPr>
            </w:pPr>
          </w:p>
        </w:tc>
        <w:tc>
          <w:tcPr>
            <w:tcW w:w="2693" w:type="dxa"/>
          </w:tcPr>
          <w:p w14:paraId="34E6C4DE" w14:textId="77777777" w:rsidR="003F3A02" w:rsidRDefault="00C01082" w:rsidP="00444E75">
            <w:pPr>
              <w:pStyle w:val="TableTxt"/>
              <w:spacing w:before="120" w:after="120"/>
              <w:rPr>
                <w:rFonts w:asciiTheme="minorHAnsi" w:hAnsiTheme="minorHAnsi"/>
                <w:sz w:val="16"/>
              </w:rPr>
            </w:pPr>
            <w:r w:rsidRPr="00184E10">
              <w:rPr>
                <w:rFonts w:asciiTheme="minorHAnsi" w:hAnsiTheme="minorHAnsi"/>
                <w:sz w:val="16"/>
              </w:rPr>
              <w:t xml:space="preserve">This grant is a contribution towards the cost of a small refurbishment project designed to enhance education and care for children attending a funded kindergarten program. The grant can be used to improve any indoor or outdoor spaces used by children during the program, including bathrooms, particularly where they are designed to improve access for children of all abilities. </w:t>
            </w:r>
          </w:p>
          <w:p w14:paraId="779C4ECB" w14:textId="2DAB920E" w:rsidR="00C01082" w:rsidRPr="00184E10" w:rsidRDefault="00EA04F8" w:rsidP="00EC4960">
            <w:pPr>
              <w:spacing w:after="60"/>
              <w:rPr>
                <w:rFonts w:asciiTheme="minorHAnsi" w:hAnsiTheme="minorHAnsi"/>
                <w:sz w:val="16"/>
              </w:rPr>
            </w:pPr>
            <w:r w:rsidRPr="00EA04F8">
              <w:rPr>
                <w:rFonts w:asciiTheme="minorHAnsi" w:hAnsiTheme="minorHAnsi"/>
                <w:bCs/>
                <w:sz w:val="16"/>
              </w:rPr>
              <w:t xml:space="preserve">The grant can be used by facilities that are on the Department’s </w:t>
            </w:r>
            <w:r w:rsidR="007F11B4">
              <w:rPr>
                <w:rFonts w:asciiTheme="minorHAnsi" w:hAnsiTheme="minorHAnsi"/>
                <w:bCs/>
                <w:sz w:val="16"/>
              </w:rPr>
              <w:t>‘</w:t>
            </w:r>
            <w:r w:rsidRPr="00EA04F8">
              <w:rPr>
                <w:rFonts w:asciiTheme="minorHAnsi" w:hAnsiTheme="minorHAnsi"/>
                <w:bCs/>
                <w:sz w:val="16"/>
              </w:rPr>
              <w:t>Bushfire At-Risk</w:t>
            </w:r>
            <w:r w:rsidR="007F11B4">
              <w:rPr>
                <w:rFonts w:asciiTheme="minorHAnsi" w:hAnsiTheme="minorHAnsi"/>
                <w:bCs/>
                <w:sz w:val="16"/>
              </w:rPr>
              <w:t>’</w:t>
            </w:r>
            <w:r w:rsidRPr="00EA04F8">
              <w:rPr>
                <w:rFonts w:asciiTheme="minorHAnsi" w:hAnsiTheme="minorHAnsi"/>
                <w:bCs/>
                <w:sz w:val="16"/>
              </w:rPr>
              <w:t xml:space="preserve"> Register </w:t>
            </w:r>
            <w:r w:rsidR="007F11B4">
              <w:rPr>
                <w:rFonts w:asciiTheme="minorHAnsi" w:hAnsiTheme="minorHAnsi"/>
                <w:bCs/>
                <w:sz w:val="16"/>
              </w:rPr>
              <w:t>to make bushfire preparations</w:t>
            </w:r>
            <w:r w:rsidR="00EC4960">
              <w:rPr>
                <w:rFonts w:asciiTheme="minorHAnsi" w:hAnsiTheme="minorHAnsi"/>
                <w:bCs/>
                <w:sz w:val="16"/>
              </w:rPr>
              <w:t xml:space="preserve"> such as the </w:t>
            </w:r>
            <w:r w:rsidRPr="00EA04F8">
              <w:rPr>
                <w:rFonts w:asciiTheme="minorHAnsi" w:hAnsiTheme="minorHAnsi"/>
                <w:sz w:val="16"/>
              </w:rPr>
              <w:t>installation of gutter guards</w:t>
            </w:r>
            <w:r w:rsidR="00C01082" w:rsidRPr="00184E10">
              <w:rPr>
                <w:rFonts w:asciiTheme="minorHAnsi" w:hAnsiTheme="minorHAnsi"/>
                <w:sz w:val="16"/>
              </w:rPr>
              <w:t xml:space="preserve">. </w:t>
            </w:r>
          </w:p>
        </w:tc>
        <w:tc>
          <w:tcPr>
            <w:tcW w:w="2126" w:type="dxa"/>
            <w:vMerge/>
          </w:tcPr>
          <w:p w14:paraId="4287B775" w14:textId="77777777" w:rsidR="00C01082" w:rsidRPr="00184E10" w:rsidRDefault="00C01082" w:rsidP="00444E75">
            <w:pPr>
              <w:pStyle w:val="TableTxt"/>
              <w:spacing w:before="120" w:after="120"/>
              <w:rPr>
                <w:rFonts w:asciiTheme="minorHAnsi" w:hAnsiTheme="minorHAnsi"/>
                <w:sz w:val="16"/>
              </w:rPr>
            </w:pPr>
          </w:p>
        </w:tc>
        <w:tc>
          <w:tcPr>
            <w:tcW w:w="2268" w:type="dxa"/>
            <w:vMerge/>
          </w:tcPr>
          <w:p w14:paraId="6B95EB21" w14:textId="77777777" w:rsidR="00C01082" w:rsidRPr="00184E10" w:rsidRDefault="00C01082" w:rsidP="00444E75">
            <w:pPr>
              <w:pStyle w:val="TableTxt"/>
              <w:spacing w:before="120" w:after="120"/>
              <w:rPr>
                <w:rFonts w:asciiTheme="minorHAnsi" w:hAnsiTheme="minorHAnsi"/>
                <w:sz w:val="16"/>
              </w:rPr>
            </w:pPr>
          </w:p>
        </w:tc>
      </w:tr>
      <w:tr w:rsidR="00C01082" w:rsidRPr="00B620A4" w14:paraId="6BE7AF54" w14:textId="77777777" w:rsidTr="00444E75">
        <w:trPr>
          <w:trHeight w:val="2967"/>
        </w:trPr>
        <w:tc>
          <w:tcPr>
            <w:tcW w:w="1420" w:type="dxa"/>
            <w:shd w:val="clear" w:color="auto" w:fill="E7EEEE" w:themeFill="accent1" w:themeFillTint="33"/>
          </w:tcPr>
          <w:p w14:paraId="122D6B01" w14:textId="77777777" w:rsidR="00C01082" w:rsidRPr="00184E10" w:rsidRDefault="00C01082" w:rsidP="00444E75">
            <w:pPr>
              <w:pStyle w:val="TableTxt"/>
              <w:spacing w:before="120" w:after="120"/>
              <w:rPr>
                <w:rFonts w:asciiTheme="minorHAnsi" w:hAnsiTheme="minorHAnsi"/>
                <w:sz w:val="16"/>
              </w:rPr>
            </w:pPr>
            <w:r w:rsidRPr="00184E10">
              <w:rPr>
                <w:rFonts w:asciiTheme="minorHAnsi" w:hAnsiTheme="minorHAnsi"/>
                <w:sz w:val="16"/>
              </w:rPr>
              <w:t>Minor Infrastructure Information Technology</w:t>
            </w:r>
          </w:p>
        </w:tc>
        <w:tc>
          <w:tcPr>
            <w:tcW w:w="850" w:type="dxa"/>
          </w:tcPr>
          <w:p w14:paraId="736EB371" w14:textId="77777777" w:rsidR="00C01082" w:rsidRPr="00184E10" w:rsidRDefault="00C01082" w:rsidP="00444E75">
            <w:pPr>
              <w:pStyle w:val="TableTxt"/>
              <w:spacing w:before="120" w:after="120"/>
              <w:rPr>
                <w:rFonts w:asciiTheme="minorHAnsi" w:hAnsiTheme="minorHAnsi"/>
                <w:sz w:val="16"/>
              </w:rPr>
            </w:pPr>
            <w:r w:rsidRPr="00184E10">
              <w:rPr>
                <w:rFonts w:asciiTheme="minorHAnsi" w:hAnsiTheme="minorHAnsi"/>
                <w:sz w:val="16"/>
              </w:rPr>
              <w:t>$1,500</w:t>
            </w:r>
          </w:p>
          <w:p w14:paraId="78E6EB16" w14:textId="77777777" w:rsidR="00C01082" w:rsidRPr="00184E10" w:rsidRDefault="00C01082" w:rsidP="00444E75">
            <w:pPr>
              <w:pStyle w:val="TableTxt"/>
              <w:spacing w:before="120" w:after="120"/>
              <w:rPr>
                <w:rFonts w:asciiTheme="minorHAnsi" w:hAnsiTheme="minorHAnsi"/>
                <w:sz w:val="16"/>
              </w:rPr>
            </w:pPr>
          </w:p>
          <w:p w14:paraId="4DD5A0B4" w14:textId="77777777" w:rsidR="00C01082" w:rsidRPr="00184E10" w:rsidRDefault="00C01082" w:rsidP="00444E75">
            <w:pPr>
              <w:pStyle w:val="TableTxt"/>
              <w:spacing w:before="120" w:after="120"/>
              <w:rPr>
                <w:rFonts w:asciiTheme="minorHAnsi" w:hAnsiTheme="minorHAnsi"/>
                <w:sz w:val="16"/>
              </w:rPr>
            </w:pPr>
          </w:p>
        </w:tc>
        <w:tc>
          <w:tcPr>
            <w:tcW w:w="2693" w:type="dxa"/>
          </w:tcPr>
          <w:p w14:paraId="17830105" w14:textId="77777777" w:rsidR="00C01082" w:rsidRPr="00184E10" w:rsidRDefault="00C01082" w:rsidP="00444E75">
            <w:pPr>
              <w:pStyle w:val="TableTxt"/>
              <w:spacing w:before="120" w:after="120"/>
              <w:rPr>
                <w:rFonts w:asciiTheme="minorHAnsi" w:hAnsiTheme="minorHAnsi"/>
                <w:sz w:val="16"/>
              </w:rPr>
            </w:pPr>
            <w:r w:rsidRPr="00184E10">
              <w:rPr>
                <w:rFonts w:asciiTheme="minorHAnsi" w:hAnsiTheme="minorHAnsi"/>
                <w:sz w:val="16"/>
              </w:rPr>
              <w:t xml:space="preserve">This grant is a contribution to the cost of the purchase of desktops, laptops, tablets, and televisions for services for administrative use or for use as part of the learning program. </w:t>
            </w:r>
          </w:p>
        </w:tc>
        <w:tc>
          <w:tcPr>
            <w:tcW w:w="2126" w:type="dxa"/>
          </w:tcPr>
          <w:p w14:paraId="17CAD850" w14:textId="77777777" w:rsidR="00C01082" w:rsidRPr="00184E10" w:rsidRDefault="00C01082" w:rsidP="00444E75">
            <w:pPr>
              <w:pStyle w:val="ListBullet"/>
              <w:spacing w:before="120" w:after="120"/>
              <w:rPr>
                <w:rFonts w:asciiTheme="minorHAnsi" w:hAnsiTheme="minorHAnsi"/>
                <w:sz w:val="16"/>
              </w:rPr>
            </w:pPr>
            <w:r w:rsidRPr="00184E10">
              <w:rPr>
                <w:rFonts w:asciiTheme="minorHAnsi" w:hAnsiTheme="minorHAnsi"/>
                <w:sz w:val="16"/>
              </w:rPr>
              <w:t xml:space="preserve">not for profit community-based stand-alone kindergartens </w:t>
            </w:r>
          </w:p>
          <w:p w14:paraId="5BD93114" w14:textId="2AB59309" w:rsidR="00C01082" w:rsidRPr="00184E10" w:rsidRDefault="00C01082" w:rsidP="00444E75">
            <w:pPr>
              <w:pStyle w:val="ListBullet"/>
              <w:spacing w:before="120" w:after="120"/>
              <w:rPr>
                <w:rFonts w:asciiTheme="minorHAnsi" w:hAnsiTheme="minorHAnsi"/>
                <w:sz w:val="16"/>
              </w:rPr>
            </w:pPr>
            <w:r w:rsidRPr="00184E10">
              <w:rPr>
                <w:rFonts w:asciiTheme="minorHAnsi" w:hAnsiTheme="minorHAnsi"/>
                <w:sz w:val="16"/>
              </w:rPr>
              <w:t>early years management organisations</w:t>
            </w:r>
            <w:r w:rsidR="007F11B4">
              <w:rPr>
                <w:rFonts w:asciiTheme="minorHAnsi" w:hAnsiTheme="minorHAnsi"/>
                <w:sz w:val="16"/>
              </w:rPr>
              <w:t>.</w:t>
            </w:r>
          </w:p>
        </w:tc>
        <w:tc>
          <w:tcPr>
            <w:tcW w:w="2268" w:type="dxa"/>
          </w:tcPr>
          <w:p w14:paraId="363CB910" w14:textId="7F3A093F" w:rsidR="00C01082" w:rsidRPr="00184E10" w:rsidRDefault="00DB6BD8" w:rsidP="00970CDA">
            <w:pPr>
              <w:pStyle w:val="ListBullet"/>
              <w:numPr>
                <w:ilvl w:val="0"/>
                <w:numId w:val="0"/>
              </w:numPr>
              <w:spacing w:before="120" w:after="120"/>
              <w:rPr>
                <w:rFonts w:asciiTheme="majorHAnsi" w:hAnsiTheme="majorHAnsi"/>
                <w:sz w:val="16"/>
              </w:rPr>
            </w:pPr>
            <w:r w:rsidRPr="00184E10">
              <w:rPr>
                <w:rFonts w:asciiTheme="majorHAnsi" w:hAnsiTheme="majorHAnsi"/>
                <w:sz w:val="16"/>
              </w:rPr>
              <w:t>In addition to all ineligible organisations mentioned above in Minor Infrastructure Expansion and Refurbishment grants section</w:t>
            </w:r>
            <w:r w:rsidR="00C01082" w:rsidRPr="00184E10">
              <w:rPr>
                <w:rFonts w:asciiTheme="majorHAnsi" w:hAnsiTheme="majorHAnsi"/>
                <w:sz w:val="16"/>
              </w:rPr>
              <w:t>:</w:t>
            </w:r>
          </w:p>
          <w:p w14:paraId="52946AC3" w14:textId="77777777" w:rsidR="00C01082" w:rsidRPr="00184E10" w:rsidRDefault="00C01082" w:rsidP="00444E75">
            <w:pPr>
              <w:pStyle w:val="ListBullet"/>
              <w:spacing w:before="120" w:after="120"/>
              <w:rPr>
                <w:rFonts w:asciiTheme="majorHAnsi" w:hAnsiTheme="majorHAnsi"/>
                <w:sz w:val="16"/>
              </w:rPr>
            </w:pPr>
            <w:r w:rsidRPr="00184E10">
              <w:rPr>
                <w:rFonts w:asciiTheme="majorHAnsi" w:hAnsiTheme="majorHAnsi"/>
                <w:sz w:val="16"/>
              </w:rPr>
              <w:t>local governments</w:t>
            </w:r>
          </w:p>
          <w:p w14:paraId="22D08D6A" w14:textId="77777777" w:rsidR="00C01082" w:rsidRPr="00184E10" w:rsidRDefault="00C01082" w:rsidP="00444E75">
            <w:pPr>
              <w:pStyle w:val="ListBullet"/>
              <w:spacing w:before="120" w:after="120"/>
              <w:rPr>
                <w:rFonts w:asciiTheme="majorHAnsi" w:hAnsiTheme="majorHAnsi"/>
                <w:sz w:val="16"/>
              </w:rPr>
            </w:pPr>
            <w:r w:rsidRPr="00184E10">
              <w:rPr>
                <w:rFonts w:asciiTheme="majorHAnsi" w:hAnsiTheme="majorHAnsi"/>
                <w:sz w:val="16"/>
              </w:rPr>
              <w:t>government schools offering a funded kindergarten program</w:t>
            </w:r>
          </w:p>
          <w:p w14:paraId="3481A019" w14:textId="143FB377" w:rsidR="00C01082" w:rsidRPr="00970CDA" w:rsidRDefault="00C01082" w:rsidP="00970CDA">
            <w:pPr>
              <w:pStyle w:val="ListBullet"/>
              <w:spacing w:before="120" w:after="120"/>
              <w:rPr>
                <w:rFonts w:asciiTheme="majorHAnsi" w:hAnsiTheme="majorHAnsi"/>
                <w:sz w:val="16"/>
              </w:rPr>
            </w:pPr>
            <w:r w:rsidRPr="00184E10">
              <w:rPr>
                <w:rFonts w:asciiTheme="majorHAnsi" w:hAnsiTheme="majorHAnsi"/>
                <w:sz w:val="16"/>
              </w:rPr>
              <w:t>non-standalone non-profit delivering funded kindergarten programs (i.e. service providers offering long-day care)</w:t>
            </w:r>
            <w:r w:rsidR="007F11B4">
              <w:rPr>
                <w:rFonts w:asciiTheme="majorHAnsi" w:hAnsiTheme="majorHAnsi"/>
                <w:sz w:val="16"/>
              </w:rPr>
              <w:t>.</w:t>
            </w:r>
          </w:p>
        </w:tc>
      </w:tr>
    </w:tbl>
    <w:p w14:paraId="323E17F6" w14:textId="77777777" w:rsidR="00C01082" w:rsidRPr="00E76521" w:rsidRDefault="00C01082" w:rsidP="00E76521"/>
    <w:p w14:paraId="132A0852" w14:textId="7786400D" w:rsidR="00C01082" w:rsidRDefault="00C01082" w:rsidP="00C45034"/>
    <w:p w14:paraId="745438B1" w14:textId="77777777" w:rsidR="00970CDA" w:rsidRDefault="00970CDA" w:rsidP="00C45034"/>
    <w:p w14:paraId="4E8DDDFF" w14:textId="77777777" w:rsidR="00C01082" w:rsidRDefault="00C01082" w:rsidP="00C45034"/>
    <w:p w14:paraId="338A5FEC" w14:textId="77777777" w:rsidR="001B1A48" w:rsidRDefault="001B1A48" w:rsidP="00C45034"/>
    <w:p w14:paraId="5E8EA3DE" w14:textId="77777777" w:rsidR="00A951D3" w:rsidRPr="00225BDD" w:rsidRDefault="00A951D3" w:rsidP="00A951D3">
      <w:pPr>
        <w:pStyle w:val="Heading2"/>
      </w:pPr>
      <w:bookmarkStart w:id="2" w:name="_Toc477874212"/>
      <w:r>
        <w:lastRenderedPageBreak/>
        <w:t xml:space="preserve">2. </w:t>
      </w:r>
      <w:r w:rsidRPr="00225BDD">
        <w:t>Minor Infrastructure Expansion Grants</w:t>
      </w:r>
      <w:bookmarkEnd w:id="2"/>
    </w:p>
    <w:p w14:paraId="21317243" w14:textId="77777777" w:rsidR="001B1A48" w:rsidRDefault="001B1A48" w:rsidP="00C45034"/>
    <w:p w14:paraId="00F93C6D" w14:textId="77777777" w:rsidR="00A951D3" w:rsidRPr="00A951D3" w:rsidRDefault="00A951D3" w:rsidP="00A951D3">
      <w:pPr>
        <w:pStyle w:val="Heading3"/>
      </w:pPr>
      <w:bookmarkStart w:id="3" w:name="_Toc420499349"/>
      <w:r w:rsidRPr="00A951D3">
        <w:t>Purpose of grant</w:t>
      </w:r>
      <w:bookmarkEnd w:id="3"/>
    </w:p>
    <w:p w14:paraId="748FCB08" w14:textId="15106D8C" w:rsidR="00A951D3" w:rsidRPr="005863FB" w:rsidRDefault="00A951D3" w:rsidP="00A951D3">
      <w:pPr>
        <w:rPr>
          <w:u w:color="000000"/>
        </w:rPr>
      </w:pPr>
      <w:r w:rsidRPr="005863FB">
        <w:rPr>
          <w:u w:color="000000"/>
        </w:rPr>
        <w:t xml:space="preserve">This grant is a contribution towards the cost of a small refurbishment project </w:t>
      </w:r>
      <w:r>
        <w:rPr>
          <w:u w:color="000000"/>
        </w:rPr>
        <w:t xml:space="preserve">that will </w:t>
      </w:r>
      <w:r w:rsidRPr="005863FB">
        <w:rPr>
          <w:u w:color="000000"/>
        </w:rPr>
        <w:t xml:space="preserve">increase the </w:t>
      </w:r>
      <w:r>
        <w:rPr>
          <w:u w:color="000000"/>
        </w:rPr>
        <w:t xml:space="preserve">capacity </w:t>
      </w:r>
      <w:r w:rsidRPr="005863FB">
        <w:rPr>
          <w:u w:color="000000"/>
        </w:rPr>
        <w:t>of a licen</w:t>
      </w:r>
      <w:r>
        <w:rPr>
          <w:u w:color="000000"/>
        </w:rPr>
        <w:t>s</w:t>
      </w:r>
      <w:r w:rsidRPr="005863FB">
        <w:rPr>
          <w:u w:color="000000"/>
        </w:rPr>
        <w:t>ed</w:t>
      </w:r>
      <w:r>
        <w:rPr>
          <w:u w:color="000000"/>
        </w:rPr>
        <w:t xml:space="preserve"> children’s service.</w:t>
      </w:r>
      <w:r>
        <w:rPr>
          <w:u w:color="000000"/>
        </w:rPr>
        <w:tab/>
      </w:r>
    </w:p>
    <w:p w14:paraId="4B6CDCE8" w14:textId="32475439" w:rsidR="00A951D3" w:rsidRDefault="00A951D3" w:rsidP="00A951D3">
      <w:pPr>
        <w:rPr>
          <w:rStyle w:val="CommentReference"/>
          <w:rFonts w:ascii="Times New Roman" w:eastAsia="Arial Unicode MS" w:hAnsi="Times New Roman" w:cs="Times New Roman"/>
        </w:rPr>
      </w:pPr>
      <w:r w:rsidRPr="005863FB">
        <w:rPr>
          <w:u w:color="000000"/>
        </w:rPr>
        <w:t>It is acknowledged that the scope for older facilities to be expanded in a cost</w:t>
      </w:r>
      <w:r w:rsidR="007F11B4">
        <w:rPr>
          <w:u w:color="000000"/>
        </w:rPr>
        <w:t>-</w:t>
      </w:r>
      <w:r w:rsidRPr="005863FB">
        <w:rPr>
          <w:u w:color="000000"/>
        </w:rPr>
        <w:t xml:space="preserve">effective way will vary and that this will not be practical in all cases.  </w:t>
      </w:r>
      <w:r>
        <w:t xml:space="preserve">Interested organisations are encouraged to seek advice from their regional Quality, Assessment and Regulation Division (QARD) officers regarding proposed changes to increase licensed capacity. </w:t>
      </w:r>
    </w:p>
    <w:p w14:paraId="2A637DFC" w14:textId="77777777" w:rsidR="00A951D3" w:rsidRDefault="00A951D3" w:rsidP="00A951D3">
      <w:pPr>
        <w:pStyle w:val="Heading3"/>
      </w:pPr>
      <w:bookmarkStart w:id="4" w:name="_Toc420499350"/>
      <w:r w:rsidRPr="005863FB">
        <w:t>Funding available and project completion</w:t>
      </w:r>
      <w:bookmarkEnd w:id="4"/>
    </w:p>
    <w:p w14:paraId="45E4EDE2" w14:textId="77777777" w:rsidR="00A951D3" w:rsidRPr="005863FB" w:rsidRDefault="00A951D3" w:rsidP="00A951D3">
      <w:pPr>
        <w:rPr>
          <w:u w:color="000000"/>
        </w:rPr>
      </w:pPr>
      <w:r w:rsidRPr="005863FB">
        <w:rPr>
          <w:u w:color="000000"/>
        </w:rPr>
        <w:t xml:space="preserve">Eligible organisations can apply for up to </w:t>
      </w:r>
      <w:r w:rsidRPr="005863FB">
        <w:rPr>
          <w:b/>
          <w:u w:color="000000"/>
        </w:rPr>
        <w:t>$25,000 (ex GST)</w:t>
      </w:r>
      <w:r w:rsidRPr="005863FB">
        <w:rPr>
          <w:u w:color="000000"/>
        </w:rPr>
        <w:t xml:space="preserve"> per Minor Infrastructure Expansion Grant.  There is no mandatory co-contribution.</w:t>
      </w:r>
    </w:p>
    <w:p w14:paraId="7A86DFEC" w14:textId="77777777" w:rsidR="00A951D3" w:rsidRPr="00A951D3" w:rsidRDefault="00A951D3" w:rsidP="00A951D3">
      <w:pPr>
        <w:rPr>
          <w:u w:color="000000"/>
        </w:rPr>
      </w:pPr>
      <w:r w:rsidRPr="005863FB">
        <w:rPr>
          <w:u w:color="000000"/>
        </w:rPr>
        <w:t xml:space="preserve">Projects funded through Minor Infrastructure Grants will be expected to be completed within </w:t>
      </w:r>
      <w:r>
        <w:rPr>
          <w:b/>
          <w:u w:color="000000"/>
        </w:rPr>
        <w:t>six</w:t>
      </w:r>
      <w:r w:rsidRPr="005863FB">
        <w:rPr>
          <w:b/>
          <w:u w:color="000000"/>
        </w:rPr>
        <w:t xml:space="preserve"> months</w:t>
      </w:r>
      <w:r w:rsidRPr="005863FB">
        <w:rPr>
          <w:u w:color="000000"/>
        </w:rPr>
        <w:t xml:space="preserve"> of the funding being received (unless otherwise agreed </w:t>
      </w:r>
      <w:r>
        <w:rPr>
          <w:u w:color="000000"/>
        </w:rPr>
        <w:t>with the Department</w:t>
      </w:r>
      <w:r w:rsidRPr="005863FB">
        <w:rPr>
          <w:u w:color="000000"/>
        </w:rPr>
        <w:t xml:space="preserve"> for projects of greater scope and complexity).</w:t>
      </w:r>
      <w:bookmarkStart w:id="5" w:name="_Toc420499351"/>
    </w:p>
    <w:p w14:paraId="2349655C" w14:textId="77777777" w:rsidR="00A951D3" w:rsidRPr="00493A4F" w:rsidRDefault="00A951D3" w:rsidP="00A951D3">
      <w:pPr>
        <w:pStyle w:val="Heading3"/>
      </w:pPr>
      <w:r w:rsidRPr="005863FB">
        <w:t>Eligible organisations</w:t>
      </w:r>
    </w:p>
    <w:bookmarkEnd w:id="5"/>
    <w:p w14:paraId="51C24161" w14:textId="77777777" w:rsidR="00A951D3" w:rsidRPr="00C140F5" w:rsidRDefault="00A951D3" w:rsidP="00A951D3">
      <w:pPr>
        <w:rPr>
          <w:u w:color="000000"/>
        </w:rPr>
      </w:pPr>
      <w:r w:rsidRPr="00C140F5">
        <w:rPr>
          <w:u w:color="000000"/>
        </w:rPr>
        <w:t>Organisations eligible to apply for a Minor Infrastructure Expansion Grant:</w:t>
      </w:r>
    </w:p>
    <w:p w14:paraId="2453009B" w14:textId="77777777" w:rsidR="00A951D3" w:rsidRPr="00C140F5" w:rsidRDefault="00A951D3" w:rsidP="00A951D3">
      <w:pPr>
        <w:pStyle w:val="ListBullet"/>
        <w:rPr>
          <w:u w:color="000000"/>
        </w:rPr>
      </w:pPr>
      <w:r w:rsidRPr="00C140F5">
        <w:rPr>
          <w:u w:color="000000"/>
        </w:rPr>
        <w:t>local government</w:t>
      </w:r>
    </w:p>
    <w:p w14:paraId="1F4AF009" w14:textId="77777777" w:rsidR="00A951D3" w:rsidRPr="00C140F5" w:rsidRDefault="00A951D3" w:rsidP="00A951D3">
      <w:pPr>
        <w:pStyle w:val="ListBullet"/>
        <w:rPr>
          <w:u w:color="000000"/>
        </w:rPr>
      </w:pPr>
      <w:r w:rsidRPr="00C140F5">
        <w:rPr>
          <w:u w:color="000000"/>
        </w:rPr>
        <w:t>not-for-profit community organisations offering a funded kindergarten program</w:t>
      </w:r>
    </w:p>
    <w:p w14:paraId="18E745D0" w14:textId="77777777" w:rsidR="00A951D3" w:rsidRPr="00C140F5" w:rsidRDefault="00A951D3" w:rsidP="00A951D3">
      <w:pPr>
        <w:pStyle w:val="ListBullet"/>
        <w:rPr>
          <w:u w:color="000000"/>
        </w:rPr>
      </w:pPr>
      <w:r w:rsidRPr="001B19B0">
        <w:rPr>
          <w:u w:color="000000"/>
        </w:rPr>
        <w:t>early years management organisations</w:t>
      </w:r>
    </w:p>
    <w:p w14:paraId="7B6E0D68" w14:textId="77777777" w:rsidR="00A951D3" w:rsidRPr="00C140F5" w:rsidRDefault="00A951D3" w:rsidP="00A951D3">
      <w:pPr>
        <w:pStyle w:val="ListBullet"/>
      </w:pPr>
      <w:r w:rsidRPr="00C140F5">
        <w:rPr>
          <w:u w:color="000000"/>
        </w:rPr>
        <w:t>Government schools offering</w:t>
      </w:r>
      <w:r w:rsidRPr="00C140F5">
        <w:t xml:space="preserve"> a funded kindergarten program. </w:t>
      </w:r>
    </w:p>
    <w:p w14:paraId="48054E9C" w14:textId="77777777" w:rsidR="00A951D3" w:rsidRDefault="00A951D3" w:rsidP="00A951D3">
      <w:pPr>
        <w:rPr>
          <w:u w:color="000000"/>
        </w:rPr>
      </w:pPr>
      <w:r w:rsidRPr="005863FB">
        <w:rPr>
          <w:u w:color="000000"/>
        </w:rPr>
        <w:t xml:space="preserve">If the applicant is not the building owner it is mandatory </w:t>
      </w:r>
      <w:r>
        <w:rPr>
          <w:u w:color="000000"/>
        </w:rPr>
        <w:t xml:space="preserve">that </w:t>
      </w:r>
      <w:r w:rsidRPr="005863FB">
        <w:rPr>
          <w:u w:color="000000"/>
        </w:rPr>
        <w:t xml:space="preserve">they have written evidence of permission </w:t>
      </w:r>
      <w:r>
        <w:rPr>
          <w:u w:color="000000"/>
        </w:rPr>
        <w:t xml:space="preserve">from the building owner </w:t>
      </w:r>
      <w:r w:rsidRPr="005863FB">
        <w:rPr>
          <w:u w:color="000000"/>
        </w:rPr>
        <w:t>to undertake the proposed works.</w:t>
      </w:r>
    </w:p>
    <w:p w14:paraId="0EA58C05" w14:textId="77777777" w:rsidR="00A951D3" w:rsidRPr="005863FB" w:rsidRDefault="00A951D3" w:rsidP="00A951D3">
      <w:pPr>
        <w:pStyle w:val="Heading3"/>
      </w:pPr>
      <w:r>
        <w:t>Ine</w:t>
      </w:r>
      <w:r w:rsidRPr="005863FB">
        <w:t>ligible organisations</w:t>
      </w:r>
    </w:p>
    <w:p w14:paraId="7FF94B05" w14:textId="77777777" w:rsidR="00A951D3" w:rsidRPr="00E218FE" w:rsidRDefault="00A951D3" w:rsidP="00A951D3">
      <w:pPr>
        <w:rPr>
          <w:u w:color="000000"/>
        </w:rPr>
      </w:pPr>
      <w:r w:rsidRPr="00E218FE">
        <w:rPr>
          <w:u w:color="000000"/>
        </w:rPr>
        <w:t>Organisations ineligible to apply for a Minor Infrastructure Expansion Grant:</w:t>
      </w:r>
    </w:p>
    <w:p w14:paraId="19BFE94B" w14:textId="77777777" w:rsidR="00A951D3" w:rsidRPr="00257739" w:rsidRDefault="00A951D3" w:rsidP="00A951D3">
      <w:pPr>
        <w:pStyle w:val="ListBullet"/>
        <w:rPr>
          <w:u w:color="747378"/>
        </w:rPr>
      </w:pPr>
      <w:r w:rsidRPr="00257739">
        <w:rPr>
          <w:u w:color="747378"/>
        </w:rPr>
        <w:t xml:space="preserve">Organisations not registered as a not-for-profit with the Australian Charities and Not for Profits Commission with exception provided for Local Government Authorities. </w:t>
      </w:r>
    </w:p>
    <w:p w14:paraId="72659A11" w14:textId="77777777" w:rsidR="00A951D3" w:rsidRPr="00257739" w:rsidRDefault="00A951D3" w:rsidP="00A951D3">
      <w:pPr>
        <w:pStyle w:val="ListBullet"/>
        <w:rPr>
          <w:u w:color="747378"/>
        </w:rPr>
      </w:pPr>
      <w:r w:rsidRPr="00257739">
        <w:rPr>
          <w:u w:color="747378"/>
        </w:rPr>
        <w:t>Non-government schools service providers are eligible for Major Grants, but not Minor grants.</w:t>
      </w:r>
      <w:r w:rsidRPr="00257739">
        <w:t xml:space="preserve"> </w:t>
      </w:r>
    </w:p>
    <w:p w14:paraId="3ED46461" w14:textId="77777777" w:rsidR="00A951D3" w:rsidRPr="00A951D3" w:rsidRDefault="00A951D3" w:rsidP="00A951D3">
      <w:pPr>
        <w:pStyle w:val="Heading3"/>
      </w:pPr>
      <w:bookmarkStart w:id="6" w:name="_Toc420499352"/>
      <w:bookmarkEnd w:id="6"/>
      <w:r w:rsidRPr="00A951D3">
        <w:t>Assessment Criteria</w:t>
      </w:r>
    </w:p>
    <w:p w14:paraId="751BADC9" w14:textId="77777777" w:rsidR="00A951D3" w:rsidRDefault="00A951D3" w:rsidP="00A951D3">
      <w:pPr>
        <w:rPr>
          <w:u w:color="000000"/>
        </w:rPr>
      </w:pPr>
      <w:r w:rsidRPr="005863FB">
        <w:rPr>
          <w:u w:color="000000"/>
        </w:rPr>
        <w:t xml:space="preserve">Applications for a Minor Infrastructure </w:t>
      </w:r>
      <w:r>
        <w:rPr>
          <w:u w:color="000000"/>
        </w:rPr>
        <w:t xml:space="preserve">Expansion </w:t>
      </w:r>
      <w:r w:rsidRPr="005863FB">
        <w:rPr>
          <w:u w:color="000000"/>
        </w:rPr>
        <w:t>Grant will be required to demonstrate that the project will</w:t>
      </w:r>
      <w:r>
        <w:rPr>
          <w:u w:color="000000"/>
        </w:rPr>
        <w:t xml:space="preserve"> increase </w:t>
      </w:r>
      <w:r w:rsidRPr="005863FB">
        <w:rPr>
          <w:u w:color="000000"/>
        </w:rPr>
        <w:t>the licensed</w:t>
      </w:r>
      <w:r>
        <w:rPr>
          <w:u w:color="000000"/>
        </w:rPr>
        <w:t xml:space="preserve"> capacity </w:t>
      </w:r>
      <w:r w:rsidRPr="005863FB">
        <w:rPr>
          <w:u w:color="000000"/>
        </w:rPr>
        <w:t xml:space="preserve">of the service and that demand exists to fill the additional licensed places that will be created.  </w:t>
      </w:r>
    </w:p>
    <w:p w14:paraId="41E6DBF9" w14:textId="77777777" w:rsidR="00A951D3" w:rsidRPr="00A91EB6" w:rsidRDefault="00A951D3" w:rsidP="00A951D3">
      <w:r>
        <w:t>Applicants will be required to provide sufficient details of the proposed works (e.g. plans, photographs, descriptions) for review by QARD staff to ensure consistency with requirements for usable space set out in the National Law and National Regulations, noting that the actual variation of the license to increase capacity can only occur once works are complete.  Where required, QARD staff may contact an applicant to seek further clarification of the proposed works.</w:t>
      </w:r>
    </w:p>
    <w:p w14:paraId="5091C549" w14:textId="77777777" w:rsidR="00A951D3" w:rsidRPr="005863FB" w:rsidRDefault="00A951D3" w:rsidP="00A951D3">
      <w:pPr>
        <w:rPr>
          <w:u w:color="000000"/>
        </w:rPr>
      </w:pPr>
      <w:r>
        <w:rPr>
          <w:u w:color="000000"/>
        </w:rPr>
        <w:t xml:space="preserve">Where a grant is provided it is required that </w:t>
      </w:r>
      <w:r w:rsidRPr="005863FB">
        <w:rPr>
          <w:u w:color="000000"/>
        </w:rPr>
        <w:t xml:space="preserve">the service will accept enrolments up to the new licensed capacity. </w:t>
      </w:r>
    </w:p>
    <w:p w14:paraId="034A5598" w14:textId="77777777" w:rsidR="00A951D3" w:rsidRPr="00AE58F6" w:rsidRDefault="00A951D3" w:rsidP="00A951D3">
      <w:pPr>
        <w:rPr>
          <w:u w:color="000000"/>
        </w:rPr>
      </w:pPr>
      <w:r>
        <w:rPr>
          <w:u w:color="000000"/>
        </w:rPr>
        <w:t>P</w:t>
      </w:r>
      <w:r w:rsidRPr="005863FB">
        <w:rPr>
          <w:u w:color="000000"/>
        </w:rPr>
        <w:t>riority will be given to applicants in areas with identified infrastructure suitability and capacity constraints for accommodating the new educator to child ratios and/or in areas with high levels of disadvantage and vulnerable populations.</w:t>
      </w:r>
      <w:r>
        <w:rPr>
          <w:u w:color="000000"/>
        </w:rPr>
        <w:t xml:space="preserve"> </w:t>
      </w:r>
      <w:r w:rsidRPr="00AE58F6">
        <w:rPr>
          <w:u w:color="000000"/>
        </w:rPr>
        <w:t xml:space="preserve">Priority will </w:t>
      </w:r>
      <w:r>
        <w:rPr>
          <w:u w:color="000000"/>
        </w:rPr>
        <w:t xml:space="preserve">also </w:t>
      </w:r>
      <w:r w:rsidRPr="00AE58F6">
        <w:rPr>
          <w:u w:color="000000"/>
        </w:rPr>
        <w:t xml:space="preserve">be given to strong applications that were not successful in receiving Children’s Facilities Capital Program funding last year. </w:t>
      </w:r>
    </w:p>
    <w:p w14:paraId="55C2540D" w14:textId="77777777" w:rsidR="00444E75" w:rsidRDefault="00444E75" w:rsidP="00A951D3">
      <w:pPr>
        <w:rPr>
          <w:u w:color="000000"/>
        </w:rPr>
      </w:pPr>
    </w:p>
    <w:p w14:paraId="1B1F5A88" w14:textId="77777777" w:rsidR="00A951D3" w:rsidRDefault="00A951D3" w:rsidP="00A951D3">
      <w:pPr>
        <w:rPr>
          <w:u w:color="000000"/>
        </w:rPr>
      </w:pPr>
      <w:r w:rsidRPr="0008788C">
        <w:rPr>
          <w:u w:color="000000"/>
        </w:rPr>
        <w:lastRenderedPageBreak/>
        <w:t xml:space="preserve">Services </w:t>
      </w:r>
      <w:r w:rsidRPr="000B66CF">
        <w:rPr>
          <w:u w:color="000000"/>
        </w:rPr>
        <w:t xml:space="preserve">that </w:t>
      </w:r>
      <w:r>
        <w:rPr>
          <w:u w:color="000000"/>
        </w:rPr>
        <w:t xml:space="preserve">received a </w:t>
      </w:r>
      <w:r w:rsidRPr="005863FB">
        <w:rPr>
          <w:u w:color="000000"/>
        </w:rPr>
        <w:t>Mino</w:t>
      </w:r>
      <w:r>
        <w:rPr>
          <w:u w:color="000000"/>
        </w:rPr>
        <w:t>r Infrastructure Expansion G</w:t>
      </w:r>
      <w:r w:rsidRPr="000B66CF">
        <w:rPr>
          <w:u w:color="000000"/>
        </w:rPr>
        <w:t>rant in the 20</w:t>
      </w:r>
      <w:r>
        <w:rPr>
          <w:u w:color="000000"/>
        </w:rPr>
        <w:t xml:space="preserve">16-17 </w:t>
      </w:r>
      <w:r w:rsidRPr="000B66CF">
        <w:rPr>
          <w:u w:color="000000"/>
        </w:rPr>
        <w:t xml:space="preserve">round </w:t>
      </w:r>
      <w:r w:rsidRPr="008F6BE6">
        <w:rPr>
          <w:b/>
          <w:u w:color="000000"/>
        </w:rPr>
        <w:t>are ineligible</w:t>
      </w:r>
      <w:r>
        <w:rPr>
          <w:u w:color="000000"/>
        </w:rPr>
        <w:t xml:space="preserve"> to apply for a</w:t>
      </w:r>
      <w:r w:rsidRPr="000B66CF">
        <w:rPr>
          <w:u w:color="000000"/>
        </w:rPr>
        <w:t xml:space="preserve"> </w:t>
      </w:r>
      <w:r w:rsidRPr="005863FB">
        <w:rPr>
          <w:u w:color="000000"/>
        </w:rPr>
        <w:t>Mino</w:t>
      </w:r>
      <w:r>
        <w:rPr>
          <w:u w:color="000000"/>
        </w:rPr>
        <w:t>r Infrastructure Expansion G</w:t>
      </w:r>
      <w:r w:rsidRPr="000B66CF">
        <w:rPr>
          <w:u w:color="000000"/>
        </w:rPr>
        <w:t>rant in the 20</w:t>
      </w:r>
      <w:r>
        <w:rPr>
          <w:u w:color="000000"/>
        </w:rPr>
        <w:t>17-18</w:t>
      </w:r>
      <w:r w:rsidRPr="000B66CF">
        <w:rPr>
          <w:u w:color="000000"/>
        </w:rPr>
        <w:t xml:space="preserve"> round.</w:t>
      </w:r>
      <w:r>
        <w:rPr>
          <w:u w:color="000000"/>
        </w:rPr>
        <w:t xml:space="preserve"> </w:t>
      </w:r>
      <w:r w:rsidRPr="00D918B2">
        <w:rPr>
          <w:u w:color="000000"/>
        </w:rPr>
        <w:t xml:space="preserve">Note that </w:t>
      </w:r>
      <w:r>
        <w:rPr>
          <w:u w:color="000000"/>
        </w:rPr>
        <w:t xml:space="preserve">applicants </w:t>
      </w:r>
      <w:r w:rsidRPr="00D918B2">
        <w:rPr>
          <w:u w:color="000000"/>
        </w:rPr>
        <w:t>that received a</w:t>
      </w:r>
      <w:r>
        <w:rPr>
          <w:u w:color="000000"/>
        </w:rPr>
        <w:t xml:space="preserve"> grant in 2016-17 for a service </w:t>
      </w:r>
      <w:r w:rsidRPr="008F6BE6">
        <w:rPr>
          <w:b/>
          <w:u w:color="000000"/>
        </w:rPr>
        <w:t>are eligible</w:t>
      </w:r>
      <w:r w:rsidRPr="00D918B2">
        <w:rPr>
          <w:u w:color="000000"/>
        </w:rPr>
        <w:t xml:space="preserve"> to apply for the same grant category for </w:t>
      </w:r>
      <w:r w:rsidRPr="008F6BE6">
        <w:rPr>
          <w:b/>
          <w:u w:color="000000"/>
        </w:rPr>
        <w:t xml:space="preserve">other </w:t>
      </w:r>
      <w:r w:rsidRPr="00D918B2">
        <w:rPr>
          <w:u w:color="000000"/>
        </w:rPr>
        <w:t>services.</w:t>
      </w:r>
    </w:p>
    <w:p w14:paraId="1CE0DBCA" w14:textId="77777777" w:rsidR="001B1A48" w:rsidRDefault="001B1A48" w:rsidP="00C45034"/>
    <w:p w14:paraId="795C99B0" w14:textId="77777777" w:rsidR="00A951D3" w:rsidRPr="00E3146E" w:rsidRDefault="00A951D3" w:rsidP="00A951D3">
      <w:pPr>
        <w:pStyle w:val="Heading3"/>
        <w:rPr>
          <w:u w:color="000000"/>
        </w:rPr>
      </w:pPr>
      <w:r w:rsidRPr="00E3146E">
        <w:rPr>
          <w:u w:color="000000"/>
        </w:rPr>
        <w:t xml:space="preserve">Application process </w:t>
      </w:r>
    </w:p>
    <w:p w14:paraId="7080F5D0" w14:textId="77777777" w:rsidR="00A951D3" w:rsidRPr="00585875" w:rsidRDefault="00A951D3" w:rsidP="00A951D3">
      <w:pPr>
        <w:rPr>
          <w:u w:color="000000"/>
        </w:rPr>
      </w:pPr>
      <w:r w:rsidRPr="00585875">
        <w:rPr>
          <w:u w:color="000000"/>
        </w:rPr>
        <w:t>The application form for Minor Infrastructure Expansion Grants is available at:</w:t>
      </w:r>
    </w:p>
    <w:p w14:paraId="1E631697" w14:textId="77777777" w:rsidR="00A951D3" w:rsidRPr="00444E75" w:rsidRDefault="00952BC5" w:rsidP="00444E75">
      <w:pPr>
        <w:rPr>
          <w:rFonts w:ascii="Century Gothic" w:hAnsi="Century Gothic"/>
          <w:u w:color="000000"/>
        </w:rPr>
      </w:pPr>
      <w:hyperlink r:id="rId14" w:history="1">
        <w:r w:rsidR="00A951D3" w:rsidRPr="00444E75">
          <w:rPr>
            <w:rStyle w:val="Hyperlink"/>
            <w:rFonts w:ascii="Century Gothic" w:eastAsia="Times New Roman" w:hAnsi="Century Gothic"/>
          </w:rPr>
          <w:t>www.education.vic.gov.au/ecsmanagement/capitalprogram</w:t>
        </w:r>
      </w:hyperlink>
    </w:p>
    <w:p w14:paraId="5A66533B" w14:textId="77777777" w:rsidR="00A951D3" w:rsidRDefault="00A951D3" w:rsidP="00A951D3">
      <w:pPr>
        <w:pStyle w:val="Body"/>
        <w:jc w:val="both"/>
        <w:rPr>
          <w:rFonts w:ascii="Calibri" w:hAnsi="Calibri"/>
          <w:color w:val="000000"/>
          <w:sz w:val="19"/>
          <w:szCs w:val="19"/>
          <w:u w:color="000000"/>
        </w:rPr>
      </w:pPr>
    </w:p>
    <w:p w14:paraId="2293D700" w14:textId="77777777" w:rsidR="00A951D3" w:rsidRPr="00AD4D36" w:rsidRDefault="00A951D3" w:rsidP="00A951D3">
      <w:pPr>
        <w:rPr>
          <w:u w:color="000000"/>
        </w:rPr>
      </w:pPr>
      <w:r w:rsidRPr="00AD4D36">
        <w:rPr>
          <w:u w:color="000000"/>
        </w:rPr>
        <w:t>The form requires information about:</w:t>
      </w:r>
    </w:p>
    <w:p w14:paraId="1CABE94D" w14:textId="6DEF3297" w:rsidR="00A951D3" w:rsidRDefault="00A951D3" w:rsidP="00A951D3">
      <w:pPr>
        <w:pStyle w:val="ListBullet"/>
        <w:rPr>
          <w:u w:color="000000"/>
        </w:rPr>
      </w:pPr>
      <w:r w:rsidRPr="00585875">
        <w:rPr>
          <w:u w:color="000000"/>
        </w:rPr>
        <w:t>how the project will increase the usable space of the service to assist in meeting the new e</w:t>
      </w:r>
      <w:r>
        <w:rPr>
          <w:u w:color="000000"/>
        </w:rPr>
        <w:t>ducator</w:t>
      </w:r>
      <w:r w:rsidR="00762885">
        <w:rPr>
          <w:u w:color="000000"/>
        </w:rPr>
        <w:t>-</w:t>
      </w:r>
      <w:r>
        <w:rPr>
          <w:u w:color="000000"/>
        </w:rPr>
        <w:t>to</w:t>
      </w:r>
      <w:r w:rsidR="00762885">
        <w:rPr>
          <w:u w:color="000000"/>
        </w:rPr>
        <w:t>-</w:t>
      </w:r>
      <w:r>
        <w:rPr>
          <w:u w:color="000000"/>
        </w:rPr>
        <w:t>child ratio changes</w:t>
      </w:r>
    </w:p>
    <w:p w14:paraId="0A2201B2" w14:textId="77777777" w:rsidR="004B4484" w:rsidRPr="004B4484" w:rsidRDefault="00A951D3" w:rsidP="004B4484">
      <w:pPr>
        <w:pStyle w:val="ListBullet"/>
        <w:rPr>
          <w:u w:color="000000"/>
        </w:rPr>
      </w:pPr>
      <w:r>
        <w:rPr>
          <w:u w:color="000000"/>
        </w:rPr>
        <w:t>quotes or detailed cost estimates on proposed work.</w:t>
      </w:r>
    </w:p>
    <w:p w14:paraId="55A7D185" w14:textId="77777777" w:rsidR="001B1A48" w:rsidRDefault="001B1A48" w:rsidP="00184E10">
      <w:pPr>
        <w:pStyle w:val="Heading2"/>
      </w:pPr>
    </w:p>
    <w:p w14:paraId="221DBC93" w14:textId="77777777" w:rsidR="00184E10" w:rsidRDefault="00184E10" w:rsidP="00184E10">
      <w:pPr>
        <w:pStyle w:val="Heading2"/>
      </w:pPr>
      <w:bookmarkStart w:id="7" w:name="_Toc477874213"/>
      <w:r w:rsidRPr="00184E10">
        <w:t>3. Minor Infrastructure Refurbishment Grants</w:t>
      </w:r>
      <w:bookmarkEnd w:id="7"/>
    </w:p>
    <w:p w14:paraId="69D82466" w14:textId="77777777" w:rsidR="00184E10" w:rsidRPr="00184E10" w:rsidRDefault="00184E10" w:rsidP="00184E10"/>
    <w:p w14:paraId="23F94475" w14:textId="77777777" w:rsidR="00184E10" w:rsidRPr="005863FB" w:rsidRDefault="00184E10" w:rsidP="00184E10">
      <w:pPr>
        <w:pStyle w:val="Heading3"/>
      </w:pPr>
      <w:r w:rsidRPr="005863FB">
        <w:t>Purpose of Grant</w:t>
      </w:r>
    </w:p>
    <w:p w14:paraId="2CC40975" w14:textId="6AA3C7F3" w:rsidR="00184E10" w:rsidRDefault="00184E10" w:rsidP="00184E10">
      <w:pPr>
        <w:rPr>
          <w:u w:color="000000"/>
        </w:rPr>
      </w:pPr>
      <w:r w:rsidRPr="005863FB">
        <w:rPr>
          <w:u w:color="000000"/>
        </w:rPr>
        <w:t xml:space="preserve">This grant is a contribution towards the cost of a small refurbishment project designed to enhance the quality of education and care for children attending a funded kindergarten program. The grant can be used to improve any indoor </w:t>
      </w:r>
      <w:r>
        <w:rPr>
          <w:u w:color="000000"/>
        </w:rPr>
        <w:t>and/</w:t>
      </w:r>
      <w:r w:rsidRPr="005863FB">
        <w:rPr>
          <w:u w:color="000000"/>
        </w:rPr>
        <w:t>or outdoor spaces used by children during the program</w:t>
      </w:r>
      <w:r w:rsidR="00762885">
        <w:rPr>
          <w:u w:color="000000"/>
        </w:rPr>
        <w:t>,</w:t>
      </w:r>
      <w:r w:rsidRPr="00A030C7">
        <w:rPr>
          <w:u w:color="000000"/>
        </w:rPr>
        <w:t xml:space="preserve"> </w:t>
      </w:r>
      <w:r w:rsidRPr="005863FB">
        <w:rPr>
          <w:u w:color="000000"/>
        </w:rPr>
        <w:t>particularly where they are designed to improve access for children of all abilities</w:t>
      </w:r>
      <w:r>
        <w:rPr>
          <w:u w:color="000000"/>
        </w:rPr>
        <w:t xml:space="preserve">. </w:t>
      </w:r>
    </w:p>
    <w:p w14:paraId="3749C12D" w14:textId="77777777" w:rsidR="003F3A02" w:rsidRDefault="00184E10" w:rsidP="00184E10">
      <w:pPr>
        <w:rPr>
          <w:u w:color="000000"/>
        </w:rPr>
      </w:pPr>
      <w:r w:rsidRPr="005863FB">
        <w:rPr>
          <w:u w:color="000000"/>
        </w:rPr>
        <w:t>This grant cannot be used for routine maintenance works, cosmetic upgrades, staff offices or other areas not used as part of the delivery of the program or for the purchase of consumables.</w:t>
      </w:r>
      <w:bookmarkStart w:id="8" w:name="_Toc416949406"/>
      <w:bookmarkStart w:id="9" w:name="_Toc416955375"/>
      <w:bookmarkStart w:id="10" w:name="_Toc420499354"/>
      <w:r>
        <w:rPr>
          <w:u w:color="000000"/>
        </w:rPr>
        <w:t xml:space="preserve"> </w:t>
      </w:r>
    </w:p>
    <w:p w14:paraId="0CA1EAC7" w14:textId="7627B8B1" w:rsidR="00184E10" w:rsidRDefault="00184E10" w:rsidP="00EC4960">
      <w:pPr>
        <w:rPr>
          <w:u w:color="000000"/>
        </w:rPr>
      </w:pPr>
      <w:r>
        <w:rPr>
          <w:u w:color="000000"/>
        </w:rPr>
        <w:t>The grant can be used</w:t>
      </w:r>
      <w:r w:rsidR="003F3A02">
        <w:rPr>
          <w:u w:color="000000"/>
        </w:rPr>
        <w:t xml:space="preserve"> by facilities that are on </w:t>
      </w:r>
      <w:r w:rsidR="00ED5E1B">
        <w:rPr>
          <w:u w:color="000000"/>
        </w:rPr>
        <w:t>the Department’s</w:t>
      </w:r>
      <w:r w:rsidR="003F3A02">
        <w:rPr>
          <w:u w:color="000000"/>
        </w:rPr>
        <w:t xml:space="preserve"> </w:t>
      </w:r>
      <w:r w:rsidR="00762885">
        <w:rPr>
          <w:u w:color="000000"/>
        </w:rPr>
        <w:t>‘</w:t>
      </w:r>
      <w:r w:rsidR="003F3A02" w:rsidRPr="003F3A02">
        <w:rPr>
          <w:u w:color="000000"/>
        </w:rPr>
        <w:t>Bushfire At-Risk Register</w:t>
      </w:r>
      <w:r w:rsidR="00762885">
        <w:rPr>
          <w:u w:color="000000"/>
        </w:rPr>
        <w:t>’</w:t>
      </w:r>
      <w:r w:rsidR="003F3A02">
        <w:rPr>
          <w:u w:color="000000"/>
        </w:rPr>
        <w:t xml:space="preserve"> </w:t>
      </w:r>
      <w:r w:rsidR="00EC4960" w:rsidRPr="00EC4960">
        <w:rPr>
          <w:u w:color="000000"/>
        </w:rPr>
        <w:t>to make bushfire preparations</w:t>
      </w:r>
      <w:r w:rsidR="00ED5E1B">
        <w:rPr>
          <w:u w:color="000000"/>
        </w:rPr>
        <w:t>,</w:t>
      </w:r>
      <w:r w:rsidR="00EC4960" w:rsidRPr="00EC4960">
        <w:rPr>
          <w:u w:color="000000"/>
        </w:rPr>
        <w:t xml:space="preserve"> such as the installation of gutter guards</w:t>
      </w:r>
      <w:r w:rsidR="003F3A02">
        <w:rPr>
          <w:u w:color="000000"/>
        </w:rPr>
        <w:t>.</w:t>
      </w:r>
    </w:p>
    <w:p w14:paraId="545A20F2" w14:textId="77777777" w:rsidR="00184E10" w:rsidRPr="005863FB" w:rsidRDefault="00184E10" w:rsidP="00184E10">
      <w:pPr>
        <w:pStyle w:val="Heading3"/>
      </w:pPr>
      <w:r w:rsidRPr="005863FB">
        <w:t>Funding available and project completion</w:t>
      </w:r>
      <w:bookmarkEnd w:id="8"/>
      <w:bookmarkEnd w:id="9"/>
      <w:bookmarkEnd w:id="10"/>
    </w:p>
    <w:p w14:paraId="20AEBA75" w14:textId="77777777" w:rsidR="00184E10" w:rsidRPr="005863FB" w:rsidRDefault="00184E10" w:rsidP="00184E10">
      <w:pPr>
        <w:rPr>
          <w:u w:color="000000"/>
        </w:rPr>
      </w:pPr>
      <w:r w:rsidRPr="005863FB">
        <w:rPr>
          <w:u w:color="000000"/>
        </w:rPr>
        <w:t xml:space="preserve">Organisations can apply for up to </w:t>
      </w:r>
      <w:r w:rsidRPr="005863FB">
        <w:rPr>
          <w:b/>
          <w:u w:color="000000"/>
        </w:rPr>
        <w:t>$10,000 (ex GST)</w:t>
      </w:r>
      <w:r w:rsidRPr="005863FB">
        <w:rPr>
          <w:u w:color="000000"/>
        </w:rPr>
        <w:t xml:space="preserve"> per Minor Infrastructure Refurbishment Grant.  There is no mandatory co-contribution.  </w:t>
      </w:r>
    </w:p>
    <w:p w14:paraId="6A33EC79" w14:textId="77777777" w:rsidR="00184E10" w:rsidRDefault="00184E10" w:rsidP="00184E10">
      <w:pPr>
        <w:rPr>
          <w:b/>
          <w:color w:val="B4292D" w:themeColor="text2"/>
          <w:sz w:val="24"/>
          <w:szCs w:val="24"/>
        </w:rPr>
      </w:pPr>
      <w:r w:rsidRPr="005863FB">
        <w:rPr>
          <w:u w:color="000000"/>
        </w:rPr>
        <w:t xml:space="preserve">Projects funded through Minor Infrastructure Refurbishment Grants </w:t>
      </w:r>
      <w:r>
        <w:rPr>
          <w:u w:color="000000"/>
        </w:rPr>
        <w:t>should</w:t>
      </w:r>
      <w:r w:rsidRPr="005863FB">
        <w:rPr>
          <w:u w:color="000000"/>
        </w:rPr>
        <w:t xml:space="preserve"> be completed within </w:t>
      </w:r>
      <w:r w:rsidRPr="00343D10">
        <w:rPr>
          <w:b/>
          <w:u w:color="000000"/>
        </w:rPr>
        <w:t>six</w:t>
      </w:r>
      <w:r w:rsidRPr="005863FB">
        <w:rPr>
          <w:b/>
          <w:u w:color="000000"/>
        </w:rPr>
        <w:t xml:space="preserve"> months</w:t>
      </w:r>
      <w:r w:rsidRPr="005863FB">
        <w:rPr>
          <w:u w:color="000000"/>
        </w:rPr>
        <w:t xml:space="preserve"> of the funding being received.</w:t>
      </w:r>
      <w:bookmarkStart w:id="11" w:name="_Toc416949407"/>
      <w:bookmarkStart w:id="12" w:name="_Toc416955376"/>
      <w:bookmarkStart w:id="13" w:name="_Toc420499355"/>
    </w:p>
    <w:p w14:paraId="6503D338" w14:textId="77777777" w:rsidR="00184E10" w:rsidRPr="005863FB" w:rsidRDefault="00184E10" w:rsidP="00184E10">
      <w:pPr>
        <w:pStyle w:val="Heading3"/>
      </w:pPr>
      <w:r w:rsidRPr="005863FB">
        <w:t>Eligible organisations</w:t>
      </w:r>
      <w:bookmarkEnd w:id="11"/>
      <w:bookmarkEnd w:id="12"/>
      <w:bookmarkEnd w:id="13"/>
    </w:p>
    <w:p w14:paraId="5ECAEF72" w14:textId="77777777" w:rsidR="00184E10" w:rsidRPr="00A73F40" w:rsidRDefault="00184E10" w:rsidP="00184E10">
      <w:pPr>
        <w:rPr>
          <w:u w:color="000000"/>
        </w:rPr>
      </w:pPr>
      <w:r w:rsidRPr="00A73F40">
        <w:rPr>
          <w:u w:color="000000"/>
        </w:rPr>
        <w:t>Organisations eligible to apply for a Minor Infrastructure Refurbishment Grant:</w:t>
      </w:r>
    </w:p>
    <w:p w14:paraId="2A50DC08" w14:textId="77777777" w:rsidR="00184E10" w:rsidRPr="00A73F40" w:rsidRDefault="00184E10" w:rsidP="00184E10">
      <w:pPr>
        <w:pStyle w:val="ListBullet"/>
        <w:rPr>
          <w:u w:color="000000"/>
        </w:rPr>
      </w:pPr>
      <w:r w:rsidRPr="00A73F40">
        <w:rPr>
          <w:u w:color="000000"/>
        </w:rPr>
        <w:t>local government</w:t>
      </w:r>
    </w:p>
    <w:p w14:paraId="7B15DCCB" w14:textId="77777777" w:rsidR="00184E10" w:rsidRPr="00A73F40" w:rsidRDefault="00184E10" w:rsidP="00184E10">
      <w:pPr>
        <w:pStyle w:val="ListBullet"/>
        <w:rPr>
          <w:u w:color="000000"/>
        </w:rPr>
      </w:pPr>
      <w:r w:rsidRPr="00A73F40">
        <w:rPr>
          <w:u w:color="000000"/>
        </w:rPr>
        <w:t>not-for-profit community organisations offering a funded kindergarten program</w:t>
      </w:r>
    </w:p>
    <w:p w14:paraId="10C4594D" w14:textId="77777777" w:rsidR="00184E10" w:rsidRPr="00A73F40" w:rsidRDefault="00184E10" w:rsidP="00184E10">
      <w:pPr>
        <w:pStyle w:val="ListBullet"/>
        <w:rPr>
          <w:u w:color="000000"/>
        </w:rPr>
      </w:pPr>
      <w:r w:rsidRPr="00A73F40">
        <w:rPr>
          <w:u w:color="000000"/>
        </w:rPr>
        <w:t>early years management organisations</w:t>
      </w:r>
    </w:p>
    <w:p w14:paraId="57A294B2" w14:textId="77777777" w:rsidR="00184E10" w:rsidRPr="00A73F40" w:rsidRDefault="00184E10" w:rsidP="00184E10">
      <w:pPr>
        <w:pStyle w:val="ListBullet"/>
      </w:pPr>
      <w:r>
        <w:rPr>
          <w:u w:color="000000"/>
        </w:rPr>
        <w:t>g</w:t>
      </w:r>
      <w:r w:rsidRPr="00A73F40">
        <w:rPr>
          <w:u w:color="000000"/>
        </w:rPr>
        <w:t>overnment schools offering</w:t>
      </w:r>
      <w:r w:rsidRPr="00A73F40">
        <w:t xml:space="preserve"> a funded kindergarten program. </w:t>
      </w:r>
    </w:p>
    <w:p w14:paraId="132F5393" w14:textId="77777777" w:rsidR="00184E10" w:rsidRPr="005863FB" w:rsidRDefault="00184E10" w:rsidP="00184E10">
      <w:pPr>
        <w:rPr>
          <w:u w:color="000000"/>
        </w:rPr>
      </w:pPr>
      <w:r w:rsidRPr="005863FB">
        <w:rPr>
          <w:u w:color="000000"/>
        </w:rPr>
        <w:t>If the applicant is not the building owner</w:t>
      </w:r>
      <w:r>
        <w:rPr>
          <w:u w:color="000000"/>
        </w:rPr>
        <w:t xml:space="preserve"> </w:t>
      </w:r>
      <w:r w:rsidRPr="005863FB">
        <w:rPr>
          <w:u w:color="000000"/>
        </w:rPr>
        <w:t xml:space="preserve">it is mandatory </w:t>
      </w:r>
      <w:r>
        <w:rPr>
          <w:u w:color="000000"/>
        </w:rPr>
        <w:t xml:space="preserve">that </w:t>
      </w:r>
      <w:r w:rsidRPr="005863FB">
        <w:rPr>
          <w:u w:color="000000"/>
        </w:rPr>
        <w:t xml:space="preserve">they have written evidence of permission </w:t>
      </w:r>
      <w:r>
        <w:rPr>
          <w:u w:color="000000"/>
        </w:rPr>
        <w:t xml:space="preserve">from the building owner </w:t>
      </w:r>
      <w:r w:rsidRPr="005863FB">
        <w:rPr>
          <w:u w:color="000000"/>
        </w:rPr>
        <w:t>to undertake the proposed works.</w:t>
      </w:r>
    </w:p>
    <w:p w14:paraId="19A5D8E4" w14:textId="77777777" w:rsidR="00184E10" w:rsidRPr="00257739" w:rsidRDefault="00184E10" w:rsidP="00184E10">
      <w:pPr>
        <w:rPr>
          <w:u w:color="000000"/>
        </w:rPr>
      </w:pPr>
      <w:r w:rsidRPr="00257739">
        <w:rPr>
          <w:u w:color="000000"/>
        </w:rPr>
        <w:t>Funding cannot be applied to services operated by or on non-government school sites.</w:t>
      </w:r>
    </w:p>
    <w:p w14:paraId="0A7E55EF" w14:textId="77777777" w:rsidR="00184E10" w:rsidRPr="005863FB" w:rsidRDefault="00184E10" w:rsidP="00184E10">
      <w:pPr>
        <w:pStyle w:val="Heading3"/>
      </w:pPr>
      <w:r>
        <w:t>Ine</w:t>
      </w:r>
      <w:r w:rsidRPr="005863FB">
        <w:t>ligible organisations</w:t>
      </w:r>
    </w:p>
    <w:p w14:paraId="2BB360A8" w14:textId="77777777" w:rsidR="00184E10" w:rsidRPr="00A73F40" w:rsidRDefault="00184E10" w:rsidP="00184E10">
      <w:pPr>
        <w:rPr>
          <w:u w:color="000000"/>
        </w:rPr>
      </w:pPr>
      <w:r w:rsidRPr="00A73F40">
        <w:rPr>
          <w:u w:color="000000"/>
        </w:rPr>
        <w:t>Organisations ineligible to apply for a Minor Infrastructure Refurbishment Grant:</w:t>
      </w:r>
    </w:p>
    <w:p w14:paraId="1B8FD4AA" w14:textId="1DA0E051" w:rsidR="00184E10" w:rsidRPr="00A73F40" w:rsidRDefault="00184E10" w:rsidP="00184E10">
      <w:pPr>
        <w:pStyle w:val="ListBullet"/>
        <w:rPr>
          <w:rFonts w:ascii="Times New Roman" w:hAnsi="Times New Roman"/>
          <w:u w:color="747378"/>
        </w:rPr>
      </w:pPr>
      <w:r w:rsidRPr="00A73F40">
        <w:rPr>
          <w:u w:color="747378"/>
        </w:rPr>
        <w:lastRenderedPageBreak/>
        <w:t>Organisations not registered as a not-for-profit with the Australian Charities and Not for Profits Commission</w:t>
      </w:r>
      <w:r w:rsidR="00762885">
        <w:rPr>
          <w:u w:color="747378"/>
        </w:rPr>
        <w:t>,</w:t>
      </w:r>
      <w:r w:rsidRPr="00A73F40">
        <w:rPr>
          <w:u w:color="747378"/>
        </w:rPr>
        <w:t xml:space="preserve"> with exception provided for Local Government Authorities.</w:t>
      </w:r>
    </w:p>
    <w:p w14:paraId="77DE4A1B" w14:textId="77777777" w:rsidR="00184E10" w:rsidRPr="00A73F40" w:rsidRDefault="00184E10" w:rsidP="00184E10">
      <w:pPr>
        <w:pStyle w:val="ListBullet"/>
        <w:rPr>
          <w:rFonts w:ascii="Times New Roman" w:hAnsi="Times New Roman"/>
          <w:u w:color="747378"/>
        </w:rPr>
      </w:pPr>
      <w:r w:rsidRPr="00A73F40">
        <w:rPr>
          <w:u w:color="747378"/>
        </w:rPr>
        <w:t>Non-government schools service providers are eligible for Major Grants, but not Minor grants.</w:t>
      </w:r>
      <w:r w:rsidRPr="00A73F40">
        <w:t xml:space="preserve"> </w:t>
      </w:r>
    </w:p>
    <w:p w14:paraId="25CDF189" w14:textId="77777777" w:rsidR="00184E10" w:rsidRPr="0010712A" w:rsidRDefault="00184E10" w:rsidP="00184E10">
      <w:pPr>
        <w:pStyle w:val="Heading3"/>
        <w:rPr>
          <w:u w:color="000000"/>
        </w:rPr>
      </w:pPr>
      <w:bookmarkStart w:id="14" w:name="_Toc416949408"/>
      <w:bookmarkStart w:id="15" w:name="_Toc416955377"/>
      <w:bookmarkStart w:id="16" w:name="_Toc420499356"/>
      <w:r w:rsidRPr="0010712A">
        <w:rPr>
          <w:u w:color="000000"/>
        </w:rPr>
        <w:t>Assessment Criteria</w:t>
      </w:r>
      <w:bookmarkEnd w:id="14"/>
      <w:bookmarkEnd w:id="15"/>
      <w:bookmarkEnd w:id="16"/>
    </w:p>
    <w:p w14:paraId="68B7D4D5" w14:textId="77777777" w:rsidR="00184E10" w:rsidRPr="002547E6" w:rsidRDefault="00184E10" w:rsidP="00184E10">
      <w:pPr>
        <w:rPr>
          <w:u w:color="000000"/>
        </w:rPr>
      </w:pPr>
      <w:r w:rsidRPr="002547E6">
        <w:rPr>
          <w:u w:color="000000"/>
        </w:rPr>
        <w:t>Applications for a Minor Infrastructure Grant will be required to demonstrate that the project will contribute to improving the indoor and</w:t>
      </w:r>
      <w:r>
        <w:rPr>
          <w:u w:color="000000"/>
        </w:rPr>
        <w:t>/or</w:t>
      </w:r>
      <w:r w:rsidRPr="002547E6">
        <w:rPr>
          <w:u w:color="000000"/>
        </w:rPr>
        <w:t xml:space="preserve"> outdoor space used by the children.</w:t>
      </w:r>
    </w:p>
    <w:p w14:paraId="6F6CD4D4" w14:textId="77777777" w:rsidR="00184E10" w:rsidRDefault="00184E10" w:rsidP="00184E10">
      <w:pPr>
        <w:rPr>
          <w:u w:color="000000"/>
        </w:rPr>
      </w:pPr>
      <w:r w:rsidRPr="002547E6">
        <w:rPr>
          <w:u w:color="000000"/>
        </w:rPr>
        <w:t>Priority will be given to</w:t>
      </w:r>
      <w:r>
        <w:rPr>
          <w:u w:color="000000"/>
        </w:rPr>
        <w:t>:</w:t>
      </w:r>
    </w:p>
    <w:p w14:paraId="3D2DC6F8" w14:textId="04C8C83D" w:rsidR="00184E10" w:rsidRDefault="00184E10" w:rsidP="00EA04F8">
      <w:pPr>
        <w:pStyle w:val="ListBullet"/>
        <w:rPr>
          <w:u w:color="000000"/>
        </w:rPr>
      </w:pPr>
      <w:r>
        <w:rPr>
          <w:u w:color="000000"/>
        </w:rPr>
        <w:t>S</w:t>
      </w:r>
      <w:r w:rsidRPr="002547E6">
        <w:rPr>
          <w:u w:color="000000"/>
        </w:rPr>
        <w:t>ervices located in areas with high levels of disadvantage and vulnerable</w:t>
      </w:r>
      <w:r>
        <w:rPr>
          <w:u w:color="000000"/>
        </w:rPr>
        <w:t xml:space="preserve"> </w:t>
      </w:r>
      <w:r w:rsidRPr="000B66CF">
        <w:rPr>
          <w:u w:color="000000"/>
        </w:rPr>
        <w:t>populations</w:t>
      </w:r>
      <w:r w:rsidR="00EA04F8">
        <w:rPr>
          <w:u w:color="000000"/>
        </w:rPr>
        <w:t xml:space="preserve"> </w:t>
      </w:r>
      <w:r w:rsidR="00EA04F8" w:rsidRPr="00EA04F8">
        <w:rPr>
          <w:u w:color="000000"/>
        </w:rPr>
        <w:t>(as indicated by Socio-Economic Indexes for Areas (SEIFA) data)</w:t>
      </w:r>
    </w:p>
    <w:p w14:paraId="2036FEF9" w14:textId="504E2F89" w:rsidR="00184E10" w:rsidRDefault="00184E10" w:rsidP="00E55195">
      <w:pPr>
        <w:pStyle w:val="ListBullet"/>
        <w:rPr>
          <w:u w:color="000000"/>
        </w:rPr>
      </w:pPr>
      <w:r>
        <w:rPr>
          <w:u w:color="000000"/>
        </w:rPr>
        <w:t>Services with higher numbers of children under 5 years old</w:t>
      </w:r>
      <w:r w:rsidR="00E55195">
        <w:rPr>
          <w:u w:color="000000"/>
        </w:rPr>
        <w:t xml:space="preserve"> </w:t>
      </w:r>
      <w:r w:rsidR="00E55195" w:rsidRPr="00E55195">
        <w:rPr>
          <w:u w:color="000000"/>
        </w:rPr>
        <w:t>(as indicated in Australian Early Development Census (AEDC) data)</w:t>
      </w:r>
    </w:p>
    <w:p w14:paraId="78E058FD" w14:textId="77777777" w:rsidR="00184E10" w:rsidRDefault="00184E10" w:rsidP="00184E10">
      <w:pPr>
        <w:pStyle w:val="ListBullet"/>
        <w:rPr>
          <w:u w:color="000000"/>
        </w:rPr>
      </w:pPr>
      <w:r>
        <w:rPr>
          <w:u w:color="000000"/>
        </w:rPr>
        <w:t>Grant applications that seek improvements to access for children of all abilities.</w:t>
      </w:r>
    </w:p>
    <w:p w14:paraId="51C2ED80" w14:textId="740CB952" w:rsidR="00184E10" w:rsidRPr="00C236C7" w:rsidRDefault="00184E10" w:rsidP="00184E10">
      <w:r w:rsidRPr="00AE58F6">
        <w:rPr>
          <w:u w:color="000000"/>
        </w:rPr>
        <w:t xml:space="preserve">Priority will </w:t>
      </w:r>
      <w:r>
        <w:rPr>
          <w:u w:color="000000"/>
        </w:rPr>
        <w:t xml:space="preserve">also </w:t>
      </w:r>
      <w:r w:rsidRPr="00AE58F6">
        <w:rPr>
          <w:u w:color="000000"/>
        </w:rPr>
        <w:t>be given to strong applications that were not successful in receiving Children’s Facilities Capital Program funding last year</w:t>
      </w:r>
      <w:r>
        <w:rPr>
          <w:u w:color="000000"/>
        </w:rPr>
        <w:t>.</w:t>
      </w:r>
      <w:r w:rsidRPr="00AE58F6">
        <w:rPr>
          <w:u w:color="000000"/>
        </w:rPr>
        <w:t xml:space="preserve"> </w:t>
      </w:r>
      <w:r>
        <w:rPr>
          <w:u w:color="000000"/>
        </w:rPr>
        <w:t xml:space="preserve">Consideration will be given to the geographic distribution of grants, with an objective to ensure all metropolitan, regional and rural areas have </w:t>
      </w:r>
      <w:r w:rsidR="00762885">
        <w:rPr>
          <w:u w:color="000000"/>
        </w:rPr>
        <w:t xml:space="preserve">equal </w:t>
      </w:r>
      <w:r>
        <w:rPr>
          <w:u w:color="000000"/>
        </w:rPr>
        <w:t xml:space="preserve">access. </w:t>
      </w:r>
    </w:p>
    <w:p w14:paraId="3E1E30A0" w14:textId="77777777" w:rsidR="00184E10" w:rsidRPr="00257739" w:rsidRDefault="00184E10" w:rsidP="00184E10">
      <w:pPr>
        <w:rPr>
          <w:rFonts w:cs="Calibri"/>
        </w:rPr>
      </w:pPr>
      <w:r w:rsidRPr="00257739">
        <w:rPr>
          <w:rFonts w:cs="Calibri"/>
        </w:rPr>
        <w:t>Services that received a Minor Infrastructure Refurbishment Grant in the 2016-17</w:t>
      </w:r>
      <w:r>
        <w:rPr>
          <w:rFonts w:cs="Calibri"/>
        </w:rPr>
        <w:t xml:space="preserve"> </w:t>
      </w:r>
      <w:r w:rsidRPr="00257739">
        <w:rPr>
          <w:rFonts w:cs="Calibri"/>
        </w:rPr>
        <w:t>round are ineligible to apply for the Grant in the 2017-18 round, and services that received the Grant in 2015-16 will be prioritised below other applicants</w:t>
      </w:r>
      <w:bookmarkStart w:id="17" w:name="_Toc420511827"/>
      <w:r w:rsidRPr="00257739">
        <w:rPr>
          <w:rFonts w:cs="Calibri"/>
        </w:rPr>
        <w:t>. Note that applicants that received a grant in 2016-17</w:t>
      </w:r>
      <w:r>
        <w:rPr>
          <w:rFonts w:cs="Calibri"/>
        </w:rPr>
        <w:t xml:space="preserve"> </w:t>
      </w:r>
      <w:r w:rsidRPr="00257739">
        <w:rPr>
          <w:rFonts w:cs="Calibri"/>
        </w:rPr>
        <w:t>for a service are eligible to apply for the same grant category for other services.</w:t>
      </w:r>
    </w:p>
    <w:p w14:paraId="273C3DE6" w14:textId="77777777" w:rsidR="00184E10" w:rsidRPr="0010712A" w:rsidRDefault="00184E10" w:rsidP="00184E10">
      <w:pPr>
        <w:pStyle w:val="Heading3"/>
        <w:rPr>
          <w:u w:color="000000"/>
        </w:rPr>
      </w:pPr>
      <w:r w:rsidRPr="0010712A">
        <w:rPr>
          <w:u w:color="000000"/>
        </w:rPr>
        <w:t>Application process</w:t>
      </w:r>
    </w:p>
    <w:p w14:paraId="4D1F56E1" w14:textId="77777777" w:rsidR="00184E10" w:rsidRPr="00585875" w:rsidRDefault="00184E10" w:rsidP="00184E10">
      <w:pPr>
        <w:rPr>
          <w:u w:color="000000"/>
          <w:lang w:eastAsia="en-AU"/>
        </w:rPr>
      </w:pPr>
      <w:r w:rsidRPr="00585875">
        <w:rPr>
          <w:u w:color="000000"/>
          <w:lang w:eastAsia="en-AU"/>
        </w:rPr>
        <w:t>The application form for Minor Infrastructure Refurbishment Grants is available at:</w:t>
      </w:r>
    </w:p>
    <w:p w14:paraId="4654C3AA" w14:textId="77777777" w:rsidR="00184E10" w:rsidRPr="00444E75" w:rsidRDefault="00952BC5" w:rsidP="00184E10">
      <w:pPr>
        <w:rPr>
          <w:rFonts w:ascii="Century Gothic" w:hAnsi="Century Gothic"/>
          <w:u w:color="000000"/>
        </w:rPr>
      </w:pPr>
      <w:hyperlink r:id="rId15" w:history="1">
        <w:r w:rsidR="00184E10" w:rsidRPr="00444E75">
          <w:rPr>
            <w:rStyle w:val="Hyperlink"/>
            <w:rFonts w:ascii="Century Gothic" w:eastAsia="Times New Roman" w:hAnsi="Century Gothic"/>
          </w:rPr>
          <w:t>www.education.vic.gov.au/ecsmanagement/capitalprogram</w:t>
        </w:r>
      </w:hyperlink>
    </w:p>
    <w:p w14:paraId="3CE32700" w14:textId="77777777" w:rsidR="00184E10" w:rsidRPr="00585875" w:rsidRDefault="00444E75" w:rsidP="00184E10">
      <w:pPr>
        <w:rPr>
          <w:u w:color="000000"/>
          <w:lang w:eastAsia="en-AU"/>
        </w:rPr>
      </w:pPr>
      <w:r>
        <w:rPr>
          <w:u w:color="000000"/>
          <w:lang w:eastAsia="en-AU"/>
        </w:rPr>
        <w:br/>
      </w:r>
      <w:r w:rsidR="00184E10" w:rsidRPr="00585875">
        <w:rPr>
          <w:u w:color="000000"/>
          <w:lang w:eastAsia="en-AU"/>
        </w:rPr>
        <w:t>The form requires information about:</w:t>
      </w:r>
    </w:p>
    <w:p w14:paraId="715C0775" w14:textId="0897DB70" w:rsidR="00184E10" w:rsidRPr="00585875" w:rsidRDefault="00184E10" w:rsidP="00184E10">
      <w:pPr>
        <w:pStyle w:val="ListBullet"/>
        <w:rPr>
          <w:u w:color="000000"/>
          <w:lang w:eastAsia="en-AU"/>
        </w:rPr>
      </w:pPr>
      <w:r w:rsidRPr="00585875">
        <w:rPr>
          <w:u w:color="000000"/>
          <w:lang w:eastAsia="en-AU"/>
        </w:rPr>
        <w:t xml:space="preserve">how the project will support services to </w:t>
      </w:r>
      <w:r w:rsidR="00ED5E1B">
        <w:rPr>
          <w:u w:color="000000"/>
          <w:lang w:eastAsia="en-AU"/>
        </w:rPr>
        <w:t>improve</w:t>
      </w:r>
      <w:r w:rsidRPr="00585875">
        <w:rPr>
          <w:u w:color="000000"/>
          <w:lang w:eastAsia="en-AU"/>
        </w:rPr>
        <w:t xml:space="preserve"> the indoor and out</w:t>
      </w:r>
      <w:r>
        <w:rPr>
          <w:u w:color="000000"/>
          <w:lang w:eastAsia="en-AU"/>
        </w:rPr>
        <w:t>door areas used by the children</w:t>
      </w:r>
    </w:p>
    <w:p w14:paraId="72971940" w14:textId="77777777" w:rsidR="00184E10" w:rsidRPr="004B4484" w:rsidRDefault="00184E10" w:rsidP="00184E10">
      <w:pPr>
        <w:pStyle w:val="ListBullet"/>
        <w:rPr>
          <w:u w:color="000000"/>
          <w:lang w:eastAsia="en-AU"/>
        </w:rPr>
      </w:pPr>
      <w:r w:rsidRPr="00E3146E">
        <w:rPr>
          <w:rFonts w:cs="Arial Unicode MS"/>
          <w:u w:color="0000FF"/>
          <w:lang w:eastAsia="en-AU"/>
        </w:rPr>
        <w:t>quotes or detailed cost estimates on proposed work.</w:t>
      </w:r>
    </w:p>
    <w:p w14:paraId="29B08EEF" w14:textId="77777777" w:rsidR="004B4484" w:rsidRPr="00493A4F" w:rsidRDefault="004B4484" w:rsidP="004B4484">
      <w:pPr>
        <w:pStyle w:val="ListBullet"/>
        <w:numPr>
          <w:ilvl w:val="0"/>
          <w:numId w:val="0"/>
        </w:numPr>
        <w:ind w:left="284"/>
        <w:rPr>
          <w:u w:color="000000"/>
          <w:lang w:eastAsia="en-AU"/>
        </w:rPr>
      </w:pPr>
    </w:p>
    <w:p w14:paraId="756822D7" w14:textId="77777777" w:rsidR="00184E10" w:rsidRDefault="00184E10" w:rsidP="00184E10">
      <w:pPr>
        <w:pStyle w:val="Heading2"/>
      </w:pPr>
      <w:bookmarkStart w:id="18" w:name="_Toc477874214"/>
      <w:r>
        <w:t xml:space="preserve">4. </w:t>
      </w:r>
      <w:r w:rsidRPr="00E3146E">
        <w:t>Information Technology Grants</w:t>
      </w:r>
      <w:bookmarkEnd w:id="17"/>
      <w:bookmarkEnd w:id="18"/>
    </w:p>
    <w:p w14:paraId="370D7EE7" w14:textId="77777777" w:rsidR="003A3393" w:rsidRPr="003A3393" w:rsidRDefault="003A3393" w:rsidP="003A3393"/>
    <w:p w14:paraId="1BCA33DE" w14:textId="77777777" w:rsidR="00184E10" w:rsidRPr="005863FB" w:rsidRDefault="00184E10" w:rsidP="00184E10">
      <w:pPr>
        <w:pStyle w:val="Heading3"/>
      </w:pPr>
      <w:bookmarkStart w:id="19" w:name="_Toc416949409"/>
      <w:bookmarkStart w:id="20" w:name="_Toc416955379"/>
      <w:bookmarkStart w:id="21" w:name="_Toc420499357"/>
      <w:r w:rsidRPr="005863FB">
        <w:t>Purpose of Grant</w:t>
      </w:r>
      <w:bookmarkEnd w:id="19"/>
      <w:bookmarkEnd w:id="20"/>
      <w:bookmarkEnd w:id="21"/>
    </w:p>
    <w:p w14:paraId="37349E38" w14:textId="272E654B" w:rsidR="00184E10" w:rsidRDefault="00184E10" w:rsidP="00184E10">
      <w:pPr>
        <w:rPr>
          <w:b/>
          <w:color w:val="B4292D" w:themeColor="text2"/>
          <w:sz w:val="24"/>
          <w:szCs w:val="24"/>
        </w:rPr>
      </w:pPr>
      <w:r w:rsidRPr="00F73FD2">
        <w:rPr>
          <w:u w:color="000000"/>
        </w:rPr>
        <w:t>This grant is a contribution to the cost of the purchase of desktop</w:t>
      </w:r>
      <w:r>
        <w:rPr>
          <w:u w:color="000000"/>
        </w:rPr>
        <w:t>s</w:t>
      </w:r>
      <w:r w:rsidRPr="00F73FD2">
        <w:rPr>
          <w:u w:color="000000"/>
        </w:rPr>
        <w:t>, laptops, tablets, and televisions for services for administrative use or for use as part of the learning program.</w:t>
      </w:r>
      <w:r w:rsidRPr="00B620A4">
        <w:rPr>
          <w:u w:color="000000"/>
        </w:rPr>
        <w:t xml:space="preserve"> </w:t>
      </w:r>
      <w:r>
        <w:rPr>
          <w:u w:color="000000"/>
        </w:rPr>
        <w:t xml:space="preserve">If an applicant is successful in receiving an </w:t>
      </w:r>
      <w:r w:rsidRPr="00EF42D9">
        <w:rPr>
          <w:u w:color="000000"/>
        </w:rPr>
        <w:t>Information Technology Grant</w:t>
      </w:r>
      <w:r>
        <w:rPr>
          <w:u w:color="000000"/>
        </w:rPr>
        <w:t xml:space="preserve">, accessories that enable support of the major purchase will be accepted, this includes items such as wall brackets for </w:t>
      </w:r>
      <w:r w:rsidR="00762885">
        <w:rPr>
          <w:u w:color="000000"/>
        </w:rPr>
        <w:t>s</w:t>
      </w:r>
      <w:r>
        <w:rPr>
          <w:u w:color="000000"/>
        </w:rPr>
        <w:t xml:space="preserve">mart TVs.  </w:t>
      </w:r>
      <w:bookmarkStart w:id="22" w:name="_Toc416949410"/>
      <w:bookmarkStart w:id="23" w:name="_Toc416955380"/>
      <w:bookmarkStart w:id="24" w:name="_Toc420499358"/>
    </w:p>
    <w:p w14:paraId="78A6AAA0" w14:textId="77777777" w:rsidR="00184E10" w:rsidRPr="005863FB" w:rsidRDefault="00184E10" w:rsidP="00184E10">
      <w:pPr>
        <w:pStyle w:val="Heading3"/>
      </w:pPr>
      <w:r w:rsidRPr="005863FB">
        <w:t>Funding Available</w:t>
      </w:r>
      <w:bookmarkEnd w:id="22"/>
      <w:bookmarkEnd w:id="23"/>
      <w:bookmarkEnd w:id="24"/>
    </w:p>
    <w:p w14:paraId="2CECA5A0" w14:textId="77777777" w:rsidR="00184E10" w:rsidRDefault="00184E10" w:rsidP="00184E10">
      <w:pPr>
        <w:rPr>
          <w:b/>
          <w:color w:val="B4292D" w:themeColor="text2"/>
          <w:sz w:val="24"/>
          <w:szCs w:val="24"/>
        </w:rPr>
      </w:pPr>
      <w:r w:rsidRPr="005863FB">
        <w:rPr>
          <w:u w:color="000000"/>
        </w:rPr>
        <w:t xml:space="preserve">Organisations can apply for up to </w:t>
      </w:r>
      <w:r w:rsidRPr="00B620A4">
        <w:rPr>
          <w:b/>
          <w:u w:color="000000"/>
        </w:rPr>
        <w:t xml:space="preserve">$1,500 (ex GST) </w:t>
      </w:r>
      <w:r w:rsidRPr="005863FB">
        <w:rPr>
          <w:u w:color="000000"/>
        </w:rPr>
        <w:t>per Info</w:t>
      </w:r>
      <w:r w:rsidRPr="005863FB">
        <w:rPr>
          <w:rFonts w:eastAsia="Arial Unicode MS"/>
          <w:u w:color="000000"/>
        </w:rPr>
        <w:t xml:space="preserve">rmation Technology Grant.  </w:t>
      </w:r>
      <w:bookmarkStart w:id="25" w:name="_Toc416949411"/>
      <w:bookmarkStart w:id="26" w:name="_Toc416955381"/>
      <w:bookmarkStart w:id="27" w:name="_Toc420499359"/>
    </w:p>
    <w:p w14:paraId="0D9ABB60" w14:textId="77777777" w:rsidR="00184E10" w:rsidRPr="005863FB" w:rsidRDefault="00184E10" w:rsidP="00184E10">
      <w:pPr>
        <w:pStyle w:val="Heading3"/>
      </w:pPr>
      <w:r w:rsidRPr="005863FB">
        <w:t>Eligible Organisations</w:t>
      </w:r>
      <w:bookmarkEnd w:id="25"/>
      <w:bookmarkEnd w:id="26"/>
      <w:bookmarkEnd w:id="27"/>
    </w:p>
    <w:p w14:paraId="041319F6" w14:textId="77777777" w:rsidR="00184E10" w:rsidRPr="00257739" w:rsidRDefault="00184E10" w:rsidP="00184E10">
      <w:pPr>
        <w:rPr>
          <w:u w:color="000000"/>
        </w:rPr>
      </w:pPr>
      <w:r w:rsidRPr="00257739">
        <w:rPr>
          <w:u w:color="000000"/>
        </w:rPr>
        <w:t>Organisations eligible to apply for an Information Technology Grant:</w:t>
      </w:r>
    </w:p>
    <w:p w14:paraId="6BD79BCD" w14:textId="77777777" w:rsidR="00184E10" w:rsidRPr="00257739" w:rsidRDefault="00184E10" w:rsidP="00184E10">
      <w:pPr>
        <w:pStyle w:val="ListBullet"/>
      </w:pPr>
      <w:r w:rsidRPr="00257739">
        <w:t xml:space="preserve">community-based, stand-alone kindergartens </w:t>
      </w:r>
    </w:p>
    <w:p w14:paraId="4980F278" w14:textId="5136A55D" w:rsidR="00184E10" w:rsidRPr="00257739" w:rsidRDefault="00184E10" w:rsidP="00184E10">
      <w:pPr>
        <w:pStyle w:val="ListBullet"/>
      </w:pPr>
      <w:r w:rsidRPr="001B19B0">
        <w:t>early years management organisations</w:t>
      </w:r>
      <w:r w:rsidR="00762885">
        <w:t>.</w:t>
      </w:r>
    </w:p>
    <w:p w14:paraId="72E2CE1E" w14:textId="77777777" w:rsidR="00184E10" w:rsidRPr="005863FB" w:rsidRDefault="00184E10" w:rsidP="00184E10">
      <w:pPr>
        <w:rPr>
          <w:rFonts w:eastAsia="Arial Unicode MS"/>
          <w:u w:color="000000"/>
        </w:rPr>
      </w:pPr>
      <w:r w:rsidRPr="005863FB">
        <w:rPr>
          <w:u w:color="000000"/>
        </w:rPr>
        <w:t>Funding cannot be applied to services operated by schools and/or on non-government school sites.</w:t>
      </w:r>
    </w:p>
    <w:p w14:paraId="020A3DA7" w14:textId="77777777" w:rsidR="00184E10" w:rsidRPr="005863FB" w:rsidRDefault="00184E10" w:rsidP="00184E10">
      <w:pPr>
        <w:rPr>
          <w:rFonts w:eastAsia="Arial Unicode MS"/>
          <w:u w:color="000000"/>
        </w:rPr>
      </w:pPr>
      <w:r w:rsidRPr="005863FB">
        <w:rPr>
          <w:rFonts w:eastAsia="Arial Unicode MS"/>
          <w:u w:color="000000"/>
        </w:rPr>
        <w:lastRenderedPageBreak/>
        <w:t>Note: when a kindergarten service is operated by a</w:t>
      </w:r>
      <w:r>
        <w:rPr>
          <w:rFonts w:eastAsia="Arial Unicode MS"/>
          <w:u w:color="000000"/>
        </w:rPr>
        <w:t>n</w:t>
      </w:r>
      <w:r w:rsidRPr="005863FB">
        <w:rPr>
          <w:rFonts w:eastAsia="Arial Unicode MS"/>
          <w:u w:color="000000"/>
        </w:rPr>
        <w:t xml:space="preserve"> </w:t>
      </w:r>
      <w:r w:rsidRPr="001B19B0">
        <w:rPr>
          <w:rFonts w:eastAsia="Arial Unicode MS"/>
          <w:u w:color="000000"/>
        </w:rPr>
        <w:t>early years management organisation</w:t>
      </w:r>
      <w:r w:rsidRPr="005863FB">
        <w:rPr>
          <w:rFonts w:eastAsia="Arial Unicode MS"/>
          <w:u w:color="000000"/>
        </w:rPr>
        <w:t xml:space="preserve">, the </w:t>
      </w:r>
      <w:r>
        <w:rPr>
          <w:rFonts w:eastAsia="Arial Unicode MS"/>
          <w:u w:color="000000"/>
        </w:rPr>
        <w:t>management organisation</w:t>
      </w:r>
      <w:r w:rsidRPr="005863FB">
        <w:rPr>
          <w:rFonts w:eastAsia="Arial Unicode MS"/>
          <w:u w:color="000000"/>
        </w:rPr>
        <w:t xml:space="preserve"> </w:t>
      </w:r>
      <w:r w:rsidRPr="005863FB">
        <w:rPr>
          <w:rFonts w:eastAsia="Arial Unicode MS"/>
          <w:b/>
          <w:u w:color="000000"/>
        </w:rPr>
        <w:t>must</w:t>
      </w:r>
      <w:r w:rsidRPr="005863FB">
        <w:rPr>
          <w:rFonts w:eastAsia="Arial Unicode MS"/>
          <w:u w:color="000000"/>
        </w:rPr>
        <w:t xml:space="preserve"> be the applicant.</w:t>
      </w:r>
    </w:p>
    <w:p w14:paraId="5DEBE0BF" w14:textId="77777777" w:rsidR="00184E10" w:rsidRPr="005863FB" w:rsidRDefault="00184E10" w:rsidP="00184E10">
      <w:pPr>
        <w:pStyle w:val="Heading3"/>
      </w:pPr>
      <w:bookmarkStart w:id="28" w:name="_Toc416949412"/>
      <w:bookmarkStart w:id="29" w:name="_Toc416955382"/>
      <w:bookmarkStart w:id="30" w:name="_Toc420499360"/>
      <w:bookmarkStart w:id="31" w:name="_Toc420511828"/>
      <w:r>
        <w:t>Ine</w:t>
      </w:r>
      <w:r w:rsidRPr="005863FB">
        <w:t>ligible organisations</w:t>
      </w:r>
    </w:p>
    <w:p w14:paraId="3D19D841" w14:textId="77777777" w:rsidR="00184E10" w:rsidRPr="008B3D23" w:rsidRDefault="00184E10" w:rsidP="00184E10">
      <w:pPr>
        <w:rPr>
          <w:u w:color="000000"/>
        </w:rPr>
      </w:pPr>
      <w:r w:rsidRPr="008B3D23">
        <w:rPr>
          <w:u w:color="000000"/>
        </w:rPr>
        <w:t>Organisations ineligible to apply for a Minor Information Technology Grant:</w:t>
      </w:r>
    </w:p>
    <w:p w14:paraId="238A106E" w14:textId="77777777" w:rsidR="00184E10" w:rsidRPr="00680EEC" w:rsidRDefault="00184E10" w:rsidP="00184E10">
      <w:pPr>
        <w:pStyle w:val="ListBullet"/>
        <w:rPr>
          <w:rFonts w:ascii="Times New Roman" w:eastAsia="Times New Roman" w:hAnsi="Times New Roman"/>
        </w:rPr>
      </w:pPr>
      <w:r w:rsidRPr="00680EEC">
        <w:t>local governments</w:t>
      </w:r>
    </w:p>
    <w:p w14:paraId="02A50523" w14:textId="77777777" w:rsidR="00184E10" w:rsidRPr="00680EEC" w:rsidRDefault="00184E10" w:rsidP="00184E10">
      <w:pPr>
        <w:pStyle w:val="ListBullet"/>
        <w:rPr>
          <w:rFonts w:ascii="Times New Roman" w:eastAsia="Arial" w:hAnsi="Times New Roman"/>
          <w:u w:color="747378"/>
        </w:rPr>
      </w:pPr>
      <w:r w:rsidRPr="00680EEC">
        <w:t>government schools offering a funded kindergarten program</w:t>
      </w:r>
    </w:p>
    <w:p w14:paraId="0FC2B389" w14:textId="77777777" w:rsidR="00184E10" w:rsidRPr="00F951B4" w:rsidRDefault="00184E10" w:rsidP="00184E10">
      <w:pPr>
        <w:pStyle w:val="ListBullet"/>
        <w:rPr>
          <w:rFonts w:ascii="Times New Roman" w:eastAsia="Arial" w:hAnsi="Times New Roman"/>
          <w:u w:color="747378"/>
        </w:rPr>
      </w:pPr>
      <w:r>
        <w:rPr>
          <w:rFonts w:eastAsia="Arial"/>
          <w:u w:color="747378"/>
        </w:rPr>
        <w:t>n</w:t>
      </w:r>
      <w:r w:rsidRPr="00680EEC">
        <w:rPr>
          <w:rFonts w:eastAsia="Arial"/>
          <w:u w:color="747378"/>
        </w:rPr>
        <w:t>on-government schools</w:t>
      </w:r>
      <w:r w:rsidRPr="00F951B4">
        <w:rPr>
          <w:rFonts w:eastAsia="Arial"/>
          <w:b/>
          <w:u w:color="747378"/>
        </w:rPr>
        <w:t xml:space="preserve"> </w:t>
      </w:r>
      <w:r w:rsidRPr="00F951B4">
        <w:rPr>
          <w:rFonts w:eastAsia="Arial"/>
          <w:u w:color="747378"/>
        </w:rPr>
        <w:t xml:space="preserve">service </w:t>
      </w:r>
      <w:r>
        <w:rPr>
          <w:rFonts w:eastAsia="Arial"/>
          <w:u w:color="747378"/>
        </w:rPr>
        <w:t>providers</w:t>
      </w:r>
      <w:r w:rsidRPr="00F951B4">
        <w:t xml:space="preserve"> </w:t>
      </w:r>
    </w:p>
    <w:p w14:paraId="3B6E3B81" w14:textId="77777777" w:rsidR="00184E10" w:rsidRPr="00680EEC" w:rsidRDefault="00184E10" w:rsidP="00184E10">
      <w:pPr>
        <w:pStyle w:val="ListBullet"/>
        <w:rPr>
          <w:rFonts w:ascii="Times New Roman" w:eastAsia="Arial" w:hAnsi="Times New Roman"/>
          <w:u w:color="747378"/>
        </w:rPr>
      </w:pPr>
      <w:r>
        <w:t>n</w:t>
      </w:r>
      <w:r w:rsidRPr="00680EEC">
        <w:t>on-standalone non-profit delivering funded kindergarten programs (i.e. services providers offering long-day care)</w:t>
      </w:r>
    </w:p>
    <w:p w14:paraId="0EED9F34" w14:textId="77777777" w:rsidR="00184E10" w:rsidRPr="00680EEC" w:rsidRDefault="00184E10" w:rsidP="00184E10">
      <w:pPr>
        <w:pStyle w:val="ListBullet"/>
        <w:rPr>
          <w:rFonts w:ascii="Times New Roman" w:eastAsia="Arial" w:hAnsi="Times New Roman"/>
          <w:u w:color="747378"/>
        </w:rPr>
      </w:pPr>
      <w:r>
        <w:rPr>
          <w:rFonts w:eastAsia="Arial"/>
          <w:u w:color="747378"/>
        </w:rPr>
        <w:t>o</w:t>
      </w:r>
      <w:r w:rsidRPr="00680EEC">
        <w:rPr>
          <w:rFonts w:eastAsia="Arial"/>
          <w:u w:color="747378"/>
        </w:rPr>
        <w:t>rganisations</w:t>
      </w:r>
      <w:r w:rsidRPr="00680EEC">
        <w:rPr>
          <w:rFonts w:eastAsia="Arial"/>
          <w:b/>
          <w:u w:color="747378"/>
        </w:rPr>
        <w:t xml:space="preserve"> </w:t>
      </w:r>
      <w:r w:rsidRPr="00680EEC">
        <w:rPr>
          <w:rFonts w:eastAsia="Arial"/>
          <w:u w:color="747378"/>
        </w:rPr>
        <w:t>not registered as a not-for-profit</w:t>
      </w:r>
      <w:r w:rsidRPr="00680EEC">
        <w:rPr>
          <w:rFonts w:eastAsia="Arial"/>
          <w:b/>
          <w:u w:color="747378"/>
        </w:rPr>
        <w:t xml:space="preserve"> </w:t>
      </w:r>
      <w:r w:rsidRPr="00680EEC">
        <w:rPr>
          <w:rFonts w:eastAsia="Arial"/>
          <w:u w:color="747378"/>
        </w:rPr>
        <w:t>with the Australian Charities and Not for Profits Commission</w:t>
      </w:r>
      <w:r>
        <w:rPr>
          <w:rFonts w:eastAsia="Arial"/>
          <w:u w:color="747378"/>
        </w:rPr>
        <w:t>.</w:t>
      </w:r>
    </w:p>
    <w:p w14:paraId="4D01517A" w14:textId="77777777" w:rsidR="00184E10" w:rsidRPr="00407623" w:rsidRDefault="00184E10" w:rsidP="00184E10">
      <w:pPr>
        <w:pStyle w:val="Heading3"/>
      </w:pPr>
      <w:r w:rsidRPr="00407623">
        <w:t>Assessment Criteria</w:t>
      </w:r>
      <w:bookmarkEnd w:id="28"/>
      <w:bookmarkEnd w:id="29"/>
      <w:bookmarkEnd w:id="30"/>
      <w:bookmarkEnd w:id="31"/>
    </w:p>
    <w:p w14:paraId="469F8904" w14:textId="77777777" w:rsidR="00184E10" w:rsidRPr="00C140F5" w:rsidRDefault="00184E10" w:rsidP="00184E10">
      <w:pPr>
        <w:rPr>
          <w:u w:color="000000"/>
        </w:rPr>
      </w:pPr>
      <w:r w:rsidRPr="00C140F5">
        <w:rPr>
          <w:u w:color="000000"/>
        </w:rPr>
        <w:t>Applications will require a brief statement that specifies the need for new information technology hardware.</w:t>
      </w:r>
    </w:p>
    <w:p w14:paraId="7158342B" w14:textId="39F0B44E" w:rsidR="00184E10" w:rsidRDefault="00184E10" w:rsidP="00184E10">
      <w:pPr>
        <w:rPr>
          <w:u w:color="000000"/>
        </w:rPr>
      </w:pPr>
      <w:r w:rsidRPr="00C140F5">
        <w:rPr>
          <w:u w:color="000000"/>
        </w:rPr>
        <w:t xml:space="preserve">Applicants are able to apply for both an Information Technology Grant and one of either a Minor Infrastructure Expansion Grant or a Minor Infrastructure Refurbishment Grant. Priority will be given to services located in areas with high levels of disadvantage and vulnerable populations, and those with higher </w:t>
      </w:r>
      <w:r>
        <w:rPr>
          <w:u w:color="000000"/>
        </w:rPr>
        <w:t>numbers</w:t>
      </w:r>
      <w:r w:rsidRPr="00C140F5">
        <w:rPr>
          <w:u w:color="000000"/>
        </w:rPr>
        <w:t xml:space="preserve"> of children under 5 years old</w:t>
      </w:r>
      <w:r w:rsidR="00C27240">
        <w:rPr>
          <w:u w:color="000000"/>
        </w:rPr>
        <w:t xml:space="preserve"> </w:t>
      </w:r>
      <w:r w:rsidR="00C27240" w:rsidRPr="00C27240">
        <w:rPr>
          <w:u w:color="000000"/>
        </w:rPr>
        <w:t>(as indicated in AEDC and SEIFA data)</w:t>
      </w:r>
      <w:r w:rsidRPr="00C140F5">
        <w:rPr>
          <w:u w:color="000000"/>
        </w:rPr>
        <w:t xml:space="preserve">. Consideration will also be given to the geographic distribution of grants, with an objective to ensure all metropolitan, regional and rural areas have </w:t>
      </w:r>
      <w:r w:rsidR="00762885">
        <w:rPr>
          <w:u w:color="000000"/>
        </w:rPr>
        <w:t xml:space="preserve">equal </w:t>
      </w:r>
      <w:r w:rsidRPr="00C140F5">
        <w:rPr>
          <w:u w:color="000000"/>
        </w:rPr>
        <w:t>access.</w:t>
      </w:r>
      <w:r>
        <w:rPr>
          <w:u w:color="000000"/>
        </w:rPr>
        <w:t xml:space="preserve"> </w:t>
      </w:r>
    </w:p>
    <w:p w14:paraId="5FD64E07" w14:textId="6241E7CE" w:rsidR="00184E10" w:rsidRPr="00C140F5" w:rsidRDefault="00184E10" w:rsidP="00184E10">
      <w:pPr>
        <w:rPr>
          <w:rFonts w:cs="Calibri"/>
        </w:rPr>
      </w:pPr>
      <w:r w:rsidRPr="00C140F5">
        <w:rPr>
          <w:rFonts w:cs="Calibri"/>
        </w:rPr>
        <w:t xml:space="preserve">Services that received a Minor </w:t>
      </w:r>
      <w:r w:rsidRPr="00C140F5">
        <w:rPr>
          <w:u w:color="000000"/>
        </w:rPr>
        <w:t xml:space="preserve">Information Technology Grant </w:t>
      </w:r>
      <w:r w:rsidRPr="00C140F5">
        <w:rPr>
          <w:rFonts w:cs="Calibri"/>
        </w:rPr>
        <w:t>in the 2016-17 round are ineligible to apply for the Grant in the 2017-18 round, and services that received the Grant in 2015-16 will be prioritised below other applicants. Note</w:t>
      </w:r>
      <w:r w:rsidR="00762885">
        <w:rPr>
          <w:rFonts w:cs="Calibri"/>
        </w:rPr>
        <w:t>:</w:t>
      </w:r>
      <w:r w:rsidRPr="00C140F5">
        <w:rPr>
          <w:rFonts w:cs="Calibri"/>
        </w:rPr>
        <w:t xml:space="preserve"> applicants that received a grant in 2016-17 for a service are eligible to apply for the same grant category for other services.</w:t>
      </w:r>
    </w:p>
    <w:p w14:paraId="3B7C5ED9" w14:textId="77777777" w:rsidR="00184E10" w:rsidRPr="00680EEC" w:rsidRDefault="00184E10" w:rsidP="00184E10">
      <w:pPr>
        <w:pStyle w:val="Heading3"/>
      </w:pPr>
      <w:r>
        <w:t>Application process</w:t>
      </w:r>
    </w:p>
    <w:p w14:paraId="2D4F91C9" w14:textId="77777777" w:rsidR="00184E10" w:rsidRPr="005863FB" w:rsidRDefault="00184E10" w:rsidP="00184E10">
      <w:pPr>
        <w:rPr>
          <w:u w:color="000000"/>
        </w:rPr>
      </w:pPr>
      <w:r w:rsidRPr="005863FB">
        <w:rPr>
          <w:u w:color="000000"/>
        </w:rPr>
        <w:t xml:space="preserve">The application form for Information Technology Grants is available at: </w:t>
      </w:r>
    </w:p>
    <w:p w14:paraId="60989586" w14:textId="77777777" w:rsidR="00184E10" w:rsidRPr="00444E75" w:rsidRDefault="00952BC5" w:rsidP="00184E10">
      <w:pPr>
        <w:rPr>
          <w:rFonts w:ascii="Century Gothic" w:hAnsi="Century Gothic"/>
          <w:u w:color="000000"/>
        </w:rPr>
      </w:pPr>
      <w:hyperlink r:id="rId16" w:history="1">
        <w:r w:rsidR="00184E10" w:rsidRPr="00444E75">
          <w:rPr>
            <w:rStyle w:val="Hyperlink"/>
            <w:rFonts w:ascii="Century Gothic" w:eastAsia="Times New Roman" w:hAnsi="Century Gothic"/>
            <w:sz w:val="19"/>
            <w:szCs w:val="19"/>
          </w:rPr>
          <w:t>www.education.vic.gov.au/ecsmanagement/capitalprogram</w:t>
        </w:r>
      </w:hyperlink>
    </w:p>
    <w:p w14:paraId="58AD16C9" w14:textId="77777777" w:rsidR="00184E10" w:rsidRPr="00184E10" w:rsidRDefault="00184E10" w:rsidP="00184E10">
      <w:pPr>
        <w:rPr>
          <w:rStyle w:val="Hyperlink3"/>
          <w:color w:val="auto"/>
          <w:sz w:val="18"/>
          <w:u w:val="none"/>
        </w:rPr>
      </w:pPr>
    </w:p>
    <w:p w14:paraId="03500673" w14:textId="77777777" w:rsidR="00184E10" w:rsidRPr="00184E10" w:rsidRDefault="00184E10" w:rsidP="00184E10">
      <w:pPr>
        <w:rPr>
          <w:rStyle w:val="Hyperlink3"/>
          <w:color w:val="auto"/>
          <w:sz w:val="18"/>
          <w:u w:val="none"/>
        </w:rPr>
      </w:pPr>
      <w:r w:rsidRPr="00184E10">
        <w:rPr>
          <w:rStyle w:val="Hyperlink3"/>
          <w:color w:val="auto"/>
          <w:sz w:val="18"/>
          <w:u w:val="none"/>
        </w:rPr>
        <w:t>The form requires information about:</w:t>
      </w:r>
    </w:p>
    <w:p w14:paraId="30140CB2" w14:textId="77777777" w:rsidR="00184E10" w:rsidRPr="00184E10" w:rsidRDefault="00184E10" w:rsidP="00184E10">
      <w:pPr>
        <w:pStyle w:val="ListBullet"/>
        <w:rPr>
          <w:rStyle w:val="Hyperlink3"/>
          <w:color w:val="auto"/>
          <w:sz w:val="18"/>
          <w:u w:val="none"/>
        </w:rPr>
      </w:pPr>
      <w:r w:rsidRPr="00184E10">
        <w:rPr>
          <w:rStyle w:val="Hyperlink3"/>
          <w:color w:val="auto"/>
          <w:sz w:val="18"/>
          <w:u w:val="none"/>
        </w:rPr>
        <w:t>the need for new digital hardware</w:t>
      </w:r>
    </w:p>
    <w:p w14:paraId="0C37D4DF" w14:textId="77777777" w:rsidR="00184E10" w:rsidRPr="00407623" w:rsidRDefault="00184E10" w:rsidP="00184E10">
      <w:pPr>
        <w:pStyle w:val="ListBullet"/>
      </w:pPr>
      <w:r w:rsidRPr="00407623">
        <w:t xml:space="preserve">quotes or cost estimates on proposed purchases. </w:t>
      </w:r>
    </w:p>
    <w:p w14:paraId="54EE2F13" w14:textId="77777777" w:rsidR="00184E10" w:rsidRDefault="00184E10" w:rsidP="00184E10">
      <w:pPr>
        <w:pStyle w:val="Body"/>
        <w:jc w:val="both"/>
      </w:pPr>
      <w:bookmarkStart w:id="32" w:name="_Toc420499361"/>
      <w:bookmarkStart w:id="33" w:name="_Toc420511830"/>
    </w:p>
    <w:p w14:paraId="5090D15B" w14:textId="77777777" w:rsidR="003A3393" w:rsidRDefault="003A3393" w:rsidP="00184E10">
      <w:pPr>
        <w:pStyle w:val="Body"/>
        <w:jc w:val="both"/>
      </w:pPr>
    </w:p>
    <w:p w14:paraId="5EBC67A6" w14:textId="77777777" w:rsidR="003A3393" w:rsidRDefault="003A3393" w:rsidP="00184E10">
      <w:pPr>
        <w:pStyle w:val="Body"/>
        <w:jc w:val="both"/>
      </w:pPr>
    </w:p>
    <w:p w14:paraId="7CE1321A" w14:textId="77777777" w:rsidR="003A3393" w:rsidRDefault="003A3393" w:rsidP="00184E10">
      <w:pPr>
        <w:pStyle w:val="Body"/>
        <w:jc w:val="both"/>
      </w:pPr>
    </w:p>
    <w:p w14:paraId="664C17BD" w14:textId="77777777" w:rsidR="003A3393" w:rsidRDefault="003A3393" w:rsidP="00184E10">
      <w:pPr>
        <w:pStyle w:val="Body"/>
        <w:jc w:val="both"/>
      </w:pPr>
    </w:p>
    <w:p w14:paraId="10379716" w14:textId="77777777" w:rsidR="003A3393" w:rsidRDefault="003A3393" w:rsidP="00184E10">
      <w:pPr>
        <w:pStyle w:val="Body"/>
        <w:jc w:val="both"/>
      </w:pPr>
    </w:p>
    <w:p w14:paraId="3FABF046" w14:textId="77777777" w:rsidR="003A3393" w:rsidRDefault="003A3393" w:rsidP="00184E10">
      <w:pPr>
        <w:pStyle w:val="Body"/>
        <w:jc w:val="both"/>
      </w:pPr>
    </w:p>
    <w:p w14:paraId="422D79A2" w14:textId="77777777" w:rsidR="003A3393" w:rsidRDefault="003A3393" w:rsidP="00184E10">
      <w:pPr>
        <w:pStyle w:val="Body"/>
        <w:jc w:val="both"/>
      </w:pPr>
    </w:p>
    <w:p w14:paraId="65A00B46" w14:textId="77777777" w:rsidR="003A3393" w:rsidRDefault="003A3393" w:rsidP="00184E10">
      <w:pPr>
        <w:pStyle w:val="Body"/>
        <w:jc w:val="both"/>
      </w:pPr>
    </w:p>
    <w:p w14:paraId="47DD6AF3" w14:textId="77777777" w:rsidR="003A3393" w:rsidRDefault="003A3393" w:rsidP="00184E10">
      <w:pPr>
        <w:pStyle w:val="Body"/>
        <w:jc w:val="both"/>
      </w:pPr>
    </w:p>
    <w:p w14:paraId="145CC30C" w14:textId="77777777" w:rsidR="003A3393" w:rsidRDefault="003A3393" w:rsidP="00184E10">
      <w:pPr>
        <w:pStyle w:val="Body"/>
        <w:jc w:val="both"/>
      </w:pPr>
    </w:p>
    <w:p w14:paraId="45B363DF" w14:textId="77777777" w:rsidR="00184E10" w:rsidRDefault="004B4484" w:rsidP="004B4484">
      <w:pPr>
        <w:pStyle w:val="Heading2"/>
      </w:pPr>
      <w:bookmarkStart w:id="34" w:name="_Toc477874215"/>
      <w:r>
        <w:lastRenderedPageBreak/>
        <w:t xml:space="preserve">5. </w:t>
      </w:r>
      <w:r w:rsidR="00184E10" w:rsidRPr="004B4484">
        <w:t>Further Information</w:t>
      </w:r>
      <w:bookmarkEnd w:id="32"/>
      <w:bookmarkEnd w:id="33"/>
      <w:bookmarkEnd w:id="34"/>
    </w:p>
    <w:p w14:paraId="0E0B4AEA" w14:textId="77777777" w:rsidR="003A3393" w:rsidRPr="003A3393" w:rsidRDefault="003A3393" w:rsidP="003A3393"/>
    <w:p w14:paraId="26C5A110" w14:textId="77777777" w:rsidR="00184E10" w:rsidRPr="00493A4F" w:rsidRDefault="00184E10" w:rsidP="004B4484">
      <w:pPr>
        <w:pStyle w:val="Heading3"/>
      </w:pPr>
      <w:bookmarkStart w:id="35" w:name="_Toc420058820"/>
      <w:bookmarkStart w:id="36" w:name="_Toc420059006"/>
      <w:bookmarkStart w:id="37" w:name="_Toc420059156"/>
      <w:bookmarkStart w:id="38" w:name="_Toc420060126"/>
      <w:bookmarkStart w:id="39" w:name="_Toc420058822"/>
      <w:bookmarkStart w:id="40" w:name="_Toc420059008"/>
      <w:bookmarkStart w:id="41" w:name="_Toc420059158"/>
      <w:bookmarkStart w:id="42" w:name="_Toc420060128"/>
      <w:bookmarkStart w:id="43" w:name="_Toc420058823"/>
      <w:bookmarkStart w:id="44" w:name="_Toc420059009"/>
      <w:bookmarkStart w:id="45" w:name="_Toc420059159"/>
      <w:bookmarkStart w:id="46" w:name="_Toc420060129"/>
      <w:bookmarkEnd w:id="35"/>
      <w:bookmarkEnd w:id="36"/>
      <w:bookmarkEnd w:id="37"/>
      <w:bookmarkEnd w:id="38"/>
      <w:bookmarkEnd w:id="39"/>
      <w:bookmarkEnd w:id="40"/>
      <w:bookmarkEnd w:id="41"/>
      <w:bookmarkEnd w:id="42"/>
      <w:bookmarkEnd w:id="43"/>
      <w:bookmarkEnd w:id="44"/>
      <w:bookmarkEnd w:id="45"/>
      <w:bookmarkEnd w:id="46"/>
      <w:r w:rsidRPr="00493A4F">
        <w:t>General Enquiries</w:t>
      </w:r>
    </w:p>
    <w:p w14:paraId="06C0AF9E" w14:textId="77777777" w:rsidR="00184E10" w:rsidRPr="005863FB" w:rsidRDefault="00184E10" w:rsidP="004B4484">
      <w:pPr>
        <w:rPr>
          <w:u w:color="000000"/>
        </w:rPr>
      </w:pPr>
      <w:r w:rsidRPr="005863FB">
        <w:rPr>
          <w:u w:color="000000"/>
        </w:rPr>
        <w:t>For general enquiries regarding all grant categories under the Children’s Facilities Capital Program 20</w:t>
      </w:r>
      <w:r>
        <w:rPr>
          <w:u w:color="000000"/>
        </w:rPr>
        <w:t>17-18</w:t>
      </w:r>
      <w:r w:rsidRPr="005863FB">
        <w:rPr>
          <w:u w:color="000000"/>
        </w:rPr>
        <w:t xml:space="preserve"> grants round</w:t>
      </w:r>
      <w:r>
        <w:rPr>
          <w:u w:color="000000"/>
        </w:rPr>
        <w:t>,</w:t>
      </w:r>
      <w:r w:rsidRPr="005863FB">
        <w:rPr>
          <w:u w:color="000000"/>
        </w:rPr>
        <w:t xml:space="preserve"> email</w:t>
      </w:r>
      <w:r w:rsidRPr="00444E75">
        <w:rPr>
          <w:rFonts w:ascii="Century Gothic" w:hAnsi="Century Gothic"/>
          <w:u w:color="000000"/>
        </w:rPr>
        <w:t xml:space="preserve">: </w:t>
      </w:r>
      <w:hyperlink r:id="rId17" w:history="1">
        <w:r w:rsidRPr="00444E75">
          <w:rPr>
            <w:rStyle w:val="Hyperlink0"/>
            <w:rFonts w:ascii="Century Gothic" w:eastAsia="Arial Unicode MS" w:hAnsi="Century Gothic"/>
            <w:sz w:val="18"/>
            <w:szCs w:val="18"/>
          </w:rPr>
          <w:t>childrens.capital.program@edumail.vic.gov.au</w:t>
        </w:r>
      </w:hyperlink>
      <w:r w:rsidRPr="005863FB">
        <w:rPr>
          <w:u w:color="000000"/>
        </w:rPr>
        <w:t xml:space="preserve"> or phone: </w:t>
      </w:r>
      <w:r w:rsidRPr="00B620A4">
        <w:rPr>
          <w:u w:color="000000"/>
        </w:rPr>
        <w:t>(</w:t>
      </w:r>
      <w:r w:rsidRPr="00F73FD2">
        <w:rPr>
          <w:u w:color="000000"/>
        </w:rPr>
        <w:t xml:space="preserve">03) </w:t>
      </w:r>
      <w:r>
        <w:rPr>
          <w:u w:color="000000"/>
        </w:rPr>
        <w:t>9651 3399</w:t>
      </w:r>
      <w:r w:rsidRPr="00F73FD2">
        <w:rPr>
          <w:u w:color="000000"/>
        </w:rPr>
        <w:t>.</w:t>
      </w:r>
    </w:p>
    <w:p w14:paraId="291DFAD8" w14:textId="77777777" w:rsidR="00184E10" w:rsidRPr="005863FB" w:rsidRDefault="00184E10" w:rsidP="004B4484">
      <w:pPr>
        <w:rPr>
          <w:u w:color="000000"/>
        </w:rPr>
      </w:pPr>
      <w:r w:rsidRPr="005863FB">
        <w:rPr>
          <w:u w:color="000000"/>
        </w:rPr>
        <w:t xml:space="preserve">For assistance with any technical difficulties with the online application form, please contact Smarty Grants Support Desk: </w:t>
      </w:r>
      <w:hyperlink r:id="rId18" w:history="1">
        <w:r w:rsidRPr="00444E75">
          <w:rPr>
            <w:rStyle w:val="Hyperlink0"/>
            <w:rFonts w:ascii="Century Gothic" w:eastAsia="Arial Unicode MS" w:hAnsi="Century Gothic"/>
            <w:sz w:val="18"/>
            <w:szCs w:val="18"/>
          </w:rPr>
          <w:t>service@smartygrants.com.au</w:t>
        </w:r>
      </w:hyperlink>
      <w:r w:rsidRPr="00444E75">
        <w:rPr>
          <w:rFonts w:ascii="Century Gothic" w:hAnsi="Century Gothic"/>
          <w:u w:color="000000"/>
        </w:rPr>
        <w:t xml:space="preserve"> </w:t>
      </w:r>
      <w:r w:rsidRPr="005863FB">
        <w:rPr>
          <w:u w:color="000000"/>
        </w:rPr>
        <w:t>or call (03) 9320 6888. This service is available Monday to Friday from 9am to 5pm.</w:t>
      </w:r>
    </w:p>
    <w:p w14:paraId="7E2CFE04" w14:textId="5C5F5DEE" w:rsidR="00184E10" w:rsidRPr="00E3146E" w:rsidRDefault="00184E10" w:rsidP="004B4484">
      <w:pPr>
        <w:pStyle w:val="Heading3"/>
      </w:pPr>
      <w:bookmarkStart w:id="47" w:name="_Toc416949414"/>
      <w:bookmarkStart w:id="48" w:name="_Toc420499362"/>
      <w:bookmarkStart w:id="49" w:name="_Toc420511832"/>
      <w:r w:rsidRPr="00E3146E">
        <w:t>Announcement and acknowledgement</w:t>
      </w:r>
      <w:bookmarkEnd w:id="47"/>
      <w:bookmarkEnd w:id="48"/>
      <w:bookmarkEnd w:id="49"/>
      <w:r w:rsidR="00762885">
        <w:t>S</w:t>
      </w:r>
    </w:p>
    <w:p w14:paraId="1F19DF95" w14:textId="77777777" w:rsidR="00184E10" w:rsidRPr="005863FB" w:rsidRDefault="00184E10" w:rsidP="004B4484">
      <w:pPr>
        <w:rPr>
          <w:u w:color="000000"/>
        </w:rPr>
      </w:pPr>
      <w:r w:rsidRPr="005863FB">
        <w:rPr>
          <w:u w:color="000000"/>
        </w:rPr>
        <w:t xml:space="preserve">The Minister for Families and Children or a nominated representative will announce the successful grant applicants. </w:t>
      </w:r>
    </w:p>
    <w:p w14:paraId="3EA321FC" w14:textId="77777777" w:rsidR="00184E10" w:rsidRDefault="00184E10" w:rsidP="004B4484">
      <w:r w:rsidRPr="005863FB">
        <w:rPr>
          <w:u w:color="000000"/>
        </w:rPr>
        <w:t>All communications in relation to the promotion of projects receiving a grant under the Children’s Facilities Capital Program must cite the Victorian Government contribution.</w:t>
      </w:r>
    </w:p>
    <w:p w14:paraId="135B85A2" w14:textId="77777777" w:rsidR="00184E10" w:rsidRDefault="00184E10" w:rsidP="004B4484">
      <w:pPr>
        <w:pStyle w:val="Heading3"/>
      </w:pPr>
      <w:r>
        <w:t>Financial check and project acquittal</w:t>
      </w:r>
    </w:p>
    <w:p w14:paraId="39225D76" w14:textId="3FB45A12" w:rsidR="00184E10" w:rsidRDefault="00184E10" w:rsidP="004B4484">
      <w:pPr>
        <w:rPr>
          <w:rFonts w:eastAsia="Times New Roman" w:cs="Tahoma"/>
          <w:lang w:eastAsia="zh-CN"/>
        </w:rPr>
      </w:pPr>
      <w:r w:rsidRPr="005863FB">
        <w:rPr>
          <w:u w:color="000000"/>
        </w:rPr>
        <w:t xml:space="preserve">The annual </w:t>
      </w:r>
      <w:r w:rsidRPr="00E218FE">
        <w:rPr>
          <w:lang w:val="en"/>
        </w:rPr>
        <w:t>Service Agreement Compliance Certification</w:t>
      </w:r>
      <w:r>
        <w:rPr>
          <w:u w:color="000000"/>
        </w:rPr>
        <w:t xml:space="preserve"> </w:t>
      </w:r>
      <w:r w:rsidR="00762885">
        <w:rPr>
          <w:u w:color="000000"/>
        </w:rPr>
        <w:t>(</w:t>
      </w:r>
      <w:r>
        <w:rPr>
          <w:u w:color="000000"/>
        </w:rPr>
        <w:t>the financial requirements submitted by</w:t>
      </w:r>
      <w:r w:rsidRPr="00980A73">
        <w:rPr>
          <w:u w:color="000000"/>
        </w:rPr>
        <w:t xml:space="preserve"> </w:t>
      </w:r>
      <w:r>
        <w:rPr>
          <w:u w:color="000000"/>
        </w:rPr>
        <w:t xml:space="preserve">all Government funded service providers to the </w:t>
      </w:r>
      <w:r w:rsidRPr="003F193C">
        <w:rPr>
          <w:u w:color="000000"/>
        </w:rPr>
        <w:t>Department of Health and Human Services</w:t>
      </w:r>
      <w:r w:rsidR="00762885">
        <w:rPr>
          <w:u w:color="000000"/>
        </w:rPr>
        <w:t>)</w:t>
      </w:r>
      <w:r>
        <w:rPr>
          <w:u w:color="000000"/>
        </w:rPr>
        <w:t>,</w:t>
      </w:r>
      <w:r w:rsidRPr="005863FB">
        <w:rPr>
          <w:u w:color="000000"/>
        </w:rPr>
        <w:t xml:space="preserve"> will be checked by DET on submission of a Minor Grant application.  </w:t>
      </w:r>
      <w:r>
        <w:rPr>
          <w:rFonts w:eastAsia="Times New Roman" w:cs="Tahoma"/>
          <w:lang w:eastAsia="zh-CN"/>
        </w:rPr>
        <w:t xml:space="preserve"> </w:t>
      </w:r>
    </w:p>
    <w:p w14:paraId="766847E3" w14:textId="77777777" w:rsidR="00184E10" w:rsidRDefault="00184E10" w:rsidP="004B4484">
      <w:pPr>
        <w:rPr>
          <w:u w:color="000000"/>
        </w:rPr>
      </w:pPr>
      <w:r w:rsidRPr="005863FB">
        <w:rPr>
          <w:u w:color="000000"/>
        </w:rPr>
        <w:t>An acquittal form will need to be submitted on completion of the project</w:t>
      </w:r>
      <w:r>
        <w:rPr>
          <w:u w:color="000000"/>
        </w:rPr>
        <w:t xml:space="preserve">. </w:t>
      </w:r>
    </w:p>
    <w:p w14:paraId="199ACF5F" w14:textId="77777777" w:rsidR="00444E75" w:rsidRDefault="00444E75" w:rsidP="004B4484">
      <w:pPr>
        <w:rPr>
          <w:u w:color="000000"/>
        </w:rPr>
      </w:pPr>
    </w:p>
    <w:p w14:paraId="63122562" w14:textId="77777777" w:rsidR="005F2562" w:rsidRDefault="004B4484" w:rsidP="005F2562">
      <w:pPr>
        <w:pStyle w:val="BodyText"/>
      </w:pPr>
      <w:r>
        <w:rPr>
          <w:noProof/>
          <w:lang w:eastAsia="en-AU"/>
        </w:rPr>
        <w:drawing>
          <wp:inline distT="0" distB="0" distL="0" distR="0" wp14:anchorId="0CEE9909" wp14:editId="3871960F">
            <wp:extent cx="5686425" cy="379578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omsey.jpg"/>
                    <pic:cNvPicPr/>
                  </pic:nvPicPr>
                  <pic:blipFill>
                    <a:blip r:embed="rId19">
                      <a:extLst>
                        <a:ext uri="{28A0092B-C50C-407E-A947-70E740481C1C}">
                          <a14:useLocalDpi xmlns:a14="http://schemas.microsoft.com/office/drawing/2010/main" val="0"/>
                        </a:ext>
                      </a:extLst>
                    </a:blip>
                    <a:stretch>
                      <a:fillRect/>
                    </a:stretch>
                  </pic:blipFill>
                  <pic:spPr>
                    <a:xfrm>
                      <a:off x="0" y="0"/>
                      <a:ext cx="5688473" cy="3797156"/>
                    </a:xfrm>
                    <a:prstGeom prst="rect">
                      <a:avLst/>
                    </a:prstGeom>
                  </pic:spPr>
                </pic:pic>
              </a:graphicData>
            </a:graphic>
          </wp:inline>
        </w:drawing>
      </w:r>
    </w:p>
    <w:sectPr w:rsidR="005F2562" w:rsidSect="00403417">
      <w:headerReference w:type="default" r:id="rId20"/>
      <w:footerReference w:type="default" r:id="rId21"/>
      <w:headerReference w:type="first" r:id="rId22"/>
      <w:pgSz w:w="11906" w:h="16838"/>
      <w:pgMar w:top="1985" w:right="1928" w:bottom="1701" w:left="1361" w:header="709" w:footer="8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D5F88" w14:textId="77777777" w:rsidR="00952BC5" w:rsidRDefault="00952BC5" w:rsidP="0069586D">
      <w:pPr>
        <w:spacing w:before="0" w:after="0" w:line="240" w:lineRule="auto"/>
      </w:pPr>
      <w:r>
        <w:separator/>
      </w:r>
    </w:p>
  </w:endnote>
  <w:endnote w:type="continuationSeparator" w:id="0">
    <w:p w14:paraId="475089DA" w14:textId="77777777" w:rsidR="00952BC5" w:rsidRDefault="00952BC5" w:rsidP="006958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027EE" w14:textId="7BD57519" w:rsidR="00C45034" w:rsidRPr="00970CDA" w:rsidRDefault="00952BC5" w:rsidP="00403417">
    <w:pPr>
      <w:pStyle w:val="Footer"/>
      <w:jc w:val="center"/>
      <w:rPr>
        <w:color w:val="auto"/>
      </w:rPr>
    </w:pPr>
    <w:sdt>
      <w:sdtPr>
        <w:rPr>
          <w:noProof w:val="0"/>
        </w:rPr>
        <w:id w:val="-1313394925"/>
        <w:docPartObj>
          <w:docPartGallery w:val="Page Numbers (Bottom of Page)"/>
          <w:docPartUnique/>
        </w:docPartObj>
      </w:sdtPr>
      <w:sdtEndPr>
        <w:rPr>
          <w:noProof/>
          <w:color w:val="auto"/>
        </w:rPr>
      </w:sdtEndPr>
      <w:sdtContent>
        <w:r w:rsidR="00970CDA">
          <w:rPr>
            <w:lang w:eastAsia="en-AU"/>
          </w:rPr>
          <w:drawing>
            <wp:anchor distT="0" distB="0" distL="114300" distR="114300" simplePos="0" relativeHeight="251664384" behindDoc="1" locked="1" layoutInCell="1" allowOverlap="1" wp14:anchorId="45F1C997" wp14:editId="448AC830">
              <wp:simplePos x="0" y="0"/>
              <wp:positionH relativeFrom="column">
                <wp:posOffset>-843280</wp:posOffset>
              </wp:positionH>
              <wp:positionV relativeFrom="page">
                <wp:posOffset>9650730</wp:posOffset>
              </wp:positionV>
              <wp:extent cx="7524115" cy="1000760"/>
              <wp:effectExtent l="0" t="0" r="635" b="889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70CDA" w:rsidRPr="00970CDA">
          <w:rPr>
            <w:noProof w:val="0"/>
            <w:color w:val="auto"/>
          </w:rPr>
          <w:fldChar w:fldCharType="begin"/>
        </w:r>
        <w:r w:rsidR="00970CDA" w:rsidRPr="00970CDA">
          <w:rPr>
            <w:color w:val="auto"/>
          </w:rPr>
          <w:instrText xml:space="preserve"> PAGE   \* MERGEFORMAT </w:instrText>
        </w:r>
        <w:r w:rsidR="00970CDA" w:rsidRPr="00970CDA">
          <w:rPr>
            <w:noProof w:val="0"/>
            <w:color w:val="auto"/>
          </w:rPr>
          <w:fldChar w:fldCharType="separate"/>
        </w:r>
        <w:r w:rsidR="005B4F85">
          <w:rPr>
            <w:color w:val="auto"/>
          </w:rPr>
          <w:t>6</w:t>
        </w:r>
        <w:r w:rsidR="00970CDA" w:rsidRPr="00970CDA">
          <w:rPr>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74005" w14:textId="77777777" w:rsidR="00952BC5" w:rsidRDefault="00952BC5" w:rsidP="0069586D">
      <w:pPr>
        <w:spacing w:before="0" w:after="0" w:line="240" w:lineRule="auto"/>
      </w:pPr>
      <w:r>
        <w:separator/>
      </w:r>
    </w:p>
  </w:footnote>
  <w:footnote w:type="continuationSeparator" w:id="0">
    <w:p w14:paraId="16619161" w14:textId="77777777" w:rsidR="00952BC5" w:rsidRDefault="00952BC5" w:rsidP="006958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9E36" w14:textId="77777777" w:rsidR="0069586D" w:rsidRDefault="00C45034" w:rsidP="00A76569">
    <w:pPr>
      <w:pStyle w:val="Header"/>
      <w:tabs>
        <w:tab w:val="clear" w:pos="4513"/>
        <w:tab w:val="clear" w:pos="9026"/>
        <w:tab w:val="left" w:pos="5700"/>
      </w:tabs>
    </w:pPr>
    <w:r>
      <w:rPr>
        <w:noProof/>
        <w:lang w:eastAsia="en-AU"/>
      </w:rPr>
      <w:drawing>
        <wp:anchor distT="0" distB="0" distL="114300" distR="114300" simplePos="0" relativeHeight="251659264" behindDoc="1" locked="1" layoutInCell="1" allowOverlap="1" wp14:anchorId="5F3E362B" wp14:editId="70B0EA5B">
          <wp:simplePos x="0" y="0"/>
          <wp:positionH relativeFrom="page">
            <wp:posOffset>-41910</wp:posOffset>
          </wp:positionH>
          <wp:positionV relativeFrom="page">
            <wp:posOffset>57150</wp:posOffset>
          </wp:positionV>
          <wp:extent cx="7585075" cy="1162685"/>
          <wp:effectExtent l="0" t="0" r="0" b="0"/>
          <wp:wrapNone/>
          <wp:docPr id="83" name="Picture 83"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569">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EB7C" w14:textId="77777777" w:rsidR="003A3393" w:rsidRDefault="003A3393">
    <w:pPr>
      <w:pStyle w:val="Header"/>
    </w:pPr>
    <w:r>
      <w:rPr>
        <w:noProof/>
        <w:lang w:eastAsia="en-AU"/>
      </w:rPr>
      <w:drawing>
        <wp:anchor distT="0" distB="0" distL="114300" distR="114300" simplePos="0" relativeHeight="251662336" behindDoc="1" locked="0" layoutInCell="1" allowOverlap="1" wp14:anchorId="5BE17D14" wp14:editId="74884E3D">
          <wp:simplePos x="0" y="0"/>
          <wp:positionH relativeFrom="page">
            <wp:posOffset>-21590</wp:posOffset>
          </wp:positionH>
          <wp:positionV relativeFrom="page">
            <wp:posOffset>40005</wp:posOffset>
          </wp:positionV>
          <wp:extent cx="7559040" cy="9607550"/>
          <wp:effectExtent l="0" t="0" r="381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SBA\Generic Word template\cov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0112"/>
                  <a:stretch/>
                </pic:blipFill>
                <pic:spPr bwMode="auto">
                  <a:xfrm>
                    <a:off x="0" y="0"/>
                    <a:ext cx="7559040" cy="9607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B4A2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1D04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DA0410"/>
    <w:multiLevelType w:val="multilevel"/>
    <w:tmpl w:val="F7148694"/>
    <w:lvl w:ilvl="0">
      <w:numFmt w:val="bullet"/>
      <w:lvlText w:val="•"/>
      <w:lvlJc w:val="left"/>
      <w:pPr>
        <w:tabs>
          <w:tab w:val="num" w:pos="207"/>
        </w:tabs>
        <w:ind w:left="207" w:hanging="207"/>
      </w:pPr>
      <w:rPr>
        <w:rFonts w:ascii="Arial" w:eastAsia="Arial Bold" w:hAnsi="Arial" w:cs="Arial" w:hint="default"/>
        <w:color w:val="000000"/>
        <w:position w:val="0"/>
        <w:sz w:val="19"/>
        <w:szCs w:val="19"/>
        <w:u w:color="000000"/>
        <w:rtl w:val="0"/>
      </w:rPr>
    </w:lvl>
    <w:lvl w:ilvl="1">
      <w:start w:val="1"/>
      <w:numFmt w:val="bullet"/>
      <w:lvlText w:val="•"/>
      <w:lvlJc w:val="left"/>
      <w:pPr>
        <w:tabs>
          <w:tab w:val="num" w:pos="447"/>
        </w:tabs>
        <w:ind w:left="447" w:hanging="207"/>
      </w:pPr>
      <w:rPr>
        <w:rFonts w:ascii="Arial Bold" w:eastAsia="Arial Bold" w:hAnsi="Arial Bold" w:cs="Arial Bold"/>
        <w:color w:val="000000"/>
        <w:position w:val="0"/>
        <w:sz w:val="23"/>
        <w:szCs w:val="23"/>
        <w:u w:color="000000"/>
        <w:rtl w:val="0"/>
      </w:rPr>
    </w:lvl>
    <w:lvl w:ilvl="2">
      <w:start w:val="1"/>
      <w:numFmt w:val="bullet"/>
      <w:lvlText w:val="•"/>
      <w:lvlJc w:val="left"/>
      <w:pPr>
        <w:tabs>
          <w:tab w:val="num" w:pos="687"/>
        </w:tabs>
        <w:ind w:left="687" w:hanging="207"/>
      </w:pPr>
      <w:rPr>
        <w:rFonts w:ascii="Arial Bold" w:eastAsia="Arial Bold" w:hAnsi="Arial Bold" w:cs="Arial Bold"/>
        <w:color w:val="000000"/>
        <w:position w:val="0"/>
        <w:sz w:val="23"/>
        <w:szCs w:val="23"/>
        <w:u w:color="000000"/>
        <w:rtl w:val="0"/>
      </w:rPr>
    </w:lvl>
    <w:lvl w:ilvl="3">
      <w:start w:val="1"/>
      <w:numFmt w:val="bullet"/>
      <w:lvlText w:val="•"/>
      <w:lvlJc w:val="left"/>
      <w:pPr>
        <w:tabs>
          <w:tab w:val="num" w:pos="927"/>
        </w:tabs>
        <w:ind w:left="927" w:hanging="207"/>
      </w:pPr>
      <w:rPr>
        <w:rFonts w:ascii="Arial Bold" w:eastAsia="Arial Bold" w:hAnsi="Arial Bold" w:cs="Arial Bold"/>
        <w:color w:val="000000"/>
        <w:position w:val="0"/>
        <w:sz w:val="23"/>
        <w:szCs w:val="23"/>
        <w:u w:color="000000"/>
        <w:rtl w:val="0"/>
      </w:rPr>
    </w:lvl>
    <w:lvl w:ilvl="4">
      <w:start w:val="1"/>
      <w:numFmt w:val="bullet"/>
      <w:lvlText w:val="•"/>
      <w:lvlJc w:val="left"/>
      <w:pPr>
        <w:tabs>
          <w:tab w:val="num" w:pos="1167"/>
        </w:tabs>
        <w:ind w:left="1167" w:hanging="207"/>
      </w:pPr>
      <w:rPr>
        <w:rFonts w:ascii="Arial Bold" w:eastAsia="Arial Bold" w:hAnsi="Arial Bold" w:cs="Arial Bold"/>
        <w:color w:val="000000"/>
        <w:position w:val="0"/>
        <w:sz w:val="23"/>
        <w:szCs w:val="23"/>
        <w:u w:color="000000"/>
        <w:rtl w:val="0"/>
      </w:rPr>
    </w:lvl>
    <w:lvl w:ilvl="5">
      <w:start w:val="1"/>
      <w:numFmt w:val="bullet"/>
      <w:lvlText w:val="•"/>
      <w:lvlJc w:val="left"/>
      <w:pPr>
        <w:tabs>
          <w:tab w:val="num" w:pos="1407"/>
        </w:tabs>
        <w:ind w:left="1407" w:hanging="207"/>
      </w:pPr>
      <w:rPr>
        <w:rFonts w:ascii="Arial Bold" w:eastAsia="Arial Bold" w:hAnsi="Arial Bold" w:cs="Arial Bold"/>
        <w:color w:val="000000"/>
        <w:position w:val="0"/>
        <w:sz w:val="23"/>
        <w:szCs w:val="23"/>
        <w:u w:color="000000"/>
        <w:rtl w:val="0"/>
      </w:rPr>
    </w:lvl>
    <w:lvl w:ilvl="6">
      <w:start w:val="1"/>
      <w:numFmt w:val="bullet"/>
      <w:lvlText w:val="•"/>
      <w:lvlJc w:val="left"/>
      <w:pPr>
        <w:tabs>
          <w:tab w:val="num" w:pos="1647"/>
        </w:tabs>
        <w:ind w:left="1647" w:hanging="207"/>
      </w:pPr>
      <w:rPr>
        <w:rFonts w:ascii="Arial Bold" w:eastAsia="Arial Bold" w:hAnsi="Arial Bold" w:cs="Arial Bold"/>
        <w:color w:val="000000"/>
        <w:position w:val="0"/>
        <w:sz w:val="23"/>
        <w:szCs w:val="23"/>
        <w:u w:color="000000"/>
        <w:rtl w:val="0"/>
      </w:rPr>
    </w:lvl>
    <w:lvl w:ilvl="7">
      <w:start w:val="1"/>
      <w:numFmt w:val="bullet"/>
      <w:lvlText w:val="•"/>
      <w:lvlJc w:val="left"/>
      <w:pPr>
        <w:tabs>
          <w:tab w:val="num" w:pos="1887"/>
        </w:tabs>
        <w:ind w:left="1887" w:hanging="207"/>
      </w:pPr>
      <w:rPr>
        <w:rFonts w:ascii="Arial Bold" w:eastAsia="Arial Bold" w:hAnsi="Arial Bold" w:cs="Arial Bold"/>
        <w:color w:val="000000"/>
        <w:position w:val="0"/>
        <w:sz w:val="23"/>
        <w:szCs w:val="23"/>
        <w:u w:color="000000"/>
        <w:rtl w:val="0"/>
      </w:rPr>
    </w:lvl>
    <w:lvl w:ilvl="8">
      <w:start w:val="1"/>
      <w:numFmt w:val="bullet"/>
      <w:lvlText w:val="•"/>
      <w:lvlJc w:val="left"/>
      <w:pPr>
        <w:tabs>
          <w:tab w:val="num" w:pos="2127"/>
        </w:tabs>
        <w:ind w:left="2127" w:hanging="207"/>
      </w:pPr>
      <w:rPr>
        <w:rFonts w:ascii="Arial Bold" w:eastAsia="Arial Bold" w:hAnsi="Arial Bold" w:cs="Arial Bold"/>
        <w:color w:val="000000"/>
        <w:position w:val="0"/>
        <w:sz w:val="23"/>
        <w:szCs w:val="23"/>
        <w:u w:color="000000"/>
        <w:rtl w:val="0"/>
      </w:rPr>
    </w:lvl>
  </w:abstractNum>
  <w:abstractNum w:abstractNumId="3" w15:restartNumberingAfterBreak="0">
    <w:nsid w:val="0B794944"/>
    <w:multiLevelType w:val="hybridMultilevel"/>
    <w:tmpl w:val="DCECD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65155"/>
    <w:multiLevelType w:val="hybridMultilevel"/>
    <w:tmpl w:val="07988A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E37C61"/>
    <w:multiLevelType w:val="hybridMultilevel"/>
    <w:tmpl w:val="5FC8EDD4"/>
    <w:lvl w:ilvl="0" w:tplc="80469390">
      <w:start w:val="1"/>
      <w:numFmt w:val="decimal"/>
      <w:lvlText w:val="%1."/>
      <w:lvlJc w:val="left"/>
      <w:pPr>
        <w:ind w:left="360" w:hanging="360"/>
      </w:pPr>
      <w:rPr>
        <w:rFonts w:ascii="Calibri" w:hAnsi="Calibri" w:hint="default"/>
        <w:b/>
        <w:color w:val="0070C0"/>
        <w:sz w:val="32"/>
        <w:szCs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C31D86"/>
    <w:multiLevelType w:val="multilevel"/>
    <w:tmpl w:val="A674382C"/>
    <w:numStyleLink w:val="List32"/>
  </w:abstractNum>
  <w:abstractNum w:abstractNumId="7" w15:restartNumberingAfterBreak="0">
    <w:nsid w:val="22CC16EB"/>
    <w:multiLevelType w:val="hybridMultilevel"/>
    <w:tmpl w:val="826C07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D209B3"/>
    <w:multiLevelType w:val="hybridMultilevel"/>
    <w:tmpl w:val="780AA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635172"/>
    <w:multiLevelType w:val="hybridMultilevel"/>
    <w:tmpl w:val="49968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8C0F75"/>
    <w:multiLevelType w:val="hybridMultilevel"/>
    <w:tmpl w:val="6C0099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792599"/>
    <w:multiLevelType w:val="multilevel"/>
    <w:tmpl w:val="14DEE824"/>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4DC841C3"/>
    <w:multiLevelType w:val="hybridMultilevel"/>
    <w:tmpl w:val="AEB27C8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FB6DA6"/>
    <w:multiLevelType w:val="multilevel"/>
    <w:tmpl w:val="2D466494"/>
    <w:lvl w:ilvl="0">
      <w:numFmt w:val="bullet"/>
      <w:lvlText w:val="•"/>
      <w:lvlJc w:val="left"/>
      <w:pPr>
        <w:tabs>
          <w:tab w:val="num" w:pos="709"/>
        </w:tabs>
        <w:ind w:left="709" w:hanging="425"/>
      </w:pPr>
      <w:rPr>
        <w:color w:val="000000"/>
        <w:position w:val="0"/>
        <w:sz w:val="19"/>
        <w:szCs w:val="19"/>
        <w:u w:color="000000"/>
      </w:rPr>
    </w:lvl>
    <w:lvl w:ilvl="1">
      <w:start w:val="1"/>
      <w:numFmt w:val="bullet"/>
      <w:lvlText w:val="o"/>
      <w:lvlJc w:val="left"/>
      <w:pPr>
        <w:tabs>
          <w:tab w:val="num" w:pos="1365"/>
        </w:tabs>
        <w:ind w:left="1365" w:hanging="285"/>
      </w:pPr>
      <w:rPr>
        <w:color w:val="000000"/>
        <w:position w:val="0"/>
        <w:sz w:val="19"/>
        <w:szCs w:val="19"/>
        <w:u w:color="000000"/>
      </w:rPr>
    </w:lvl>
    <w:lvl w:ilvl="2">
      <w:start w:val="1"/>
      <w:numFmt w:val="bullet"/>
      <w:lvlText w:val="▪"/>
      <w:lvlJc w:val="left"/>
      <w:pPr>
        <w:tabs>
          <w:tab w:val="num" w:pos="2085"/>
        </w:tabs>
        <w:ind w:left="2085" w:hanging="285"/>
      </w:pPr>
      <w:rPr>
        <w:color w:val="000000"/>
        <w:position w:val="0"/>
        <w:sz w:val="19"/>
        <w:szCs w:val="19"/>
        <w:u w:color="000000"/>
      </w:rPr>
    </w:lvl>
    <w:lvl w:ilvl="3">
      <w:start w:val="1"/>
      <w:numFmt w:val="bullet"/>
      <w:lvlText w:val="•"/>
      <w:lvlJc w:val="left"/>
      <w:pPr>
        <w:tabs>
          <w:tab w:val="num" w:pos="2805"/>
        </w:tabs>
        <w:ind w:left="2805" w:hanging="285"/>
      </w:pPr>
      <w:rPr>
        <w:color w:val="000000"/>
        <w:position w:val="0"/>
        <w:sz w:val="19"/>
        <w:szCs w:val="19"/>
        <w:u w:color="000000"/>
      </w:rPr>
    </w:lvl>
    <w:lvl w:ilvl="4">
      <w:start w:val="1"/>
      <w:numFmt w:val="bullet"/>
      <w:lvlText w:val="o"/>
      <w:lvlJc w:val="left"/>
      <w:pPr>
        <w:tabs>
          <w:tab w:val="num" w:pos="3525"/>
        </w:tabs>
        <w:ind w:left="3525" w:hanging="285"/>
      </w:pPr>
      <w:rPr>
        <w:color w:val="000000"/>
        <w:position w:val="0"/>
        <w:sz w:val="19"/>
        <w:szCs w:val="19"/>
        <w:u w:color="000000"/>
      </w:rPr>
    </w:lvl>
    <w:lvl w:ilvl="5">
      <w:start w:val="1"/>
      <w:numFmt w:val="bullet"/>
      <w:lvlText w:val="▪"/>
      <w:lvlJc w:val="left"/>
      <w:pPr>
        <w:tabs>
          <w:tab w:val="num" w:pos="4245"/>
        </w:tabs>
        <w:ind w:left="4245" w:hanging="285"/>
      </w:pPr>
      <w:rPr>
        <w:color w:val="000000"/>
        <w:position w:val="0"/>
        <w:sz w:val="19"/>
        <w:szCs w:val="19"/>
        <w:u w:color="000000"/>
      </w:rPr>
    </w:lvl>
    <w:lvl w:ilvl="6">
      <w:start w:val="1"/>
      <w:numFmt w:val="bullet"/>
      <w:lvlText w:val="•"/>
      <w:lvlJc w:val="left"/>
      <w:pPr>
        <w:tabs>
          <w:tab w:val="num" w:pos="4965"/>
        </w:tabs>
        <w:ind w:left="4965" w:hanging="285"/>
      </w:pPr>
      <w:rPr>
        <w:color w:val="000000"/>
        <w:position w:val="0"/>
        <w:sz w:val="19"/>
        <w:szCs w:val="19"/>
        <w:u w:color="000000"/>
      </w:rPr>
    </w:lvl>
    <w:lvl w:ilvl="7">
      <w:start w:val="1"/>
      <w:numFmt w:val="bullet"/>
      <w:lvlText w:val="o"/>
      <w:lvlJc w:val="left"/>
      <w:pPr>
        <w:tabs>
          <w:tab w:val="num" w:pos="5685"/>
        </w:tabs>
        <w:ind w:left="5685" w:hanging="285"/>
      </w:pPr>
      <w:rPr>
        <w:color w:val="000000"/>
        <w:position w:val="0"/>
        <w:sz w:val="19"/>
        <w:szCs w:val="19"/>
        <w:u w:color="000000"/>
      </w:rPr>
    </w:lvl>
    <w:lvl w:ilvl="8">
      <w:start w:val="1"/>
      <w:numFmt w:val="bullet"/>
      <w:lvlText w:val="▪"/>
      <w:lvlJc w:val="left"/>
      <w:pPr>
        <w:tabs>
          <w:tab w:val="num" w:pos="6405"/>
        </w:tabs>
        <w:ind w:left="6405" w:hanging="285"/>
      </w:pPr>
      <w:rPr>
        <w:color w:val="000000"/>
        <w:position w:val="0"/>
        <w:sz w:val="19"/>
        <w:szCs w:val="19"/>
        <w:u w:color="000000"/>
      </w:rPr>
    </w:lvl>
  </w:abstractNum>
  <w:abstractNum w:abstractNumId="14" w15:restartNumberingAfterBreak="0">
    <w:nsid w:val="55666CB8"/>
    <w:multiLevelType w:val="hybridMultilevel"/>
    <w:tmpl w:val="4D727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FD04DA"/>
    <w:multiLevelType w:val="multilevel"/>
    <w:tmpl w:val="A674382C"/>
    <w:styleLink w:val="List32"/>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16" w15:restartNumberingAfterBreak="0">
    <w:nsid w:val="574662E5"/>
    <w:multiLevelType w:val="hybridMultilevel"/>
    <w:tmpl w:val="2840866E"/>
    <w:lvl w:ilvl="0" w:tplc="A12A3D82">
      <w:start w:val="1"/>
      <w:numFmt w:val="decimal"/>
      <w:lvlText w:val="%1."/>
      <w:lvlJc w:val="left"/>
      <w:pPr>
        <w:ind w:left="720" w:hanging="360"/>
      </w:pPr>
      <w:rPr>
        <w:rFonts w:hint="default"/>
        <w:color w:val="B4292D"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8C276A"/>
    <w:multiLevelType w:val="hybridMultilevel"/>
    <w:tmpl w:val="8CC03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1C56ED"/>
    <w:multiLevelType w:val="hybridMultilevel"/>
    <w:tmpl w:val="F27C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4B7AC7"/>
    <w:multiLevelType w:val="hybridMultilevel"/>
    <w:tmpl w:val="CA802BB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0" w15:restartNumberingAfterBreak="0">
    <w:nsid w:val="682E7A99"/>
    <w:multiLevelType w:val="hybridMultilevel"/>
    <w:tmpl w:val="412E16B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1"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1"/>
  </w:num>
  <w:num w:numId="3">
    <w:abstractNumId w:val="0"/>
  </w:num>
  <w:num w:numId="4">
    <w:abstractNumId w:val="21"/>
  </w:num>
  <w:num w:numId="5">
    <w:abstractNumId w:val="21"/>
  </w:num>
  <w:num w:numId="6">
    <w:abstractNumId w:val="21"/>
  </w:num>
  <w:num w:numId="7">
    <w:abstractNumId w:val="21"/>
  </w:num>
  <w:num w:numId="8">
    <w:abstractNumId w:val="21"/>
  </w:num>
  <w:num w:numId="9">
    <w:abstractNumId w:val="2"/>
  </w:num>
  <w:num w:numId="10">
    <w:abstractNumId w:val="9"/>
  </w:num>
  <w:num w:numId="11">
    <w:abstractNumId w:val="7"/>
  </w:num>
  <w:num w:numId="12">
    <w:abstractNumId w:val="17"/>
  </w:num>
  <w:num w:numId="13">
    <w:abstractNumId w:val="5"/>
  </w:num>
  <w:num w:numId="14">
    <w:abstractNumId w:val="12"/>
  </w:num>
  <w:num w:numId="15">
    <w:abstractNumId w:val="13"/>
  </w:num>
  <w:num w:numId="16">
    <w:abstractNumId w:val="14"/>
  </w:num>
  <w:num w:numId="17">
    <w:abstractNumId w:val="15"/>
  </w:num>
  <w:num w:numId="18">
    <w:abstractNumId w:val="18"/>
  </w:num>
  <w:num w:numId="19">
    <w:abstractNumId w:val="11"/>
  </w:num>
  <w:num w:numId="20">
    <w:abstractNumId w:val="3"/>
  </w:num>
  <w:num w:numId="21">
    <w:abstractNumId w:val="19"/>
  </w:num>
  <w:num w:numId="22">
    <w:abstractNumId w:val="20"/>
  </w:num>
  <w:num w:numId="23">
    <w:abstractNumId w:val="6"/>
  </w:num>
  <w:num w:numId="24">
    <w:abstractNumId w:val="8"/>
  </w:num>
  <w:num w:numId="25">
    <w:abstractNumId w:val="10"/>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75"/>
    <w:rsid w:val="00047F19"/>
    <w:rsid w:val="000957DD"/>
    <w:rsid w:val="000D5E20"/>
    <w:rsid w:val="000F422B"/>
    <w:rsid w:val="00101140"/>
    <w:rsid w:val="00184E10"/>
    <w:rsid w:val="001937C3"/>
    <w:rsid w:val="001B1A48"/>
    <w:rsid w:val="001E7FF2"/>
    <w:rsid w:val="002001AB"/>
    <w:rsid w:val="0021003D"/>
    <w:rsid w:val="00224763"/>
    <w:rsid w:val="0023238B"/>
    <w:rsid w:val="0028568F"/>
    <w:rsid w:val="00387DFA"/>
    <w:rsid w:val="003A3393"/>
    <w:rsid w:val="003B06AE"/>
    <w:rsid w:val="003E42FA"/>
    <w:rsid w:val="003F3A02"/>
    <w:rsid w:val="00403417"/>
    <w:rsid w:val="004160FA"/>
    <w:rsid w:val="00444E75"/>
    <w:rsid w:val="004B4484"/>
    <w:rsid w:val="004E3DC9"/>
    <w:rsid w:val="005476DE"/>
    <w:rsid w:val="00556F35"/>
    <w:rsid w:val="0057047D"/>
    <w:rsid w:val="00573025"/>
    <w:rsid w:val="005A5B54"/>
    <w:rsid w:val="005B4F85"/>
    <w:rsid w:val="005D295A"/>
    <w:rsid w:val="005F2562"/>
    <w:rsid w:val="00680EBF"/>
    <w:rsid w:val="0069586D"/>
    <w:rsid w:val="006D506D"/>
    <w:rsid w:val="006F46D5"/>
    <w:rsid w:val="00760C3E"/>
    <w:rsid w:val="00762885"/>
    <w:rsid w:val="007E6B2F"/>
    <w:rsid w:val="007F11B4"/>
    <w:rsid w:val="008363BA"/>
    <w:rsid w:val="00852EE8"/>
    <w:rsid w:val="008B3D23"/>
    <w:rsid w:val="008B4011"/>
    <w:rsid w:val="009328A8"/>
    <w:rsid w:val="00952BC5"/>
    <w:rsid w:val="00970CDA"/>
    <w:rsid w:val="00A76569"/>
    <w:rsid w:val="00A81002"/>
    <w:rsid w:val="00A851D2"/>
    <w:rsid w:val="00A951D3"/>
    <w:rsid w:val="00AD2B9D"/>
    <w:rsid w:val="00AD3FF6"/>
    <w:rsid w:val="00B23450"/>
    <w:rsid w:val="00B8490A"/>
    <w:rsid w:val="00B86DB4"/>
    <w:rsid w:val="00BC3FBD"/>
    <w:rsid w:val="00BC4CD0"/>
    <w:rsid w:val="00BD2CBE"/>
    <w:rsid w:val="00BD5B91"/>
    <w:rsid w:val="00C01082"/>
    <w:rsid w:val="00C11175"/>
    <w:rsid w:val="00C2275E"/>
    <w:rsid w:val="00C27240"/>
    <w:rsid w:val="00C45034"/>
    <w:rsid w:val="00CE3277"/>
    <w:rsid w:val="00DB6BD8"/>
    <w:rsid w:val="00DC0C0A"/>
    <w:rsid w:val="00DD7335"/>
    <w:rsid w:val="00E55195"/>
    <w:rsid w:val="00E76521"/>
    <w:rsid w:val="00EA04F8"/>
    <w:rsid w:val="00EC4960"/>
    <w:rsid w:val="00ED5E1B"/>
    <w:rsid w:val="00EE5AAE"/>
    <w:rsid w:val="00F43F99"/>
    <w:rsid w:val="00F94567"/>
    <w:rsid w:val="00FB2C8D"/>
    <w:rsid w:val="00FD5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2655D"/>
  <w15:docId w15:val="{866751DA-1B33-4A2C-BB0D-EB5EC0CB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FA"/>
    <w:pPr>
      <w:spacing w:line="252" w:lineRule="auto"/>
    </w:pPr>
    <w:rPr>
      <w:sz w:val="18"/>
      <w:szCs w:val="18"/>
    </w:rPr>
  </w:style>
  <w:style w:type="paragraph" w:styleId="Heading1">
    <w:name w:val="heading 1"/>
    <w:basedOn w:val="Normal"/>
    <w:next w:val="Normal"/>
    <w:link w:val="Heading1Char"/>
    <w:uiPriority w:val="9"/>
    <w:qFormat/>
    <w:rsid w:val="008363BA"/>
    <w:pPr>
      <w:keepNext/>
      <w:keepLines/>
      <w:spacing w:before="160"/>
      <w:outlineLvl w:val="0"/>
    </w:pPr>
    <w:rPr>
      <w:rFonts w:asciiTheme="majorHAnsi" w:eastAsiaTheme="majorEastAsia" w:hAnsiTheme="majorHAnsi" w:cstheme="majorBidi"/>
      <w:caps/>
      <w:color w:val="B4292D" w:themeColor="text2"/>
      <w:sz w:val="30"/>
      <w:szCs w:val="32"/>
    </w:rPr>
  </w:style>
  <w:style w:type="paragraph" w:styleId="Heading2">
    <w:name w:val="heading 2"/>
    <w:basedOn w:val="Normal"/>
    <w:next w:val="Normal"/>
    <w:link w:val="Heading2Char"/>
    <w:uiPriority w:val="9"/>
    <w:qFormat/>
    <w:rsid w:val="004160FA"/>
    <w:pPr>
      <w:keepNext/>
      <w:keepLines/>
      <w:spacing w:before="160"/>
      <w:outlineLvl w:val="1"/>
    </w:pPr>
    <w:rPr>
      <w:rFonts w:asciiTheme="majorHAnsi" w:eastAsiaTheme="majorEastAsia" w:hAnsiTheme="majorHAnsi" w:cstheme="majorBidi"/>
      <w:color w:val="B4292D" w:themeColor="text2"/>
      <w:sz w:val="26"/>
      <w:szCs w:val="26"/>
    </w:rPr>
  </w:style>
  <w:style w:type="paragraph" w:styleId="Heading3">
    <w:name w:val="heading 3"/>
    <w:basedOn w:val="Normal"/>
    <w:next w:val="Normal"/>
    <w:link w:val="Heading3Char"/>
    <w:uiPriority w:val="9"/>
    <w:qFormat/>
    <w:rsid w:val="004160FA"/>
    <w:pPr>
      <w:keepNext/>
      <w:keepLines/>
      <w:spacing w:before="160"/>
      <w:outlineLvl w:val="2"/>
    </w:pPr>
    <w:rPr>
      <w:rFonts w:asciiTheme="majorHAnsi" w:eastAsiaTheme="majorEastAsia" w:hAnsiTheme="majorHAnsi" w:cstheme="majorBidi"/>
      <w:caps/>
      <w:color w:val="B4292D" w:themeColor="text2"/>
      <w:sz w:val="21"/>
      <w:szCs w:val="21"/>
    </w:rPr>
  </w:style>
  <w:style w:type="paragraph" w:styleId="Heading4">
    <w:name w:val="heading 4"/>
    <w:basedOn w:val="Normal"/>
    <w:next w:val="Normal"/>
    <w:link w:val="Heading4Char"/>
    <w:uiPriority w:val="9"/>
    <w:qFormat/>
    <w:rsid w:val="004160FA"/>
    <w:pPr>
      <w:keepNext/>
      <w:keepLines/>
      <w:spacing w:before="16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rsid w:val="004160FA"/>
    <w:pPr>
      <w:keepNext/>
      <w:keepLines/>
      <w:spacing w:before="40" w:after="0"/>
      <w:outlineLvl w:val="4"/>
    </w:pPr>
    <w:rPr>
      <w:rFonts w:asciiTheme="majorHAnsi" w:eastAsiaTheme="majorEastAsia" w:hAnsiTheme="majorHAnsi" w:cstheme="majorBidi"/>
      <w:color w:val="6085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0FA"/>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160FA"/>
    <w:rPr>
      <w:rFonts w:ascii="Segoe UI" w:hAnsi="Segoe UI" w:cs="Segoe UI"/>
      <w:sz w:val="18"/>
      <w:szCs w:val="18"/>
    </w:rPr>
  </w:style>
  <w:style w:type="paragraph" w:styleId="BodyText">
    <w:name w:val="Body Text"/>
    <w:basedOn w:val="Normal"/>
    <w:link w:val="BodyTextChar"/>
    <w:uiPriority w:val="99"/>
    <w:unhideWhenUsed/>
    <w:rsid w:val="004160FA"/>
  </w:style>
  <w:style w:type="character" w:customStyle="1" w:styleId="BodyTextChar">
    <w:name w:val="Body Text Char"/>
    <w:basedOn w:val="DefaultParagraphFont"/>
    <w:link w:val="BodyText"/>
    <w:uiPriority w:val="99"/>
    <w:rsid w:val="004160FA"/>
    <w:rPr>
      <w:sz w:val="18"/>
      <w:szCs w:val="18"/>
    </w:rPr>
  </w:style>
  <w:style w:type="paragraph" w:styleId="Caption">
    <w:name w:val="caption"/>
    <w:basedOn w:val="Normal"/>
    <w:next w:val="Normal"/>
    <w:uiPriority w:val="17"/>
    <w:qFormat/>
    <w:rsid w:val="004160FA"/>
    <w:pPr>
      <w:spacing w:after="360"/>
      <w:contextualSpacing/>
    </w:pPr>
    <w:rPr>
      <w:iCs/>
      <w:color w:val="808285" w:themeColor="accent2"/>
      <w:sz w:val="16"/>
    </w:rPr>
  </w:style>
  <w:style w:type="character" w:styleId="CommentReference">
    <w:name w:val="annotation reference"/>
    <w:basedOn w:val="DefaultParagraphFont"/>
    <w:semiHidden/>
    <w:unhideWhenUsed/>
    <w:rsid w:val="004160FA"/>
    <w:rPr>
      <w:sz w:val="16"/>
      <w:szCs w:val="16"/>
    </w:rPr>
  </w:style>
  <w:style w:type="paragraph" w:styleId="CommentText">
    <w:name w:val="annotation text"/>
    <w:basedOn w:val="Normal"/>
    <w:link w:val="CommentTextChar"/>
    <w:uiPriority w:val="99"/>
    <w:semiHidden/>
    <w:unhideWhenUsed/>
    <w:rsid w:val="004160FA"/>
    <w:pPr>
      <w:spacing w:line="240" w:lineRule="auto"/>
    </w:pPr>
    <w:rPr>
      <w:sz w:val="20"/>
      <w:szCs w:val="20"/>
    </w:rPr>
  </w:style>
  <w:style w:type="character" w:customStyle="1" w:styleId="CommentTextChar">
    <w:name w:val="Comment Text Char"/>
    <w:basedOn w:val="DefaultParagraphFont"/>
    <w:link w:val="CommentText"/>
    <w:uiPriority w:val="99"/>
    <w:semiHidden/>
    <w:rsid w:val="004160FA"/>
    <w:rPr>
      <w:sz w:val="20"/>
      <w:szCs w:val="20"/>
    </w:rPr>
  </w:style>
  <w:style w:type="paragraph" w:styleId="CommentSubject">
    <w:name w:val="annotation subject"/>
    <w:basedOn w:val="CommentText"/>
    <w:next w:val="CommentText"/>
    <w:link w:val="CommentSubjectChar"/>
    <w:uiPriority w:val="99"/>
    <w:semiHidden/>
    <w:unhideWhenUsed/>
    <w:rsid w:val="004160FA"/>
    <w:rPr>
      <w:b/>
      <w:bCs/>
    </w:rPr>
  </w:style>
  <w:style w:type="character" w:customStyle="1" w:styleId="CommentSubjectChar">
    <w:name w:val="Comment Subject Char"/>
    <w:basedOn w:val="CommentTextChar"/>
    <w:link w:val="CommentSubject"/>
    <w:uiPriority w:val="99"/>
    <w:semiHidden/>
    <w:rsid w:val="004160FA"/>
    <w:rPr>
      <w:b/>
      <w:bCs/>
      <w:sz w:val="20"/>
      <w:szCs w:val="20"/>
    </w:rPr>
  </w:style>
  <w:style w:type="paragraph" w:styleId="Footer">
    <w:name w:val="footer"/>
    <w:basedOn w:val="Normal"/>
    <w:link w:val="FooterChar"/>
    <w:uiPriority w:val="99"/>
    <w:unhideWhenUsed/>
    <w:rsid w:val="004160FA"/>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4160FA"/>
    <w:rPr>
      <w:noProof/>
      <w:color w:val="B4292D" w:themeColor="text2"/>
      <w:sz w:val="18"/>
      <w:szCs w:val="18"/>
    </w:rPr>
  </w:style>
  <w:style w:type="paragraph" w:styleId="Header">
    <w:name w:val="header"/>
    <w:basedOn w:val="Normal"/>
    <w:link w:val="HeaderChar"/>
    <w:uiPriority w:val="99"/>
    <w:unhideWhenUsed/>
    <w:rsid w:val="004160FA"/>
    <w:pPr>
      <w:tabs>
        <w:tab w:val="center" w:pos="4513"/>
        <w:tab w:val="right" w:pos="9026"/>
      </w:tabs>
      <w:spacing w:before="0" w:after="0"/>
    </w:pPr>
  </w:style>
  <w:style w:type="character" w:customStyle="1" w:styleId="HeaderChar">
    <w:name w:val="Header Char"/>
    <w:basedOn w:val="DefaultParagraphFont"/>
    <w:link w:val="Header"/>
    <w:uiPriority w:val="99"/>
    <w:rsid w:val="004160FA"/>
    <w:rPr>
      <w:sz w:val="18"/>
      <w:szCs w:val="18"/>
    </w:rPr>
  </w:style>
  <w:style w:type="character" w:customStyle="1" w:styleId="Heading1Char">
    <w:name w:val="Heading 1 Char"/>
    <w:basedOn w:val="DefaultParagraphFont"/>
    <w:link w:val="Heading1"/>
    <w:uiPriority w:val="9"/>
    <w:rsid w:val="008363BA"/>
    <w:rPr>
      <w:rFonts w:asciiTheme="majorHAnsi" w:eastAsiaTheme="majorEastAsia" w:hAnsiTheme="majorHAnsi" w:cstheme="majorBidi"/>
      <w:caps/>
      <w:color w:val="B4292D" w:themeColor="text2"/>
      <w:sz w:val="30"/>
      <w:szCs w:val="32"/>
    </w:rPr>
  </w:style>
  <w:style w:type="character" w:customStyle="1" w:styleId="Heading2Char">
    <w:name w:val="Heading 2 Char"/>
    <w:basedOn w:val="DefaultParagraphFont"/>
    <w:link w:val="Heading2"/>
    <w:uiPriority w:val="9"/>
    <w:rsid w:val="004160FA"/>
    <w:rPr>
      <w:rFonts w:asciiTheme="majorHAnsi" w:eastAsiaTheme="majorEastAsia" w:hAnsiTheme="majorHAnsi" w:cstheme="majorBidi"/>
      <w:color w:val="B4292D" w:themeColor="text2"/>
      <w:sz w:val="26"/>
      <w:szCs w:val="26"/>
    </w:rPr>
  </w:style>
  <w:style w:type="character" w:customStyle="1" w:styleId="Heading3Char">
    <w:name w:val="Heading 3 Char"/>
    <w:basedOn w:val="DefaultParagraphFont"/>
    <w:link w:val="Heading3"/>
    <w:uiPriority w:val="9"/>
    <w:rsid w:val="004160FA"/>
    <w:rPr>
      <w:rFonts w:asciiTheme="majorHAnsi" w:eastAsiaTheme="majorEastAsia" w:hAnsiTheme="majorHAnsi" w:cstheme="majorBidi"/>
      <w:caps/>
      <w:color w:val="B4292D" w:themeColor="text2"/>
      <w:sz w:val="21"/>
      <w:szCs w:val="21"/>
    </w:rPr>
  </w:style>
  <w:style w:type="character" w:customStyle="1" w:styleId="Heading4Char">
    <w:name w:val="Heading 4 Char"/>
    <w:basedOn w:val="DefaultParagraphFont"/>
    <w:link w:val="Heading4"/>
    <w:uiPriority w:val="9"/>
    <w:rsid w:val="004160FA"/>
    <w:rPr>
      <w:rFonts w:asciiTheme="majorHAnsi" w:eastAsiaTheme="majorEastAsia" w:hAnsiTheme="majorHAnsi" w:cstheme="majorBidi"/>
      <w:b/>
      <w:iCs/>
      <w:color w:val="000000" w:themeColor="text1"/>
      <w:sz w:val="18"/>
      <w:szCs w:val="18"/>
    </w:rPr>
  </w:style>
  <w:style w:type="character" w:customStyle="1" w:styleId="Heading5Char">
    <w:name w:val="Heading 5 Char"/>
    <w:basedOn w:val="DefaultParagraphFont"/>
    <w:link w:val="Heading5"/>
    <w:uiPriority w:val="9"/>
    <w:rsid w:val="004160FA"/>
    <w:rPr>
      <w:rFonts w:asciiTheme="majorHAnsi" w:eastAsiaTheme="majorEastAsia" w:hAnsiTheme="majorHAnsi" w:cstheme="majorBidi"/>
      <w:color w:val="608588" w:themeColor="accent1" w:themeShade="BF"/>
      <w:sz w:val="18"/>
      <w:szCs w:val="18"/>
    </w:rPr>
  </w:style>
  <w:style w:type="character" w:styleId="Hyperlink">
    <w:name w:val="Hyperlink"/>
    <w:basedOn w:val="DefaultParagraphFont"/>
    <w:uiPriority w:val="99"/>
    <w:unhideWhenUsed/>
    <w:rsid w:val="004160FA"/>
    <w:rPr>
      <w:color w:val="0563C1" w:themeColor="hyperlink"/>
      <w:u w:val="single"/>
    </w:rPr>
  </w:style>
  <w:style w:type="paragraph" w:customStyle="1" w:styleId="Imprinttext">
    <w:name w:val="Imprint text"/>
    <w:uiPriority w:val="99"/>
    <w:rsid w:val="004160FA"/>
    <w:pPr>
      <w:spacing w:before="40" w:after="40" w:line="264" w:lineRule="auto"/>
    </w:pPr>
    <w:rPr>
      <w:color w:val="808285" w:themeColor="accent2"/>
      <w:sz w:val="14"/>
    </w:rPr>
  </w:style>
  <w:style w:type="paragraph" w:styleId="ListBullet">
    <w:name w:val="List Bullet"/>
    <w:basedOn w:val="Normal"/>
    <w:uiPriority w:val="1"/>
    <w:unhideWhenUsed/>
    <w:qFormat/>
    <w:rsid w:val="00184E10"/>
    <w:pPr>
      <w:numPr>
        <w:numId w:val="8"/>
      </w:numPr>
    </w:pPr>
  </w:style>
  <w:style w:type="paragraph" w:styleId="ListBullet2">
    <w:name w:val="List Bullet 2"/>
    <w:basedOn w:val="Normal"/>
    <w:uiPriority w:val="1"/>
    <w:unhideWhenUsed/>
    <w:qFormat/>
    <w:rsid w:val="004160FA"/>
    <w:pPr>
      <w:numPr>
        <w:ilvl w:val="1"/>
        <w:numId w:val="8"/>
      </w:numPr>
    </w:pPr>
  </w:style>
  <w:style w:type="paragraph" w:customStyle="1" w:styleId="P1URL">
    <w:name w:val="P1 URL"/>
    <w:basedOn w:val="Normal"/>
    <w:rsid w:val="004160FA"/>
    <w:pPr>
      <w:spacing w:before="0" w:after="0"/>
    </w:pPr>
    <w:rPr>
      <w:color w:val="808285" w:themeColor="accent2"/>
      <w:sz w:val="26"/>
    </w:rPr>
  </w:style>
  <w:style w:type="character" w:styleId="PageNumber">
    <w:name w:val="page number"/>
    <w:basedOn w:val="DefaultParagraphFont"/>
    <w:uiPriority w:val="99"/>
    <w:unhideWhenUsed/>
    <w:rsid w:val="004160FA"/>
    <w:rPr>
      <w:color w:val="808285" w:themeColor="accent2"/>
    </w:rPr>
  </w:style>
  <w:style w:type="table" w:customStyle="1" w:styleId="PlainTable21">
    <w:name w:val="Plain Table 21"/>
    <w:basedOn w:val="TableNormal"/>
    <w:uiPriority w:val="42"/>
    <w:rsid w:val="004160F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14"/>
    <w:qFormat/>
    <w:rsid w:val="00C45034"/>
    <w:pPr>
      <w:spacing w:before="360" w:after="360"/>
    </w:pPr>
    <w:rPr>
      <w:iCs/>
      <w:color w:val="808285" w:themeColor="accent2"/>
      <w:sz w:val="24"/>
    </w:rPr>
  </w:style>
  <w:style w:type="character" w:customStyle="1" w:styleId="QuoteChar">
    <w:name w:val="Quote Char"/>
    <w:basedOn w:val="DefaultParagraphFont"/>
    <w:link w:val="Quote"/>
    <w:uiPriority w:val="14"/>
    <w:rsid w:val="00C45034"/>
    <w:rPr>
      <w:iCs/>
      <w:color w:val="808285" w:themeColor="accent2"/>
      <w:sz w:val="24"/>
      <w:szCs w:val="18"/>
    </w:rPr>
  </w:style>
  <w:style w:type="table" w:customStyle="1" w:styleId="QuoteTable">
    <w:name w:val="Quote Table"/>
    <w:basedOn w:val="TableNormal"/>
    <w:uiPriority w:val="99"/>
    <w:rsid w:val="00B23450"/>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paragraph" w:customStyle="1" w:styleId="Section">
    <w:name w:val="Section"/>
    <w:next w:val="Normal"/>
    <w:uiPriority w:val="19"/>
    <w:rsid w:val="004160FA"/>
    <w:pPr>
      <w:spacing w:before="0" w:after="760" w:line="216" w:lineRule="auto"/>
    </w:pPr>
    <w:rPr>
      <w:caps/>
      <w:color w:val="808285" w:themeColor="accent2"/>
      <w:sz w:val="60"/>
    </w:rPr>
  </w:style>
  <w:style w:type="paragraph" w:styleId="Subtitle">
    <w:name w:val="Subtitle"/>
    <w:basedOn w:val="Normal"/>
    <w:next w:val="Normal"/>
    <w:link w:val="SubtitleChar"/>
    <w:uiPriority w:val="11"/>
    <w:qFormat/>
    <w:rsid w:val="004160FA"/>
    <w:pPr>
      <w:numPr>
        <w:ilvl w:val="1"/>
      </w:numPr>
      <w:spacing w:before="0" w:after="280" w:line="240" w:lineRule="auto"/>
    </w:pPr>
    <w:rPr>
      <w:rFonts w:eastAsiaTheme="minorEastAsia"/>
      <w:color w:val="B4292D" w:themeColor="accent4"/>
      <w:sz w:val="35"/>
    </w:rPr>
  </w:style>
  <w:style w:type="character" w:customStyle="1" w:styleId="SubtitleChar">
    <w:name w:val="Subtitle Char"/>
    <w:basedOn w:val="DefaultParagraphFont"/>
    <w:link w:val="Subtitle"/>
    <w:uiPriority w:val="11"/>
    <w:rsid w:val="004160FA"/>
    <w:rPr>
      <w:rFonts w:eastAsiaTheme="minorEastAsia"/>
      <w:color w:val="B4292D" w:themeColor="accent4"/>
      <w:sz w:val="35"/>
      <w:szCs w:val="18"/>
    </w:rPr>
  </w:style>
  <w:style w:type="table" w:customStyle="1" w:styleId="TableGridLight1">
    <w:name w:val="Table Grid Light1"/>
    <w:basedOn w:val="TableNormal"/>
    <w:uiPriority w:val="40"/>
    <w:rsid w:val="004160F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VSBA Table Grid"/>
    <w:basedOn w:val="TableNormal"/>
    <w:uiPriority w:val="39"/>
    <w:rsid w:val="00AD2B9D"/>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paragraph" w:customStyle="1" w:styleId="TableHeading">
    <w:name w:val="Table Heading"/>
    <w:basedOn w:val="Heading3"/>
    <w:uiPriority w:val="15"/>
    <w:qFormat/>
    <w:rsid w:val="004160FA"/>
    <w:pPr>
      <w:spacing w:before="320"/>
    </w:pPr>
  </w:style>
  <w:style w:type="paragraph" w:customStyle="1" w:styleId="TableBlt">
    <w:name w:val="TableBlt"/>
    <w:basedOn w:val="ListBullet"/>
    <w:uiPriority w:val="16"/>
    <w:qFormat/>
    <w:rsid w:val="004160FA"/>
    <w:pPr>
      <w:spacing w:before="40" w:after="40" w:line="240" w:lineRule="auto"/>
    </w:pPr>
  </w:style>
  <w:style w:type="paragraph" w:customStyle="1" w:styleId="TableHdg">
    <w:name w:val="TableHdg"/>
    <w:uiPriority w:val="15"/>
    <w:qFormat/>
    <w:rsid w:val="004160FA"/>
    <w:pPr>
      <w:spacing w:before="40" w:after="40"/>
    </w:pPr>
    <w:rPr>
      <w:b/>
      <w:bCs/>
      <w:caps/>
      <w:color w:val="B4292D" w:themeColor="text2"/>
      <w:sz w:val="18"/>
      <w:szCs w:val="18"/>
    </w:rPr>
  </w:style>
  <w:style w:type="paragraph" w:customStyle="1" w:styleId="TableTxt">
    <w:name w:val="TableTxt"/>
    <w:basedOn w:val="Normal"/>
    <w:uiPriority w:val="15"/>
    <w:qFormat/>
    <w:rsid w:val="004160FA"/>
    <w:pPr>
      <w:spacing w:before="40" w:after="40" w:line="240" w:lineRule="auto"/>
    </w:pPr>
    <w:rPr>
      <w:bCs/>
    </w:rPr>
  </w:style>
  <w:style w:type="paragraph" w:styleId="Title">
    <w:name w:val="Title"/>
    <w:basedOn w:val="Normal"/>
    <w:next w:val="Normal"/>
    <w:link w:val="TitleChar"/>
    <w:uiPriority w:val="10"/>
    <w:qFormat/>
    <w:rsid w:val="00C45034"/>
    <w:pPr>
      <w:spacing w:before="0" w:after="160" w:line="216" w:lineRule="auto"/>
      <w:contextualSpacing/>
    </w:pPr>
    <w:rPr>
      <w:rFonts w:asciiTheme="majorHAnsi" w:eastAsiaTheme="majorEastAsia" w:hAnsiTheme="majorHAnsi" w:cstheme="majorBidi"/>
      <w:caps/>
      <w:color w:val="808285" w:themeColor="accent2"/>
      <w:spacing w:val="-10"/>
      <w:kern w:val="28"/>
      <w:sz w:val="48"/>
      <w:szCs w:val="56"/>
    </w:rPr>
  </w:style>
  <w:style w:type="character" w:customStyle="1" w:styleId="TitleChar">
    <w:name w:val="Title Char"/>
    <w:basedOn w:val="DefaultParagraphFont"/>
    <w:link w:val="Title"/>
    <w:uiPriority w:val="10"/>
    <w:rsid w:val="00C45034"/>
    <w:rPr>
      <w:rFonts w:asciiTheme="majorHAnsi" w:eastAsiaTheme="majorEastAsia" w:hAnsiTheme="majorHAnsi" w:cstheme="majorBidi"/>
      <w:caps/>
      <w:color w:val="808285" w:themeColor="accent2"/>
      <w:spacing w:val="-10"/>
      <w:kern w:val="28"/>
      <w:sz w:val="48"/>
      <w:szCs w:val="56"/>
    </w:rPr>
  </w:style>
  <w:style w:type="paragraph" w:styleId="TOC1">
    <w:name w:val="toc 1"/>
    <w:basedOn w:val="Normal"/>
    <w:next w:val="Normal"/>
    <w:autoRedefine/>
    <w:uiPriority w:val="39"/>
    <w:unhideWhenUsed/>
    <w:rsid w:val="004160FA"/>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4160FA"/>
    <w:pPr>
      <w:tabs>
        <w:tab w:val="right" w:leader="dot" w:pos="8220"/>
      </w:tabs>
      <w:spacing w:before="160" w:after="40"/>
    </w:pPr>
    <w:rPr>
      <w:sz w:val="20"/>
    </w:rPr>
  </w:style>
  <w:style w:type="paragraph" w:styleId="TOC3">
    <w:name w:val="toc 3"/>
    <w:basedOn w:val="Normal"/>
    <w:next w:val="Normal"/>
    <w:autoRedefine/>
    <w:uiPriority w:val="39"/>
    <w:unhideWhenUsed/>
    <w:rsid w:val="004160FA"/>
    <w:pPr>
      <w:spacing w:before="40" w:after="40"/>
    </w:pPr>
  </w:style>
  <w:style w:type="paragraph" w:styleId="TOCHeading">
    <w:name w:val="TOC Heading"/>
    <w:next w:val="Normal"/>
    <w:uiPriority w:val="39"/>
    <w:unhideWhenUsed/>
    <w:rsid w:val="004160FA"/>
    <w:pPr>
      <w:spacing w:before="1560" w:after="600"/>
    </w:pPr>
    <w:rPr>
      <w:rFonts w:asciiTheme="majorHAnsi" w:eastAsiaTheme="majorEastAsia" w:hAnsiTheme="majorHAnsi" w:cstheme="majorBidi"/>
      <w:color w:val="B4292D" w:themeColor="text2"/>
      <w:sz w:val="26"/>
      <w:szCs w:val="32"/>
    </w:rPr>
  </w:style>
  <w:style w:type="paragraph" w:customStyle="1" w:styleId="Body">
    <w:name w:val="Body"/>
    <w:rsid w:val="00C01082"/>
    <w:pPr>
      <w:pBdr>
        <w:top w:val="nil"/>
        <w:left w:val="nil"/>
        <w:bottom w:val="nil"/>
        <w:right w:val="nil"/>
        <w:between w:val="nil"/>
        <w:bar w:val="nil"/>
      </w:pBdr>
      <w:spacing w:before="0" w:after="90" w:line="220" w:lineRule="atLeast"/>
    </w:pPr>
    <w:rPr>
      <w:rFonts w:ascii="Arial" w:eastAsia="Arial" w:hAnsi="Arial" w:cs="Arial"/>
      <w:color w:val="747378"/>
      <w:sz w:val="18"/>
      <w:szCs w:val="18"/>
      <w:u w:color="747378"/>
      <w:bdr w:val="nil"/>
      <w:lang w:eastAsia="en-AU"/>
    </w:rPr>
  </w:style>
  <w:style w:type="paragraph" w:styleId="ListParagraph">
    <w:name w:val="List Paragraph"/>
    <w:link w:val="ListParagraphChar"/>
    <w:uiPriority w:val="34"/>
    <w:qFormat/>
    <w:rsid w:val="00C01082"/>
    <w:pPr>
      <w:pBdr>
        <w:top w:val="nil"/>
        <w:left w:val="nil"/>
        <w:bottom w:val="nil"/>
        <w:right w:val="nil"/>
        <w:between w:val="nil"/>
        <w:bar w:val="nil"/>
      </w:pBdr>
      <w:spacing w:before="0" w:after="0"/>
      <w:ind w:left="720"/>
    </w:pPr>
    <w:rPr>
      <w:rFonts w:ascii="Arial" w:eastAsia="Arial Unicode MS" w:hAnsi="Arial Unicode MS" w:cs="Arial Unicode MS"/>
      <w:color w:val="000000"/>
      <w:sz w:val="20"/>
      <w:szCs w:val="20"/>
      <w:u w:color="000000"/>
      <w:bdr w:val="nil"/>
      <w:lang w:val="en-US" w:eastAsia="en-AU"/>
    </w:rPr>
  </w:style>
  <w:style w:type="character" w:customStyle="1" w:styleId="ListParagraphChar">
    <w:name w:val="List Paragraph Char"/>
    <w:link w:val="ListParagraph"/>
    <w:uiPriority w:val="34"/>
    <w:rsid w:val="00C01082"/>
    <w:rPr>
      <w:rFonts w:ascii="Arial" w:eastAsia="Arial Unicode MS" w:hAnsi="Arial Unicode MS" w:cs="Arial Unicode MS"/>
      <w:color w:val="000000"/>
      <w:sz w:val="20"/>
      <w:szCs w:val="20"/>
      <w:u w:color="000000"/>
      <w:bdr w:val="nil"/>
      <w:lang w:val="en-US" w:eastAsia="en-AU"/>
    </w:rPr>
  </w:style>
  <w:style w:type="table" w:customStyle="1" w:styleId="TableGrid1">
    <w:name w:val="Table Grid1"/>
    <w:basedOn w:val="TableNormal"/>
    <w:next w:val="TableGrid"/>
    <w:uiPriority w:val="59"/>
    <w:rsid w:val="00C01082"/>
    <w:pPr>
      <w:spacing w:before="0"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184E10"/>
    <w:rPr>
      <w:color w:val="0000FF"/>
      <w:sz w:val="19"/>
      <w:szCs w:val="19"/>
      <w:u w:val="single" w:color="0000FF"/>
    </w:rPr>
  </w:style>
  <w:style w:type="character" w:customStyle="1" w:styleId="Hyperlink3">
    <w:name w:val="Hyperlink.3"/>
    <w:basedOn w:val="DefaultParagraphFont"/>
    <w:rsid w:val="00184E10"/>
    <w:rPr>
      <w:color w:val="0000FF"/>
      <w:sz w:val="19"/>
      <w:szCs w:val="19"/>
      <w:u w:val="single" w:color="0000FF"/>
      <w:lang w:val="en-US"/>
    </w:rPr>
  </w:style>
  <w:style w:type="numbering" w:customStyle="1" w:styleId="List32">
    <w:name w:val="List 32"/>
    <w:basedOn w:val="NoList"/>
    <w:rsid w:val="00184E10"/>
    <w:pPr>
      <w:numPr>
        <w:numId w:val="17"/>
      </w:numPr>
    </w:pPr>
  </w:style>
  <w:style w:type="paragraph" w:customStyle="1" w:styleId="CopyrightDetailsBold">
    <w:name w:val="Copyright Details Bold"/>
    <w:rsid w:val="003A3393"/>
    <w:pPr>
      <w:pBdr>
        <w:top w:val="nil"/>
        <w:left w:val="nil"/>
        <w:bottom w:val="nil"/>
        <w:right w:val="nil"/>
        <w:between w:val="nil"/>
        <w:bar w:val="nil"/>
      </w:pBdr>
      <w:spacing w:before="0" w:after="0" w:line="260" w:lineRule="exact"/>
    </w:pPr>
    <w:rPr>
      <w:rFonts w:ascii="Arial Bold" w:eastAsia="Arial Bold" w:hAnsi="Arial Bold" w:cs="Arial Bold"/>
      <w:color w:val="747378"/>
      <w:sz w:val="18"/>
      <w:szCs w:val="18"/>
      <w:u w:color="747378"/>
      <w:bdr w:val="nil"/>
      <w:lang w:val="en-US" w:eastAsia="en-AU"/>
    </w:rPr>
  </w:style>
  <w:style w:type="paragraph" w:customStyle="1" w:styleId="CopyrightDetails">
    <w:name w:val="Copyright Details"/>
    <w:rsid w:val="003A3393"/>
    <w:pPr>
      <w:pBdr>
        <w:top w:val="nil"/>
        <w:left w:val="nil"/>
        <w:bottom w:val="nil"/>
        <w:right w:val="nil"/>
        <w:between w:val="nil"/>
        <w:bar w:val="nil"/>
      </w:pBdr>
      <w:spacing w:before="0" w:after="0" w:line="260" w:lineRule="exact"/>
    </w:pPr>
    <w:rPr>
      <w:rFonts w:ascii="Arial" w:eastAsia="Arial Unicode MS" w:hAnsi="Arial Unicode MS" w:cs="Arial Unicode MS"/>
      <w:color w:val="747378"/>
      <w:sz w:val="18"/>
      <w:szCs w:val="18"/>
      <w:u w:color="747378"/>
      <w:bdr w:val="nil"/>
      <w:lang w:val="en-US" w:eastAsia="en-AU"/>
    </w:rPr>
  </w:style>
  <w:style w:type="character" w:styleId="FollowedHyperlink">
    <w:name w:val="FollowedHyperlink"/>
    <w:basedOn w:val="DefaultParagraphFont"/>
    <w:uiPriority w:val="99"/>
    <w:semiHidden/>
    <w:unhideWhenUsed/>
    <w:rsid w:val="00444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mailto:service@smartygrants.com.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education.vic.gov.au/ecsmanagement/capitalprogram" TargetMode="External"/><Relationship Id="rId17" Type="http://schemas.openxmlformats.org/officeDocument/2006/relationships/hyperlink" Target="mailto:childrens.capital.program@edumail.vic.gov.au" TargetMode="External"/><Relationship Id="rId2" Type="http://schemas.openxmlformats.org/officeDocument/2006/relationships/customXml" Target="../customXml/item2.xml"/><Relationship Id="rId16" Type="http://schemas.openxmlformats.org/officeDocument/2006/relationships/hyperlink" Target="http://www.education.vic.gov.au/ecsmanagement/capitalprogr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ducation.vic.gov.au/ecsmanagement/capitalprogra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jpg"/><Relationship Id="rId22" Type="http://schemas.openxmlformats.org/officeDocument/2006/relationships/header" Target="header2.xml"/><Relationship Id="rId9" Type="http://schemas.openxmlformats.org/officeDocument/2006/relationships/webSettings" Target="webSettings.xml"/><Relationship Id="rId14" Type="http://schemas.openxmlformats.org/officeDocument/2006/relationships/hyperlink" Target="http://www.education.vic.gov.au/ecsmanagement/capitalprogr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D3E15-E0DC-41FB-9CB6-7DE8BBB57283}"/>
</file>

<file path=customXml/itemProps2.xml><?xml version="1.0" encoding="utf-8"?>
<ds:datastoreItem xmlns:ds="http://schemas.openxmlformats.org/officeDocument/2006/customXml" ds:itemID="{78A89477-24A0-4B1D-B86D-0D1AB9F8C515}"/>
</file>

<file path=customXml/itemProps3.xml><?xml version="1.0" encoding="utf-8"?>
<ds:datastoreItem xmlns:ds="http://schemas.openxmlformats.org/officeDocument/2006/customXml" ds:itemID="{FDD4D4A4-4EE9-41C3-8668-90751594A238}"/>
</file>

<file path=customXml/itemProps4.xml><?xml version="1.0" encoding="utf-8"?>
<ds:datastoreItem xmlns:ds="http://schemas.openxmlformats.org/officeDocument/2006/customXml" ds:itemID="{EA4D3E15-E0DC-41FB-9CB6-7DE8BBB5728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AE605C-18B1-4D91-862B-3519F35987FC}"/>
</file>

<file path=docProps/app.xml><?xml version="1.0" encoding="utf-8"?>
<Properties xmlns="http://schemas.openxmlformats.org/officeDocument/2006/extended-properties" xmlns:vt="http://schemas.openxmlformats.org/officeDocument/2006/docPropsVTypes">
  <Template>Normal.dotm</Template>
  <TotalTime>53</TotalTime>
  <Pages>10</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Att 1 - CFCP 2017-18 Minor Grant Guidelines</vt:lpstr>
    </vt:vector>
  </TitlesOfParts>
  <Company>DEECD</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1 - CFCP 2017-18 Minor Grant Guidelines</dc:title>
  <dc:creator>Microsoft Office User</dc:creator>
  <cp:lastModifiedBy>Mcallion, Bruce B</cp:lastModifiedBy>
  <cp:revision>10</cp:revision>
  <cp:lastPrinted>2017-04-18T04:32:00Z</cp:lastPrinted>
  <dcterms:created xsi:type="dcterms:W3CDTF">2017-04-06T22:48:00Z</dcterms:created>
  <dcterms:modified xsi:type="dcterms:W3CDTF">2017-04-18T05:30:00Z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ofbb8b9a280a423a91cf717fb81349cd">
    <vt:lpwstr>Education|5232e41c-5101-41fe-b638-7d41d1371531</vt:lpwstr>
  </property>
  <property fmtid="{D5CDD505-2E9C-101B-9397-08002B2CF9AE}" pid="5" name="a319977fc8504e09982f090ae1d7c602">
    <vt:lpwstr>Page|eb523acf-a821-456c-a76b-7607578309d7</vt:lpwstr>
  </property>
  <property fmtid="{D5CDD505-2E9C-101B-9397-08002B2CF9AE}" pid="6" name="DEECD_ItemType">
    <vt:lpwstr>101;#Page|eb523acf-a821-456c-a76b-7607578309d7</vt:lpwstr>
  </property>
  <property fmtid="{D5CDD505-2E9C-101B-9397-08002B2CF9AE}" pid="7" name="DEECD_Expired">
    <vt:bool>false</vt:bool>
  </property>
</Properties>
</file>