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F452A" w14:textId="1620EB74" w:rsidR="001F3869" w:rsidRDefault="005A0D1D" w:rsidP="001F3869">
      <w:pPr>
        <w:pStyle w:val="Intro"/>
        <w:jc w:val="center"/>
        <w:rPr>
          <w:rFonts w:asciiTheme="majorHAnsi" w:eastAsiaTheme="majorEastAsia" w:hAnsiTheme="majorHAnsi" w:cstheme="majorBidi"/>
          <w:b/>
          <w:caps/>
          <w:sz w:val="32"/>
          <w:szCs w:val="32"/>
        </w:rPr>
      </w:pPr>
      <w:bookmarkStart w:id="0" w:name="_GoBack"/>
      <w:bookmarkEnd w:id="0"/>
      <w:r w:rsidRPr="006B36BA">
        <w:rPr>
          <w:rFonts w:asciiTheme="majorHAnsi" w:eastAsiaTheme="majorEastAsia" w:hAnsiTheme="majorHAnsi" w:cstheme="majorBidi"/>
          <w:b/>
          <w:caps/>
          <w:sz w:val="40"/>
          <w:szCs w:val="32"/>
        </w:rPr>
        <w:t>Nanjing No.1 Kindergarten Knowledge Exchange Program</w:t>
      </w:r>
    </w:p>
    <w:p w14:paraId="78BD625D" w14:textId="74670F0C" w:rsidR="005A0D1D" w:rsidRPr="001F3869" w:rsidRDefault="001F3869" w:rsidP="001F3869">
      <w:pPr>
        <w:pStyle w:val="Intro"/>
        <w:jc w:val="center"/>
        <w:rPr>
          <w:rFonts w:asciiTheme="majorHAnsi" w:eastAsiaTheme="majorEastAsia" w:hAnsiTheme="majorHAnsi" w:cstheme="majorBidi"/>
          <w:b/>
          <w:caps/>
          <w:sz w:val="24"/>
          <w:szCs w:val="32"/>
        </w:rPr>
      </w:pPr>
      <w:r w:rsidRPr="001F3869">
        <w:rPr>
          <w:rFonts w:asciiTheme="majorHAnsi" w:eastAsiaTheme="majorEastAsia" w:hAnsiTheme="majorHAnsi" w:cstheme="majorBidi"/>
          <w:b/>
          <w:caps/>
          <w:sz w:val="28"/>
          <w:szCs w:val="32"/>
        </w:rPr>
        <w:t>Expression of Interest Guidelines</w:t>
      </w:r>
    </w:p>
    <w:p w14:paraId="35C6F8C1" w14:textId="1E433E5E" w:rsidR="004D0AC6" w:rsidRPr="001F3869" w:rsidRDefault="00EF4960" w:rsidP="001F3869">
      <w:pPr>
        <w:pStyle w:val="Intro"/>
        <w:jc w:val="center"/>
        <w:rPr>
          <w:b/>
          <w:sz w:val="24"/>
        </w:rPr>
      </w:pPr>
      <w:r w:rsidRPr="001F3869">
        <w:rPr>
          <w:b/>
          <w:sz w:val="24"/>
        </w:rPr>
        <w:t>APPLICATIONS CLOSE</w:t>
      </w:r>
      <w:r w:rsidR="005A0D1D" w:rsidRPr="001F3869">
        <w:rPr>
          <w:b/>
          <w:sz w:val="24"/>
        </w:rPr>
        <w:t xml:space="preserve">: </w:t>
      </w:r>
      <w:r w:rsidR="004B6A98">
        <w:rPr>
          <w:b/>
          <w:sz w:val="24"/>
        </w:rPr>
        <w:t>Friday 15 December 2017</w:t>
      </w:r>
    </w:p>
    <w:p w14:paraId="1A04B755" w14:textId="5B780D3F" w:rsidR="004D0AC6" w:rsidRPr="001641FF" w:rsidRDefault="004D0AC6" w:rsidP="00D50E76">
      <w:pPr>
        <w:pStyle w:val="Intro"/>
        <w:spacing w:before="240" w:after="60"/>
        <w:rPr>
          <w:rFonts w:asciiTheme="majorHAnsi" w:eastAsiaTheme="majorEastAsia" w:hAnsiTheme="majorHAnsi" w:cstheme="majorBidi"/>
          <w:b/>
          <w:color w:val="821D23" w:themeColor="accent1" w:themeShade="BF"/>
          <w:sz w:val="22"/>
          <w:szCs w:val="26"/>
        </w:rPr>
      </w:pPr>
      <w:r w:rsidRPr="001641FF">
        <w:rPr>
          <w:rFonts w:asciiTheme="majorHAnsi" w:eastAsiaTheme="majorEastAsia" w:hAnsiTheme="majorHAnsi" w:cstheme="majorBidi"/>
          <w:b/>
          <w:color w:val="821D23" w:themeColor="accent1" w:themeShade="BF"/>
          <w:sz w:val="22"/>
          <w:szCs w:val="26"/>
        </w:rPr>
        <w:t>1</w:t>
      </w:r>
      <w:r w:rsidR="001F3869" w:rsidRPr="001641FF">
        <w:rPr>
          <w:rFonts w:asciiTheme="majorHAnsi" w:eastAsiaTheme="majorEastAsia" w:hAnsiTheme="majorHAnsi" w:cstheme="majorBidi"/>
          <w:b/>
          <w:color w:val="821D23" w:themeColor="accent1" w:themeShade="BF"/>
          <w:sz w:val="22"/>
          <w:szCs w:val="26"/>
        </w:rPr>
        <w:t>.</w:t>
      </w:r>
      <w:r w:rsidRPr="001641FF">
        <w:rPr>
          <w:rFonts w:asciiTheme="majorHAnsi" w:eastAsiaTheme="majorEastAsia" w:hAnsiTheme="majorHAnsi" w:cstheme="majorBidi"/>
          <w:b/>
          <w:color w:val="821D23" w:themeColor="accent1" w:themeShade="BF"/>
          <w:sz w:val="22"/>
          <w:szCs w:val="26"/>
        </w:rPr>
        <w:t xml:space="preserve"> The Nanjing No.1 Kindergarten Knowledge Exchange Program</w:t>
      </w:r>
    </w:p>
    <w:p w14:paraId="64B8A4E1" w14:textId="00B65741" w:rsidR="005A0D1D" w:rsidRPr="004D0AC6" w:rsidRDefault="004D0AC6" w:rsidP="008A31E5">
      <w:pPr>
        <w:keepNext/>
        <w:keepLines/>
        <w:spacing w:after="60"/>
        <w:outlineLvl w:val="1"/>
        <w:rPr>
          <w:rFonts w:asciiTheme="majorHAnsi" w:eastAsiaTheme="majorEastAsia" w:hAnsiTheme="majorHAnsi" w:cstheme="majorBidi"/>
          <w:color w:val="821D23" w:themeColor="accent1" w:themeShade="BF"/>
          <w:sz w:val="22"/>
          <w:szCs w:val="26"/>
        </w:rPr>
      </w:pPr>
      <w:r>
        <w:rPr>
          <w:rFonts w:asciiTheme="majorHAnsi" w:eastAsiaTheme="majorEastAsia" w:hAnsiTheme="majorHAnsi" w:cstheme="majorBidi"/>
          <w:color w:val="821D23" w:themeColor="accent1" w:themeShade="BF"/>
          <w:sz w:val="22"/>
          <w:szCs w:val="26"/>
        </w:rPr>
        <w:t>1.1</w:t>
      </w:r>
      <w:r w:rsidRPr="004D0AC6">
        <w:rPr>
          <w:rFonts w:asciiTheme="majorHAnsi" w:eastAsiaTheme="majorEastAsia" w:hAnsiTheme="majorHAnsi" w:cstheme="majorBidi"/>
          <w:color w:val="821D23" w:themeColor="accent1" w:themeShade="BF"/>
          <w:sz w:val="22"/>
          <w:szCs w:val="26"/>
        </w:rPr>
        <w:t xml:space="preserve"> </w:t>
      </w:r>
      <w:r w:rsidR="005A0D1D" w:rsidRPr="008A31E5">
        <w:rPr>
          <w:rFonts w:asciiTheme="majorHAnsi" w:eastAsiaTheme="majorEastAsia" w:hAnsiTheme="majorHAnsi" w:cstheme="majorBidi"/>
          <w:color w:val="821D23" w:themeColor="accent1" w:themeShade="BF"/>
          <w:sz w:val="22"/>
          <w:szCs w:val="26"/>
          <w:lang w:val="en-AU"/>
        </w:rPr>
        <w:t>About</w:t>
      </w:r>
      <w:r w:rsidR="005A0D1D" w:rsidRPr="004D0AC6">
        <w:rPr>
          <w:rFonts w:asciiTheme="majorHAnsi" w:eastAsiaTheme="majorEastAsia" w:hAnsiTheme="majorHAnsi" w:cstheme="majorBidi"/>
          <w:color w:val="821D23" w:themeColor="accent1" w:themeShade="BF"/>
          <w:sz w:val="22"/>
          <w:szCs w:val="26"/>
        </w:rPr>
        <w:t xml:space="preserve"> the program </w:t>
      </w:r>
    </w:p>
    <w:p w14:paraId="2C26D191" w14:textId="6FCC0E90" w:rsidR="008C33E5" w:rsidRDefault="008C33E5" w:rsidP="008C33E5">
      <w:pPr>
        <w:jc w:val="both"/>
        <w:rPr>
          <w:rFonts w:ascii="Arial" w:hAnsi="Arial" w:cs="Arial"/>
          <w:szCs w:val="20"/>
        </w:rPr>
      </w:pPr>
      <w:r>
        <w:rPr>
          <w:rFonts w:ascii="Arial" w:hAnsi="Arial" w:cs="Arial"/>
          <w:szCs w:val="20"/>
        </w:rPr>
        <w:t>The Department of Education and Training (DET), in collaboration with</w:t>
      </w:r>
      <w:r w:rsidRPr="00622AFD">
        <w:rPr>
          <w:rFonts w:ascii="Arial" w:hAnsi="Arial" w:cs="Arial"/>
          <w:szCs w:val="20"/>
        </w:rPr>
        <w:t xml:space="preserve"> the Jiangsu Provincial Department of Education (JPDE),</w:t>
      </w:r>
      <w:r>
        <w:rPr>
          <w:rFonts w:ascii="Arial" w:hAnsi="Arial" w:cs="Arial"/>
          <w:szCs w:val="20"/>
        </w:rPr>
        <w:t xml:space="preserve"> </w:t>
      </w:r>
      <w:r w:rsidR="007F4991">
        <w:rPr>
          <w:rFonts w:ascii="Arial" w:hAnsi="Arial" w:cs="Arial"/>
          <w:szCs w:val="20"/>
        </w:rPr>
        <w:t>is pleased to invite applications</w:t>
      </w:r>
      <w:r>
        <w:rPr>
          <w:rFonts w:ascii="Arial" w:hAnsi="Arial" w:cs="Arial"/>
          <w:szCs w:val="20"/>
        </w:rPr>
        <w:t xml:space="preserve"> for the Nanjing No.1 Kindergarten (NNK)</w:t>
      </w:r>
      <w:r w:rsidRPr="00622AFD">
        <w:rPr>
          <w:rFonts w:ascii="Arial" w:hAnsi="Arial" w:cs="Arial"/>
          <w:szCs w:val="20"/>
        </w:rPr>
        <w:t xml:space="preserve"> Knowledge Exchange Program </w:t>
      </w:r>
      <w:r>
        <w:rPr>
          <w:rFonts w:ascii="Arial" w:hAnsi="Arial" w:cs="Arial"/>
          <w:szCs w:val="20"/>
        </w:rPr>
        <w:t>(the Program).</w:t>
      </w:r>
    </w:p>
    <w:p w14:paraId="0D8C7289" w14:textId="22324AD8" w:rsidR="005A0D1D" w:rsidRPr="00481C61" w:rsidRDefault="005A0D1D" w:rsidP="005A0D1D">
      <w:pPr>
        <w:jc w:val="both"/>
        <w:rPr>
          <w:rFonts w:ascii="Arial" w:hAnsi="Arial" w:cs="Arial"/>
          <w:szCs w:val="20"/>
        </w:rPr>
      </w:pPr>
      <w:r w:rsidRPr="00622AFD">
        <w:rPr>
          <w:rFonts w:ascii="Arial" w:hAnsi="Arial" w:cs="Arial"/>
          <w:szCs w:val="20"/>
        </w:rPr>
        <w:t xml:space="preserve">The </w:t>
      </w:r>
      <w:r w:rsidR="008C33E5">
        <w:rPr>
          <w:rFonts w:ascii="Arial" w:hAnsi="Arial" w:cs="Arial"/>
          <w:szCs w:val="20"/>
        </w:rPr>
        <w:t>Program</w:t>
      </w:r>
      <w:r w:rsidR="00E410AC">
        <w:rPr>
          <w:rFonts w:ascii="Arial" w:hAnsi="Arial" w:cs="Arial"/>
          <w:szCs w:val="20"/>
        </w:rPr>
        <w:t xml:space="preserve"> </w:t>
      </w:r>
      <w:r w:rsidRPr="00622AFD">
        <w:rPr>
          <w:rFonts w:ascii="Arial" w:hAnsi="Arial" w:cs="Arial"/>
          <w:szCs w:val="20"/>
        </w:rPr>
        <w:t>will se</w:t>
      </w:r>
      <w:r w:rsidRPr="00481C61">
        <w:rPr>
          <w:rFonts w:ascii="Arial" w:hAnsi="Arial" w:cs="Arial"/>
          <w:szCs w:val="20"/>
        </w:rPr>
        <w:t>e three Victorian early childhood teachers (ECTs) undertake a pilot knowledge exchange program at NNK.</w:t>
      </w:r>
      <w:r w:rsidR="0082187F">
        <w:rPr>
          <w:rFonts w:ascii="Arial" w:hAnsi="Arial" w:cs="Arial"/>
          <w:szCs w:val="20"/>
        </w:rPr>
        <w:t xml:space="preserve"> </w:t>
      </w:r>
      <w:r w:rsidRPr="00481C61">
        <w:rPr>
          <w:rFonts w:ascii="Arial" w:hAnsi="Arial" w:cs="Arial"/>
          <w:szCs w:val="20"/>
        </w:rPr>
        <w:t xml:space="preserve">Three ECTs will be selected for this program and will complete their in-country visit to China </w:t>
      </w:r>
      <w:r>
        <w:rPr>
          <w:rFonts w:ascii="Arial" w:hAnsi="Arial" w:cs="Arial"/>
          <w:szCs w:val="20"/>
        </w:rPr>
        <w:t xml:space="preserve">from 11 May to 25 </w:t>
      </w:r>
      <w:r w:rsidRPr="00481C61">
        <w:rPr>
          <w:rFonts w:ascii="Arial" w:hAnsi="Arial" w:cs="Arial"/>
          <w:szCs w:val="20"/>
        </w:rPr>
        <w:t xml:space="preserve">May 2018. </w:t>
      </w:r>
    </w:p>
    <w:p w14:paraId="60129788" w14:textId="77777777" w:rsidR="005A0D1D" w:rsidRDefault="005A0D1D" w:rsidP="008A31E5">
      <w:pPr>
        <w:spacing w:after="60"/>
        <w:jc w:val="both"/>
        <w:rPr>
          <w:rFonts w:ascii="Arial" w:hAnsi="Arial" w:cs="Arial"/>
          <w:szCs w:val="20"/>
        </w:rPr>
      </w:pPr>
      <w:r w:rsidRPr="00BA6B42">
        <w:rPr>
          <w:rFonts w:ascii="Arial" w:hAnsi="Arial" w:cs="Arial"/>
          <w:szCs w:val="20"/>
        </w:rPr>
        <w:t>This exciting opportunity will allow participants to</w:t>
      </w:r>
      <w:r>
        <w:rPr>
          <w:rFonts w:ascii="Arial" w:hAnsi="Arial" w:cs="Arial"/>
          <w:szCs w:val="20"/>
        </w:rPr>
        <w:t>:</w:t>
      </w:r>
      <w:r w:rsidRPr="00BA6B42">
        <w:rPr>
          <w:rFonts w:ascii="Arial" w:hAnsi="Arial" w:cs="Arial"/>
          <w:szCs w:val="20"/>
        </w:rPr>
        <w:t xml:space="preserve"> </w:t>
      </w:r>
    </w:p>
    <w:p w14:paraId="444C2B3A" w14:textId="77777777" w:rsidR="005A0D1D" w:rsidRDefault="005A0D1D" w:rsidP="005A0D1D">
      <w:pPr>
        <w:pStyle w:val="ListParagraph"/>
        <w:numPr>
          <w:ilvl w:val="0"/>
          <w:numId w:val="18"/>
        </w:numPr>
        <w:spacing w:after="120" w:line="240" w:lineRule="auto"/>
        <w:jc w:val="both"/>
        <w:rPr>
          <w:rFonts w:ascii="Arial" w:hAnsi="Arial" w:cs="Arial"/>
          <w:sz w:val="20"/>
          <w:szCs w:val="20"/>
        </w:rPr>
      </w:pPr>
      <w:r>
        <w:rPr>
          <w:rFonts w:ascii="Arial" w:hAnsi="Arial" w:cs="Arial"/>
          <w:sz w:val="20"/>
          <w:szCs w:val="20"/>
        </w:rPr>
        <w:t>b</w:t>
      </w:r>
      <w:r w:rsidRPr="00461C35">
        <w:rPr>
          <w:rFonts w:ascii="Arial" w:hAnsi="Arial" w:cs="Arial"/>
          <w:sz w:val="20"/>
          <w:szCs w:val="20"/>
        </w:rPr>
        <w:t xml:space="preserve">uild new professional partnerships </w:t>
      </w:r>
    </w:p>
    <w:p w14:paraId="39231C59" w14:textId="77777777" w:rsidR="005A0D1D" w:rsidRDefault="005A0D1D" w:rsidP="005A0D1D">
      <w:pPr>
        <w:pStyle w:val="ListParagraph"/>
        <w:numPr>
          <w:ilvl w:val="0"/>
          <w:numId w:val="18"/>
        </w:numPr>
        <w:spacing w:after="120" w:line="240" w:lineRule="auto"/>
        <w:jc w:val="both"/>
        <w:rPr>
          <w:rFonts w:ascii="Arial" w:hAnsi="Arial" w:cs="Arial"/>
          <w:sz w:val="20"/>
          <w:szCs w:val="20"/>
        </w:rPr>
      </w:pPr>
      <w:r>
        <w:rPr>
          <w:rFonts w:ascii="Arial" w:hAnsi="Arial" w:cs="Arial"/>
          <w:sz w:val="20"/>
          <w:szCs w:val="20"/>
        </w:rPr>
        <w:t>share</w:t>
      </w:r>
      <w:r w:rsidRPr="00461C35">
        <w:rPr>
          <w:rFonts w:ascii="Arial" w:hAnsi="Arial" w:cs="Arial"/>
          <w:sz w:val="20"/>
          <w:szCs w:val="20"/>
        </w:rPr>
        <w:t xml:space="preserve"> their knowledge of the Victorian Early Years Learning and Development Framework (VEYLDF) and the underlying theories and pedagogy</w:t>
      </w:r>
      <w:r>
        <w:rPr>
          <w:rFonts w:ascii="Arial" w:hAnsi="Arial" w:cs="Arial"/>
          <w:sz w:val="20"/>
          <w:szCs w:val="20"/>
        </w:rPr>
        <w:t xml:space="preserve"> </w:t>
      </w:r>
    </w:p>
    <w:p w14:paraId="130358BA" w14:textId="77777777" w:rsidR="005A0D1D" w:rsidRDefault="005A0D1D" w:rsidP="005A0D1D">
      <w:pPr>
        <w:pStyle w:val="ListParagraph"/>
        <w:numPr>
          <w:ilvl w:val="0"/>
          <w:numId w:val="18"/>
        </w:numPr>
        <w:autoSpaceDE w:val="0"/>
        <w:autoSpaceDN w:val="0"/>
        <w:adjustRightInd w:val="0"/>
        <w:spacing w:after="120" w:line="240" w:lineRule="auto"/>
        <w:jc w:val="both"/>
        <w:rPr>
          <w:rFonts w:ascii="Arial" w:hAnsi="Arial" w:cs="Arial"/>
          <w:sz w:val="20"/>
          <w:szCs w:val="20"/>
        </w:rPr>
      </w:pPr>
      <w:r>
        <w:rPr>
          <w:rFonts w:ascii="Arial" w:hAnsi="Arial" w:cs="Arial"/>
          <w:sz w:val="20"/>
          <w:szCs w:val="20"/>
        </w:rPr>
        <w:t>o</w:t>
      </w:r>
      <w:r w:rsidRPr="00461C35">
        <w:rPr>
          <w:rFonts w:ascii="Arial" w:hAnsi="Arial" w:cs="Arial"/>
          <w:sz w:val="20"/>
          <w:szCs w:val="20"/>
        </w:rPr>
        <w:t>ptimise leadership skills through leading reflective discussion</w:t>
      </w:r>
    </w:p>
    <w:p w14:paraId="026F9B9C" w14:textId="77777777" w:rsidR="005A0D1D" w:rsidRDefault="005A0D1D" w:rsidP="005A0D1D">
      <w:pPr>
        <w:pStyle w:val="ListParagraph"/>
        <w:numPr>
          <w:ilvl w:val="0"/>
          <w:numId w:val="18"/>
        </w:numPr>
        <w:autoSpaceDE w:val="0"/>
        <w:autoSpaceDN w:val="0"/>
        <w:adjustRightInd w:val="0"/>
        <w:spacing w:after="120" w:line="240" w:lineRule="auto"/>
        <w:jc w:val="both"/>
        <w:rPr>
          <w:rFonts w:ascii="Arial" w:hAnsi="Arial" w:cs="Arial"/>
          <w:sz w:val="20"/>
          <w:szCs w:val="20"/>
        </w:rPr>
      </w:pPr>
      <w:r>
        <w:rPr>
          <w:rFonts w:ascii="Arial" w:hAnsi="Arial" w:cs="Arial"/>
          <w:sz w:val="20"/>
          <w:szCs w:val="20"/>
        </w:rPr>
        <w:t>consider new pedagogy and practice and its application to the Victorian early childhood context to improve outcomes for children.</w:t>
      </w:r>
    </w:p>
    <w:p w14:paraId="741A0ADF" w14:textId="130EB0F1" w:rsidR="005A0D1D" w:rsidRPr="004D0AC6" w:rsidRDefault="004D0AC6" w:rsidP="008A31E5">
      <w:pPr>
        <w:keepNext/>
        <w:keepLines/>
        <w:spacing w:after="60"/>
        <w:outlineLvl w:val="1"/>
        <w:rPr>
          <w:rFonts w:asciiTheme="majorHAnsi" w:eastAsiaTheme="majorEastAsia" w:hAnsiTheme="majorHAnsi" w:cstheme="majorBidi"/>
          <w:color w:val="821D23" w:themeColor="accent1" w:themeShade="BF"/>
          <w:sz w:val="22"/>
          <w:szCs w:val="26"/>
          <w:lang w:val="en-AU"/>
        </w:rPr>
      </w:pPr>
      <w:r w:rsidRPr="004D0AC6">
        <w:rPr>
          <w:rFonts w:asciiTheme="majorHAnsi" w:eastAsiaTheme="majorEastAsia" w:hAnsiTheme="majorHAnsi" w:cstheme="majorBidi"/>
          <w:color w:val="821D23" w:themeColor="accent1" w:themeShade="BF"/>
          <w:sz w:val="22"/>
          <w:szCs w:val="26"/>
          <w:lang w:val="en-AU"/>
        </w:rPr>
        <w:t>1.2 About NNK</w:t>
      </w:r>
    </w:p>
    <w:p w14:paraId="472D7B21" w14:textId="0116CBF8" w:rsidR="005A0D1D" w:rsidRPr="00BB0E41" w:rsidRDefault="005A0D1D" w:rsidP="005A0D1D">
      <w:pPr>
        <w:jc w:val="both"/>
        <w:rPr>
          <w:rFonts w:ascii="Arial" w:hAnsi="Arial" w:cs="Arial"/>
          <w:szCs w:val="20"/>
        </w:rPr>
      </w:pPr>
      <w:r w:rsidRPr="00BB0E41">
        <w:rPr>
          <w:rFonts w:ascii="Arial" w:hAnsi="Arial" w:cs="Arial"/>
          <w:szCs w:val="20"/>
        </w:rPr>
        <w:t>Nanjing No.1 Kindergarten is the oldest and largest kindergarten in Jiangsu Province, China and is widely respected for its approach to early childhood education and care. As the first certified Chinese/English bilingual early childhood service in Jiangsu Province, NNK places great value on knowledge sharing with international education organisations and has previously hosted ECTs from the United States, Canada and New Zealand.</w:t>
      </w:r>
    </w:p>
    <w:p w14:paraId="6CDEABB0" w14:textId="7C710586" w:rsidR="00001D45" w:rsidRDefault="005A0D1D" w:rsidP="005A0D1D">
      <w:pPr>
        <w:jc w:val="both"/>
        <w:rPr>
          <w:rFonts w:ascii="Arial" w:hAnsi="Arial" w:cs="Arial"/>
          <w:szCs w:val="20"/>
        </w:rPr>
      </w:pPr>
      <w:r w:rsidRPr="00BB0E41">
        <w:rPr>
          <w:rFonts w:ascii="Arial" w:hAnsi="Arial" w:cs="Arial"/>
          <w:szCs w:val="20"/>
        </w:rPr>
        <w:t>The Nanjing Early Childhood Development Research and International Exchange Centre is co-located on campus and aims to create an international hub for early childhood excellence. As well as providing innovative learning environments for the children, the Centre conducts collaborative research programs. A recent project has seen NNK build its own ‘Children’s Museum’ for children to explore, discover and initiate their own learning.</w:t>
      </w:r>
    </w:p>
    <w:p w14:paraId="182D43B2" w14:textId="070EED01" w:rsidR="00001D45" w:rsidRPr="00001D45" w:rsidRDefault="00001D45" w:rsidP="008A31E5">
      <w:pPr>
        <w:keepNext/>
        <w:keepLines/>
        <w:spacing w:after="60"/>
        <w:outlineLvl w:val="1"/>
        <w:rPr>
          <w:rFonts w:asciiTheme="majorHAnsi" w:eastAsiaTheme="majorEastAsia" w:hAnsiTheme="majorHAnsi" w:cstheme="majorBidi"/>
          <w:color w:val="821D23" w:themeColor="accent1" w:themeShade="BF"/>
          <w:sz w:val="22"/>
          <w:szCs w:val="26"/>
          <w:lang w:val="en-AU"/>
        </w:rPr>
      </w:pPr>
      <w:r w:rsidRPr="00001D45">
        <w:rPr>
          <w:rFonts w:asciiTheme="majorHAnsi" w:eastAsiaTheme="majorEastAsia" w:hAnsiTheme="majorHAnsi" w:cstheme="majorBidi"/>
          <w:color w:val="821D23" w:themeColor="accent1" w:themeShade="BF"/>
          <w:sz w:val="22"/>
          <w:szCs w:val="26"/>
          <w:lang w:val="en-AU"/>
        </w:rPr>
        <w:t xml:space="preserve">1.3 </w:t>
      </w:r>
      <w:r>
        <w:rPr>
          <w:rFonts w:asciiTheme="majorHAnsi" w:eastAsiaTheme="majorEastAsia" w:hAnsiTheme="majorHAnsi" w:cstheme="majorBidi"/>
          <w:color w:val="821D23" w:themeColor="accent1" w:themeShade="BF"/>
          <w:sz w:val="22"/>
          <w:szCs w:val="26"/>
          <w:lang w:val="en-AU"/>
        </w:rPr>
        <w:t>Program outcomes</w:t>
      </w:r>
    </w:p>
    <w:p w14:paraId="73727C61" w14:textId="77777777" w:rsidR="00001D45" w:rsidRDefault="00001D45" w:rsidP="00001D45">
      <w:pPr>
        <w:autoSpaceDE w:val="0"/>
        <w:autoSpaceDN w:val="0"/>
        <w:adjustRightInd w:val="0"/>
        <w:jc w:val="both"/>
        <w:rPr>
          <w:rFonts w:ascii="Arial" w:hAnsi="Arial" w:cs="Arial"/>
          <w:szCs w:val="20"/>
        </w:rPr>
      </w:pPr>
      <w:r>
        <w:rPr>
          <w:rFonts w:ascii="Arial" w:hAnsi="Arial" w:cs="Arial"/>
          <w:szCs w:val="20"/>
        </w:rPr>
        <w:t>The Program will aim to achieve the following outcomes:</w:t>
      </w:r>
    </w:p>
    <w:p w14:paraId="0A1A9D29" w14:textId="4439BB34" w:rsidR="00001D45" w:rsidRDefault="007F4991" w:rsidP="00001D45">
      <w:pPr>
        <w:pStyle w:val="ListParagraph"/>
        <w:numPr>
          <w:ilvl w:val="0"/>
          <w:numId w:val="21"/>
        </w:numPr>
        <w:autoSpaceDE w:val="0"/>
        <w:autoSpaceDN w:val="0"/>
        <w:adjustRightInd w:val="0"/>
        <w:spacing w:after="120" w:line="240" w:lineRule="auto"/>
        <w:jc w:val="both"/>
        <w:rPr>
          <w:rFonts w:ascii="Arial" w:hAnsi="Arial" w:cs="Arial"/>
          <w:sz w:val="20"/>
          <w:szCs w:val="20"/>
        </w:rPr>
      </w:pPr>
      <w:r>
        <w:rPr>
          <w:rFonts w:ascii="Arial" w:hAnsi="Arial" w:cs="Arial"/>
          <w:sz w:val="20"/>
          <w:szCs w:val="20"/>
        </w:rPr>
        <w:t>i</w:t>
      </w:r>
      <w:r w:rsidR="00001D45">
        <w:rPr>
          <w:rFonts w:ascii="Arial" w:hAnsi="Arial" w:cs="Arial"/>
          <w:sz w:val="20"/>
          <w:szCs w:val="20"/>
        </w:rPr>
        <w:t>dentify good practice and its application in a Victorian context while in-country</w:t>
      </w:r>
    </w:p>
    <w:p w14:paraId="3A0BF48D" w14:textId="46691984" w:rsidR="00001D45" w:rsidRDefault="007F4991" w:rsidP="00001D45">
      <w:pPr>
        <w:pStyle w:val="ListParagraph"/>
        <w:numPr>
          <w:ilvl w:val="0"/>
          <w:numId w:val="21"/>
        </w:numPr>
        <w:autoSpaceDE w:val="0"/>
        <w:autoSpaceDN w:val="0"/>
        <w:adjustRightInd w:val="0"/>
        <w:spacing w:after="120" w:line="240" w:lineRule="auto"/>
        <w:jc w:val="both"/>
        <w:rPr>
          <w:rFonts w:ascii="Arial" w:hAnsi="Arial" w:cs="Arial"/>
          <w:sz w:val="20"/>
          <w:szCs w:val="20"/>
        </w:rPr>
      </w:pPr>
      <w:r>
        <w:rPr>
          <w:rFonts w:ascii="Arial" w:hAnsi="Arial" w:cs="Arial"/>
          <w:sz w:val="20"/>
          <w:szCs w:val="20"/>
        </w:rPr>
        <w:t>d</w:t>
      </w:r>
      <w:r w:rsidR="00001D45">
        <w:rPr>
          <w:rFonts w:ascii="Arial" w:hAnsi="Arial" w:cs="Arial"/>
          <w:sz w:val="20"/>
          <w:szCs w:val="20"/>
        </w:rPr>
        <w:t>evelop professional partnerships and share Victorian practice and pedagogy</w:t>
      </w:r>
    </w:p>
    <w:p w14:paraId="77B1AA13" w14:textId="39A1FD44" w:rsidR="00001D45" w:rsidRDefault="007F4991" w:rsidP="00001D45">
      <w:pPr>
        <w:pStyle w:val="ListParagraph"/>
        <w:numPr>
          <w:ilvl w:val="0"/>
          <w:numId w:val="21"/>
        </w:numPr>
        <w:autoSpaceDE w:val="0"/>
        <w:autoSpaceDN w:val="0"/>
        <w:adjustRightInd w:val="0"/>
        <w:spacing w:after="120" w:line="240" w:lineRule="auto"/>
        <w:jc w:val="both"/>
        <w:rPr>
          <w:rFonts w:ascii="Arial" w:hAnsi="Arial" w:cs="Arial"/>
          <w:sz w:val="20"/>
          <w:szCs w:val="20"/>
        </w:rPr>
      </w:pPr>
      <w:r>
        <w:rPr>
          <w:rFonts w:ascii="Arial" w:hAnsi="Arial" w:cs="Arial"/>
          <w:sz w:val="20"/>
          <w:szCs w:val="20"/>
        </w:rPr>
        <w:t>o</w:t>
      </w:r>
      <w:r w:rsidR="00001D45">
        <w:rPr>
          <w:rFonts w:ascii="Arial" w:hAnsi="Arial" w:cs="Arial"/>
          <w:sz w:val="20"/>
          <w:szCs w:val="20"/>
        </w:rPr>
        <w:t xml:space="preserve">ptimise the ability to articulate the </w:t>
      </w:r>
      <w:r w:rsidR="00001D45">
        <w:rPr>
          <w:rFonts w:ascii="Arial" w:hAnsi="Arial" w:cs="Arial"/>
          <w:i/>
          <w:sz w:val="20"/>
          <w:szCs w:val="20"/>
        </w:rPr>
        <w:t>why</w:t>
      </w:r>
      <w:r w:rsidR="00001D45">
        <w:rPr>
          <w:rFonts w:ascii="Arial" w:hAnsi="Arial" w:cs="Arial"/>
          <w:sz w:val="20"/>
          <w:szCs w:val="20"/>
        </w:rPr>
        <w:t xml:space="preserve"> behind practice and pedagogy</w:t>
      </w:r>
    </w:p>
    <w:p w14:paraId="1ED2A9A5" w14:textId="3960D983" w:rsidR="004D0AC6" w:rsidRPr="00001D45" w:rsidRDefault="007F4991" w:rsidP="00001D45">
      <w:pPr>
        <w:pStyle w:val="ListParagraph"/>
        <w:numPr>
          <w:ilvl w:val="0"/>
          <w:numId w:val="21"/>
        </w:numPr>
        <w:autoSpaceDE w:val="0"/>
        <w:autoSpaceDN w:val="0"/>
        <w:adjustRightInd w:val="0"/>
        <w:spacing w:after="120" w:line="240" w:lineRule="auto"/>
        <w:jc w:val="both"/>
        <w:rPr>
          <w:rFonts w:ascii="Arial" w:hAnsi="Arial" w:cs="Arial"/>
          <w:sz w:val="20"/>
          <w:szCs w:val="20"/>
        </w:rPr>
      </w:pPr>
      <w:r>
        <w:rPr>
          <w:rFonts w:ascii="Arial" w:hAnsi="Arial" w:cs="Arial"/>
          <w:sz w:val="20"/>
          <w:szCs w:val="20"/>
        </w:rPr>
        <w:t>b</w:t>
      </w:r>
      <w:r w:rsidR="00001D45">
        <w:rPr>
          <w:rFonts w:ascii="Arial" w:hAnsi="Arial" w:cs="Arial"/>
          <w:sz w:val="20"/>
          <w:szCs w:val="20"/>
        </w:rPr>
        <w:t>uild, develop and expand the leadership capacity and capabilities of Victorian early childhood teachers.</w:t>
      </w:r>
    </w:p>
    <w:p w14:paraId="54523A3F" w14:textId="235A3494" w:rsidR="004D0AC6" w:rsidRPr="001641FF" w:rsidRDefault="004D0AC6" w:rsidP="00D50E76">
      <w:pPr>
        <w:spacing w:before="120" w:after="60"/>
        <w:jc w:val="both"/>
        <w:rPr>
          <w:rFonts w:asciiTheme="majorHAnsi" w:eastAsiaTheme="majorEastAsia" w:hAnsiTheme="majorHAnsi" w:cstheme="majorBidi"/>
          <w:b/>
          <w:color w:val="821D23" w:themeColor="accent1" w:themeShade="BF"/>
          <w:sz w:val="22"/>
          <w:szCs w:val="26"/>
          <w:lang w:val="en-AU"/>
        </w:rPr>
      </w:pPr>
      <w:r w:rsidRPr="001641FF">
        <w:rPr>
          <w:rFonts w:asciiTheme="majorHAnsi" w:eastAsiaTheme="majorEastAsia" w:hAnsiTheme="majorHAnsi" w:cstheme="majorBidi"/>
          <w:b/>
          <w:color w:val="821D23" w:themeColor="accent1" w:themeShade="BF"/>
          <w:sz w:val="22"/>
          <w:szCs w:val="26"/>
          <w:lang w:val="en-AU"/>
        </w:rPr>
        <w:t>2. Terms and Conditions</w:t>
      </w:r>
    </w:p>
    <w:p w14:paraId="4D4D2811" w14:textId="77777777" w:rsidR="00AB4702" w:rsidRPr="008A31E5" w:rsidRDefault="004D0AC6" w:rsidP="008A31E5">
      <w:pPr>
        <w:keepNext/>
        <w:keepLines/>
        <w:spacing w:after="60"/>
        <w:outlineLvl w:val="1"/>
        <w:rPr>
          <w:rFonts w:asciiTheme="majorHAnsi" w:eastAsiaTheme="majorEastAsia" w:hAnsiTheme="majorHAnsi" w:cstheme="majorBidi"/>
          <w:color w:val="821D23" w:themeColor="accent1" w:themeShade="BF"/>
          <w:sz w:val="22"/>
          <w:szCs w:val="26"/>
          <w:lang w:val="en-AU"/>
        </w:rPr>
      </w:pPr>
      <w:r w:rsidRPr="00A15147">
        <w:rPr>
          <w:rFonts w:asciiTheme="majorHAnsi" w:eastAsiaTheme="majorEastAsia" w:hAnsiTheme="majorHAnsi" w:cstheme="majorBidi"/>
          <w:color w:val="821D23" w:themeColor="accent1" w:themeShade="BF"/>
          <w:sz w:val="22"/>
          <w:szCs w:val="26"/>
          <w:lang w:val="en-AU"/>
        </w:rPr>
        <w:t>2.1 Funding</w:t>
      </w:r>
      <w:r w:rsidR="00AB4702" w:rsidRPr="008A31E5">
        <w:rPr>
          <w:rFonts w:asciiTheme="majorHAnsi" w:eastAsiaTheme="majorEastAsia" w:hAnsiTheme="majorHAnsi" w:cstheme="majorBidi"/>
          <w:color w:val="821D23" w:themeColor="accent1" w:themeShade="BF"/>
          <w:sz w:val="22"/>
          <w:szCs w:val="26"/>
          <w:lang w:val="en-AU"/>
        </w:rPr>
        <w:t xml:space="preserve"> </w:t>
      </w:r>
    </w:p>
    <w:p w14:paraId="47C1970E" w14:textId="0620EF7F" w:rsidR="004D0AC6" w:rsidRPr="00A15147" w:rsidRDefault="00B0635B" w:rsidP="00AB4702">
      <w:pPr>
        <w:numPr>
          <w:ilvl w:val="0"/>
          <w:numId w:val="11"/>
        </w:numPr>
        <w:autoSpaceDE w:val="0"/>
        <w:autoSpaceDN w:val="0"/>
        <w:adjustRightInd w:val="0"/>
        <w:jc w:val="both"/>
        <w:rPr>
          <w:rFonts w:ascii="Arial" w:hAnsi="Arial" w:cs="Arial"/>
          <w:szCs w:val="20"/>
          <w:lang w:val="en-AU"/>
        </w:rPr>
      </w:pPr>
      <w:r>
        <w:rPr>
          <w:rFonts w:ascii="Arial" w:hAnsi="Arial" w:cs="Arial"/>
          <w:szCs w:val="20"/>
        </w:rPr>
        <w:t>DET will fund</w:t>
      </w:r>
      <w:r w:rsidR="00AB4702" w:rsidRPr="00461C35">
        <w:rPr>
          <w:rFonts w:ascii="Arial" w:hAnsi="Arial" w:cs="Arial"/>
          <w:szCs w:val="20"/>
        </w:rPr>
        <w:t xml:space="preserve"> the program includi</w:t>
      </w:r>
      <w:r w:rsidR="00AB4702">
        <w:rPr>
          <w:rFonts w:ascii="Arial" w:hAnsi="Arial" w:cs="Arial"/>
          <w:szCs w:val="20"/>
        </w:rPr>
        <w:t>ng flights, accommodation</w:t>
      </w:r>
      <w:r w:rsidR="00AB4702" w:rsidRPr="00461C35">
        <w:rPr>
          <w:rFonts w:ascii="Arial" w:hAnsi="Arial" w:cs="Arial"/>
          <w:szCs w:val="20"/>
        </w:rPr>
        <w:t xml:space="preserve"> and </w:t>
      </w:r>
      <w:r w:rsidR="00AB4702">
        <w:rPr>
          <w:rFonts w:ascii="Arial" w:hAnsi="Arial" w:cs="Arial"/>
          <w:szCs w:val="20"/>
        </w:rPr>
        <w:t>a daily allowance</w:t>
      </w:r>
      <w:r w:rsidR="00AB4702" w:rsidRPr="00CE500F">
        <w:rPr>
          <w:rFonts w:ascii="Arial" w:hAnsi="Arial" w:cs="Arial"/>
          <w:szCs w:val="20"/>
        </w:rPr>
        <w:t xml:space="preserve">. </w:t>
      </w:r>
      <w:r w:rsidR="00A15147">
        <w:rPr>
          <w:rFonts w:ascii="Arial" w:hAnsi="Arial" w:cs="Arial"/>
          <w:szCs w:val="20"/>
        </w:rPr>
        <w:t>Pro-rata r</w:t>
      </w:r>
      <w:r w:rsidR="00AB4702" w:rsidRPr="00CE500F">
        <w:rPr>
          <w:rFonts w:ascii="Arial" w:hAnsi="Arial" w:cs="Arial"/>
          <w:szCs w:val="20"/>
        </w:rPr>
        <w:t>elief teac</w:t>
      </w:r>
      <w:r w:rsidR="00A15147">
        <w:rPr>
          <w:rFonts w:ascii="Arial" w:hAnsi="Arial" w:cs="Arial"/>
          <w:szCs w:val="20"/>
        </w:rPr>
        <w:t>hing backfill for time spent in-</w:t>
      </w:r>
      <w:r w:rsidR="00AB4702" w:rsidRPr="00CE500F">
        <w:rPr>
          <w:rFonts w:ascii="Arial" w:hAnsi="Arial" w:cs="Arial"/>
          <w:szCs w:val="20"/>
        </w:rPr>
        <w:t xml:space="preserve">country and attendance at </w:t>
      </w:r>
      <w:r w:rsidR="00AB4702" w:rsidRPr="00A15147">
        <w:rPr>
          <w:rFonts w:ascii="Arial" w:hAnsi="Arial" w:cs="Arial"/>
          <w:szCs w:val="20"/>
        </w:rPr>
        <w:t xml:space="preserve">program commitments </w:t>
      </w:r>
      <w:r w:rsidR="00A15147" w:rsidRPr="00A15147">
        <w:rPr>
          <w:rFonts w:ascii="Arial" w:hAnsi="Arial" w:cs="Arial"/>
          <w:szCs w:val="20"/>
        </w:rPr>
        <w:t>will be provided for approved participants</w:t>
      </w:r>
      <w:r w:rsidR="00AB4702" w:rsidRPr="00A15147">
        <w:rPr>
          <w:rFonts w:ascii="Arial" w:hAnsi="Arial" w:cs="Arial"/>
          <w:szCs w:val="20"/>
        </w:rPr>
        <w:t>.</w:t>
      </w:r>
      <w:r w:rsidR="00A15147" w:rsidRPr="00A15147">
        <w:rPr>
          <w:rFonts w:ascii="Arial" w:hAnsi="Arial" w:cs="Arial"/>
          <w:szCs w:val="20"/>
        </w:rPr>
        <w:t xml:space="preserve"> </w:t>
      </w:r>
    </w:p>
    <w:p w14:paraId="057F4FC1" w14:textId="492FB76B" w:rsidR="00FD2F43" w:rsidRDefault="00FD2F43" w:rsidP="008A31E5">
      <w:pPr>
        <w:keepNext/>
        <w:keepLines/>
        <w:spacing w:after="60"/>
        <w:outlineLvl w:val="1"/>
        <w:rPr>
          <w:rFonts w:asciiTheme="majorHAnsi" w:eastAsiaTheme="majorEastAsia" w:hAnsiTheme="majorHAnsi" w:cstheme="majorBidi"/>
          <w:color w:val="821D23" w:themeColor="accent1" w:themeShade="BF"/>
          <w:sz w:val="22"/>
          <w:szCs w:val="26"/>
          <w:lang w:val="en-AU"/>
        </w:rPr>
      </w:pPr>
      <w:r>
        <w:rPr>
          <w:rFonts w:asciiTheme="majorHAnsi" w:eastAsiaTheme="majorEastAsia" w:hAnsiTheme="majorHAnsi" w:cstheme="majorBidi"/>
          <w:color w:val="821D23" w:themeColor="accent1" w:themeShade="BF"/>
          <w:sz w:val="22"/>
          <w:szCs w:val="26"/>
          <w:lang w:val="en-AU"/>
        </w:rPr>
        <w:lastRenderedPageBreak/>
        <w:t>2.2 Eligibility</w:t>
      </w:r>
    </w:p>
    <w:p w14:paraId="0E657F56" w14:textId="77777777" w:rsidR="00AB4702" w:rsidRPr="001E2A1F" w:rsidRDefault="00AB4702" w:rsidP="00AB4702">
      <w:pPr>
        <w:spacing w:after="60"/>
        <w:rPr>
          <w:rFonts w:ascii="Arial" w:hAnsi="Arial" w:cs="Arial"/>
        </w:rPr>
      </w:pPr>
      <w:r w:rsidRPr="001E2A1F">
        <w:rPr>
          <w:rFonts w:ascii="Arial" w:hAnsi="Arial" w:cs="Arial"/>
        </w:rPr>
        <w:t xml:space="preserve">Applicants must be </w:t>
      </w:r>
      <w:r w:rsidRPr="007D4522">
        <w:rPr>
          <w:rFonts w:ascii="Arial" w:hAnsi="Arial" w:cs="Arial"/>
        </w:rPr>
        <w:t>Australian citizens</w:t>
      </w:r>
      <w:r>
        <w:rPr>
          <w:rFonts w:ascii="Arial" w:hAnsi="Arial" w:cs="Arial"/>
        </w:rPr>
        <w:t>/permanent residents</w:t>
      </w:r>
      <w:r w:rsidRPr="001E2A1F">
        <w:rPr>
          <w:rFonts w:ascii="Arial" w:hAnsi="Arial" w:cs="Arial"/>
        </w:rPr>
        <w:t xml:space="preserve"> who are:</w:t>
      </w:r>
    </w:p>
    <w:p w14:paraId="66D2BD03" w14:textId="77777777" w:rsidR="00AB4702" w:rsidRPr="001E2A1F" w:rsidRDefault="00AB4702" w:rsidP="00AB4702">
      <w:pPr>
        <w:numPr>
          <w:ilvl w:val="0"/>
          <w:numId w:val="20"/>
        </w:numPr>
        <w:spacing w:line="259" w:lineRule="auto"/>
        <w:contextualSpacing/>
        <w:rPr>
          <w:rFonts w:ascii="Arial" w:hAnsi="Arial" w:cs="Arial"/>
        </w:rPr>
      </w:pPr>
      <w:r w:rsidRPr="001E2A1F">
        <w:rPr>
          <w:rFonts w:ascii="Arial" w:hAnsi="Arial" w:cs="Arial"/>
        </w:rPr>
        <w:t xml:space="preserve">ECTs, fully registered with the Victorian Institute of Teaching, with </w:t>
      </w:r>
      <w:r w:rsidRPr="2102240C">
        <w:rPr>
          <w:rFonts w:ascii="Arial" w:eastAsia="Arial" w:hAnsi="Arial" w:cs="Arial"/>
          <w:szCs w:val="20"/>
        </w:rPr>
        <w:t>a minimum of four years’ teaching experience in the early childhood sector</w:t>
      </w:r>
    </w:p>
    <w:p w14:paraId="3DAA13D3" w14:textId="77777777" w:rsidR="00AB4702" w:rsidRPr="001E2A1F" w:rsidRDefault="00AB4702" w:rsidP="00AB4702">
      <w:pPr>
        <w:numPr>
          <w:ilvl w:val="0"/>
          <w:numId w:val="19"/>
        </w:numPr>
        <w:spacing w:after="0" w:line="259" w:lineRule="auto"/>
        <w:contextualSpacing/>
        <w:rPr>
          <w:rFonts w:ascii="Arial" w:hAnsi="Arial" w:cs="Arial"/>
          <w:szCs w:val="20"/>
        </w:rPr>
      </w:pPr>
      <w:r w:rsidRPr="001E2A1F">
        <w:rPr>
          <w:rFonts w:ascii="Arial" w:hAnsi="Arial" w:cs="Arial"/>
          <w:szCs w:val="20"/>
        </w:rPr>
        <w:t>currently delivering a state-funded kindergarten program at a Victorian early childhood education and care service</w:t>
      </w:r>
    </w:p>
    <w:p w14:paraId="40C76988" w14:textId="77777777" w:rsidR="00AB4702" w:rsidRPr="00A81D25" w:rsidRDefault="00AB4702" w:rsidP="00AB4702">
      <w:pPr>
        <w:numPr>
          <w:ilvl w:val="0"/>
          <w:numId w:val="19"/>
        </w:numPr>
        <w:spacing w:after="0" w:line="259" w:lineRule="auto"/>
        <w:contextualSpacing/>
        <w:rPr>
          <w:rFonts w:ascii="Arial" w:hAnsi="Arial" w:cs="Arial"/>
          <w:szCs w:val="20"/>
        </w:rPr>
      </w:pPr>
      <w:r w:rsidRPr="001E2A1F">
        <w:rPr>
          <w:rFonts w:ascii="Arial" w:hAnsi="Arial" w:cs="Arial"/>
          <w:szCs w:val="20"/>
        </w:rPr>
        <w:t>delivering this kindergarten program at an early childhood education and care service with a service quality rating of Exceeding the National Quality Standard in Quality Area 1 (Educational Program and Practice)</w:t>
      </w:r>
      <w:r>
        <w:rPr>
          <w:rFonts w:ascii="Arial" w:hAnsi="Arial" w:cs="Arial"/>
          <w:szCs w:val="20"/>
        </w:rPr>
        <w:t xml:space="preserve">, or </w:t>
      </w:r>
      <w:r w:rsidRPr="000635B3">
        <w:rPr>
          <w:rFonts w:ascii="Arial" w:hAnsi="Arial" w:cs="Arial"/>
          <w:szCs w:val="20"/>
        </w:rPr>
        <w:t>ha</w:t>
      </w:r>
      <w:r>
        <w:rPr>
          <w:rFonts w:ascii="Arial" w:hAnsi="Arial" w:cs="Arial"/>
          <w:szCs w:val="20"/>
        </w:rPr>
        <w:t>s</w:t>
      </w:r>
      <w:r w:rsidRPr="000635B3">
        <w:rPr>
          <w:rFonts w:ascii="Arial" w:hAnsi="Arial" w:cs="Arial"/>
          <w:szCs w:val="20"/>
        </w:rPr>
        <w:t xml:space="preserve"> previously worked at a service at the time it was rated Exceeding in Q</w:t>
      </w:r>
      <w:r>
        <w:rPr>
          <w:rFonts w:ascii="Arial" w:hAnsi="Arial" w:cs="Arial"/>
          <w:szCs w:val="20"/>
        </w:rPr>
        <w:t xml:space="preserve">uality </w:t>
      </w:r>
      <w:r w:rsidRPr="000635B3">
        <w:rPr>
          <w:rFonts w:ascii="Arial" w:hAnsi="Arial" w:cs="Arial"/>
          <w:szCs w:val="20"/>
        </w:rPr>
        <w:t>A</w:t>
      </w:r>
      <w:r>
        <w:rPr>
          <w:rFonts w:ascii="Arial" w:hAnsi="Arial" w:cs="Arial"/>
          <w:szCs w:val="20"/>
        </w:rPr>
        <w:t xml:space="preserve">rea </w:t>
      </w:r>
      <w:r w:rsidRPr="000635B3">
        <w:rPr>
          <w:rFonts w:ascii="Arial" w:hAnsi="Arial" w:cs="Arial"/>
          <w:szCs w:val="20"/>
        </w:rPr>
        <w:t>1</w:t>
      </w:r>
      <w:r>
        <w:rPr>
          <w:rFonts w:ascii="Arial" w:hAnsi="Arial" w:cs="Arial"/>
          <w:szCs w:val="20"/>
        </w:rPr>
        <w:t>.</w:t>
      </w:r>
    </w:p>
    <w:p w14:paraId="469C4CC7" w14:textId="213A9630" w:rsidR="00AB4702" w:rsidRPr="00AB4702" w:rsidRDefault="00AB4702" w:rsidP="00AB4702">
      <w:pPr>
        <w:spacing w:before="60" w:after="0"/>
        <w:rPr>
          <w:rFonts w:ascii="Arial" w:hAnsi="Arial" w:cs="Arial"/>
          <w:sz w:val="18"/>
          <w:szCs w:val="20"/>
        </w:rPr>
      </w:pPr>
      <w:r w:rsidRPr="001E2A1F">
        <w:rPr>
          <w:rFonts w:ascii="Arial" w:hAnsi="Arial" w:cs="Arial"/>
        </w:rPr>
        <w:t xml:space="preserve">Please note that an ability to speak Chinese or experience with Chinese culture and/or language is </w:t>
      </w:r>
      <w:r w:rsidRPr="001E2A1F">
        <w:rPr>
          <w:rFonts w:ascii="Arial" w:hAnsi="Arial" w:cs="Arial"/>
          <w:b/>
        </w:rPr>
        <w:t>not</w:t>
      </w:r>
      <w:r w:rsidRPr="001E2A1F">
        <w:rPr>
          <w:rFonts w:ascii="Arial" w:hAnsi="Arial" w:cs="Arial"/>
        </w:rPr>
        <w:t xml:space="preserve"> a requirement for this program.</w:t>
      </w:r>
      <w:r w:rsidRPr="001E2A1F">
        <w:t xml:space="preserve"> </w:t>
      </w:r>
    </w:p>
    <w:p w14:paraId="5349ACF9" w14:textId="1C9252F8" w:rsidR="004D0AC6" w:rsidRDefault="00FD2F43" w:rsidP="008A31E5">
      <w:pPr>
        <w:keepNext/>
        <w:keepLines/>
        <w:spacing w:before="60" w:after="60"/>
        <w:outlineLvl w:val="1"/>
        <w:rPr>
          <w:rFonts w:asciiTheme="majorHAnsi" w:eastAsiaTheme="majorEastAsia" w:hAnsiTheme="majorHAnsi" w:cstheme="majorBidi"/>
          <w:color w:val="821D23" w:themeColor="accent1" w:themeShade="BF"/>
          <w:sz w:val="22"/>
          <w:szCs w:val="26"/>
          <w:lang w:val="en-AU"/>
        </w:rPr>
      </w:pPr>
      <w:r>
        <w:rPr>
          <w:rFonts w:asciiTheme="majorHAnsi" w:eastAsiaTheme="majorEastAsia" w:hAnsiTheme="majorHAnsi" w:cstheme="majorBidi"/>
          <w:color w:val="821D23" w:themeColor="accent1" w:themeShade="BF"/>
          <w:sz w:val="22"/>
          <w:szCs w:val="26"/>
          <w:lang w:val="en-AU"/>
        </w:rPr>
        <w:t>2.3</w:t>
      </w:r>
      <w:r w:rsidR="003300FA">
        <w:rPr>
          <w:rFonts w:asciiTheme="majorHAnsi" w:eastAsiaTheme="majorEastAsia" w:hAnsiTheme="majorHAnsi" w:cstheme="majorBidi"/>
          <w:color w:val="821D23" w:themeColor="accent1" w:themeShade="BF"/>
          <w:sz w:val="22"/>
          <w:szCs w:val="26"/>
          <w:lang w:val="en-AU"/>
        </w:rPr>
        <w:t xml:space="preserve"> Participant requirements</w:t>
      </w:r>
    </w:p>
    <w:p w14:paraId="563DCEC3" w14:textId="77777777" w:rsidR="00AB4702" w:rsidRPr="001E2A1F" w:rsidRDefault="00AB4702" w:rsidP="00AB4702">
      <w:pPr>
        <w:rPr>
          <w:rFonts w:ascii="Arial" w:hAnsi="Arial" w:cs="Arial"/>
          <w:szCs w:val="20"/>
        </w:rPr>
      </w:pPr>
      <w:r w:rsidRPr="001E2A1F">
        <w:rPr>
          <w:rFonts w:ascii="Arial" w:hAnsi="Arial" w:cs="Arial"/>
          <w:szCs w:val="20"/>
        </w:rPr>
        <w:t>Participants will be expected to:</w:t>
      </w:r>
    </w:p>
    <w:p w14:paraId="1C31FD83" w14:textId="16639A2F" w:rsidR="00AB4702" w:rsidRDefault="00AB4702" w:rsidP="00AB4702">
      <w:pPr>
        <w:numPr>
          <w:ilvl w:val="0"/>
          <w:numId w:val="20"/>
        </w:numPr>
        <w:spacing w:before="120" w:after="240" w:line="256" w:lineRule="auto"/>
        <w:contextualSpacing/>
        <w:rPr>
          <w:rFonts w:ascii="Arial" w:hAnsi="Arial" w:cs="Arial"/>
          <w:szCs w:val="20"/>
        </w:rPr>
      </w:pPr>
      <w:r w:rsidRPr="001E2A1F">
        <w:rPr>
          <w:rFonts w:ascii="Arial" w:hAnsi="Arial" w:cs="Arial"/>
          <w:szCs w:val="20"/>
        </w:rPr>
        <w:t xml:space="preserve">seek endorsement for their application from their service </w:t>
      </w:r>
      <w:r>
        <w:rPr>
          <w:rFonts w:ascii="Arial" w:hAnsi="Arial" w:cs="Arial"/>
          <w:szCs w:val="20"/>
        </w:rPr>
        <w:t>management</w:t>
      </w:r>
      <w:r w:rsidRPr="001E2A1F">
        <w:rPr>
          <w:rFonts w:ascii="Arial" w:hAnsi="Arial" w:cs="Arial"/>
          <w:szCs w:val="20"/>
        </w:rPr>
        <w:t xml:space="preserve"> and/or approved provider prior to submission</w:t>
      </w:r>
    </w:p>
    <w:p w14:paraId="061EC203" w14:textId="018D133A" w:rsidR="00031A49" w:rsidRPr="0080582C" w:rsidRDefault="000B6E8C" w:rsidP="0080582C">
      <w:pPr>
        <w:numPr>
          <w:ilvl w:val="0"/>
          <w:numId w:val="20"/>
        </w:numPr>
        <w:spacing w:before="120" w:after="240" w:line="256" w:lineRule="auto"/>
        <w:contextualSpacing/>
        <w:rPr>
          <w:rFonts w:ascii="Arial" w:hAnsi="Arial" w:cs="Arial"/>
          <w:szCs w:val="20"/>
        </w:rPr>
      </w:pPr>
      <w:r>
        <w:rPr>
          <w:rFonts w:ascii="Arial" w:hAnsi="Arial" w:cs="Arial"/>
          <w:szCs w:val="20"/>
        </w:rPr>
        <w:t>attend a pre- and</w:t>
      </w:r>
      <w:r w:rsidR="00031A49">
        <w:rPr>
          <w:rFonts w:ascii="Arial" w:hAnsi="Arial" w:cs="Arial"/>
          <w:szCs w:val="20"/>
        </w:rPr>
        <w:t xml:space="preserve"> post-travel support briefing</w:t>
      </w:r>
      <w:r w:rsidR="0080582C" w:rsidRPr="0080582C">
        <w:rPr>
          <w:rFonts w:ascii="Arial" w:hAnsi="Arial" w:cs="Arial"/>
          <w:szCs w:val="20"/>
        </w:rPr>
        <w:t xml:space="preserve"> </w:t>
      </w:r>
      <w:r w:rsidR="0080582C">
        <w:rPr>
          <w:rFonts w:ascii="Arial" w:hAnsi="Arial" w:cs="Arial"/>
          <w:szCs w:val="20"/>
        </w:rPr>
        <w:t>and be available to travel to China from 11 May to 25 May 2018</w:t>
      </w:r>
    </w:p>
    <w:p w14:paraId="1215B119" w14:textId="77777777" w:rsidR="00AB4702" w:rsidRPr="001E2A1F" w:rsidRDefault="00AB4702" w:rsidP="00AB4702">
      <w:pPr>
        <w:numPr>
          <w:ilvl w:val="0"/>
          <w:numId w:val="20"/>
        </w:numPr>
        <w:spacing w:before="120" w:after="0" w:line="256" w:lineRule="auto"/>
        <w:contextualSpacing/>
        <w:rPr>
          <w:rFonts w:ascii="Arial" w:hAnsi="Arial" w:cs="Arial"/>
          <w:szCs w:val="20"/>
        </w:rPr>
      </w:pPr>
      <w:r w:rsidRPr="001E2A1F">
        <w:rPr>
          <w:rFonts w:ascii="Arial" w:hAnsi="Arial" w:cs="Arial"/>
          <w:szCs w:val="20"/>
        </w:rPr>
        <w:t xml:space="preserve">under guidance of a </w:t>
      </w:r>
      <w:r>
        <w:rPr>
          <w:rFonts w:ascii="Arial" w:hAnsi="Arial" w:cs="Arial"/>
          <w:szCs w:val="20"/>
        </w:rPr>
        <w:t xml:space="preserve">DET </w:t>
      </w:r>
      <w:r w:rsidRPr="001E2A1F">
        <w:rPr>
          <w:rFonts w:ascii="Arial" w:hAnsi="Arial" w:cs="Arial"/>
          <w:szCs w:val="20"/>
        </w:rPr>
        <w:t xml:space="preserve">group leader, undertake an action research project on an </w:t>
      </w:r>
      <w:r>
        <w:rPr>
          <w:rFonts w:ascii="Arial" w:hAnsi="Arial" w:cs="Arial"/>
          <w:szCs w:val="20"/>
        </w:rPr>
        <w:t>agreed pedagogy or practice within agreed timelines.</w:t>
      </w:r>
    </w:p>
    <w:p w14:paraId="6537CF5E" w14:textId="77777777" w:rsidR="00AB4702" w:rsidRDefault="00AB4702" w:rsidP="00AB4702">
      <w:pPr>
        <w:pStyle w:val="ListParagraph"/>
        <w:numPr>
          <w:ilvl w:val="0"/>
          <w:numId w:val="23"/>
        </w:numPr>
        <w:spacing w:after="0" w:line="256" w:lineRule="auto"/>
        <w:jc w:val="both"/>
        <w:rPr>
          <w:rFonts w:ascii="Arial" w:hAnsi="Arial" w:cs="Arial"/>
          <w:sz w:val="20"/>
        </w:rPr>
      </w:pPr>
      <w:r>
        <w:rPr>
          <w:rFonts w:ascii="Arial" w:hAnsi="Arial" w:cs="Arial"/>
          <w:sz w:val="20"/>
        </w:rPr>
        <w:t>p</w:t>
      </w:r>
      <w:r w:rsidRPr="00E871D7">
        <w:rPr>
          <w:rFonts w:ascii="Arial" w:hAnsi="Arial" w:cs="Arial"/>
          <w:sz w:val="20"/>
        </w:rPr>
        <w:t>resent their findings on return to Victoria at a network and/or conf</w:t>
      </w:r>
      <w:r>
        <w:rPr>
          <w:rFonts w:ascii="Arial" w:hAnsi="Arial" w:cs="Arial"/>
          <w:sz w:val="20"/>
        </w:rPr>
        <w:t xml:space="preserve">erence event as agreed with the </w:t>
      </w:r>
      <w:r w:rsidRPr="00E871D7">
        <w:rPr>
          <w:rFonts w:ascii="Arial" w:hAnsi="Arial" w:cs="Arial"/>
          <w:sz w:val="20"/>
        </w:rPr>
        <w:t>Department.</w:t>
      </w:r>
      <w:r w:rsidRPr="00D738F6">
        <w:rPr>
          <w:rFonts w:ascii="Arial" w:hAnsi="Arial" w:cs="Arial"/>
          <w:sz w:val="20"/>
        </w:rPr>
        <w:t xml:space="preserve"> </w:t>
      </w:r>
    </w:p>
    <w:p w14:paraId="3C0D66EB" w14:textId="5B19F855" w:rsidR="00001D45" w:rsidRPr="00001D45" w:rsidRDefault="00AB4702" w:rsidP="00001D45">
      <w:pPr>
        <w:pStyle w:val="ListParagraph"/>
        <w:numPr>
          <w:ilvl w:val="0"/>
          <w:numId w:val="23"/>
        </w:numPr>
        <w:spacing w:after="0" w:line="256" w:lineRule="auto"/>
        <w:jc w:val="both"/>
        <w:rPr>
          <w:rFonts w:ascii="Arial" w:hAnsi="Arial" w:cs="Arial"/>
          <w:sz w:val="20"/>
        </w:rPr>
      </w:pPr>
      <w:r>
        <w:rPr>
          <w:rFonts w:ascii="Arial" w:hAnsi="Arial" w:cs="Arial"/>
          <w:sz w:val="20"/>
        </w:rPr>
        <w:t>p</w:t>
      </w:r>
      <w:r w:rsidRPr="00E871D7">
        <w:rPr>
          <w:rFonts w:ascii="Arial" w:hAnsi="Arial" w:cs="Arial"/>
          <w:sz w:val="20"/>
        </w:rPr>
        <w:t>articipate in an interview and photoshoot with the Department’s Communications Division to create a short news article on their experience as required.</w:t>
      </w:r>
    </w:p>
    <w:p w14:paraId="6AAEF383" w14:textId="5FB7F81F" w:rsidR="00001D45" w:rsidRDefault="00001D45" w:rsidP="008A31E5">
      <w:pPr>
        <w:keepNext/>
        <w:keepLines/>
        <w:spacing w:before="60" w:after="60"/>
        <w:outlineLvl w:val="1"/>
        <w:rPr>
          <w:rFonts w:asciiTheme="majorHAnsi" w:eastAsiaTheme="majorEastAsia" w:hAnsiTheme="majorHAnsi" w:cstheme="majorBidi"/>
          <w:color w:val="821D23" w:themeColor="accent1" w:themeShade="BF"/>
          <w:sz w:val="22"/>
          <w:szCs w:val="26"/>
          <w:lang w:val="en-AU"/>
        </w:rPr>
      </w:pPr>
      <w:r w:rsidRPr="00001D45">
        <w:rPr>
          <w:rFonts w:asciiTheme="majorHAnsi" w:eastAsiaTheme="majorEastAsia" w:hAnsiTheme="majorHAnsi" w:cstheme="majorBidi"/>
          <w:color w:val="821D23" w:themeColor="accent1" w:themeShade="BF"/>
          <w:sz w:val="22"/>
          <w:szCs w:val="26"/>
          <w:lang w:val="en-AU"/>
        </w:rPr>
        <w:t>2.4 Action research project</w:t>
      </w:r>
    </w:p>
    <w:p w14:paraId="232F9D4D" w14:textId="77777777" w:rsidR="00001D45" w:rsidRPr="0032490E" w:rsidRDefault="00001D45" w:rsidP="0032490E">
      <w:pPr>
        <w:jc w:val="both"/>
        <w:rPr>
          <w:rFonts w:ascii="Arial" w:hAnsi="Arial" w:cs="Arial"/>
          <w:szCs w:val="20"/>
        </w:rPr>
      </w:pPr>
      <w:r w:rsidRPr="0032490E">
        <w:rPr>
          <w:rFonts w:ascii="Arial" w:hAnsi="Arial" w:cs="Arial"/>
          <w:szCs w:val="20"/>
        </w:rPr>
        <w:t>Victoria is committed to building genuine connections in China, with cooperation in the early childhood sector representing an exciting step in the Victoria-China early childhood relationship. Reflective practice is a core part of all early childhood professionals’ work. It is vital that Victorian services encourage a learning culture and aim for continuous improvement to enable all children to thrive.</w:t>
      </w:r>
    </w:p>
    <w:p w14:paraId="74B25103" w14:textId="4D14B146" w:rsidR="00001D45" w:rsidRPr="0032490E" w:rsidRDefault="00001D45" w:rsidP="0032490E">
      <w:pPr>
        <w:jc w:val="both"/>
        <w:rPr>
          <w:rFonts w:ascii="Arial" w:hAnsi="Arial" w:cs="Arial"/>
          <w:szCs w:val="20"/>
        </w:rPr>
      </w:pPr>
      <w:r w:rsidRPr="0032490E">
        <w:rPr>
          <w:rFonts w:ascii="Arial" w:hAnsi="Arial" w:cs="Arial"/>
          <w:szCs w:val="20"/>
        </w:rPr>
        <w:t>Throughout the program, participants will use the VEYLDF Practice Principles and Learning and Development Outcomes as tool</w:t>
      </w:r>
      <w:r w:rsidR="00AF7F7C">
        <w:rPr>
          <w:rFonts w:ascii="Arial" w:hAnsi="Arial" w:cs="Arial"/>
          <w:szCs w:val="20"/>
        </w:rPr>
        <w:t>s</w:t>
      </w:r>
      <w:r w:rsidRPr="0032490E">
        <w:rPr>
          <w:rFonts w:ascii="Arial" w:hAnsi="Arial" w:cs="Arial"/>
          <w:szCs w:val="20"/>
        </w:rPr>
        <w:t xml:space="preserve"> to apply reflective thinking skills around pedagogy and practice.</w:t>
      </w:r>
    </w:p>
    <w:p w14:paraId="2A868062" w14:textId="02281863" w:rsidR="00001D45" w:rsidRPr="0032490E" w:rsidRDefault="00001D45" w:rsidP="0032490E">
      <w:pPr>
        <w:jc w:val="both"/>
        <w:rPr>
          <w:rFonts w:ascii="Arial" w:hAnsi="Arial" w:cs="Arial"/>
          <w:szCs w:val="20"/>
        </w:rPr>
      </w:pPr>
      <w:r w:rsidRPr="0032490E">
        <w:rPr>
          <w:rFonts w:ascii="Arial" w:hAnsi="Arial" w:cs="Arial"/>
          <w:szCs w:val="20"/>
        </w:rPr>
        <w:t>A DET group leader will assist participants to identify educational practice or pedagogy that holds shared value in both China and Victoria. Participants will then reflect on the approaches to implementation across differing cultural contexts.</w:t>
      </w:r>
      <w:r w:rsidR="0032490E">
        <w:rPr>
          <w:rFonts w:ascii="Arial" w:hAnsi="Arial" w:cs="Arial"/>
          <w:szCs w:val="20"/>
        </w:rPr>
        <w:t xml:space="preserve"> </w:t>
      </w:r>
      <w:r w:rsidRPr="00001D45">
        <w:rPr>
          <w:rFonts w:ascii="Arial" w:hAnsi="Arial" w:cs="Arial"/>
          <w:szCs w:val="20"/>
        </w:rPr>
        <w:t>Upon arrival back in Victoria, participants will present on their experiences at an appropriate early childhood network and/or conference event as agreed with the Department.</w:t>
      </w:r>
      <w:r w:rsidR="003F2F75" w:rsidRPr="003F2F75">
        <w:rPr>
          <w:rFonts w:ascii="Arial" w:hAnsi="Arial" w:cs="Arial"/>
          <w:szCs w:val="20"/>
        </w:rPr>
        <w:t xml:space="preserve"> </w:t>
      </w:r>
      <w:r w:rsidR="003F2F75" w:rsidRPr="00001D45">
        <w:rPr>
          <w:rFonts w:ascii="Arial" w:hAnsi="Arial" w:cs="Arial"/>
          <w:szCs w:val="20"/>
        </w:rPr>
        <w:t>Presentations will include an overview of the research and findings.</w:t>
      </w:r>
    </w:p>
    <w:p w14:paraId="657D459D" w14:textId="031586E7" w:rsidR="0032490E" w:rsidRPr="0032490E" w:rsidRDefault="0032490E" w:rsidP="0032490E">
      <w:pPr>
        <w:jc w:val="both"/>
        <w:rPr>
          <w:rFonts w:ascii="Arial" w:hAnsi="Arial" w:cs="Arial"/>
          <w:szCs w:val="20"/>
        </w:rPr>
      </w:pPr>
      <w:r w:rsidRPr="001E2A1F">
        <w:rPr>
          <w:rFonts w:ascii="Arial" w:hAnsi="Arial" w:cs="Arial"/>
        </w:rPr>
        <w:t>Upon arrival back in Victoria, Communications Division will conduct a photoshoot/video and interview with participants about their experiences in Nanjing. For example, the interview and photos may feature on the Department’s website or in</w:t>
      </w:r>
      <w:r>
        <w:rPr>
          <w:rFonts w:ascii="Arial" w:hAnsi="Arial" w:cs="Arial"/>
        </w:rPr>
        <w:t xml:space="preserve"> a publication such as</w:t>
      </w:r>
      <w:r w:rsidRPr="001E2A1F">
        <w:rPr>
          <w:rFonts w:ascii="Arial" w:hAnsi="Arial" w:cs="Arial"/>
        </w:rPr>
        <w:t xml:space="preserve"> the Early Childhood News.</w:t>
      </w:r>
    </w:p>
    <w:p w14:paraId="14C7D3F5" w14:textId="77777777" w:rsidR="00A601F7" w:rsidRDefault="00A601F7">
      <w:pPr>
        <w:spacing w:after="0"/>
        <w:rPr>
          <w:rFonts w:asciiTheme="majorHAnsi" w:eastAsiaTheme="majorEastAsia" w:hAnsiTheme="majorHAnsi" w:cstheme="majorBidi"/>
          <w:color w:val="821D23" w:themeColor="accent1" w:themeShade="BF"/>
          <w:sz w:val="22"/>
          <w:szCs w:val="26"/>
          <w:lang w:val="en-AU"/>
        </w:rPr>
      </w:pPr>
      <w:r>
        <w:rPr>
          <w:rFonts w:asciiTheme="majorHAnsi" w:eastAsiaTheme="majorEastAsia" w:hAnsiTheme="majorHAnsi" w:cstheme="majorBidi"/>
          <w:color w:val="821D23" w:themeColor="accent1" w:themeShade="BF"/>
          <w:sz w:val="22"/>
          <w:szCs w:val="26"/>
          <w:lang w:val="en-AU"/>
        </w:rPr>
        <w:br w:type="page"/>
      </w:r>
    </w:p>
    <w:p w14:paraId="2CE0E11A" w14:textId="17683BB9" w:rsidR="003300FA" w:rsidRDefault="00FD2F43" w:rsidP="008A31E5">
      <w:pPr>
        <w:keepNext/>
        <w:keepLines/>
        <w:spacing w:before="60" w:after="60"/>
        <w:outlineLvl w:val="1"/>
        <w:rPr>
          <w:rFonts w:asciiTheme="majorHAnsi" w:eastAsiaTheme="majorEastAsia" w:hAnsiTheme="majorHAnsi" w:cstheme="majorBidi"/>
          <w:color w:val="821D23" w:themeColor="accent1" w:themeShade="BF"/>
          <w:sz w:val="22"/>
          <w:szCs w:val="26"/>
          <w:lang w:val="en-AU"/>
        </w:rPr>
      </w:pPr>
      <w:r>
        <w:rPr>
          <w:rFonts w:asciiTheme="majorHAnsi" w:eastAsiaTheme="majorEastAsia" w:hAnsiTheme="majorHAnsi" w:cstheme="majorBidi"/>
          <w:color w:val="821D23" w:themeColor="accent1" w:themeShade="BF"/>
          <w:sz w:val="22"/>
          <w:szCs w:val="26"/>
          <w:lang w:val="en-AU"/>
        </w:rPr>
        <w:lastRenderedPageBreak/>
        <w:t>2.</w:t>
      </w:r>
      <w:r w:rsidR="00001D45">
        <w:rPr>
          <w:rFonts w:asciiTheme="majorHAnsi" w:eastAsiaTheme="majorEastAsia" w:hAnsiTheme="majorHAnsi" w:cstheme="majorBidi"/>
          <w:color w:val="821D23" w:themeColor="accent1" w:themeShade="BF"/>
          <w:sz w:val="22"/>
          <w:szCs w:val="26"/>
          <w:lang w:val="en-AU"/>
        </w:rPr>
        <w:t>5</w:t>
      </w:r>
      <w:r w:rsidR="003300FA">
        <w:rPr>
          <w:rFonts w:asciiTheme="majorHAnsi" w:eastAsiaTheme="majorEastAsia" w:hAnsiTheme="majorHAnsi" w:cstheme="majorBidi"/>
          <w:color w:val="821D23" w:themeColor="accent1" w:themeShade="BF"/>
          <w:sz w:val="22"/>
          <w:szCs w:val="26"/>
          <w:lang w:val="en-AU"/>
        </w:rPr>
        <w:t xml:space="preserve"> Selection criteria</w:t>
      </w:r>
    </w:p>
    <w:p w14:paraId="3D6B90F1" w14:textId="77777777" w:rsidR="00AB4702" w:rsidRDefault="00AB4702" w:rsidP="008A31E5">
      <w:pPr>
        <w:spacing w:after="60"/>
        <w:jc w:val="both"/>
        <w:rPr>
          <w:rFonts w:ascii="Arial" w:hAnsi="Arial" w:cs="Arial"/>
          <w:szCs w:val="20"/>
        </w:rPr>
      </w:pPr>
      <w:r>
        <w:rPr>
          <w:rFonts w:ascii="Arial" w:hAnsi="Arial" w:cs="Arial"/>
          <w:szCs w:val="20"/>
        </w:rPr>
        <w:t>The key selection criteria will guide the assessment of applications. The key selection criteria are as follows:</w:t>
      </w:r>
    </w:p>
    <w:p w14:paraId="62A43302" w14:textId="64111364" w:rsidR="00AB4702" w:rsidRPr="00330CDC" w:rsidRDefault="00E718F3" w:rsidP="00AB4702">
      <w:pPr>
        <w:pStyle w:val="ListParagraph"/>
        <w:numPr>
          <w:ilvl w:val="0"/>
          <w:numId w:val="22"/>
        </w:numPr>
        <w:spacing w:after="0"/>
        <w:jc w:val="both"/>
        <w:rPr>
          <w:rFonts w:ascii="Arial" w:hAnsi="Arial" w:cs="Arial"/>
          <w:sz w:val="20"/>
          <w:szCs w:val="20"/>
        </w:rPr>
      </w:pPr>
      <w:r w:rsidRPr="00330CDC">
        <w:rPr>
          <w:rFonts w:ascii="Arial" w:hAnsi="Arial" w:cs="Arial"/>
          <w:sz w:val="20"/>
          <w:szCs w:val="20"/>
        </w:rPr>
        <w:t>Demonstrated</w:t>
      </w:r>
      <w:r w:rsidR="00AB4702" w:rsidRPr="00330CDC">
        <w:rPr>
          <w:rFonts w:ascii="Arial" w:hAnsi="Arial" w:cs="Arial"/>
          <w:sz w:val="20"/>
          <w:szCs w:val="20"/>
        </w:rPr>
        <w:t xml:space="preserve"> understanding of how program participation w</w:t>
      </w:r>
      <w:r w:rsidRPr="00330CDC">
        <w:rPr>
          <w:rFonts w:ascii="Arial" w:hAnsi="Arial" w:cs="Arial"/>
          <w:sz w:val="20"/>
          <w:szCs w:val="20"/>
        </w:rPr>
        <w:t>ill benefit your role and work</w:t>
      </w:r>
    </w:p>
    <w:p w14:paraId="5045BC2D" w14:textId="77777777" w:rsidR="00AB4702" w:rsidRPr="00330CDC" w:rsidRDefault="00AB4702" w:rsidP="00AB4702">
      <w:pPr>
        <w:pStyle w:val="ListParagraph"/>
        <w:numPr>
          <w:ilvl w:val="0"/>
          <w:numId w:val="22"/>
        </w:numPr>
        <w:spacing w:after="0"/>
        <w:jc w:val="both"/>
        <w:rPr>
          <w:rFonts w:ascii="Arial" w:hAnsi="Arial" w:cs="Arial"/>
          <w:sz w:val="20"/>
          <w:szCs w:val="20"/>
        </w:rPr>
      </w:pPr>
      <w:r w:rsidRPr="00330CDC">
        <w:rPr>
          <w:rFonts w:ascii="Arial" w:hAnsi="Arial" w:cs="Arial"/>
          <w:sz w:val="20"/>
          <w:szCs w:val="20"/>
        </w:rPr>
        <w:t>Demonstrated ability to develop professional partnerships</w:t>
      </w:r>
    </w:p>
    <w:p w14:paraId="1E50EC22" w14:textId="77777777" w:rsidR="00AB4702" w:rsidRPr="00330CDC" w:rsidRDefault="00AB4702" w:rsidP="00AB4702">
      <w:pPr>
        <w:pStyle w:val="ListParagraph"/>
        <w:numPr>
          <w:ilvl w:val="0"/>
          <w:numId w:val="22"/>
        </w:numPr>
        <w:spacing w:after="0"/>
        <w:jc w:val="both"/>
        <w:rPr>
          <w:rFonts w:ascii="Arial" w:hAnsi="Arial" w:cs="Arial"/>
          <w:sz w:val="20"/>
          <w:szCs w:val="20"/>
        </w:rPr>
      </w:pPr>
      <w:r w:rsidRPr="00330CDC">
        <w:rPr>
          <w:rFonts w:ascii="Arial" w:hAnsi="Arial" w:cs="Arial"/>
          <w:sz w:val="20"/>
          <w:szCs w:val="20"/>
        </w:rPr>
        <w:t>Ensures equity and inclusion for all children</w:t>
      </w:r>
    </w:p>
    <w:p w14:paraId="217F8967" w14:textId="77777777" w:rsidR="00AB4702" w:rsidRPr="00330CDC" w:rsidRDefault="00AB4702" w:rsidP="00AB4702">
      <w:pPr>
        <w:pStyle w:val="ListParagraph"/>
        <w:numPr>
          <w:ilvl w:val="0"/>
          <w:numId w:val="22"/>
        </w:numPr>
        <w:spacing w:after="0"/>
        <w:jc w:val="both"/>
        <w:rPr>
          <w:rFonts w:ascii="Arial" w:hAnsi="Arial" w:cs="Arial"/>
          <w:sz w:val="20"/>
          <w:szCs w:val="20"/>
        </w:rPr>
      </w:pPr>
      <w:r w:rsidRPr="00330CDC">
        <w:rPr>
          <w:rFonts w:ascii="Arial" w:hAnsi="Arial" w:cs="Arial"/>
          <w:sz w:val="20"/>
          <w:szCs w:val="20"/>
        </w:rPr>
        <w:t>Strong understanding of the VEYLDF</w:t>
      </w:r>
    </w:p>
    <w:p w14:paraId="51306608" w14:textId="77777777" w:rsidR="00AB4702" w:rsidRPr="00330CDC" w:rsidRDefault="00AB4702" w:rsidP="008A31E5">
      <w:pPr>
        <w:pStyle w:val="ListParagraph"/>
        <w:numPr>
          <w:ilvl w:val="0"/>
          <w:numId w:val="22"/>
        </w:numPr>
        <w:spacing w:after="60"/>
        <w:jc w:val="both"/>
        <w:rPr>
          <w:rFonts w:ascii="Arial" w:hAnsi="Arial" w:cs="Arial"/>
          <w:sz w:val="20"/>
          <w:szCs w:val="20"/>
        </w:rPr>
      </w:pPr>
      <w:r w:rsidRPr="00330CDC">
        <w:rPr>
          <w:rFonts w:ascii="Arial" w:hAnsi="Arial" w:cs="Arial"/>
          <w:sz w:val="20"/>
          <w:szCs w:val="20"/>
        </w:rPr>
        <w:t>Demonstrated leadership ability</w:t>
      </w:r>
    </w:p>
    <w:p w14:paraId="429EE3C2" w14:textId="471647CD" w:rsidR="005A49BD" w:rsidRPr="001F3869" w:rsidRDefault="00AB4702" w:rsidP="008A31E5">
      <w:pPr>
        <w:spacing w:after="60"/>
        <w:jc w:val="both"/>
        <w:rPr>
          <w:rFonts w:ascii="Arial" w:hAnsi="Arial" w:cs="Arial"/>
          <w:szCs w:val="20"/>
        </w:rPr>
      </w:pPr>
      <w:r w:rsidRPr="001E2A1F">
        <w:rPr>
          <w:rFonts w:ascii="Arial" w:hAnsi="Arial" w:cs="Arial"/>
          <w:szCs w:val="20"/>
        </w:rPr>
        <w:t>Each application must address the key selection criteria within the word count</w:t>
      </w:r>
      <w:r>
        <w:rPr>
          <w:rFonts w:ascii="Arial" w:hAnsi="Arial" w:cs="Arial"/>
          <w:szCs w:val="20"/>
        </w:rPr>
        <w:t xml:space="preserve"> specified in the expression of interest form</w:t>
      </w:r>
      <w:r w:rsidRPr="001E2A1F">
        <w:rPr>
          <w:rFonts w:ascii="Arial" w:hAnsi="Arial" w:cs="Arial"/>
          <w:szCs w:val="20"/>
        </w:rPr>
        <w:t xml:space="preserve">. </w:t>
      </w:r>
    </w:p>
    <w:p w14:paraId="0DDC731F" w14:textId="1C09E4E5" w:rsidR="009503FE" w:rsidRPr="001641FF" w:rsidRDefault="009503FE" w:rsidP="00AA755A">
      <w:pPr>
        <w:spacing w:before="120" w:after="60"/>
        <w:jc w:val="both"/>
        <w:rPr>
          <w:rFonts w:asciiTheme="majorHAnsi" w:eastAsiaTheme="majorEastAsia" w:hAnsiTheme="majorHAnsi" w:cstheme="majorBidi"/>
          <w:b/>
          <w:color w:val="821D23" w:themeColor="accent1" w:themeShade="BF"/>
          <w:sz w:val="22"/>
          <w:szCs w:val="26"/>
          <w:lang w:val="en-AU"/>
        </w:rPr>
      </w:pPr>
      <w:r w:rsidRPr="001641FF">
        <w:rPr>
          <w:rFonts w:asciiTheme="majorHAnsi" w:eastAsiaTheme="majorEastAsia" w:hAnsiTheme="majorHAnsi" w:cstheme="majorBidi"/>
          <w:b/>
          <w:color w:val="821D23" w:themeColor="accent1" w:themeShade="BF"/>
          <w:sz w:val="22"/>
          <w:szCs w:val="26"/>
          <w:lang w:val="en-AU"/>
        </w:rPr>
        <w:t>3. Application and approvals process</w:t>
      </w:r>
    </w:p>
    <w:p w14:paraId="550BD09B" w14:textId="4454E0EB" w:rsidR="00FE78B8" w:rsidRDefault="008941BA" w:rsidP="00AA755A">
      <w:pPr>
        <w:spacing w:before="120" w:after="0"/>
        <w:jc w:val="both"/>
        <w:rPr>
          <w:rFonts w:ascii="Arial" w:hAnsi="Arial" w:cs="Arial"/>
          <w:szCs w:val="20"/>
        </w:rPr>
      </w:pPr>
      <w:r w:rsidRPr="008941BA">
        <w:rPr>
          <w:rFonts w:ascii="Arial" w:hAnsi="Arial" w:cs="Arial"/>
          <w:b/>
          <w:szCs w:val="20"/>
        </w:rPr>
        <w:t xml:space="preserve">EOIs must be submitted between </w:t>
      </w:r>
      <w:r w:rsidR="008B0E49">
        <w:rPr>
          <w:rFonts w:ascii="Arial" w:hAnsi="Arial" w:cs="Arial"/>
          <w:b/>
          <w:szCs w:val="20"/>
        </w:rPr>
        <w:t xml:space="preserve">Monday 13 November 2017 – Friday 15 December </w:t>
      </w:r>
      <w:r w:rsidRPr="008941BA">
        <w:rPr>
          <w:rFonts w:ascii="Arial" w:hAnsi="Arial" w:cs="Arial"/>
          <w:b/>
          <w:szCs w:val="20"/>
        </w:rPr>
        <w:t xml:space="preserve">via the following link: </w:t>
      </w:r>
      <w:hyperlink r:id="rId12" w:history="1">
        <w:r w:rsidR="008B0E49" w:rsidRPr="00037B81">
          <w:rPr>
            <w:rStyle w:val="Hyperlink"/>
            <w:rFonts w:ascii="Arial" w:hAnsi="Arial" w:cs="Arial"/>
            <w:b/>
            <w:szCs w:val="20"/>
          </w:rPr>
          <w:t>https://detearlyyears.smartygrants.com.au/nnkknowledgeexchange</w:t>
        </w:r>
      </w:hyperlink>
      <w:r w:rsidR="008B0E49">
        <w:rPr>
          <w:rFonts w:ascii="Arial" w:hAnsi="Arial" w:cs="Arial"/>
          <w:b/>
          <w:szCs w:val="20"/>
        </w:rPr>
        <w:t xml:space="preserve"> </w:t>
      </w:r>
    </w:p>
    <w:p w14:paraId="52686C0F" w14:textId="1240A522" w:rsidR="008941BA" w:rsidRPr="008941BA" w:rsidRDefault="00FE78B8" w:rsidP="00AA755A">
      <w:pPr>
        <w:spacing w:before="120"/>
        <w:jc w:val="both"/>
        <w:rPr>
          <w:rFonts w:ascii="Arial" w:hAnsi="Arial" w:cs="Arial"/>
          <w:b/>
          <w:szCs w:val="20"/>
        </w:rPr>
      </w:pPr>
      <w:r w:rsidRPr="00FE78B8">
        <w:rPr>
          <w:rFonts w:ascii="Arial" w:hAnsi="Arial" w:cs="Arial"/>
          <w:b/>
          <w:szCs w:val="20"/>
        </w:rPr>
        <w:t>Late or incomplete applications will not be considered.</w:t>
      </w:r>
    </w:p>
    <w:p w14:paraId="64C69CC5" w14:textId="01986D5B" w:rsidR="004D0AC6" w:rsidRPr="009503FE" w:rsidRDefault="009503FE" w:rsidP="008A31E5">
      <w:pPr>
        <w:keepNext/>
        <w:keepLines/>
        <w:spacing w:before="60" w:after="60"/>
        <w:outlineLvl w:val="1"/>
        <w:rPr>
          <w:rFonts w:asciiTheme="majorHAnsi" w:eastAsiaTheme="majorEastAsia" w:hAnsiTheme="majorHAnsi" w:cstheme="majorBidi"/>
          <w:color w:val="821D23" w:themeColor="accent1" w:themeShade="BF"/>
          <w:sz w:val="22"/>
          <w:szCs w:val="26"/>
          <w:lang w:val="en-AU"/>
        </w:rPr>
      </w:pPr>
      <w:r w:rsidRPr="009503FE">
        <w:rPr>
          <w:rFonts w:asciiTheme="majorHAnsi" w:eastAsiaTheme="majorEastAsia" w:hAnsiTheme="majorHAnsi" w:cstheme="majorBidi"/>
          <w:color w:val="821D23" w:themeColor="accent1" w:themeShade="BF"/>
          <w:sz w:val="22"/>
          <w:szCs w:val="26"/>
          <w:lang w:val="en-AU"/>
        </w:rPr>
        <w:t>3.1 Stage 1 – Expression of Interest Approval</w:t>
      </w:r>
    </w:p>
    <w:p w14:paraId="20306836" w14:textId="0E1F2F79" w:rsidR="00FE78B8" w:rsidRPr="00347E83" w:rsidRDefault="00347E83" w:rsidP="00347E83">
      <w:pPr>
        <w:pStyle w:val="ListParagraph"/>
        <w:numPr>
          <w:ilvl w:val="0"/>
          <w:numId w:val="26"/>
        </w:numPr>
        <w:spacing w:after="0"/>
        <w:rPr>
          <w:rFonts w:ascii="Arial" w:hAnsi="Arial" w:cs="Arial"/>
          <w:sz w:val="20"/>
          <w:szCs w:val="20"/>
          <w:lang w:val="en-GB"/>
        </w:rPr>
      </w:pPr>
      <w:r w:rsidRPr="00347E83">
        <w:rPr>
          <w:rFonts w:ascii="Arial" w:hAnsi="Arial" w:cs="Arial"/>
          <w:sz w:val="20"/>
          <w:szCs w:val="20"/>
          <w:lang w:val="en-GB"/>
        </w:rPr>
        <w:t xml:space="preserve">Applicants are required to submit detailed responses to the key selection criteria via the link above. </w:t>
      </w:r>
    </w:p>
    <w:p w14:paraId="1AD70E2C" w14:textId="77777777" w:rsidR="006F5070" w:rsidRDefault="00347E83" w:rsidP="006F5070">
      <w:pPr>
        <w:pStyle w:val="ListParagraph"/>
        <w:keepNext/>
        <w:keepLines/>
        <w:numPr>
          <w:ilvl w:val="0"/>
          <w:numId w:val="27"/>
        </w:numPr>
        <w:spacing w:before="120" w:after="0"/>
        <w:outlineLvl w:val="1"/>
        <w:rPr>
          <w:rFonts w:ascii="Arial" w:hAnsi="Arial" w:cs="Arial"/>
          <w:sz w:val="20"/>
          <w:szCs w:val="20"/>
          <w:lang w:val="en-GB"/>
        </w:rPr>
      </w:pPr>
      <w:r w:rsidRPr="00347E83">
        <w:rPr>
          <w:rFonts w:ascii="Arial" w:hAnsi="Arial" w:cs="Arial"/>
          <w:sz w:val="20"/>
          <w:szCs w:val="20"/>
          <w:lang w:val="en-GB"/>
        </w:rPr>
        <w:t>EOIs must be approved and endorsed with comments by</w:t>
      </w:r>
      <w:r w:rsidR="002635C3">
        <w:rPr>
          <w:rFonts w:ascii="Arial" w:hAnsi="Arial" w:cs="Arial"/>
          <w:sz w:val="20"/>
          <w:szCs w:val="20"/>
          <w:lang w:val="en-GB"/>
        </w:rPr>
        <w:t xml:space="preserve"> the applicant’s</w:t>
      </w:r>
      <w:r w:rsidRPr="00347E83">
        <w:rPr>
          <w:rFonts w:ascii="Arial" w:hAnsi="Arial" w:cs="Arial"/>
          <w:sz w:val="20"/>
          <w:szCs w:val="20"/>
          <w:lang w:val="en-GB"/>
        </w:rPr>
        <w:t xml:space="preserve"> </w:t>
      </w:r>
      <w:r w:rsidR="002635C3">
        <w:rPr>
          <w:rFonts w:ascii="Arial" w:hAnsi="Arial" w:cs="Arial"/>
          <w:bCs/>
          <w:sz w:val="20"/>
          <w:szCs w:val="20"/>
        </w:rPr>
        <w:t>service coordinator/director, early years manager, a member of the committee of management or equivalent</w:t>
      </w:r>
      <w:r w:rsidRPr="00347E83">
        <w:rPr>
          <w:rFonts w:ascii="Arial" w:hAnsi="Arial" w:cs="Arial"/>
          <w:sz w:val="20"/>
          <w:szCs w:val="20"/>
          <w:lang w:val="en-GB"/>
        </w:rPr>
        <w:t>.</w:t>
      </w:r>
      <w:r w:rsidR="006F5070" w:rsidRPr="006F5070">
        <w:rPr>
          <w:rFonts w:ascii="Arial" w:hAnsi="Arial" w:cs="Arial"/>
          <w:sz w:val="20"/>
          <w:szCs w:val="20"/>
          <w:lang w:val="en-GB"/>
        </w:rPr>
        <w:t xml:space="preserve"> </w:t>
      </w:r>
    </w:p>
    <w:p w14:paraId="5AF421CF" w14:textId="3E667006" w:rsidR="00001D45" w:rsidRPr="006F5070" w:rsidRDefault="006F5070" w:rsidP="006F5070">
      <w:pPr>
        <w:pStyle w:val="ListParagraph"/>
        <w:keepNext/>
        <w:keepLines/>
        <w:numPr>
          <w:ilvl w:val="0"/>
          <w:numId w:val="27"/>
        </w:numPr>
        <w:spacing w:before="120" w:after="0"/>
        <w:outlineLvl w:val="1"/>
        <w:rPr>
          <w:rFonts w:ascii="Arial" w:hAnsi="Arial" w:cs="Arial"/>
          <w:sz w:val="20"/>
          <w:szCs w:val="20"/>
          <w:lang w:val="en-GB"/>
        </w:rPr>
      </w:pPr>
      <w:r w:rsidRPr="007D0D02">
        <w:rPr>
          <w:rFonts w:ascii="Arial" w:hAnsi="Arial" w:cs="Arial"/>
          <w:sz w:val="20"/>
          <w:szCs w:val="20"/>
          <w:lang w:val="en-GB"/>
        </w:rPr>
        <w:t xml:space="preserve">The Department may contact </w:t>
      </w:r>
      <w:r>
        <w:rPr>
          <w:rFonts w:ascii="Arial" w:hAnsi="Arial" w:cs="Arial"/>
          <w:sz w:val="20"/>
          <w:szCs w:val="20"/>
          <w:lang w:val="en-GB"/>
        </w:rPr>
        <w:t>the applicant or their</w:t>
      </w:r>
      <w:r w:rsidRPr="007D0D02">
        <w:rPr>
          <w:rFonts w:ascii="Arial" w:hAnsi="Arial" w:cs="Arial"/>
          <w:sz w:val="20"/>
          <w:szCs w:val="20"/>
          <w:lang w:val="en-GB"/>
        </w:rPr>
        <w:t xml:space="preserve"> service to obtain further information in relation to applications if required.</w:t>
      </w:r>
    </w:p>
    <w:p w14:paraId="53040473" w14:textId="11B44B1B" w:rsidR="009503FE" w:rsidRPr="009503FE" w:rsidRDefault="009503FE" w:rsidP="008A31E5">
      <w:pPr>
        <w:keepNext/>
        <w:keepLines/>
        <w:spacing w:before="60" w:after="60"/>
        <w:outlineLvl w:val="1"/>
        <w:rPr>
          <w:rFonts w:asciiTheme="majorHAnsi" w:eastAsiaTheme="majorEastAsia" w:hAnsiTheme="majorHAnsi" w:cstheme="majorBidi"/>
          <w:color w:val="821D23" w:themeColor="accent1" w:themeShade="BF"/>
          <w:sz w:val="22"/>
          <w:szCs w:val="26"/>
          <w:lang w:val="en-AU"/>
        </w:rPr>
      </w:pPr>
      <w:r w:rsidRPr="009503FE">
        <w:rPr>
          <w:rFonts w:asciiTheme="majorHAnsi" w:eastAsiaTheme="majorEastAsia" w:hAnsiTheme="majorHAnsi" w:cstheme="majorBidi"/>
          <w:color w:val="821D23" w:themeColor="accent1" w:themeShade="BF"/>
          <w:sz w:val="22"/>
          <w:szCs w:val="26"/>
          <w:lang w:val="en-AU"/>
        </w:rPr>
        <w:t xml:space="preserve">3.2 Stage 2 – Shortlisting </w:t>
      </w:r>
      <w:r w:rsidR="0063507E">
        <w:rPr>
          <w:rFonts w:asciiTheme="majorHAnsi" w:eastAsiaTheme="majorEastAsia" w:hAnsiTheme="majorHAnsi" w:cstheme="majorBidi"/>
          <w:color w:val="821D23" w:themeColor="accent1" w:themeShade="BF"/>
          <w:sz w:val="22"/>
          <w:szCs w:val="26"/>
          <w:lang w:val="en-AU"/>
        </w:rPr>
        <w:t>and interviews</w:t>
      </w:r>
    </w:p>
    <w:p w14:paraId="08C28247" w14:textId="2208A94F" w:rsidR="00E67772" w:rsidRPr="00E67772" w:rsidRDefault="007D0D02" w:rsidP="00E67772">
      <w:pPr>
        <w:pStyle w:val="ListParagraph"/>
        <w:keepNext/>
        <w:keepLines/>
        <w:numPr>
          <w:ilvl w:val="0"/>
          <w:numId w:val="27"/>
        </w:numPr>
        <w:spacing w:before="120" w:after="0"/>
        <w:outlineLvl w:val="1"/>
        <w:rPr>
          <w:rFonts w:ascii="Arial" w:hAnsi="Arial" w:cs="Arial"/>
          <w:sz w:val="20"/>
          <w:szCs w:val="20"/>
          <w:lang w:val="en-GB"/>
        </w:rPr>
      </w:pPr>
      <w:r w:rsidRPr="007D0D02">
        <w:rPr>
          <w:rFonts w:ascii="Arial" w:hAnsi="Arial" w:cs="Arial"/>
          <w:sz w:val="20"/>
          <w:szCs w:val="20"/>
          <w:lang w:val="en-GB"/>
        </w:rPr>
        <w:t xml:space="preserve">A panel will short-list applicants </w:t>
      </w:r>
      <w:r w:rsidRPr="00E67772">
        <w:rPr>
          <w:rFonts w:ascii="Arial" w:hAnsi="Arial" w:cs="Arial"/>
          <w:sz w:val="20"/>
          <w:szCs w:val="20"/>
          <w:lang w:val="en-GB"/>
        </w:rPr>
        <w:t xml:space="preserve">on a competitive basis </w:t>
      </w:r>
      <w:r w:rsidRPr="007D0D02">
        <w:rPr>
          <w:rFonts w:ascii="Arial" w:hAnsi="Arial" w:cs="Arial"/>
          <w:sz w:val="20"/>
          <w:szCs w:val="20"/>
          <w:lang w:val="en-GB"/>
        </w:rPr>
        <w:t xml:space="preserve">based on their responses </w:t>
      </w:r>
      <w:r>
        <w:rPr>
          <w:rFonts w:ascii="Arial" w:hAnsi="Arial" w:cs="Arial"/>
          <w:sz w:val="20"/>
          <w:szCs w:val="20"/>
          <w:lang w:val="en-GB"/>
        </w:rPr>
        <w:t xml:space="preserve">and in </w:t>
      </w:r>
      <w:r w:rsidR="00E67772" w:rsidRPr="00E67772">
        <w:rPr>
          <w:rFonts w:ascii="Arial" w:hAnsi="Arial" w:cs="Arial"/>
          <w:sz w:val="20"/>
          <w:szCs w:val="20"/>
          <w:lang w:val="en-GB"/>
        </w:rPr>
        <w:t>accordance with the Program’s Terms and Conditions.</w:t>
      </w:r>
    </w:p>
    <w:p w14:paraId="4C85913B" w14:textId="19BC68DD" w:rsidR="007D0D02" w:rsidRDefault="00E67772" w:rsidP="00001D45">
      <w:pPr>
        <w:pStyle w:val="ListParagraph"/>
        <w:keepNext/>
        <w:keepLines/>
        <w:numPr>
          <w:ilvl w:val="0"/>
          <w:numId w:val="27"/>
        </w:numPr>
        <w:spacing w:before="120" w:after="0"/>
        <w:outlineLvl w:val="1"/>
        <w:rPr>
          <w:rFonts w:ascii="Arial" w:hAnsi="Arial" w:cs="Arial"/>
          <w:sz w:val="20"/>
          <w:szCs w:val="20"/>
          <w:lang w:val="en-GB"/>
        </w:rPr>
      </w:pPr>
      <w:r w:rsidRPr="00E67772">
        <w:rPr>
          <w:rFonts w:ascii="Arial" w:hAnsi="Arial" w:cs="Arial"/>
          <w:sz w:val="20"/>
          <w:szCs w:val="20"/>
          <w:lang w:val="en-GB"/>
        </w:rPr>
        <w:t>Th</w:t>
      </w:r>
      <w:r w:rsidR="007D0D02">
        <w:rPr>
          <w:rFonts w:ascii="Arial" w:hAnsi="Arial" w:cs="Arial"/>
          <w:sz w:val="20"/>
          <w:szCs w:val="20"/>
          <w:lang w:val="en-GB"/>
        </w:rPr>
        <w:t>e Department will contact the ap</w:t>
      </w:r>
      <w:r w:rsidRPr="00E67772">
        <w:rPr>
          <w:rFonts w:ascii="Arial" w:hAnsi="Arial" w:cs="Arial"/>
          <w:sz w:val="20"/>
          <w:szCs w:val="20"/>
          <w:lang w:val="en-GB"/>
        </w:rPr>
        <w:t>plicant regarding the outcome of their EOI in late-January 2018.</w:t>
      </w:r>
    </w:p>
    <w:p w14:paraId="7F128E1C" w14:textId="0F3F6E29" w:rsidR="007D0D02" w:rsidRDefault="0082187F" w:rsidP="00001D45">
      <w:pPr>
        <w:pStyle w:val="ListParagraph"/>
        <w:keepNext/>
        <w:keepLines/>
        <w:numPr>
          <w:ilvl w:val="0"/>
          <w:numId w:val="27"/>
        </w:numPr>
        <w:spacing w:before="120" w:after="0"/>
        <w:outlineLvl w:val="1"/>
        <w:rPr>
          <w:rFonts w:ascii="Arial" w:hAnsi="Arial" w:cs="Arial"/>
          <w:sz w:val="20"/>
          <w:szCs w:val="20"/>
          <w:lang w:val="en-GB"/>
        </w:rPr>
      </w:pPr>
      <w:r>
        <w:rPr>
          <w:rFonts w:ascii="Arial" w:hAnsi="Arial" w:cs="Arial"/>
          <w:sz w:val="20"/>
          <w:szCs w:val="20"/>
          <w:lang w:val="en-GB"/>
        </w:rPr>
        <w:t>Applicants will</w:t>
      </w:r>
      <w:r w:rsidR="007D0D02" w:rsidRPr="007D0D02">
        <w:rPr>
          <w:rFonts w:ascii="Arial" w:hAnsi="Arial" w:cs="Arial"/>
          <w:sz w:val="20"/>
          <w:szCs w:val="20"/>
          <w:lang w:val="en-GB"/>
        </w:rPr>
        <w:t xml:space="preserve"> be invi</w:t>
      </w:r>
      <w:r>
        <w:rPr>
          <w:rFonts w:ascii="Arial" w:hAnsi="Arial" w:cs="Arial"/>
          <w:sz w:val="20"/>
          <w:szCs w:val="20"/>
          <w:lang w:val="en-GB"/>
        </w:rPr>
        <w:t>ted to attend a panel interview if their application progresses past shortlisting.</w:t>
      </w:r>
    </w:p>
    <w:p w14:paraId="66C9D48B" w14:textId="00DEA2F8" w:rsidR="005A49BD" w:rsidRPr="001F3869" w:rsidRDefault="00001D45" w:rsidP="001F3869">
      <w:pPr>
        <w:pStyle w:val="ListParagraph"/>
        <w:keepNext/>
        <w:keepLines/>
        <w:numPr>
          <w:ilvl w:val="0"/>
          <w:numId w:val="27"/>
        </w:numPr>
        <w:spacing w:before="120" w:after="120"/>
        <w:outlineLvl w:val="1"/>
        <w:rPr>
          <w:rFonts w:ascii="Arial" w:hAnsi="Arial" w:cs="Arial"/>
          <w:sz w:val="20"/>
          <w:szCs w:val="20"/>
          <w:lang w:val="en-GB"/>
        </w:rPr>
      </w:pPr>
      <w:r w:rsidRPr="00E67772">
        <w:rPr>
          <w:rFonts w:ascii="Arial" w:hAnsi="Arial" w:cs="Arial"/>
          <w:sz w:val="20"/>
          <w:szCs w:val="20"/>
        </w:rPr>
        <w:t>Due to the large volume of anticipated applications, the Department may not be able to provide individual feedback on unsuccessful EOIs</w:t>
      </w:r>
      <w:r w:rsidR="001E3373">
        <w:rPr>
          <w:rFonts w:ascii="Arial" w:eastAsiaTheme="majorEastAsia" w:hAnsi="Arial" w:cs="Arial"/>
          <w:color w:val="821D23" w:themeColor="accent1" w:themeShade="BF"/>
          <w:sz w:val="20"/>
          <w:szCs w:val="20"/>
          <w:lang w:val="en"/>
        </w:rPr>
        <w:t>.</w:t>
      </w:r>
    </w:p>
    <w:p w14:paraId="789F678C" w14:textId="47A6D86E" w:rsidR="009503FE" w:rsidRDefault="009503FE" w:rsidP="00A601F7">
      <w:pPr>
        <w:keepNext/>
        <w:keepLines/>
        <w:spacing w:before="60" w:after="0"/>
        <w:outlineLvl w:val="1"/>
        <w:rPr>
          <w:rFonts w:asciiTheme="majorHAnsi" w:eastAsiaTheme="majorEastAsia" w:hAnsiTheme="majorHAnsi" w:cstheme="majorBidi"/>
          <w:color w:val="821D23" w:themeColor="accent1" w:themeShade="BF"/>
          <w:sz w:val="22"/>
          <w:szCs w:val="26"/>
          <w:lang w:val="en-AU"/>
        </w:rPr>
      </w:pPr>
      <w:r w:rsidRPr="009503FE">
        <w:rPr>
          <w:rFonts w:asciiTheme="majorHAnsi" w:eastAsiaTheme="majorEastAsia" w:hAnsiTheme="majorHAnsi" w:cstheme="majorBidi"/>
          <w:color w:val="821D23" w:themeColor="accent1" w:themeShade="BF"/>
          <w:sz w:val="22"/>
          <w:szCs w:val="26"/>
          <w:lang w:val="en-AU"/>
        </w:rPr>
        <w:t>3.</w:t>
      </w:r>
      <w:r w:rsidR="001E3373">
        <w:rPr>
          <w:rFonts w:asciiTheme="majorHAnsi" w:eastAsiaTheme="majorEastAsia" w:hAnsiTheme="majorHAnsi" w:cstheme="majorBidi"/>
          <w:color w:val="821D23" w:themeColor="accent1" w:themeShade="BF"/>
          <w:sz w:val="22"/>
          <w:szCs w:val="26"/>
          <w:lang w:val="en-AU"/>
        </w:rPr>
        <w:t>3</w:t>
      </w:r>
      <w:r w:rsidRPr="009503FE">
        <w:rPr>
          <w:rFonts w:asciiTheme="majorHAnsi" w:eastAsiaTheme="majorEastAsia" w:hAnsiTheme="majorHAnsi" w:cstheme="majorBidi"/>
          <w:color w:val="821D23" w:themeColor="accent1" w:themeShade="BF"/>
          <w:sz w:val="22"/>
          <w:szCs w:val="26"/>
          <w:lang w:val="en-AU"/>
        </w:rPr>
        <w:t xml:space="preserve"> Key dates </w:t>
      </w:r>
    </w:p>
    <w:tbl>
      <w:tblPr>
        <w:tblStyle w:val="ListTable4-Accent1"/>
        <w:tblW w:w="0" w:type="auto"/>
        <w:tblLook w:val="04A0" w:firstRow="1" w:lastRow="0" w:firstColumn="1" w:lastColumn="0" w:noHBand="0" w:noVBand="1"/>
      </w:tblPr>
      <w:tblGrid>
        <w:gridCol w:w="4490"/>
        <w:gridCol w:w="4491"/>
      </w:tblGrid>
      <w:tr w:rsidR="00001D45" w:rsidRPr="001E2A1F" w14:paraId="31F95AAD" w14:textId="77777777" w:rsidTr="002A187D">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490" w:type="dxa"/>
            <w:vAlign w:val="center"/>
          </w:tcPr>
          <w:p w14:paraId="1DA97240" w14:textId="77777777" w:rsidR="00001D45" w:rsidRPr="001E2A1F" w:rsidRDefault="00001D45" w:rsidP="0066093C">
            <w:pPr>
              <w:jc w:val="center"/>
              <w:rPr>
                <w:rFonts w:ascii="Arial" w:hAnsi="Arial" w:cs="Arial"/>
                <w:szCs w:val="20"/>
              </w:rPr>
            </w:pPr>
            <w:r w:rsidRPr="001E2A1F">
              <w:rPr>
                <w:rFonts w:ascii="Arial" w:hAnsi="Arial" w:cs="Arial"/>
                <w:szCs w:val="20"/>
              </w:rPr>
              <w:t>Stage</w:t>
            </w:r>
          </w:p>
        </w:tc>
        <w:tc>
          <w:tcPr>
            <w:tcW w:w="4491" w:type="dxa"/>
            <w:vAlign w:val="center"/>
          </w:tcPr>
          <w:p w14:paraId="0890B195" w14:textId="77777777" w:rsidR="00001D45" w:rsidRPr="001E2A1F" w:rsidRDefault="00001D45" w:rsidP="0066093C">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1E2A1F">
              <w:rPr>
                <w:rFonts w:ascii="Arial" w:hAnsi="Arial" w:cs="Arial"/>
                <w:szCs w:val="20"/>
              </w:rPr>
              <w:t>Date</w:t>
            </w:r>
          </w:p>
        </w:tc>
      </w:tr>
      <w:tr w:rsidR="00001D45" w:rsidRPr="00467469" w14:paraId="250B5B0E" w14:textId="77777777" w:rsidTr="002A187D">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4490" w:type="dxa"/>
            <w:vAlign w:val="center"/>
          </w:tcPr>
          <w:p w14:paraId="46186581" w14:textId="77777777" w:rsidR="00001D45" w:rsidRPr="00467469" w:rsidRDefault="00001D45" w:rsidP="003541CF">
            <w:pPr>
              <w:rPr>
                <w:rFonts w:ascii="Arial" w:hAnsi="Arial" w:cs="Arial"/>
                <w:sz w:val="18"/>
                <w:szCs w:val="20"/>
              </w:rPr>
            </w:pPr>
            <w:r w:rsidRPr="00467469">
              <w:rPr>
                <w:rFonts w:ascii="Arial" w:hAnsi="Arial" w:cs="Arial"/>
                <w:sz w:val="18"/>
                <w:szCs w:val="20"/>
              </w:rPr>
              <w:t>EOI applications open</w:t>
            </w:r>
          </w:p>
        </w:tc>
        <w:tc>
          <w:tcPr>
            <w:tcW w:w="4491" w:type="dxa"/>
            <w:vAlign w:val="center"/>
          </w:tcPr>
          <w:p w14:paraId="30FAEAB8" w14:textId="0F8439C7" w:rsidR="00001D45" w:rsidRPr="004E2B99" w:rsidRDefault="004E2B99" w:rsidP="003541CF">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4E2B99">
              <w:rPr>
                <w:rFonts w:ascii="Arial" w:hAnsi="Arial" w:cs="Arial"/>
                <w:sz w:val="18"/>
                <w:szCs w:val="20"/>
              </w:rPr>
              <w:t>Monday 13 November 2017</w:t>
            </w:r>
          </w:p>
        </w:tc>
      </w:tr>
      <w:tr w:rsidR="00001D45" w:rsidRPr="00467469" w14:paraId="0C0207E6" w14:textId="77777777" w:rsidTr="002A187D">
        <w:trPr>
          <w:trHeight w:val="11"/>
        </w:trPr>
        <w:tc>
          <w:tcPr>
            <w:cnfStyle w:val="001000000000" w:firstRow="0" w:lastRow="0" w:firstColumn="1" w:lastColumn="0" w:oddVBand="0" w:evenVBand="0" w:oddHBand="0" w:evenHBand="0" w:firstRowFirstColumn="0" w:firstRowLastColumn="0" w:lastRowFirstColumn="0" w:lastRowLastColumn="0"/>
            <w:tcW w:w="4490" w:type="dxa"/>
            <w:vAlign w:val="center"/>
          </w:tcPr>
          <w:p w14:paraId="3FB0E321" w14:textId="77777777" w:rsidR="00001D45" w:rsidRPr="00467469" w:rsidRDefault="00001D45" w:rsidP="003541CF">
            <w:pPr>
              <w:rPr>
                <w:rFonts w:ascii="Arial" w:hAnsi="Arial" w:cs="Arial"/>
                <w:sz w:val="18"/>
                <w:szCs w:val="20"/>
              </w:rPr>
            </w:pPr>
            <w:r w:rsidRPr="00467469">
              <w:rPr>
                <w:rFonts w:ascii="Arial" w:hAnsi="Arial" w:cs="Arial"/>
                <w:sz w:val="18"/>
                <w:szCs w:val="20"/>
              </w:rPr>
              <w:t>EOI applications close</w:t>
            </w:r>
          </w:p>
        </w:tc>
        <w:tc>
          <w:tcPr>
            <w:tcW w:w="4491" w:type="dxa"/>
            <w:vAlign w:val="center"/>
          </w:tcPr>
          <w:p w14:paraId="000647ED" w14:textId="5C0343A6" w:rsidR="00001D45" w:rsidRPr="0014150E" w:rsidRDefault="004E2B99" w:rsidP="003541CF">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r>
              <w:rPr>
                <w:rFonts w:ascii="Arial" w:hAnsi="Arial" w:cs="Arial"/>
                <w:sz w:val="18"/>
                <w:szCs w:val="20"/>
              </w:rPr>
              <w:t>Friday 15 December 2017</w:t>
            </w:r>
          </w:p>
        </w:tc>
      </w:tr>
      <w:tr w:rsidR="00001D45" w:rsidRPr="00467469" w14:paraId="13993F48" w14:textId="77777777" w:rsidTr="002A187D">
        <w:trPr>
          <w:cnfStyle w:val="000000100000" w:firstRow="0" w:lastRow="0" w:firstColumn="0" w:lastColumn="0" w:oddVBand="0" w:evenVBand="0" w:oddHBand="1" w:evenHBand="0" w:firstRowFirstColumn="0" w:firstRowLastColumn="0" w:lastRowFirstColumn="0" w:lastRowLastColumn="0"/>
          <w:trHeight w:val="8"/>
        </w:trPr>
        <w:tc>
          <w:tcPr>
            <w:cnfStyle w:val="001000000000" w:firstRow="0" w:lastRow="0" w:firstColumn="1" w:lastColumn="0" w:oddVBand="0" w:evenVBand="0" w:oddHBand="0" w:evenHBand="0" w:firstRowFirstColumn="0" w:firstRowLastColumn="0" w:lastRowFirstColumn="0" w:lastRowLastColumn="0"/>
            <w:tcW w:w="4490" w:type="dxa"/>
            <w:vAlign w:val="center"/>
          </w:tcPr>
          <w:p w14:paraId="44F5A9E5" w14:textId="77777777" w:rsidR="00001D45" w:rsidRPr="00467469" w:rsidRDefault="00001D45" w:rsidP="003541CF">
            <w:pPr>
              <w:rPr>
                <w:rFonts w:ascii="Arial" w:hAnsi="Arial" w:cs="Arial"/>
                <w:sz w:val="18"/>
                <w:szCs w:val="20"/>
              </w:rPr>
            </w:pPr>
            <w:r w:rsidRPr="00467469">
              <w:rPr>
                <w:rFonts w:ascii="Arial" w:hAnsi="Arial" w:cs="Arial"/>
                <w:sz w:val="18"/>
                <w:szCs w:val="20"/>
              </w:rPr>
              <w:t>Notification of outcome</w:t>
            </w:r>
          </w:p>
        </w:tc>
        <w:tc>
          <w:tcPr>
            <w:tcW w:w="4491" w:type="dxa"/>
            <w:vAlign w:val="center"/>
          </w:tcPr>
          <w:p w14:paraId="1F838530" w14:textId="77777777" w:rsidR="00001D45" w:rsidRPr="00467469" w:rsidRDefault="00001D45" w:rsidP="003541CF">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Pr>
                <w:rFonts w:ascii="Arial" w:hAnsi="Arial" w:cs="Arial"/>
                <w:sz w:val="18"/>
                <w:szCs w:val="20"/>
              </w:rPr>
              <w:t>Late January 2018</w:t>
            </w:r>
          </w:p>
        </w:tc>
      </w:tr>
      <w:tr w:rsidR="00001D45" w:rsidRPr="00467469" w14:paraId="6E6B42AA" w14:textId="77777777" w:rsidTr="002A187D">
        <w:trPr>
          <w:trHeight w:val="12"/>
        </w:trPr>
        <w:tc>
          <w:tcPr>
            <w:cnfStyle w:val="001000000000" w:firstRow="0" w:lastRow="0" w:firstColumn="1" w:lastColumn="0" w:oddVBand="0" w:evenVBand="0" w:oddHBand="0" w:evenHBand="0" w:firstRowFirstColumn="0" w:firstRowLastColumn="0" w:lastRowFirstColumn="0" w:lastRowLastColumn="0"/>
            <w:tcW w:w="4490" w:type="dxa"/>
            <w:vAlign w:val="center"/>
          </w:tcPr>
          <w:p w14:paraId="791D7383" w14:textId="77777777" w:rsidR="00001D45" w:rsidRPr="00467469" w:rsidRDefault="00001D45" w:rsidP="003541CF">
            <w:pPr>
              <w:rPr>
                <w:rFonts w:ascii="Arial" w:hAnsi="Arial" w:cs="Arial"/>
                <w:sz w:val="18"/>
                <w:szCs w:val="20"/>
              </w:rPr>
            </w:pPr>
            <w:r w:rsidRPr="00467469">
              <w:rPr>
                <w:rFonts w:ascii="Arial" w:hAnsi="Arial" w:cs="Arial"/>
                <w:sz w:val="18"/>
                <w:szCs w:val="20"/>
              </w:rPr>
              <w:t>Panel interviews (if requested)</w:t>
            </w:r>
          </w:p>
        </w:tc>
        <w:tc>
          <w:tcPr>
            <w:tcW w:w="4491" w:type="dxa"/>
            <w:vAlign w:val="center"/>
          </w:tcPr>
          <w:p w14:paraId="79E557EE" w14:textId="77777777" w:rsidR="00001D45" w:rsidRPr="00467469" w:rsidRDefault="00001D45" w:rsidP="003541CF">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Early February 2018</w:t>
            </w:r>
          </w:p>
        </w:tc>
      </w:tr>
      <w:tr w:rsidR="00001D45" w:rsidRPr="00467469" w14:paraId="1A2D2993" w14:textId="77777777" w:rsidTr="002A187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4490" w:type="dxa"/>
            <w:vAlign w:val="center"/>
          </w:tcPr>
          <w:p w14:paraId="23E961AE" w14:textId="77777777" w:rsidR="00001D45" w:rsidRPr="00467469" w:rsidRDefault="00001D45" w:rsidP="003541CF">
            <w:pPr>
              <w:rPr>
                <w:rFonts w:ascii="Arial" w:hAnsi="Arial" w:cs="Arial"/>
                <w:sz w:val="18"/>
                <w:szCs w:val="20"/>
              </w:rPr>
            </w:pPr>
            <w:r w:rsidRPr="00467469">
              <w:rPr>
                <w:rFonts w:ascii="Arial" w:hAnsi="Arial" w:cs="Arial"/>
                <w:sz w:val="18"/>
                <w:szCs w:val="20"/>
              </w:rPr>
              <w:t>Pre-travel support briefing</w:t>
            </w:r>
          </w:p>
        </w:tc>
        <w:tc>
          <w:tcPr>
            <w:tcW w:w="4491" w:type="dxa"/>
            <w:vAlign w:val="center"/>
          </w:tcPr>
          <w:p w14:paraId="4B5515AB" w14:textId="77777777" w:rsidR="00001D45" w:rsidRPr="00467469" w:rsidRDefault="00001D45" w:rsidP="003541CF">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Pr>
                <w:rFonts w:ascii="Arial" w:hAnsi="Arial" w:cs="Arial"/>
                <w:sz w:val="18"/>
                <w:szCs w:val="20"/>
              </w:rPr>
              <w:t>Late April 2018</w:t>
            </w:r>
          </w:p>
        </w:tc>
      </w:tr>
      <w:tr w:rsidR="00001D45" w:rsidRPr="00467469" w14:paraId="5A0209F1" w14:textId="77777777" w:rsidTr="002A187D">
        <w:trPr>
          <w:trHeight w:val="19"/>
        </w:trPr>
        <w:tc>
          <w:tcPr>
            <w:cnfStyle w:val="001000000000" w:firstRow="0" w:lastRow="0" w:firstColumn="1" w:lastColumn="0" w:oddVBand="0" w:evenVBand="0" w:oddHBand="0" w:evenHBand="0" w:firstRowFirstColumn="0" w:firstRowLastColumn="0" w:lastRowFirstColumn="0" w:lastRowLastColumn="0"/>
            <w:tcW w:w="4490" w:type="dxa"/>
            <w:vAlign w:val="center"/>
          </w:tcPr>
          <w:p w14:paraId="51A0A7D2" w14:textId="77777777" w:rsidR="00001D45" w:rsidRPr="00467469" w:rsidRDefault="00001D45" w:rsidP="003541CF">
            <w:pPr>
              <w:rPr>
                <w:rFonts w:ascii="Arial" w:hAnsi="Arial" w:cs="Arial"/>
                <w:sz w:val="18"/>
                <w:szCs w:val="20"/>
              </w:rPr>
            </w:pPr>
            <w:r>
              <w:rPr>
                <w:rFonts w:ascii="Arial" w:hAnsi="Arial" w:cs="Arial"/>
                <w:sz w:val="18"/>
                <w:szCs w:val="20"/>
              </w:rPr>
              <w:t>In-country</w:t>
            </w:r>
            <w:r w:rsidRPr="00467469">
              <w:rPr>
                <w:rFonts w:ascii="Arial" w:hAnsi="Arial" w:cs="Arial"/>
                <w:sz w:val="18"/>
                <w:szCs w:val="20"/>
              </w:rPr>
              <w:t xml:space="preserve"> component</w:t>
            </w:r>
          </w:p>
        </w:tc>
        <w:tc>
          <w:tcPr>
            <w:tcW w:w="4491" w:type="dxa"/>
            <w:vAlign w:val="center"/>
          </w:tcPr>
          <w:p w14:paraId="1B52FEB4" w14:textId="77777777" w:rsidR="00001D45" w:rsidRPr="00467469" w:rsidRDefault="00001D45" w:rsidP="003541CF">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467469">
              <w:rPr>
                <w:rFonts w:ascii="Arial" w:hAnsi="Arial" w:cs="Arial"/>
                <w:sz w:val="18"/>
                <w:szCs w:val="20"/>
              </w:rPr>
              <w:t>11-25 May 2018</w:t>
            </w:r>
          </w:p>
        </w:tc>
      </w:tr>
      <w:tr w:rsidR="003539D2" w:rsidRPr="00467469" w14:paraId="7A01E21C" w14:textId="77777777" w:rsidTr="002A187D">
        <w:trPr>
          <w:cnfStyle w:val="000000100000" w:firstRow="0" w:lastRow="0" w:firstColumn="0" w:lastColumn="0" w:oddVBand="0" w:evenVBand="0" w:oddHBand="1"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4490" w:type="dxa"/>
            <w:vAlign w:val="center"/>
          </w:tcPr>
          <w:p w14:paraId="24163F27" w14:textId="382363C2" w:rsidR="003539D2" w:rsidRDefault="003539D2" w:rsidP="003541CF">
            <w:pPr>
              <w:rPr>
                <w:rFonts w:ascii="Arial" w:hAnsi="Arial" w:cs="Arial"/>
                <w:sz w:val="18"/>
                <w:szCs w:val="20"/>
              </w:rPr>
            </w:pPr>
            <w:r>
              <w:rPr>
                <w:rFonts w:ascii="Arial" w:hAnsi="Arial" w:cs="Arial"/>
                <w:sz w:val="18"/>
                <w:szCs w:val="20"/>
              </w:rPr>
              <w:t>Post-travel support briefing</w:t>
            </w:r>
          </w:p>
        </w:tc>
        <w:tc>
          <w:tcPr>
            <w:tcW w:w="4491" w:type="dxa"/>
            <w:vAlign w:val="center"/>
          </w:tcPr>
          <w:p w14:paraId="04819370" w14:textId="7D240F95" w:rsidR="003539D2" w:rsidRPr="00467469" w:rsidRDefault="003539D2" w:rsidP="003541CF">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Pr>
                <w:rFonts w:ascii="Arial" w:hAnsi="Arial" w:cs="Arial"/>
                <w:sz w:val="18"/>
                <w:szCs w:val="20"/>
              </w:rPr>
              <w:t>Early April 2018</w:t>
            </w:r>
          </w:p>
        </w:tc>
      </w:tr>
      <w:tr w:rsidR="00001D45" w:rsidRPr="00467469" w14:paraId="2ABEE864" w14:textId="77777777" w:rsidTr="002A187D">
        <w:trPr>
          <w:trHeight w:val="15"/>
        </w:trPr>
        <w:tc>
          <w:tcPr>
            <w:cnfStyle w:val="001000000000" w:firstRow="0" w:lastRow="0" w:firstColumn="1" w:lastColumn="0" w:oddVBand="0" w:evenVBand="0" w:oddHBand="0" w:evenHBand="0" w:firstRowFirstColumn="0" w:firstRowLastColumn="0" w:lastRowFirstColumn="0" w:lastRowLastColumn="0"/>
            <w:tcW w:w="4490" w:type="dxa"/>
            <w:vAlign w:val="center"/>
          </w:tcPr>
          <w:p w14:paraId="1B44587E" w14:textId="77777777" w:rsidR="00001D45" w:rsidRPr="00467469" w:rsidRDefault="00001D45" w:rsidP="003541CF">
            <w:pPr>
              <w:rPr>
                <w:rFonts w:ascii="Arial" w:hAnsi="Arial" w:cs="Arial"/>
                <w:sz w:val="18"/>
                <w:szCs w:val="20"/>
              </w:rPr>
            </w:pPr>
            <w:r w:rsidRPr="00467469">
              <w:rPr>
                <w:rFonts w:ascii="Arial" w:hAnsi="Arial" w:cs="Arial"/>
                <w:sz w:val="18"/>
                <w:szCs w:val="20"/>
              </w:rPr>
              <w:t>Action research projects due to DET</w:t>
            </w:r>
          </w:p>
        </w:tc>
        <w:tc>
          <w:tcPr>
            <w:tcW w:w="4491" w:type="dxa"/>
            <w:vAlign w:val="center"/>
          </w:tcPr>
          <w:p w14:paraId="28038981" w14:textId="77777777" w:rsidR="00001D45" w:rsidRPr="00467469" w:rsidRDefault="00001D45" w:rsidP="003541CF">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467469">
              <w:rPr>
                <w:rFonts w:ascii="Arial" w:hAnsi="Arial" w:cs="Arial"/>
                <w:sz w:val="18"/>
                <w:szCs w:val="20"/>
              </w:rPr>
              <w:t>November 2018</w:t>
            </w:r>
          </w:p>
        </w:tc>
      </w:tr>
      <w:tr w:rsidR="00001D45" w:rsidRPr="00467469" w14:paraId="35A54FA6" w14:textId="77777777" w:rsidTr="002A187D">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4490" w:type="dxa"/>
            <w:vAlign w:val="center"/>
          </w:tcPr>
          <w:p w14:paraId="78E60596" w14:textId="77777777" w:rsidR="00001D45" w:rsidRPr="00467469" w:rsidRDefault="00001D45" w:rsidP="003541CF">
            <w:pPr>
              <w:rPr>
                <w:rFonts w:ascii="Arial" w:hAnsi="Arial" w:cs="Arial"/>
                <w:sz w:val="18"/>
                <w:szCs w:val="20"/>
              </w:rPr>
            </w:pPr>
            <w:r w:rsidRPr="00467469">
              <w:rPr>
                <w:rFonts w:ascii="Arial" w:hAnsi="Arial" w:cs="Arial"/>
                <w:sz w:val="18"/>
                <w:szCs w:val="20"/>
              </w:rPr>
              <w:t>Presentation at conference</w:t>
            </w:r>
          </w:p>
        </w:tc>
        <w:tc>
          <w:tcPr>
            <w:tcW w:w="4491" w:type="dxa"/>
            <w:vAlign w:val="center"/>
          </w:tcPr>
          <w:p w14:paraId="2B7153B7" w14:textId="6A342E7A" w:rsidR="00001D45" w:rsidRPr="001224A0" w:rsidRDefault="001224A0" w:rsidP="003541CF">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1224A0">
              <w:rPr>
                <w:rFonts w:ascii="Arial" w:hAnsi="Arial" w:cs="Arial"/>
                <w:sz w:val="18"/>
                <w:szCs w:val="20"/>
              </w:rPr>
              <w:t>TBC 2019</w:t>
            </w:r>
          </w:p>
        </w:tc>
      </w:tr>
    </w:tbl>
    <w:p w14:paraId="05F1D73E" w14:textId="77777777" w:rsidR="00833527" w:rsidRDefault="00FD2F43" w:rsidP="00A601F7">
      <w:pPr>
        <w:spacing w:before="60" w:after="60"/>
        <w:jc w:val="both"/>
        <w:rPr>
          <w:rFonts w:asciiTheme="majorHAnsi" w:eastAsiaTheme="majorEastAsia" w:hAnsiTheme="majorHAnsi" w:cstheme="majorBidi"/>
          <w:color w:val="821D23" w:themeColor="accent1" w:themeShade="BF"/>
          <w:sz w:val="22"/>
          <w:szCs w:val="26"/>
          <w:lang w:val="en-AU"/>
        </w:rPr>
      </w:pPr>
      <w:r>
        <w:rPr>
          <w:rFonts w:asciiTheme="majorHAnsi" w:eastAsiaTheme="majorEastAsia" w:hAnsiTheme="majorHAnsi" w:cstheme="majorBidi"/>
          <w:color w:val="821D23" w:themeColor="accent1" w:themeShade="BF"/>
          <w:sz w:val="22"/>
          <w:szCs w:val="26"/>
          <w:lang w:val="en-AU"/>
        </w:rPr>
        <w:t>3.</w:t>
      </w:r>
      <w:r w:rsidR="005A49BD">
        <w:rPr>
          <w:rFonts w:asciiTheme="majorHAnsi" w:eastAsiaTheme="majorEastAsia" w:hAnsiTheme="majorHAnsi" w:cstheme="majorBidi"/>
          <w:color w:val="821D23" w:themeColor="accent1" w:themeShade="BF"/>
          <w:sz w:val="22"/>
          <w:szCs w:val="26"/>
          <w:lang w:val="en-AU"/>
        </w:rPr>
        <w:t xml:space="preserve">4 </w:t>
      </w:r>
      <w:r w:rsidR="0059191A">
        <w:rPr>
          <w:rFonts w:asciiTheme="majorHAnsi" w:eastAsiaTheme="majorEastAsia" w:hAnsiTheme="majorHAnsi" w:cstheme="majorBidi"/>
          <w:color w:val="821D23" w:themeColor="accent1" w:themeShade="BF"/>
          <w:sz w:val="22"/>
          <w:szCs w:val="26"/>
          <w:lang w:val="en-AU"/>
        </w:rPr>
        <w:t>Contact</w:t>
      </w:r>
      <w:r w:rsidR="002A187D">
        <w:rPr>
          <w:rFonts w:asciiTheme="majorHAnsi" w:eastAsiaTheme="majorEastAsia" w:hAnsiTheme="majorHAnsi" w:cstheme="majorBidi"/>
          <w:color w:val="821D23" w:themeColor="accent1" w:themeShade="BF"/>
          <w:sz w:val="22"/>
          <w:szCs w:val="26"/>
          <w:lang w:val="en-AU"/>
        </w:rPr>
        <w:t xml:space="preserve"> </w:t>
      </w:r>
    </w:p>
    <w:p w14:paraId="7B96BB3D" w14:textId="6D0C24EF" w:rsidR="00AB6C03" w:rsidRPr="002A187D" w:rsidRDefault="008A31E5" w:rsidP="00A601F7">
      <w:pPr>
        <w:spacing w:after="0"/>
        <w:jc w:val="both"/>
        <w:rPr>
          <w:rFonts w:asciiTheme="majorHAnsi" w:eastAsiaTheme="majorEastAsia" w:hAnsiTheme="majorHAnsi" w:cstheme="majorBidi"/>
          <w:color w:val="821D23" w:themeColor="accent1" w:themeShade="BF"/>
          <w:sz w:val="22"/>
          <w:szCs w:val="26"/>
          <w:lang w:val="en-AU"/>
        </w:rPr>
      </w:pPr>
      <w:r>
        <w:rPr>
          <w:rFonts w:ascii="Arial" w:hAnsi="Arial" w:cs="Arial"/>
          <w:b/>
        </w:rPr>
        <w:t xml:space="preserve">For further information: E: </w:t>
      </w:r>
      <w:hyperlink r:id="rId13" w:history="1">
        <w:r w:rsidR="00AB6C03" w:rsidRPr="00C06319">
          <w:rPr>
            <w:rStyle w:val="Hyperlink"/>
            <w:rFonts w:ascii="Arial" w:hAnsi="Arial" w:cs="Arial"/>
          </w:rPr>
          <w:t>osborne.georgia.o@edumail.vic.gov.au</w:t>
        </w:r>
      </w:hyperlink>
      <w:r>
        <w:rPr>
          <w:rFonts w:ascii="Arial" w:hAnsi="Arial" w:cs="Arial"/>
          <w:b/>
        </w:rPr>
        <w:t xml:space="preserve"> </w:t>
      </w:r>
      <w:r w:rsidR="00AB6C03" w:rsidRPr="00AB6C03">
        <w:rPr>
          <w:rFonts w:ascii="Arial" w:hAnsi="Arial" w:cs="Arial"/>
          <w:b/>
        </w:rPr>
        <w:t xml:space="preserve">P: </w:t>
      </w:r>
      <w:r w:rsidR="00AB6C03">
        <w:rPr>
          <w:rFonts w:ascii="Arial" w:hAnsi="Arial" w:cs="Arial"/>
        </w:rPr>
        <w:t>03</w:t>
      </w:r>
      <w:r w:rsidR="00AB6C03" w:rsidRPr="00AB6C03">
        <w:rPr>
          <w:rFonts w:ascii="Arial" w:hAnsi="Arial" w:cs="Arial"/>
        </w:rPr>
        <w:t xml:space="preserve"> 8683 2166</w:t>
      </w:r>
    </w:p>
    <w:sectPr w:rsidR="00AB6C03" w:rsidRPr="002A187D" w:rsidSect="002A4A96">
      <w:headerReference w:type="default" r:id="rId14"/>
      <w:footerReference w:type="even" r:id="rId15"/>
      <w:footerReference w:type="default" r:id="rId16"/>
      <w:pgSz w:w="11900" w:h="16840"/>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BED13" w14:textId="77777777" w:rsidR="00C41E2A" w:rsidRDefault="00C41E2A" w:rsidP="003967DD">
      <w:pPr>
        <w:spacing w:after="0"/>
      </w:pPr>
      <w:r>
        <w:separator/>
      </w:r>
    </w:p>
  </w:endnote>
  <w:endnote w:type="continuationSeparator" w:id="0">
    <w:p w14:paraId="0CCE5D8F" w14:textId="77777777" w:rsidR="00C41E2A" w:rsidRDefault="00C41E2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64A518B2"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176F0">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44A1F" w14:textId="77777777" w:rsidR="00C41E2A" w:rsidRDefault="00C41E2A" w:rsidP="003967DD">
      <w:pPr>
        <w:spacing w:after="0"/>
      </w:pPr>
      <w:r>
        <w:separator/>
      </w:r>
    </w:p>
  </w:footnote>
  <w:footnote w:type="continuationSeparator" w:id="0">
    <w:p w14:paraId="4F0F8C7D" w14:textId="77777777" w:rsidR="00C41E2A" w:rsidRDefault="00C41E2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1BA35832" w:rsidR="003967DD" w:rsidRDefault="00775DCC">
    <w:pPr>
      <w:pStyle w:val="Header"/>
    </w:pPr>
    <w:r>
      <w:rPr>
        <w:noProof/>
        <w:lang w:val="en-AU" w:eastAsia="en-AU"/>
      </w:rPr>
      <w:drawing>
        <wp:anchor distT="0" distB="0" distL="114300" distR="114300" simplePos="0" relativeHeight="251659264" behindDoc="1" locked="0" layoutInCell="1" allowOverlap="1" wp14:anchorId="647B2BA9" wp14:editId="7272911B">
          <wp:simplePos x="0" y="0"/>
          <wp:positionH relativeFrom="page">
            <wp:align>left</wp:align>
          </wp:positionH>
          <wp:positionV relativeFrom="page">
            <wp:align>top</wp:align>
          </wp:positionV>
          <wp:extent cx="7560000" cy="10692000"/>
          <wp:effectExtent l="0" t="0" r="952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tsheet_portrait_E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4E2CDB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786246"/>
    <w:multiLevelType w:val="hybridMultilevel"/>
    <w:tmpl w:val="606EFB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7E48F4"/>
    <w:multiLevelType w:val="hybridMultilevel"/>
    <w:tmpl w:val="D1E26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154FD2"/>
    <w:multiLevelType w:val="hybridMultilevel"/>
    <w:tmpl w:val="947E41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7335FF"/>
    <w:multiLevelType w:val="hybridMultilevel"/>
    <w:tmpl w:val="FD4AC6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880873"/>
    <w:multiLevelType w:val="hybridMultilevel"/>
    <w:tmpl w:val="670476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1D5239"/>
    <w:multiLevelType w:val="hybridMultilevel"/>
    <w:tmpl w:val="1734A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4A3B12"/>
    <w:multiLevelType w:val="hybridMultilevel"/>
    <w:tmpl w:val="A170E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D4930"/>
    <w:multiLevelType w:val="hybridMultilevel"/>
    <w:tmpl w:val="DCC89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4274311"/>
    <w:multiLevelType w:val="hybridMultilevel"/>
    <w:tmpl w:val="3B708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AA5323"/>
    <w:multiLevelType w:val="hybridMultilevel"/>
    <w:tmpl w:val="4D868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2C57C8"/>
    <w:multiLevelType w:val="hybridMultilevel"/>
    <w:tmpl w:val="D79AA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FA5791"/>
    <w:multiLevelType w:val="hybridMultilevel"/>
    <w:tmpl w:val="4DBA6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25"/>
  </w:num>
  <w:num w:numId="14">
    <w:abstractNumId w:val="27"/>
  </w:num>
  <w:num w:numId="15">
    <w:abstractNumId w:val="15"/>
  </w:num>
  <w:num w:numId="16">
    <w:abstractNumId w:val="23"/>
  </w:num>
  <w:num w:numId="17">
    <w:abstractNumId w:val="18"/>
  </w:num>
  <w:num w:numId="18">
    <w:abstractNumId w:val="22"/>
  </w:num>
  <w:num w:numId="19">
    <w:abstractNumId w:val="13"/>
  </w:num>
  <w:num w:numId="20">
    <w:abstractNumId w:val="11"/>
  </w:num>
  <w:num w:numId="21">
    <w:abstractNumId w:val="24"/>
  </w:num>
  <w:num w:numId="22">
    <w:abstractNumId w:val="14"/>
  </w:num>
  <w:num w:numId="23">
    <w:abstractNumId w:val="28"/>
  </w:num>
  <w:num w:numId="24">
    <w:abstractNumId w:val="16"/>
  </w:num>
  <w:num w:numId="25">
    <w:abstractNumId w:val="26"/>
  </w:num>
  <w:num w:numId="26">
    <w:abstractNumId w:val="21"/>
  </w:num>
  <w:num w:numId="27">
    <w:abstractNumId w:val="17"/>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1D45"/>
    <w:rsid w:val="00013339"/>
    <w:rsid w:val="00021ADC"/>
    <w:rsid w:val="00031A49"/>
    <w:rsid w:val="00074E7B"/>
    <w:rsid w:val="00086BDA"/>
    <w:rsid w:val="000A47D4"/>
    <w:rsid w:val="000B3ADF"/>
    <w:rsid w:val="000B6E8C"/>
    <w:rsid w:val="000C6B37"/>
    <w:rsid w:val="001012DA"/>
    <w:rsid w:val="00122369"/>
    <w:rsid w:val="001224A0"/>
    <w:rsid w:val="001641FF"/>
    <w:rsid w:val="00167D40"/>
    <w:rsid w:val="00184459"/>
    <w:rsid w:val="001A199F"/>
    <w:rsid w:val="001C7DC5"/>
    <w:rsid w:val="001D2AF2"/>
    <w:rsid w:val="001E3373"/>
    <w:rsid w:val="001F3869"/>
    <w:rsid w:val="00221046"/>
    <w:rsid w:val="002635C3"/>
    <w:rsid w:val="00275A80"/>
    <w:rsid w:val="002A187D"/>
    <w:rsid w:val="002A4A96"/>
    <w:rsid w:val="002D73EC"/>
    <w:rsid w:val="002E3BED"/>
    <w:rsid w:val="00312720"/>
    <w:rsid w:val="0032490E"/>
    <w:rsid w:val="003300FA"/>
    <w:rsid w:val="00330CDC"/>
    <w:rsid w:val="00347E83"/>
    <w:rsid w:val="003539D2"/>
    <w:rsid w:val="003541CF"/>
    <w:rsid w:val="00363FB5"/>
    <w:rsid w:val="00374BE8"/>
    <w:rsid w:val="003967DD"/>
    <w:rsid w:val="003C10CE"/>
    <w:rsid w:val="003D4031"/>
    <w:rsid w:val="003F1ECA"/>
    <w:rsid w:val="003F2F75"/>
    <w:rsid w:val="004537BB"/>
    <w:rsid w:val="00495056"/>
    <w:rsid w:val="0049678A"/>
    <w:rsid w:val="004B2ED6"/>
    <w:rsid w:val="004B6A98"/>
    <w:rsid w:val="004D0AC6"/>
    <w:rsid w:val="004E1A21"/>
    <w:rsid w:val="004E2B99"/>
    <w:rsid w:val="00576166"/>
    <w:rsid w:val="00584366"/>
    <w:rsid w:val="00586F21"/>
    <w:rsid w:val="0059191A"/>
    <w:rsid w:val="005A0D1D"/>
    <w:rsid w:val="005A49BD"/>
    <w:rsid w:val="005E49E8"/>
    <w:rsid w:val="005E4F27"/>
    <w:rsid w:val="00624A55"/>
    <w:rsid w:val="0063507E"/>
    <w:rsid w:val="00656C35"/>
    <w:rsid w:val="0066093C"/>
    <w:rsid w:val="006631CD"/>
    <w:rsid w:val="006721F3"/>
    <w:rsid w:val="006A25AC"/>
    <w:rsid w:val="006B36BA"/>
    <w:rsid w:val="006F5070"/>
    <w:rsid w:val="00740505"/>
    <w:rsid w:val="00775DCC"/>
    <w:rsid w:val="007B0287"/>
    <w:rsid w:val="007B556E"/>
    <w:rsid w:val="007C269A"/>
    <w:rsid w:val="007D0D02"/>
    <w:rsid w:val="007D3E38"/>
    <w:rsid w:val="007D5D9B"/>
    <w:rsid w:val="007E5657"/>
    <w:rsid w:val="007F40B2"/>
    <w:rsid w:val="007F4991"/>
    <w:rsid w:val="0080582C"/>
    <w:rsid w:val="00811477"/>
    <w:rsid w:val="0082187F"/>
    <w:rsid w:val="00833527"/>
    <w:rsid w:val="008941BA"/>
    <w:rsid w:val="008A31E5"/>
    <w:rsid w:val="008B0E49"/>
    <w:rsid w:val="008B1737"/>
    <w:rsid w:val="008C237E"/>
    <w:rsid w:val="008C33E5"/>
    <w:rsid w:val="008D2139"/>
    <w:rsid w:val="009146A9"/>
    <w:rsid w:val="009503FE"/>
    <w:rsid w:val="00994164"/>
    <w:rsid w:val="00A15147"/>
    <w:rsid w:val="00A27BAC"/>
    <w:rsid w:val="00A31926"/>
    <w:rsid w:val="00A553B3"/>
    <w:rsid w:val="00A601F7"/>
    <w:rsid w:val="00A83612"/>
    <w:rsid w:val="00A9168D"/>
    <w:rsid w:val="00AA755A"/>
    <w:rsid w:val="00AB4702"/>
    <w:rsid w:val="00AB6C03"/>
    <w:rsid w:val="00AF7F7C"/>
    <w:rsid w:val="00B0635B"/>
    <w:rsid w:val="00B1743D"/>
    <w:rsid w:val="00B52F0D"/>
    <w:rsid w:val="00B72A72"/>
    <w:rsid w:val="00BF00ED"/>
    <w:rsid w:val="00BF7B00"/>
    <w:rsid w:val="00C14342"/>
    <w:rsid w:val="00C176F0"/>
    <w:rsid w:val="00C253A7"/>
    <w:rsid w:val="00C41E2A"/>
    <w:rsid w:val="00C751A7"/>
    <w:rsid w:val="00C91B30"/>
    <w:rsid w:val="00CB4A2F"/>
    <w:rsid w:val="00CF0706"/>
    <w:rsid w:val="00D203AA"/>
    <w:rsid w:val="00D24486"/>
    <w:rsid w:val="00D50E76"/>
    <w:rsid w:val="00D77D97"/>
    <w:rsid w:val="00E410AC"/>
    <w:rsid w:val="00E41D7F"/>
    <w:rsid w:val="00E43456"/>
    <w:rsid w:val="00E57E7C"/>
    <w:rsid w:val="00E67772"/>
    <w:rsid w:val="00E718F3"/>
    <w:rsid w:val="00E728D4"/>
    <w:rsid w:val="00E91021"/>
    <w:rsid w:val="00EA4D87"/>
    <w:rsid w:val="00EF4960"/>
    <w:rsid w:val="00FD2F43"/>
    <w:rsid w:val="00FE7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basedOn w:val="Normal"/>
    <w:uiPriority w:val="34"/>
    <w:qFormat/>
    <w:rsid w:val="005A0D1D"/>
    <w:pPr>
      <w:spacing w:after="160" w:line="259" w:lineRule="auto"/>
      <w:ind w:left="720"/>
      <w:contextualSpacing/>
    </w:pPr>
    <w:rPr>
      <w:sz w:val="22"/>
      <w:szCs w:val="22"/>
      <w:lang w:val="en-AU"/>
    </w:rPr>
  </w:style>
  <w:style w:type="table" w:styleId="ListTable3-Accent5">
    <w:name w:val="List Table 3 Accent 5"/>
    <w:basedOn w:val="TableNormal"/>
    <w:uiPriority w:val="48"/>
    <w:rsid w:val="005A0D1D"/>
    <w:rPr>
      <w:sz w:val="22"/>
      <w:szCs w:val="22"/>
      <w:lang w:val="en-AU"/>
    </w:rPr>
    <w:tblPr>
      <w:tblStyleRowBandSize w:val="1"/>
      <w:tblStyleColBandSize w:val="1"/>
      <w:tblBorders>
        <w:top w:val="single" w:sz="4" w:space="0" w:color="004EA8" w:themeColor="accent5"/>
        <w:left w:val="single" w:sz="4" w:space="0" w:color="004EA8" w:themeColor="accent5"/>
        <w:bottom w:val="single" w:sz="4" w:space="0" w:color="004EA8" w:themeColor="accent5"/>
        <w:right w:val="single" w:sz="4" w:space="0" w:color="004EA8" w:themeColor="accent5"/>
      </w:tblBorders>
    </w:tblPr>
    <w:tblStylePr w:type="firstRow">
      <w:rPr>
        <w:b/>
        <w:bCs/>
        <w:color w:val="FFFFFF" w:themeColor="background1"/>
      </w:rPr>
      <w:tblPr/>
      <w:tcPr>
        <w:shd w:val="clear" w:color="auto" w:fill="004EA8" w:themeFill="accent5"/>
      </w:tcPr>
    </w:tblStylePr>
    <w:tblStylePr w:type="lastRow">
      <w:rPr>
        <w:b/>
        <w:bCs/>
      </w:rPr>
      <w:tblPr/>
      <w:tcPr>
        <w:tcBorders>
          <w:top w:val="double" w:sz="4" w:space="0" w:color="004EA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EA8" w:themeColor="accent5"/>
          <w:right w:val="single" w:sz="4" w:space="0" w:color="004EA8" w:themeColor="accent5"/>
        </w:tcBorders>
      </w:tcPr>
    </w:tblStylePr>
    <w:tblStylePr w:type="band1Horz">
      <w:tblPr/>
      <w:tcPr>
        <w:tcBorders>
          <w:top w:val="single" w:sz="4" w:space="0" w:color="004EA8" w:themeColor="accent5"/>
          <w:bottom w:val="single" w:sz="4" w:space="0" w:color="004EA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EA8" w:themeColor="accent5"/>
          <w:left w:val="nil"/>
        </w:tcBorders>
      </w:tcPr>
    </w:tblStylePr>
    <w:tblStylePr w:type="swCell">
      <w:tblPr/>
      <w:tcPr>
        <w:tcBorders>
          <w:top w:val="double" w:sz="4" w:space="0" w:color="004EA8" w:themeColor="accent5"/>
          <w:right w:val="nil"/>
        </w:tcBorders>
      </w:tcPr>
    </w:tblStylePr>
  </w:style>
  <w:style w:type="table" w:styleId="ListTable4-Accent1">
    <w:name w:val="List Table 4 Accent 1"/>
    <w:basedOn w:val="TableNormal"/>
    <w:uiPriority w:val="49"/>
    <w:rsid w:val="005A0D1D"/>
    <w:tblPr>
      <w:tblStyleRowBandSize w:val="1"/>
      <w:tblStyleColBandSize w:val="1"/>
      <w:tblBorders>
        <w:top w:val="single" w:sz="4" w:space="0" w:color="DE6D74" w:themeColor="accent1" w:themeTint="99"/>
        <w:left w:val="single" w:sz="4" w:space="0" w:color="DE6D74" w:themeColor="accent1" w:themeTint="99"/>
        <w:bottom w:val="single" w:sz="4" w:space="0" w:color="DE6D74" w:themeColor="accent1" w:themeTint="99"/>
        <w:right w:val="single" w:sz="4" w:space="0" w:color="DE6D74" w:themeColor="accent1" w:themeTint="99"/>
        <w:insideH w:val="single" w:sz="4" w:space="0" w:color="DE6D74" w:themeColor="accent1" w:themeTint="99"/>
      </w:tblBorders>
    </w:tblPr>
    <w:tblStylePr w:type="firstRow">
      <w:rPr>
        <w:b/>
        <w:bCs/>
        <w:color w:val="FFFFFF" w:themeColor="background1"/>
      </w:rPr>
      <w:tblPr/>
      <w:tcPr>
        <w:tcBorders>
          <w:top w:val="single" w:sz="4" w:space="0" w:color="AF272F" w:themeColor="accent1"/>
          <w:left w:val="single" w:sz="4" w:space="0" w:color="AF272F" w:themeColor="accent1"/>
          <w:bottom w:val="single" w:sz="4" w:space="0" w:color="AF272F" w:themeColor="accent1"/>
          <w:right w:val="single" w:sz="4" w:space="0" w:color="AF272F" w:themeColor="accent1"/>
          <w:insideH w:val="nil"/>
        </w:tcBorders>
        <w:shd w:val="clear" w:color="auto" w:fill="AF272F" w:themeFill="accent1"/>
      </w:tcPr>
    </w:tblStylePr>
    <w:tblStylePr w:type="lastRow">
      <w:rPr>
        <w:b/>
        <w:bCs/>
      </w:rPr>
      <w:tblPr/>
      <w:tcPr>
        <w:tcBorders>
          <w:top w:val="double" w:sz="4" w:space="0" w:color="DE6D74"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character" w:styleId="Hyperlink">
    <w:name w:val="Hyperlink"/>
    <w:basedOn w:val="DefaultParagraphFont"/>
    <w:uiPriority w:val="99"/>
    <w:unhideWhenUsed/>
    <w:rsid w:val="00AB6C03"/>
    <w:rPr>
      <w:color w:val="004EA8" w:themeColor="hyperlink"/>
      <w:u w:val="single"/>
    </w:rPr>
  </w:style>
  <w:style w:type="paragraph" w:styleId="ListBullet">
    <w:name w:val="List Bullet"/>
    <w:basedOn w:val="Normal"/>
    <w:uiPriority w:val="99"/>
    <w:semiHidden/>
    <w:unhideWhenUsed/>
    <w:rsid w:val="00A15147"/>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sborne.georgia.o@edumail.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etearlyyears.smartygrants.com.au/nnkknowledgeexchan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ADC4B-F5D7-475D-8354-3AF9A4BFC148}"/>
</file>

<file path=customXml/itemProps2.xml><?xml version="1.0" encoding="utf-8"?>
<ds:datastoreItem xmlns:ds="http://schemas.openxmlformats.org/officeDocument/2006/customXml" ds:itemID="{B081B1BA-BC86-4DA9-894F-3A8CC3938381}"/>
</file>

<file path=customXml/itemProps3.xml><?xml version="1.0" encoding="utf-8"?>
<ds:datastoreItem xmlns:ds="http://schemas.openxmlformats.org/officeDocument/2006/customXml" ds:itemID="{5C985579-6D50-4F7F-B07C-68AF2C264525}"/>
</file>

<file path=customXml/itemProps4.xml><?xml version="1.0" encoding="utf-8"?>
<ds:datastoreItem xmlns:ds="http://schemas.openxmlformats.org/officeDocument/2006/customXml" ds:itemID="{592ADC4B-F5D7-475D-8354-3AF9A4BFC148}">
  <ds:schemaRefs>
    <ds:schemaRef ds:uri="http://schemas.microsoft.com/sharepoint/v3/contenttype/forms"/>
  </ds:schemaRefs>
</ds:datastoreItem>
</file>

<file path=customXml/itemProps5.xml><?xml version="1.0" encoding="utf-8"?>
<ds:datastoreItem xmlns:ds="http://schemas.openxmlformats.org/officeDocument/2006/customXml" ds:itemID="{63599B71-51BA-4442-9ED6-A277467F5A47}"/>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Randall, Michael MR</cp:lastModifiedBy>
  <cp:revision>2</cp:revision>
  <dcterms:created xsi:type="dcterms:W3CDTF">2017-11-10T03:29:00Z</dcterms:created>
  <dcterms:modified xsi:type="dcterms:W3CDTF">2017-11-10T03:29:00Z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{08605c99-b535-45b9-ba27-e108101bd3f9}</vt:lpwstr>
  </property>
  <property fmtid="{D5CDD505-2E9C-101B-9397-08002B2CF9AE}" pid="9" name="RecordPoint_ActiveItemUniqueId">
    <vt:lpwstr>{37168647-f666-4d2d-afab-3e93546bd0d7}</vt:lpwstr>
  </property>
  <property fmtid="{D5CDD505-2E9C-101B-9397-08002B2CF9AE}" pid="10" name="RecordPoint_ActiveItemWebId">
    <vt:lpwstr>{de116572-ebc2-42de-a5e6-3f7ae519199d}</vt:lpwstr>
  </property>
  <property fmtid="{D5CDD505-2E9C-101B-9397-08002B2CF9AE}" pid="11" name="RecordPoint_RecordNumberSubmitted">
    <vt:lpwstr>R0001100869</vt:lpwstr>
  </property>
  <property fmtid="{D5CDD505-2E9C-101B-9397-08002B2CF9AE}" pid="12" name="RecordPoint_SubmissionCompleted">
    <vt:lpwstr>2017-11-10T14:19:36.6981430+11:00</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101;#Page|eb523acf-a821-456c-a76b-7607578309d7</vt:lpwstr>
  </property>
  <property fmtid="{D5CDD505-2E9C-101B-9397-08002B2CF9AE}" pid="16" name="DEECD_Audience">
    <vt:lpwstr/>
  </property>
</Properties>
</file>