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D7" w:rsidRDefault="00C67ED7" w:rsidP="00C67ED7">
      <w:pPr>
        <w:pStyle w:val="Heading1"/>
      </w:pPr>
      <w:r w:rsidRPr="00B768F7">
        <w:t>Working with families</w:t>
      </w:r>
      <w:r>
        <w:t xml:space="preserve"> </w:t>
      </w:r>
    </w:p>
    <w:p w:rsidR="00C67ED7" w:rsidRPr="00AA7FC9" w:rsidRDefault="00C67ED7" w:rsidP="00C67ED7">
      <w:pPr>
        <w:spacing w:line="240" w:lineRule="auto"/>
        <w:jc w:val="both"/>
        <w:rPr>
          <w:sz w:val="22"/>
          <w:szCs w:val="22"/>
        </w:rPr>
      </w:pPr>
      <w:r w:rsidRPr="00AA7FC9">
        <w:rPr>
          <w:sz w:val="22"/>
          <w:szCs w:val="22"/>
        </w:rPr>
        <w:t>The following table pre</w:t>
      </w:r>
      <w:bookmarkStart w:id="0" w:name="_GoBack"/>
      <w:bookmarkEnd w:id="0"/>
      <w:r w:rsidRPr="00AA7FC9">
        <w:rPr>
          <w:sz w:val="22"/>
          <w:szCs w:val="22"/>
        </w:rPr>
        <w:t xml:space="preserve">sents some of the more likely issues for families and some guidelines to best practice responses, but all support offered should be developed within an understanding of this particular family and child. </w:t>
      </w:r>
    </w:p>
    <w:p w:rsidR="00D75918" w:rsidRDefault="00D75918" w:rsidP="00C67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C67ED7" w:rsidRPr="00C67ED7" w:rsidTr="00C67ED7">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7ED7" w:rsidRPr="00C67ED7" w:rsidRDefault="00C67ED7" w:rsidP="00C67ED7">
            <w:pPr>
              <w:spacing w:before="120" w:after="240" w:line="240" w:lineRule="auto"/>
              <w:rPr>
                <w:b/>
              </w:rPr>
            </w:pPr>
            <w:r w:rsidRPr="00C67ED7">
              <w:rPr>
                <w:b/>
              </w:rPr>
              <w:t>Families may…</w:t>
            </w:r>
          </w:p>
        </w:tc>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7ED7" w:rsidRPr="00C67ED7" w:rsidRDefault="00C67ED7" w:rsidP="00C67ED7">
            <w:pPr>
              <w:spacing w:before="120" w:after="240" w:line="240" w:lineRule="auto"/>
              <w:rPr>
                <w:b/>
              </w:rPr>
            </w:pPr>
            <w:r w:rsidRPr="00C67ED7">
              <w:rPr>
                <w:b/>
              </w:rPr>
              <w:t>Professionals may…</w:t>
            </w:r>
          </w:p>
        </w:tc>
      </w:tr>
      <w:tr w:rsidR="00C67ED7" w:rsidRPr="00C67ED7" w:rsidTr="00D11F6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proofErr w:type="gramStart"/>
            <w:r w:rsidRPr="00C67ED7">
              <w:rPr>
                <w:sz w:val="22"/>
                <w:szCs w:val="22"/>
              </w:rPr>
              <w:t>not</w:t>
            </w:r>
            <w:proofErr w:type="gramEnd"/>
            <w:r w:rsidRPr="00C67ED7">
              <w:rPr>
                <w:sz w:val="22"/>
                <w:szCs w:val="22"/>
              </w:rPr>
              <w:t xml:space="preserve"> have identified their own child as gifted. </w:t>
            </w:r>
          </w:p>
        </w:t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r w:rsidRPr="00C67ED7">
              <w:rPr>
                <w:sz w:val="22"/>
                <w:szCs w:val="22"/>
              </w:rPr>
              <w:t>provide explanations about the characteristics of giftedness, and</w:t>
            </w:r>
          </w:p>
          <w:p w:rsidR="00C67ED7" w:rsidRPr="00C67ED7" w:rsidRDefault="00C67ED7" w:rsidP="00C67ED7">
            <w:pPr>
              <w:spacing w:after="240" w:line="240" w:lineRule="auto"/>
              <w:rPr>
                <w:sz w:val="22"/>
                <w:szCs w:val="22"/>
              </w:rPr>
            </w:pPr>
            <w:proofErr w:type="gramStart"/>
            <w:r w:rsidRPr="00C67ED7">
              <w:rPr>
                <w:sz w:val="22"/>
                <w:szCs w:val="22"/>
              </w:rPr>
              <w:t>discuss</w:t>
            </w:r>
            <w:proofErr w:type="gramEnd"/>
            <w:r w:rsidRPr="00C67ED7">
              <w:rPr>
                <w:sz w:val="22"/>
                <w:szCs w:val="22"/>
              </w:rPr>
              <w:t xml:space="preserve"> appropriate educational provision.</w:t>
            </w:r>
          </w:p>
        </w:tc>
      </w:tr>
      <w:tr w:rsidR="00C67ED7" w:rsidRPr="00C67ED7" w:rsidTr="00D11F6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proofErr w:type="gramStart"/>
            <w:r w:rsidRPr="00C67ED7">
              <w:rPr>
                <w:sz w:val="22"/>
                <w:szCs w:val="22"/>
              </w:rPr>
              <w:t>find</w:t>
            </w:r>
            <w:proofErr w:type="gramEnd"/>
            <w:r w:rsidRPr="00C67ED7">
              <w:rPr>
                <w:sz w:val="22"/>
                <w:szCs w:val="22"/>
              </w:rPr>
              <w:t xml:space="preserve"> it difficult to manage different social and emotional behaviours. </w:t>
            </w:r>
          </w:p>
          <w:p w:rsidR="00C67ED7" w:rsidRPr="00C67ED7" w:rsidRDefault="00C67ED7" w:rsidP="00C67ED7">
            <w:pPr>
              <w:spacing w:after="240" w:line="240" w:lineRule="auto"/>
              <w:rPr>
                <w:sz w:val="22"/>
                <w:szCs w:val="22"/>
              </w:rPr>
            </w:pPr>
          </w:p>
        </w:t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r w:rsidRPr="00C67ED7">
              <w:rPr>
                <w:sz w:val="22"/>
                <w:szCs w:val="22"/>
              </w:rPr>
              <w:t xml:space="preserve">provide descriptions of how such behaviour is responded to in an early childhood setting, and </w:t>
            </w:r>
          </w:p>
          <w:p w:rsidR="00C67ED7" w:rsidRPr="00C67ED7" w:rsidRDefault="00C67ED7" w:rsidP="00C67ED7">
            <w:pPr>
              <w:spacing w:after="240" w:line="240" w:lineRule="auto"/>
              <w:rPr>
                <w:sz w:val="22"/>
                <w:szCs w:val="22"/>
              </w:rPr>
            </w:pPr>
            <w:proofErr w:type="gramStart"/>
            <w:r w:rsidRPr="00C67ED7">
              <w:rPr>
                <w:sz w:val="22"/>
                <w:szCs w:val="22"/>
              </w:rPr>
              <w:t>link</w:t>
            </w:r>
            <w:proofErr w:type="gramEnd"/>
            <w:r w:rsidRPr="00C67ED7">
              <w:rPr>
                <w:sz w:val="22"/>
                <w:szCs w:val="22"/>
              </w:rPr>
              <w:t xml:space="preserve"> strategies that the parent may have found successful so that a bridge can be developed to best help the child.</w:t>
            </w:r>
          </w:p>
        </w:tc>
      </w:tr>
      <w:tr w:rsidR="00C67ED7" w:rsidRPr="00C67ED7" w:rsidTr="00D11F6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proofErr w:type="gramStart"/>
            <w:r w:rsidRPr="00C67ED7">
              <w:rPr>
                <w:sz w:val="22"/>
                <w:szCs w:val="22"/>
              </w:rPr>
              <w:t>respond</w:t>
            </w:r>
            <w:proofErr w:type="gramEnd"/>
            <w:r w:rsidRPr="00C67ED7">
              <w:rPr>
                <w:sz w:val="22"/>
                <w:szCs w:val="22"/>
              </w:rPr>
              <w:t xml:space="preserve"> to the child’s high level of verbal skills and reasoning by allowing more choice and responsibility than the child is mature enough to cope with. </w:t>
            </w:r>
          </w:p>
        </w:t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r w:rsidRPr="00C67ED7">
              <w:rPr>
                <w:sz w:val="22"/>
                <w:szCs w:val="22"/>
              </w:rPr>
              <w:t>work with the family to identify what are reasonable levels of choice and decision making for that child, and</w:t>
            </w:r>
          </w:p>
          <w:p w:rsidR="00C67ED7" w:rsidRPr="00C67ED7" w:rsidRDefault="00C67ED7" w:rsidP="00C67ED7">
            <w:pPr>
              <w:spacing w:after="240" w:line="240" w:lineRule="auto"/>
              <w:rPr>
                <w:sz w:val="22"/>
                <w:szCs w:val="22"/>
              </w:rPr>
            </w:pPr>
            <w:proofErr w:type="gramStart"/>
            <w:r w:rsidRPr="00C67ED7">
              <w:rPr>
                <w:sz w:val="22"/>
                <w:szCs w:val="22"/>
              </w:rPr>
              <w:t>confirm</w:t>
            </w:r>
            <w:proofErr w:type="gramEnd"/>
            <w:r w:rsidRPr="00C67ED7">
              <w:rPr>
                <w:sz w:val="22"/>
                <w:szCs w:val="22"/>
              </w:rPr>
              <w:t xml:space="preserve"> for the family the appropriateness for some decisions to remain the responsibility of older members of the family. </w:t>
            </w:r>
          </w:p>
        </w:tc>
      </w:tr>
      <w:tr w:rsidR="00C67ED7" w:rsidRPr="00C67ED7" w:rsidTr="00D11F6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proofErr w:type="gramStart"/>
            <w:r w:rsidRPr="00C67ED7">
              <w:rPr>
                <w:sz w:val="22"/>
                <w:szCs w:val="22"/>
              </w:rPr>
              <w:t>unconsciously</w:t>
            </w:r>
            <w:proofErr w:type="gramEnd"/>
            <w:r w:rsidRPr="00C67ED7">
              <w:rPr>
                <w:sz w:val="22"/>
                <w:szCs w:val="22"/>
              </w:rPr>
              <w:t xml:space="preserve"> expect the early childhood or school setting to provide the same learning environment as that of home.</w:t>
            </w:r>
          </w:p>
        </w:t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r w:rsidRPr="00C67ED7">
              <w:rPr>
                <w:sz w:val="22"/>
                <w:szCs w:val="22"/>
              </w:rPr>
              <w:t>work with the family to develop a detailed understanding of what learning happens at home and how this child approaches learning, and</w:t>
            </w:r>
          </w:p>
          <w:p w:rsidR="00C67ED7" w:rsidRPr="00C67ED7" w:rsidRDefault="00C67ED7" w:rsidP="00C67ED7">
            <w:pPr>
              <w:spacing w:after="240" w:line="240" w:lineRule="auto"/>
              <w:rPr>
                <w:sz w:val="22"/>
                <w:szCs w:val="22"/>
              </w:rPr>
            </w:pPr>
            <w:r w:rsidRPr="00C67ED7">
              <w:rPr>
                <w:sz w:val="22"/>
                <w:szCs w:val="22"/>
              </w:rPr>
              <w:t>decide with the family which elements and expectations are the same, where there are differences and how the early childhood professionals and the family can work together to support the child, and</w:t>
            </w:r>
          </w:p>
          <w:p w:rsidR="00C67ED7" w:rsidRPr="00C67ED7" w:rsidRDefault="00C67ED7" w:rsidP="00C67ED7">
            <w:pPr>
              <w:spacing w:after="240" w:line="240" w:lineRule="auto"/>
              <w:rPr>
                <w:sz w:val="22"/>
                <w:szCs w:val="22"/>
              </w:rPr>
            </w:pPr>
            <w:proofErr w:type="gramStart"/>
            <w:r w:rsidRPr="00C67ED7">
              <w:rPr>
                <w:sz w:val="22"/>
                <w:szCs w:val="22"/>
              </w:rPr>
              <w:t>encourage</w:t>
            </w:r>
            <w:proofErr w:type="gramEnd"/>
            <w:r w:rsidRPr="00C67ED7">
              <w:rPr>
                <w:sz w:val="22"/>
                <w:szCs w:val="22"/>
              </w:rPr>
              <w:t xml:space="preserve"> the family to view the early childhood professionals especially educators as partners in the educational process.</w:t>
            </w:r>
          </w:p>
        </w:tc>
      </w:tr>
      <w:tr w:rsidR="00C67ED7" w:rsidRPr="00C67ED7" w:rsidTr="00D11F6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proofErr w:type="gramStart"/>
            <w:r w:rsidRPr="00C67ED7">
              <w:rPr>
                <w:sz w:val="22"/>
                <w:szCs w:val="22"/>
              </w:rPr>
              <w:t>share</w:t>
            </w:r>
            <w:proofErr w:type="gramEnd"/>
            <w:r w:rsidRPr="00C67ED7">
              <w:rPr>
                <w:sz w:val="22"/>
                <w:szCs w:val="22"/>
              </w:rPr>
              <w:t xml:space="preserve"> their anxiety about the challenge of meeting their gifted child’s intellectual needs.</w:t>
            </w:r>
          </w:p>
        </w:tc>
        <w:tc>
          <w:tcPr>
            <w:tcW w:w="4621" w:type="dxa"/>
            <w:tcBorders>
              <w:top w:val="single" w:sz="4" w:space="0" w:color="auto"/>
              <w:left w:val="single" w:sz="4" w:space="0" w:color="auto"/>
              <w:bottom w:val="single" w:sz="4" w:space="0" w:color="auto"/>
              <w:right w:val="single" w:sz="4" w:space="0" w:color="auto"/>
            </w:tcBorders>
          </w:tcPr>
          <w:p w:rsidR="00C67ED7" w:rsidRPr="00C67ED7" w:rsidRDefault="00C67ED7" w:rsidP="00C67ED7">
            <w:pPr>
              <w:spacing w:after="240" w:line="240" w:lineRule="auto"/>
              <w:rPr>
                <w:sz w:val="22"/>
                <w:szCs w:val="22"/>
              </w:rPr>
            </w:pPr>
            <w:r w:rsidRPr="00C67ED7">
              <w:rPr>
                <w:sz w:val="22"/>
                <w:szCs w:val="22"/>
              </w:rPr>
              <w:t xml:space="preserve">explain how families play an important role in the child’s learning and reassure and </w:t>
            </w:r>
          </w:p>
          <w:p w:rsidR="00C67ED7" w:rsidRPr="00C67ED7" w:rsidRDefault="00C67ED7" w:rsidP="00C67ED7">
            <w:pPr>
              <w:spacing w:after="240" w:line="240" w:lineRule="auto"/>
              <w:rPr>
                <w:sz w:val="22"/>
                <w:szCs w:val="22"/>
              </w:rPr>
            </w:pPr>
            <w:proofErr w:type="gramStart"/>
            <w:r w:rsidRPr="00C67ED7">
              <w:rPr>
                <w:sz w:val="22"/>
                <w:szCs w:val="22"/>
              </w:rPr>
              <w:t>affirm</w:t>
            </w:r>
            <w:proofErr w:type="gramEnd"/>
            <w:r w:rsidRPr="00C67ED7">
              <w:rPr>
                <w:sz w:val="22"/>
                <w:szCs w:val="22"/>
              </w:rPr>
              <w:t xml:space="preserve"> the family’s support of their child through authentic discussions.</w:t>
            </w:r>
          </w:p>
        </w:tc>
      </w:tr>
    </w:tbl>
    <w:p w:rsidR="00C67ED7" w:rsidRPr="00C67ED7" w:rsidRDefault="00C67ED7" w:rsidP="00C67ED7">
      <w:pPr>
        <w:spacing w:after="120" w:line="240" w:lineRule="auto"/>
        <w:rPr>
          <w:sz w:val="22"/>
          <w:szCs w:val="22"/>
        </w:rPr>
      </w:pPr>
    </w:p>
    <w:sectPr w:rsidR="00C67ED7" w:rsidRPr="00C67E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7813"/>
    <w:multiLevelType w:val="hybridMultilevel"/>
    <w:tmpl w:val="67E63A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1E54A0E"/>
    <w:multiLevelType w:val="hybridMultilevel"/>
    <w:tmpl w:val="9D728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
    <w:nsid w:val="51433773"/>
    <w:multiLevelType w:val="hybridMultilevel"/>
    <w:tmpl w:val="EC948220"/>
    <w:lvl w:ilvl="0" w:tplc="C88088A6">
      <w:start w:val="1999"/>
      <w:numFmt w:val="bullet"/>
      <w:lvlText w:val="-"/>
      <w:lvlJc w:val="left"/>
      <w:pPr>
        <w:ind w:left="420" w:hanging="360"/>
      </w:pPr>
      <w:rPr>
        <w:rFonts w:ascii="Times New Roman" w:eastAsia="Times New Roman" w:hAnsi="Times New Roman" w:hint="default"/>
      </w:rPr>
    </w:lvl>
    <w:lvl w:ilvl="1" w:tplc="0C090003">
      <w:start w:val="1"/>
      <w:numFmt w:val="bullet"/>
      <w:lvlText w:val="o"/>
      <w:lvlJc w:val="left"/>
      <w:pPr>
        <w:ind w:left="1140" w:hanging="360"/>
      </w:pPr>
      <w:rPr>
        <w:rFonts w:ascii="Courier New" w:hAnsi="Courier New" w:cs="Courier New" w:hint="default"/>
      </w:rPr>
    </w:lvl>
    <w:lvl w:ilvl="2" w:tplc="0C090005">
      <w:start w:val="1"/>
      <w:numFmt w:val="bullet"/>
      <w:lvlText w:val=""/>
      <w:lvlJc w:val="left"/>
      <w:pPr>
        <w:ind w:left="1860" w:hanging="360"/>
      </w:pPr>
      <w:rPr>
        <w:rFonts w:ascii="Wingdings" w:hAnsi="Wingdings" w:cs="Wingdings" w:hint="default"/>
      </w:rPr>
    </w:lvl>
    <w:lvl w:ilvl="3" w:tplc="0C090001">
      <w:start w:val="1"/>
      <w:numFmt w:val="bullet"/>
      <w:lvlText w:val=""/>
      <w:lvlJc w:val="left"/>
      <w:pPr>
        <w:ind w:left="2580" w:hanging="360"/>
      </w:pPr>
      <w:rPr>
        <w:rFonts w:ascii="Symbol" w:hAnsi="Symbol" w:cs="Symbol" w:hint="default"/>
      </w:rPr>
    </w:lvl>
    <w:lvl w:ilvl="4" w:tplc="0C090003">
      <w:start w:val="1"/>
      <w:numFmt w:val="bullet"/>
      <w:lvlText w:val="o"/>
      <w:lvlJc w:val="left"/>
      <w:pPr>
        <w:ind w:left="3300" w:hanging="360"/>
      </w:pPr>
      <w:rPr>
        <w:rFonts w:ascii="Courier New" w:hAnsi="Courier New" w:cs="Courier New" w:hint="default"/>
      </w:rPr>
    </w:lvl>
    <w:lvl w:ilvl="5" w:tplc="0C090005">
      <w:start w:val="1"/>
      <w:numFmt w:val="bullet"/>
      <w:lvlText w:val=""/>
      <w:lvlJc w:val="left"/>
      <w:pPr>
        <w:ind w:left="4020" w:hanging="360"/>
      </w:pPr>
      <w:rPr>
        <w:rFonts w:ascii="Wingdings" w:hAnsi="Wingdings" w:cs="Wingdings" w:hint="default"/>
      </w:rPr>
    </w:lvl>
    <w:lvl w:ilvl="6" w:tplc="0C090001">
      <w:start w:val="1"/>
      <w:numFmt w:val="bullet"/>
      <w:lvlText w:val=""/>
      <w:lvlJc w:val="left"/>
      <w:pPr>
        <w:ind w:left="4740" w:hanging="360"/>
      </w:pPr>
      <w:rPr>
        <w:rFonts w:ascii="Symbol" w:hAnsi="Symbol" w:cs="Symbol" w:hint="default"/>
      </w:rPr>
    </w:lvl>
    <w:lvl w:ilvl="7" w:tplc="0C090003">
      <w:start w:val="1"/>
      <w:numFmt w:val="bullet"/>
      <w:lvlText w:val="o"/>
      <w:lvlJc w:val="left"/>
      <w:pPr>
        <w:ind w:left="5460" w:hanging="360"/>
      </w:pPr>
      <w:rPr>
        <w:rFonts w:ascii="Courier New" w:hAnsi="Courier New" w:cs="Courier New" w:hint="default"/>
      </w:rPr>
    </w:lvl>
    <w:lvl w:ilvl="8" w:tplc="0C090005">
      <w:start w:val="1"/>
      <w:numFmt w:val="bullet"/>
      <w:lvlText w:val=""/>
      <w:lvlJc w:val="left"/>
      <w:pPr>
        <w:ind w:left="6180" w:hanging="360"/>
      </w:pPr>
      <w:rPr>
        <w:rFonts w:ascii="Wingdings" w:hAnsi="Wingdings" w:cs="Wingdings" w:hint="default"/>
      </w:rPr>
    </w:lvl>
  </w:abstractNum>
  <w:abstractNum w:abstractNumId="3">
    <w:nsid w:val="5BAC0DA8"/>
    <w:multiLevelType w:val="hybridMultilevel"/>
    <w:tmpl w:val="4E5C7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AC3"/>
    <w:rsid w:val="0012089B"/>
    <w:rsid w:val="00181305"/>
    <w:rsid w:val="002E16F5"/>
    <w:rsid w:val="005148E3"/>
    <w:rsid w:val="00540062"/>
    <w:rsid w:val="005C2F2A"/>
    <w:rsid w:val="00607C5B"/>
    <w:rsid w:val="006C7AC3"/>
    <w:rsid w:val="007F0F93"/>
    <w:rsid w:val="00AA7FC9"/>
    <w:rsid w:val="00C42EAA"/>
    <w:rsid w:val="00C67ED7"/>
    <w:rsid w:val="00D75918"/>
    <w:rsid w:val="00FF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C5B"/>
    <w:pPr>
      <w:widowControl w:val="0"/>
      <w:suppressAutoHyphens/>
      <w:spacing w:after="0" w:line="360" w:lineRule="auto"/>
      <w:textAlignment w:val="baseline"/>
    </w:pPr>
    <w:rPr>
      <w:rFonts w:ascii="Arial" w:eastAsia="Times New Roman" w:hAnsi="Arial" w:cs="Arial"/>
      <w:sz w:val="24"/>
      <w:szCs w:val="24"/>
      <w:lang w:eastAsia="ar-SA"/>
    </w:rPr>
  </w:style>
  <w:style w:type="paragraph" w:styleId="Heading1">
    <w:name w:val="heading 1"/>
    <w:basedOn w:val="Normal"/>
    <w:next w:val="Normal"/>
    <w:link w:val="Heading1Char"/>
    <w:uiPriority w:val="9"/>
    <w:qFormat/>
    <w:rsid w:val="005148E3"/>
    <w:pPr>
      <w:outlineLvl w:val="0"/>
    </w:pPr>
    <w:rPr>
      <w:b/>
      <w:bCs/>
      <w:sz w:val="36"/>
      <w:szCs w:val="36"/>
    </w:rPr>
  </w:style>
  <w:style w:type="paragraph" w:styleId="Heading2">
    <w:name w:val="heading 2"/>
    <w:basedOn w:val="Normal"/>
    <w:next w:val="Normal"/>
    <w:link w:val="Heading2Char"/>
    <w:uiPriority w:val="9"/>
    <w:unhideWhenUsed/>
    <w:qFormat/>
    <w:rsid w:val="005C2F2A"/>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8E3"/>
    <w:rPr>
      <w:rFonts w:ascii="Arial" w:hAnsi="Arial" w:cs="Arial"/>
      <w:b/>
      <w:bCs/>
      <w:sz w:val="36"/>
      <w:szCs w:val="36"/>
    </w:rPr>
  </w:style>
  <w:style w:type="paragraph" w:styleId="ListParagraph">
    <w:name w:val="List Paragraph"/>
    <w:basedOn w:val="Normal"/>
    <w:uiPriority w:val="34"/>
    <w:qFormat/>
    <w:rsid w:val="007F0F93"/>
    <w:pPr>
      <w:ind w:left="720"/>
      <w:contextualSpacing/>
    </w:pPr>
  </w:style>
  <w:style w:type="character" w:customStyle="1" w:styleId="Heading2Char">
    <w:name w:val="Heading 2 Char"/>
    <w:basedOn w:val="DefaultParagraphFont"/>
    <w:link w:val="Heading2"/>
    <w:uiPriority w:val="9"/>
    <w:rsid w:val="005C2F2A"/>
    <w:rPr>
      <w:rFonts w:ascii="Arial" w:eastAsia="Times New Roman" w:hAnsi="Arial" w:cs="Arial"/>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early Childhood Development</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71EF8A-7062-4396-926D-3790C8A5A6F4}"/>
</file>

<file path=customXml/itemProps2.xml><?xml version="1.0" encoding="utf-8"?>
<ds:datastoreItem xmlns:ds="http://schemas.openxmlformats.org/officeDocument/2006/customXml" ds:itemID="{BB265A94-804E-4F85-BEA9-2061D019688A}"/>
</file>

<file path=customXml/itemProps3.xml><?xml version="1.0" encoding="utf-8"?>
<ds:datastoreItem xmlns:ds="http://schemas.openxmlformats.org/officeDocument/2006/customXml" ds:itemID="{0806A608-ABAF-4B49-919D-A393D2C8DC15}"/>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dcterms:created xsi:type="dcterms:W3CDTF">2013-10-10T04:51:00Z</dcterms:created>
  <dcterms:modified xsi:type="dcterms:W3CDTF">2013-10-10T05:02:00Z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