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40BA6" w14:textId="77777777" w:rsidR="00EA268E" w:rsidRDefault="00EA268E" w:rsidP="00EA268E">
      <w:pPr>
        <w:rPr>
          <w:rFonts w:ascii="Arial" w:hAnsi="Arial" w:cs="Arial"/>
          <w:b/>
          <w:color w:val="000080"/>
          <w:sz w:val="28"/>
          <w:szCs w:val="28"/>
        </w:rPr>
      </w:pPr>
      <w:bookmarkStart w:id="0" w:name="OLE_LINK1"/>
      <w:bookmarkStart w:id="1" w:name="_GoBack"/>
      <w:bookmarkEnd w:id="1"/>
    </w:p>
    <w:p w14:paraId="42C40BA7" w14:textId="77777777" w:rsidR="00EA268E" w:rsidRDefault="00EA268E" w:rsidP="00EA268E">
      <w:pPr>
        <w:rPr>
          <w:rFonts w:ascii="Arial" w:hAnsi="Arial" w:cs="Arial"/>
          <w:b/>
          <w:color w:val="000080"/>
          <w:sz w:val="28"/>
          <w:szCs w:val="28"/>
        </w:rPr>
      </w:pPr>
    </w:p>
    <w:p w14:paraId="42C40BA8" w14:textId="77777777" w:rsidR="006147C6" w:rsidRPr="0023770A" w:rsidRDefault="006147C6" w:rsidP="006147C6">
      <w:pPr>
        <w:jc w:val="center"/>
        <w:rPr>
          <w:rFonts w:ascii="Arial" w:hAnsi="Arial" w:cs="Arial"/>
          <w:b/>
          <w:color w:val="000080"/>
          <w:sz w:val="28"/>
          <w:szCs w:val="28"/>
        </w:rPr>
      </w:pPr>
      <w:r w:rsidRPr="0023770A">
        <w:rPr>
          <w:rFonts w:ascii="Arial" w:hAnsi="Arial" w:cs="Arial"/>
          <w:b/>
          <w:color w:val="000080"/>
          <w:sz w:val="28"/>
          <w:szCs w:val="28"/>
        </w:rPr>
        <w:t>PUBLICATION O</w:t>
      </w:r>
      <w:r w:rsidR="00BF35C2">
        <w:rPr>
          <w:rFonts w:ascii="Arial" w:hAnsi="Arial" w:cs="Arial"/>
          <w:b/>
          <w:color w:val="000080"/>
          <w:sz w:val="28"/>
          <w:szCs w:val="28"/>
        </w:rPr>
        <w:t>F POST YEAR 12 DESTINATIONS 2012</w:t>
      </w:r>
      <w:r w:rsidRPr="0023770A">
        <w:rPr>
          <w:rFonts w:ascii="Arial" w:hAnsi="Arial" w:cs="Arial"/>
          <w:b/>
          <w:color w:val="000080"/>
          <w:sz w:val="28"/>
          <w:szCs w:val="28"/>
        </w:rPr>
        <w:t xml:space="preserve"> </w:t>
      </w:r>
    </w:p>
    <w:p w14:paraId="42C40BA9" w14:textId="77777777" w:rsidR="006147C6" w:rsidRPr="0023770A" w:rsidRDefault="006147C6" w:rsidP="006147C6">
      <w:pPr>
        <w:spacing w:after="120"/>
        <w:jc w:val="center"/>
        <w:rPr>
          <w:rFonts w:ascii="Arial" w:hAnsi="Arial" w:cs="Arial"/>
          <w:b/>
          <w:color w:val="000080"/>
          <w:sz w:val="28"/>
          <w:szCs w:val="28"/>
        </w:rPr>
      </w:pPr>
      <w:r w:rsidRPr="0023770A">
        <w:rPr>
          <w:rFonts w:ascii="Arial" w:hAnsi="Arial" w:cs="Arial"/>
          <w:b/>
          <w:color w:val="000080"/>
          <w:sz w:val="28"/>
          <w:szCs w:val="28"/>
        </w:rPr>
        <w:t>NOTES TO TABLE</w:t>
      </w:r>
    </w:p>
    <w:tbl>
      <w:tblPr>
        <w:tblW w:w="0" w:type="auto"/>
        <w:jc w:val="center"/>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7422"/>
      </w:tblGrid>
      <w:tr w:rsidR="006147C6" w:rsidRPr="007C6AE8" w14:paraId="42C40BAC" w14:textId="77777777" w:rsidTr="004B0BA5">
        <w:trPr>
          <w:jc w:val="center"/>
        </w:trPr>
        <w:tc>
          <w:tcPr>
            <w:tcW w:w="2412" w:type="dxa"/>
            <w:shd w:val="clear" w:color="auto" w:fill="D9D9D9"/>
          </w:tcPr>
          <w:p w14:paraId="42C40BAA" w14:textId="77777777" w:rsidR="006147C6" w:rsidRPr="007C6AE8" w:rsidRDefault="006147C6" w:rsidP="00B11E8F">
            <w:pPr>
              <w:spacing w:line="360" w:lineRule="auto"/>
              <w:rPr>
                <w:rFonts w:ascii="Arial" w:hAnsi="Arial" w:cs="Arial"/>
                <w:b/>
                <w:sz w:val="22"/>
                <w:szCs w:val="22"/>
              </w:rPr>
            </w:pPr>
            <w:r w:rsidRPr="007C6AE8">
              <w:rPr>
                <w:rFonts w:ascii="Arial" w:hAnsi="Arial" w:cs="Arial"/>
                <w:b/>
                <w:sz w:val="22"/>
                <w:szCs w:val="22"/>
              </w:rPr>
              <w:t>COLUMN</w:t>
            </w:r>
          </w:p>
        </w:tc>
        <w:tc>
          <w:tcPr>
            <w:tcW w:w="7422" w:type="dxa"/>
            <w:shd w:val="clear" w:color="auto" w:fill="D9D9D9"/>
          </w:tcPr>
          <w:p w14:paraId="42C40BAB" w14:textId="77777777" w:rsidR="006147C6" w:rsidRPr="007C6AE8" w:rsidRDefault="006147C6" w:rsidP="00B11E8F">
            <w:pPr>
              <w:spacing w:line="360" w:lineRule="auto"/>
              <w:rPr>
                <w:rFonts w:ascii="Arial" w:hAnsi="Arial" w:cs="Arial"/>
                <w:b/>
                <w:sz w:val="22"/>
                <w:szCs w:val="22"/>
              </w:rPr>
            </w:pPr>
            <w:r w:rsidRPr="007C6AE8">
              <w:rPr>
                <w:rFonts w:ascii="Arial" w:hAnsi="Arial" w:cs="Arial"/>
                <w:b/>
                <w:sz w:val="22"/>
                <w:szCs w:val="22"/>
              </w:rPr>
              <w:t>EXPLANATION</w:t>
            </w:r>
          </w:p>
        </w:tc>
      </w:tr>
      <w:tr w:rsidR="006147C6" w:rsidRPr="007C6AE8" w14:paraId="42C40BB0" w14:textId="77777777" w:rsidTr="004B0BA5">
        <w:trPr>
          <w:trHeight w:val="863"/>
          <w:jc w:val="center"/>
        </w:trPr>
        <w:tc>
          <w:tcPr>
            <w:tcW w:w="2412" w:type="dxa"/>
          </w:tcPr>
          <w:p w14:paraId="42C40BAD" w14:textId="77777777" w:rsidR="006147C6" w:rsidRPr="007C6AE8" w:rsidRDefault="006147C6" w:rsidP="00B11E8F">
            <w:pPr>
              <w:rPr>
                <w:rFonts w:ascii="Arial" w:hAnsi="Arial" w:cs="Arial"/>
                <w:sz w:val="22"/>
                <w:szCs w:val="22"/>
              </w:rPr>
            </w:pPr>
            <w:r w:rsidRPr="007C6AE8">
              <w:rPr>
                <w:rFonts w:ascii="Arial" w:hAnsi="Arial" w:cs="Arial"/>
                <w:sz w:val="22"/>
                <w:szCs w:val="22"/>
              </w:rPr>
              <w:t>SCHOOL/PROVIDER  NAME</w:t>
            </w:r>
          </w:p>
        </w:tc>
        <w:tc>
          <w:tcPr>
            <w:tcW w:w="7422" w:type="dxa"/>
          </w:tcPr>
          <w:p w14:paraId="42C40BAE" w14:textId="77777777" w:rsidR="006147C6" w:rsidRDefault="006147C6" w:rsidP="00B11E8F">
            <w:pPr>
              <w:rPr>
                <w:rFonts w:ascii="Arial" w:hAnsi="Arial" w:cs="Arial"/>
                <w:sz w:val="22"/>
                <w:szCs w:val="22"/>
              </w:rPr>
            </w:pPr>
            <w:r w:rsidRPr="007C6AE8">
              <w:rPr>
                <w:rFonts w:ascii="Arial" w:hAnsi="Arial" w:cs="Arial"/>
                <w:sz w:val="22"/>
                <w:szCs w:val="22"/>
              </w:rPr>
              <w:t>The name of the school and campus where reported separately</w:t>
            </w:r>
            <w:r>
              <w:rPr>
                <w:rFonts w:ascii="Arial" w:hAnsi="Arial" w:cs="Arial"/>
                <w:sz w:val="22"/>
                <w:szCs w:val="22"/>
              </w:rPr>
              <w:t>.</w:t>
            </w:r>
          </w:p>
          <w:p w14:paraId="42C40BAF" w14:textId="77777777" w:rsidR="0025238D" w:rsidRPr="00820554" w:rsidRDefault="00451D39" w:rsidP="00862109">
            <w:pPr>
              <w:rPr>
                <w:rFonts w:ascii="Arial" w:hAnsi="Arial" w:cs="Arial"/>
                <w:sz w:val="22"/>
                <w:szCs w:val="22"/>
              </w:rPr>
            </w:pPr>
            <w:r>
              <w:rPr>
                <w:rFonts w:ascii="Arial" w:hAnsi="Arial" w:cs="Arial"/>
                <w:sz w:val="22"/>
                <w:szCs w:val="22"/>
              </w:rPr>
              <w:t>**</w:t>
            </w:r>
            <w:r w:rsidRPr="00220255">
              <w:rPr>
                <w:rFonts w:ascii="Arial" w:hAnsi="Arial" w:cs="Arial"/>
                <w:sz w:val="16"/>
                <w:szCs w:val="16"/>
              </w:rPr>
              <w:t>PHOENIX P-12 COMMUNITY COLLEGE</w:t>
            </w:r>
            <w:r>
              <w:rPr>
                <w:rFonts w:ascii="Arial" w:hAnsi="Arial" w:cs="Arial"/>
                <w:sz w:val="22"/>
                <w:szCs w:val="22"/>
              </w:rPr>
              <w:t xml:space="preserve"> was formerly </w:t>
            </w:r>
            <w:r>
              <w:rPr>
                <w:rFonts w:ascii="Arial" w:hAnsi="Arial" w:cs="Arial"/>
                <w:sz w:val="16"/>
                <w:szCs w:val="16"/>
              </w:rPr>
              <w:t>BALLARAT SOUTH COMMUNITY LEARNING PRECINCT</w:t>
            </w:r>
          </w:p>
        </w:tc>
      </w:tr>
      <w:tr w:rsidR="006147C6" w:rsidRPr="007C6AE8" w14:paraId="42C40BB3" w14:textId="77777777" w:rsidTr="004B0BA5">
        <w:trPr>
          <w:jc w:val="center"/>
        </w:trPr>
        <w:tc>
          <w:tcPr>
            <w:tcW w:w="2412" w:type="dxa"/>
          </w:tcPr>
          <w:p w14:paraId="42C40BB1" w14:textId="77777777" w:rsidR="006147C6" w:rsidRPr="007C6AE8" w:rsidRDefault="006147C6" w:rsidP="00B11E8F">
            <w:pPr>
              <w:rPr>
                <w:rFonts w:ascii="Arial" w:hAnsi="Arial" w:cs="Arial"/>
                <w:sz w:val="22"/>
                <w:szCs w:val="22"/>
              </w:rPr>
            </w:pPr>
            <w:r w:rsidRPr="007C6AE8">
              <w:rPr>
                <w:rFonts w:ascii="Arial" w:hAnsi="Arial" w:cs="Arial"/>
                <w:sz w:val="22"/>
                <w:szCs w:val="22"/>
              </w:rPr>
              <w:t>LOCALITY</w:t>
            </w:r>
          </w:p>
        </w:tc>
        <w:tc>
          <w:tcPr>
            <w:tcW w:w="7422" w:type="dxa"/>
          </w:tcPr>
          <w:p w14:paraId="42C40BB2" w14:textId="77777777" w:rsidR="006147C6" w:rsidRPr="007C6AE8" w:rsidRDefault="006147C6" w:rsidP="00B11E8F">
            <w:pPr>
              <w:pStyle w:val="Header"/>
              <w:tabs>
                <w:tab w:val="clear" w:pos="4153"/>
                <w:tab w:val="clear" w:pos="8306"/>
              </w:tabs>
              <w:rPr>
                <w:rFonts w:ascii="Arial" w:hAnsi="Arial" w:cs="Arial"/>
                <w:sz w:val="22"/>
                <w:szCs w:val="22"/>
              </w:rPr>
            </w:pPr>
            <w:r w:rsidRPr="007C6AE8">
              <w:rPr>
                <w:rFonts w:ascii="Arial" w:hAnsi="Arial" w:cs="Arial"/>
                <w:sz w:val="22"/>
                <w:szCs w:val="22"/>
              </w:rPr>
              <w:t>Included because in some cases the locality is not identifiable from the school name or there is more than one school with the same name.</w:t>
            </w:r>
          </w:p>
        </w:tc>
      </w:tr>
      <w:tr w:rsidR="006147C6" w:rsidRPr="007C6AE8" w14:paraId="42C40BB9" w14:textId="77777777" w:rsidTr="004B0BA5">
        <w:trPr>
          <w:jc w:val="center"/>
        </w:trPr>
        <w:tc>
          <w:tcPr>
            <w:tcW w:w="2412" w:type="dxa"/>
          </w:tcPr>
          <w:p w14:paraId="42C40BB4" w14:textId="77777777" w:rsidR="006147C6" w:rsidRPr="007C6AE8" w:rsidRDefault="006147C6" w:rsidP="00B11E8F">
            <w:pPr>
              <w:rPr>
                <w:rFonts w:ascii="Arial" w:hAnsi="Arial" w:cs="Arial"/>
                <w:sz w:val="22"/>
                <w:szCs w:val="22"/>
              </w:rPr>
            </w:pPr>
            <w:r w:rsidRPr="007C6AE8">
              <w:rPr>
                <w:rFonts w:ascii="Arial" w:hAnsi="Arial" w:cs="Arial"/>
                <w:sz w:val="22"/>
                <w:szCs w:val="22"/>
              </w:rPr>
              <w:t xml:space="preserve">Total Year 12 </w:t>
            </w:r>
            <w:r>
              <w:rPr>
                <w:rFonts w:ascii="Arial" w:hAnsi="Arial" w:cs="Arial"/>
                <w:sz w:val="22"/>
                <w:szCs w:val="22"/>
              </w:rPr>
              <w:t xml:space="preserve">Interviewed </w:t>
            </w:r>
            <w:r w:rsidRPr="0074033C">
              <w:rPr>
                <w:rFonts w:ascii="Arial" w:hAnsi="Arial" w:cs="Arial"/>
                <w:b/>
                <w:sz w:val="22"/>
                <w:szCs w:val="22"/>
              </w:rPr>
              <w:t>*</w:t>
            </w:r>
            <w:r w:rsidRPr="007C6AE8">
              <w:rPr>
                <w:rFonts w:ascii="Arial" w:hAnsi="Arial" w:cs="Arial"/>
                <w:sz w:val="22"/>
                <w:szCs w:val="22"/>
              </w:rPr>
              <w:t xml:space="preserve"> (Actual Number)</w:t>
            </w:r>
          </w:p>
        </w:tc>
        <w:tc>
          <w:tcPr>
            <w:tcW w:w="7422" w:type="dxa"/>
          </w:tcPr>
          <w:p w14:paraId="42C40BB5" w14:textId="77777777" w:rsidR="006147C6" w:rsidRPr="007C6AE8" w:rsidRDefault="006147C6" w:rsidP="00B11E8F">
            <w:pPr>
              <w:rPr>
                <w:rFonts w:ascii="Arial" w:hAnsi="Arial" w:cs="Arial"/>
                <w:sz w:val="22"/>
                <w:szCs w:val="22"/>
              </w:rPr>
            </w:pPr>
            <w:r w:rsidRPr="007C6AE8">
              <w:rPr>
                <w:rFonts w:ascii="Arial" w:hAnsi="Arial" w:cs="Arial"/>
                <w:sz w:val="22"/>
                <w:szCs w:val="22"/>
              </w:rPr>
              <w:t>This includes all students in Year 12 unde</w:t>
            </w:r>
            <w:r w:rsidR="00561320">
              <w:rPr>
                <w:rFonts w:ascii="Arial" w:hAnsi="Arial" w:cs="Arial"/>
                <w:sz w:val="22"/>
                <w:szCs w:val="22"/>
              </w:rPr>
              <w:t xml:space="preserve">r the age of 21 on 1 January </w:t>
            </w:r>
            <w:r w:rsidR="00561320" w:rsidRPr="00561320">
              <w:rPr>
                <w:rFonts w:ascii="Arial" w:hAnsi="Arial" w:cs="Arial"/>
                <w:b/>
                <w:sz w:val="22"/>
                <w:szCs w:val="22"/>
              </w:rPr>
              <w:t>20</w:t>
            </w:r>
            <w:r w:rsidR="0025238D">
              <w:rPr>
                <w:rFonts w:ascii="Arial" w:hAnsi="Arial" w:cs="Arial"/>
                <w:b/>
                <w:sz w:val="22"/>
                <w:szCs w:val="22"/>
              </w:rPr>
              <w:t>1</w:t>
            </w:r>
            <w:r w:rsidR="00220255">
              <w:rPr>
                <w:rFonts w:ascii="Arial" w:hAnsi="Arial" w:cs="Arial"/>
                <w:b/>
                <w:sz w:val="22"/>
                <w:szCs w:val="22"/>
              </w:rPr>
              <w:t>2</w:t>
            </w:r>
            <w:r w:rsidRPr="007C6AE8">
              <w:rPr>
                <w:rFonts w:ascii="Arial" w:hAnsi="Arial" w:cs="Arial"/>
                <w:sz w:val="22"/>
                <w:szCs w:val="22"/>
              </w:rPr>
              <w:t xml:space="preserve"> in Victorian schools/providers that have successfully completed Victorian Certificate of Education (</w:t>
            </w:r>
            <w:smartTag w:uri="urn:schemas-microsoft-com:office:smarttags" w:element="PersonName">
              <w:r w:rsidRPr="007C6AE8">
                <w:rPr>
                  <w:rFonts w:ascii="Arial" w:hAnsi="Arial" w:cs="Arial"/>
                  <w:sz w:val="22"/>
                  <w:szCs w:val="22"/>
                </w:rPr>
                <w:t>VCE</w:t>
              </w:r>
            </w:smartTag>
            <w:r w:rsidRPr="007C6AE8">
              <w:rPr>
                <w:rFonts w:ascii="Arial" w:hAnsi="Arial" w:cs="Arial"/>
                <w:sz w:val="22"/>
                <w:szCs w:val="22"/>
              </w:rPr>
              <w:t>) or Victorian Certificate of Applied Learning (VCAL) at intermediate</w:t>
            </w:r>
            <w:smartTag w:uri="urn:schemas-microsoft-com:office:smarttags" w:element="PersonName">
              <w:r w:rsidRPr="007C6AE8">
                <w:rPr>
                  <w:rFonts w:ascii="Arial" w:hAnsi="Arial" w:cs="Arial"/>
                  <w:sz w:val="22"/>
                  <w:szCs w:val="22"/>
                </w:rPr>
                <w:t>,</w:t>
              </w:r>
            </w:smartTag>
            <w:r w:rsidRPr="007C6AE8">
              <w:rPr>
                <w:rFonts w:ascii="Arial" w:hAnsi="Arial" w:cs="Arial"/>
                <w:sz w:val="22"/>
                <w:szCs w:val="22"/>
              </w:rPr>
              <w:t xml:space="preserve"> senior or senior extension level in </w:t>
            </w:r>
            <w:r w:rsidR="00220255">
              <w:rPr>
                <w:rFonts w:ascii="Arial" w:hAnsi="Arial" w:cs="Arial"/>
                <w:b/>
                <w:sz w:val="22"/>
                <w:szCs w:val="22"/>
              </w:rPr>
              <w:t>2011</w:t>
            </w:r>
            <w:r w:rsidRPr="00561320">
              <w:rPr>
                <w:rFonts w:ascii="Arial" w:hAnsi="Arial" w:cs="Arial"/>
                <w:b/>
                <w:sz w:val="22"/>
                <w:szCs w:val="22"/>
              </w:rPr>
              <w:t>.</w:t>
            </w:r>
            <w:r w:rsidRPr="007C6AE8">
              <w:rPr>
                <w:rFonts w:ascii="Arial" w:hAnsi="Arial" w:cs="Arial"/>
                <w:sz w:val="22"/>
                <w:szCs w:val="22"/>
              </w:rPr>
              <w:t xml:space="preserve"> In</w:t>
            </w:r>
            <w:r w:rsidR="009A1995">
              <w:rPr>
                <w:rFonts w:ascii="Arial" w:hAnsi="Arial" w:cs="Arial"/>
                <w:sz w:val="22"/>
                <w:szCs w:val="22"/>
              </w:rPr>
              <w:t>ternational Baccalaureate (IB) Y</w:t>
            </w:r>
            <w:r w:rsidRPr="007C6AE8">
              <w:rPr>
                <w:rFonts w:ascii="Arial" w:hAnsi="Arial" w:cs="Arial"/>
                <w:sz w:val="22"/>
                <w:szCs w:val="22"/>
              </w:rPr>
              <w:t xml:space="preserve">ear 12 enrolments in </w:t>
            </w:r>
            <w:r w:rsidR="00220255">
              <w:rPr>
                <w:rFonts w:ascii="Arial" w:hAnsi="Arial" w:cs="Arial"/>
                <w:b/>
                <w:sz w:val="22"/>
                <w:szCs w:val="22"/>
              </w:rPr>
              <w:t>2011</w:t>
            </w:r>
            <w:r w:rsidR="0025238D">
              <w:rPr>
                <w:rFonts w:ascii="Arial" w:hAnsi="Arial" w:cs="Arial"/>
                <w:b/>
                <w:sz w:val="22"/>
                <w:szCs w:val="22"/>
              </w:rPr>
              <w:t xml:space="preserve"> </w:t>
            </w:r>
            <w:r w:rsidRPr="007C6AE8">
              <w:rPr>
                <w:rFonts w:ascii="Arial" w:hAnsi="Arial" w:cs="Arial"/>
                <w:sz w:val="22"/>
                <w:szCs w:val="22"/>
              </w:rPr>
              <w:t xml:space="preserve">are also included. </w:t>
            </w:r>
          </w:p>
          <w:p w14:paraId="42C40BB6" w14:textId="77777777" w:rsidR="006147C6" w:rsidRDefault="006147C6" w:rsidP="00B11E8F">
            <w:pPr>
              <w:rPr>
                <w:rFonts w:ascii="Arial" w:hAnsi="Arial" w:cs="Arial"/>
                <w:sz w:val="22"/>
                <w:szCs w:val="22"/>
              </w:rPr>
            </w:pPr>
            <w:r w:rsidRPr="007C6AE8">
              <w:rPr>
                <w:rFonts w:ascii="Arial" w:hAnsi="Arial" w:cs="Arial"/>
                <w:sz w:val="22"/>
                <w:szCs w:val="22"/>
              </w:rPr>
              <w:t xml:space="preserve">This figure includes students with international addresses and has been sourced from the </w:t>
            </w:r>
            <w:smartTag w:uri="urn:schemas-microsoft-com:office:smarttags" w:element="PersonName">
              <w:r w:rsidRPr="007C6AE8">
                <w:rPr>
                  <w:rFonts w:ascii="Arial" w:hAnsi="Arial" w:cs="Arial"/>
                  <w:sz w:val="22"/>
                  <w:szCs w:val="22"/>
                </w:rPr>
                <w:t>Victorian Curriculum and Assessment Authority</w:t>
              </w:r>
            </w:smartTag>
            <w:r w:rsidRPr="007C6AE8">
              <w:rPr>
                <w:rFonts w:ascii="Arial" w:hAnsi="Arial" w:cs="Arial"/>
                <w:sz w:val="22"/>
                <w:szCs w:val="22"/>
              </w:rPr>
              <w:t xml:space="preserve"> (VCAA). Students who have satisfied the requirements of more than one certificate are counted only once.</w:t>
            </w:r>
          </w:p>
          <w:p w14:paraId="42C40BB7" w14:textId="77777777" w:rsidR="006147C6" w:rsidRDefault="006147C6" w:rsidP="00B11E8F">
            <w:pPr>
              <w:rPr>
                <w:rFonts w:ascii="Arial" w:hAnsi="Arial" w:cs="Arial"/>
                <w:sz w:val="22"/>
                <w:szCs w:val="22"/>
              </w:rPr>
            </w:pPr>
          </w:p>
          <w:p w14:paraId="42C40BB8" w14:textId="77777777" w:rsidR="006147C6" w:rsidRPr="0074033C" w:rsidRDefault="006147C6" w:rsidP="00B11E8F">
            <w:pPr>
              <w:rPr>
                <w:rFonts w:ascii="Arial" w:hAnsi="Arial" w:cs="Arial"/>
                <w:b/>
                <w:sz w:val="22"/>
                <w:szCs w:val="22"/>
              </w:rPr>
            </w:pPr>
            <w:r w:rsidRPr="00C37CFF">
              <w:rPr>
                <w:rFonts w:ascii="Arial" w:hAnsi="Arial" w:cs="Arial"/>
                <w:color w:val="FF0000"/>
                <w:sz w:val="22"/>
                <w:szCs w:val="22"/>
              </w:rPr>
              <w:t>*</w:t>
            </w:r>
            <w:r w:rsidRPr="0074033C">
              <w:rPr>
                <w:rFonts w:ascii="Arial" w:hAnsi="Arial" w:cs="Arial"/>
                <w:b/>
                <w:sz w:val="22"/>
                <w:szCs w:val="22"/>
              </w:rPr>
              <w:t xml:space="preserve"> Consenting </w:t>
            </w:r>
            <w:r w:rsidRPr="0074033C">
              <w:rPr>
                <w:rFonts w:ascii="Arial" w:hAnsi="Arial" w:cs="Arial"/>
                <w:b/>
                <w:i/>
                <w:sz w:val="22"/>
                <w:szCs w:val="22"/>
              </w:rPr>
              <w:t>On Track</w:t>
            </w:r>
            <w:r w:rsidRPr="0074033C">
              <w:rPr>
                <w:rFonts w:ascii="Arial" w:hAnsi="Arial" w:cs="Arial"/>
                <w:b/>
                <w:sz w:val="22"/>
                <w:szCs w:val="22"/>
              </w:rPr>
              <w:t xml:space="preserve"> survey participants only are included in this count.</w:t>
            </w:r>
          </w:p>
        </w:tc>
      </w:tr>
      <w:tr w:rsidR="006147C6" w:rsidRPr="007C6AE8" w14:paraId="42C40BBF" w14:textId="77777777" w:rsidTr="004B0BA5">
        <w:trPr>
          <w:jc w:val="center"/>
        </w:trPr>
        <w:tc>
          <w:tcPr>
            <w:tcW w:w="2412" w:type="dxa"/>
          </w:tcPr>
          <w:p w14:paraId="42C40BBA" w14:textId="77777777" w:rsidR="006147C6" w:rsidRPr="007C6AE8" w:rsidRDefault="0062346C" w:rsidP="00B11E8F">
            <w:pPr>
              <w:rPr>
                <w:rFonts w:ascii="Arial" w:hAnsi="Arial" w:cs="Arial"/>
                <w:sz w:val="22"/>
                <w:szCs w:val="22"/>
              </w:rPr>
            </w:pPr>
            <w:r>
              <w:rPr>
                <w:rFonts w:ascii="Arial" w:hAnsi="Arial" w:cs="Arial"/>
                <w:sz w:val="22"/>
                <w:szCs w:val="22"/>
              </w:rPr>
              <w:t>VTAC DATA 2011/12</w:t>
            </w:r>
          </w:p>
          <w:p w14:paraId="42C40BBB" w14:textId="77777777" w:rsidR="006147C6" w:rsidRPr="007C6AE8" w:rsidRDefault="006147C6" w:rsidP="00B11E8F">
            <w:pPr>
              <w:rPr>
                <w:rFonts w:ascii="Arial" w:hAnsi="Arial" w:cs="Arial"/>
                <w:sz w:val="22"/>
                <w:szCs w:val="22"/>
              </w:rPr>
            </w:pPr>
            <w:r w:rsidRPr="007C6AE8">
              <w:rPr>
                <w:rFonts w:ascii="Arial" w:hAnsi="Arial" w:cs="Arial"/>
                <w:sz w:val="22"/>
                <w:szCs w:val="22"/>
              </w:rPr>
              <w:t xml:space="preserve">(See Note) </w:t>
            </w:r>
          </w:p>
          <w:p w14:paraId="42C40BBC" w14:textId="77777777" w:rsidR="006147C6" w:rsidRPr="007C6AE8" w:rsidRDefault="006147C6" w:rsidP="00B11E8F">
            <w:pPr>
              <w:rPr>
                <w:rFonts w:ascii="Arial" w:hAnsi="Arial" w:cs="Arial"/>
                <w:sz w:val="22"/>
                <w:szCs w:val="22"/>
              </w:rPr>
            </w:pPr>
          </w:p>
        </w:tc>
        <w:tc>
          <w:tcPr>
            <w:tcW w:w="7422" w:type="dxa"/>
          </w:tcPr>
          <w:p w14:paraId="42C40BBD"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percentages appearing in the columns under</w:t>
            </w:r>
            <w:r w:rsidR="0025238D">
              <w:rPr>
                <w:rFonts w:ascii="Arial" w:hAnsi="Arial" w:cs="Arial"/>
                <w:sz w:val="22"/>
                <w:szCs w:val="22"/>
              </w:rPr>
              <w:t>n</w:t>
            </w:r>
            <w:r w:rsidR="00A3537D">
              <w:rPr>
                <w:rFonts w:ascii="Arial" w:hAnsi="Arial" w:cs="Arial"/>
                <w:sz w:val="22"/>
                <w:szCs w:val="22"/>
              </w:rPr>
              <w:t>eath the heading “VTAC DATA 2011/12</w:t>
            </w:r>
            <w:r w:rsidRPr="007C6AE8">
              <w:rPr>
                <w:rFonts w:ascii="Arial" w:hAnsi="Arial" w:cs="Arial"/>
                <w:sz w:val="22"/>
                <w:szCs w:val="22"/>
              </w:rPr>
              <w:t xml:space="preserve">” are calculated by the Victorian Tertiary Admissions Centre (VTAC) using the total numbers of tertiary applicants at each school. </w:t>
            </w:r>
          </w:p>
          <w:p w14:paraId="42C40BBE" w14:textId="77777777" w:rsidR="006147C6" w:rsidRPr="007C6AE8" w:rsidRDefault="006147C6" w:rsidP="00B11E8F">
            <w:pPr>
              <w:rPr>
                <w:rFonts w:ascii="Arial" w:hAnsi="Arial" w:cs="Arial"/>
                <w:iCs/>
                <w:sz w:val="20"/>
                <w:szCs w:val="20"/>
              </w:rPr>
            </w:pPr>
            <w:r w:rsidRPr="007C6AE8">
              <w:rPr>
                <w:rFonts w:ascii="Arial" w:hAnsi="Arial" w:cs="Arial"/>
                <w:iCs/>
                <w:sz w:val="22"/>
                <w:szCs w:val="22"/>
              </w:rPr>
              <w:t xml:space="preserve">VTAC has released this data to the Department of Education &amp; </w:t>
            </w:r>
            <w:r>
              <w:rPr>
                <w:rFonts w:ascii="Arial" w:hAnsi="Arial" w:cs="Arial"/>
                <w:iCs/>
                <w:sz w:val="22"/>
                <w:szCs w:val="22"/>
              </w:rPr>
              <w:t>Early Childhood Development</w:t>
            </w:r>
            <w:r w:rsidRPr="007C6AE8">
              <w:rPr>
                <w:rFonts w:ascii="Arial" w:hAnsi="Arial" w:cs="Arial"/>
                <w:iCs/>
                <w:sz w:val="22"/>
                <w:szCs w:val="22"/>
              </w:rPr>
              <w:t xml:space="preserve"> for the express purpose of producing the </w:t>
            </w:r>
            <w:r w:rsidRPr="007C6AE8">
              <w:rPr>
                <w:rFonts w:ascii="Arial" w:hAnsi="Arial" w:cs="Arial"/>
                <w:i/>
                <w:iCs/>
                <w:sz w:val="22"/>
                <w:szCs w:val="22"/>
              </w:rPr>
              <w:t xml:space="preserve">On Track </w:t>
            </w:r>
            <w:r w:rsidRPr="007C6AE8">
              <w:rPr>
                <w:rFonts w:ascii="Arial" w:hAnsi="Arial" w:cs="Arial"/>
                <w:iCs/>
                <w:sz w:val="22"/>
                <w:szCs w:val="22"/>
              </w:rPr>
              <w:t xml:space="preserve">table. The table is produced for information only. The data provided by VTAC remains the property of VTAC.  </w:t>
            </w:r>
            <w:r w:rsidRPr="009B31F3">
              <w:rPr>
                <w:rFonts w:ascii="Arial" w:hAnsi="Arial" w:cs="Arial"/>
                <w:b/>
                <w:iCs/>
                <w:sz w:val="22"/>
                <w:szCs w:val="22"/>
              </w:rPr>
              <w:t>It</w:t>
            </w:r>
            <w:r w:rsidRPr="007C6AE8">
              <w:rPr>
                <w:rFonts w:ascii="Arial" w:hAnsi="Arial" w:cs="Arial"/>
                <w:i/>
                <w:iCs/>
                <w:sz w:val="22"/>
                <w:szCs w:val="22"/>
              </w:rPr>
              <w:t xml:space="preserve"> </w:t>
            </w:r>
            <w:r w:rsidRPr="007C6AE8">
              <w:rPr>
                <w:rFonts w:ascii="Arial" w:hAnsi="Arial" w:cs="Arial"/>
                <w:b/>
                <w:bCs/>
                <w:sz w:val="22"/>
                <w:szCs w:val="22"/>
              </w:rPr>
              <w:t>must not be used by any third party</w:t>
            </w:r>
            <w:r w:rsidRPr="007C6AE8">
              <w:rPr>
                <w:rFonts w:ascii="Arial" w:hAnsi="Arial" w:cs="Arial"/>
                <w:i/>
                <w:iCs/>
                <w:sz w:val="22"/>
                <w:szCs w:val="22"/>
              </w:rPr>
              <w:t xml:space="preserve"> </w:t>
            </w:r>
            <w:r w:rsidRPr="007C6AE8">
              <w:rPr>
                <w:rFonts w:ascii="Arial" w:hAnsi="Arial" w:cs="Arial"/>
                <w:iCs/>
                <w:sz w:val="22"/>
                <w:szCs w:val="22"/>
              </w:rPr>
              <w:t>for inclusion in any published form or</w:t>
            </w:r>
            <w:r w:rsidR="008675BA">
              <w:rPr>
                <w:rFonts w:ascii="Arial" w:hAnsi="Arial" w:cs="Arial"/>
                <w:iCs/>
                <w:sz w:val="22"/>
                <w:szCs w:val="22"/>
              </w:rPr>
              <w:t xml:space="preserve"> for</w:t>
            </w:r>
            <w:r w:rsidRPr="007C6AE8">
              <w:rPr>
                <w:rFonts w:ascii="Arial" w:hAnsi="Arial" w:cs="Arial"/>
                <w:iCs/>
                <w:sz w:val="22"/>
                <w:szCs w:val="22"/>
              </w:rPr>
              <w:t xml:space="preserve"> the development of any table or list without the express </w:t>
            </w:r>
            <w:r w:rsidR="008675BA">
              <w:rPr>
                <w:rFonts w:ascii="Arial" w:hAnsi="Arial" w:cs="Arial"/>
                <w:iCs/>
                <w:sz w:val="22"/>
                <w:szCs w:val="22"/>
              </w:rPr>
              <w:t>permission of the VTAC Director;</w:t>
            </w:r>
            <w:r w:rsidRPr="007C6AE8">
              <w:rPr>
                <w:rFonts w:ascii="Arial" w:hAnsi="Arial" w:cs="Arial"/>
                <w:iCs/>
                <w:sz w:val="22"/>
                <w:szCs w:val="22"/>
              </w:rPr>
              <w:t xml:space="preserve"> to do so would constitute misrepresentation of the data and a breach of copyright.</w:t>
            </w:r>
            <w:r w:rsidRPr="007C6AE8">
              <w:rPr>
                <w:rStyle w:val="Emphasis"/>
                <w:rFonts w:ascii="Arial" w:hAnsi="Arial" w:cs="Arial"/>
                <w:sz w:val="20"/>
                <w:szCs w:val="20"/>
              </w:rPr>
              <w:t xml:space="preserve"> </w:t>
            </w:r>
          </w:p>
        </w:tc>
      </w:tr>
      <w:tr w:rsidR="006147C6" w:rsidRPr="007C6AE8" w14:paraId="42C40BC3" w14:textId="77777777" w:rsidTr="004B0BA5">
        <w:trPr>
          <w:jc w:val="center"/>
        </w:trPr>
        <w:tc>
          <w:tcPr>
            <w:tcW w:w="2412" w:type="dxa"/>
          </w:tcPr>
          <w:p w14:paraId="42C40BC0" w14:textId="77777777" w:rsidR="006147C6" w:rsidRPr="007C6AE8" w:rsidRDefault="006147C6" w:rsidP="00B11E8F">
            <w:pPr>
              <w:rPr>
                <w:rFonts w:ascii="Arial" w:hAnsi="Arial" w:cs="Arial"/>
                <w:sz w:val="22"/>
                <w:szCs w:val="22"/>
              </w:rPr>
            </w:pPr>
            <w:r w:rsidRPr="007C6AE8">
              <w:rPr>
                <w:rFonts w:ascii="Arial" w:hAnsi="Arial" w:cs="Arial"/>
                <w:sz w:val="22"/>
                <w:szCs w:val="22"/>
              </w:rPr>
              <w:t xml:space="preserve">Tertiary Applicants </w:t>
            </w:r>
          </w:p>
          <w:p w14:paraId="42C40BC1" w14:textId="77777777" w:rsidR="006147C6" w:rsidRPr="007C6AE8" w:rsidRDefault="006147C6" w:rsidP="00B11E8F">
            <w:pPr>
              <w:rPr>
                <w:rFonts w:ascii="Arial" w:hAnsi="Arial" w:cs="Arial"/>
                <w:sz w:val="22"/>
                <w:szCs w:val="22"/>
              </w:rPr>
            </w:pPr>
            <w:r w:rsidRPr="007C6AE8">
              <w:rPr>
                <w:rFonts w:ascii="Arial" w:hAnsi="Arial" w:cs="Arial"/>
                <w:sz w:val="22"/>
                <w:szCs w:val="22"/>
              </w:rPr>
              <w:t>(Actual Number)</w:t>
            </w:r>
          </w:p>
        </w:tc>
        <w:tc>
          <w:tcPr>
            <w:tcW w:w="7422" w:type="dxa"/>
          </w:tcPr>
          <w:p w14:paraId="42C40BC2" w14:textId="77777777" w:rsidR="006147C6" w:rsidRPr="007C6AE8" w:rsidRDefault="006147C6" w:rsidP="00B11E8F">
            <w:pPr>
              <w:pStyle w:val="Header"/>
              <w:tabs>
                <w:tab w:val="clear" w:pos="4153"/>
                <w:tab w:val="clear" w:pos="8306"/>
              </w:tabs>
              <w:rPr>
                <w:rFonts w:ascii="Arial" w:hAnsi="Arial" w:cs="Arial"/>
                <w:sz w:val="22"/>
                <w:szCs w:val="22"/>
              </w:rPr>
            </w:pPr>
            <w:r w:rsidRPr="007C6AE8">
              <w:rPr>
                <w:rFonts w:ascii="Arial" w:hAnsi="Arial" w:cs="Arial"/>
                <w:sz w:val="22"/>
                <w:szCs w:val="22"/>
              </w:rPr>
              <w:t>The number of Year 12 completers applying for a tertiary place through VTAC.</w:t>
            </w:r>
          </w:p>
        </w:tc>
      </w:tr>
      <w:tr w:rsidR="006147C6" w:rsidRPr="007C6AE8" w14:paraId="42C40BC6" w14:textId="77777777" w:rsidTr="004B0BA5">
        <w:trPr>
          <w:jc w:val="center"/>
        </w:trPr>
        <w:tc>
          <w:tcPr>
            <w:tcW w:w="2412" w:type="dxa"/>
          </w:tcPr>
          <w:p w14:paraId="42C40BC4" w14:textId="77777777" w:rsidR="006147C6" w:rsidRPr="007C6AE8" w:rsidRDefault="006147C6" w:rsidP="00B11E8F">
            <w:pPr>
              <w:rPr>
                <w:rFonts w:ascii="Arial" w:hAnsi="Arial" w:cs="Arial"/>
                <w:sz w:val="22"/>
                <w:szCs w:val="22"/>
              </w:rPr>
            </w:pPr>
            <w:r w:rsidRPr="007C6AE8">
              <w:rPr>
                <w:rFonts w:ascii="Arial" w:hAnsi="Arial" w:cs="Arial"/>
                <w:sz w:val="22"/>
                <w:szCs w:val="22"/>
              </w:rPr>
              <w:t>University Offers (%)</w:t>
            </w:r>
          </w:p>
        </w:tc>
        <w:tc>
          <w:tcPr>
            <w:tcW w:w="7422" w:type="dxa"/>
          </w:tcPr>
          <w:p w14:paraId="42C40BC5"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 of tertiary applicants that received at least one university offer.</w:t>
            </w:r>
          </w:p>
        </w:tc>
      </w:tr>
      <w:tr w:rsidR="006147C6" w:rsidRPr="007C6AE8" w14:paraId="42C40BC9" w14:textId="77777777" w:rsidTr="004B0BA5">
        <w:trPr>
          <w:jc w:val="center"/>
        </w:trPr>
        <w:tc>
          <w:tcPr>
            <w:tcW w:w="2412" w:type="dxa"/>
          </w:tcPr>
          <w:p w14:paraId="42C40BC7" w14:textId="77777777" w:rsidR="006147C6" w:rsidRPr="007C6AE8" w:rsidRDefault="006147C6" w:rsidP="00B11E8F">
            <w:pPr>
              <w:rPr>
                <w:rFonts w:ascii="Arial" w:hAnsi="Arial" w:cs="Arial"/>
                <w:sz w:val="22"/>
                <w:szCs w:val="22"/>
              </w:rPr>
            </w:pPr>
            <w:r w:rsidRPr="007C6AE8">
              <w:rPr>
                <w:rFonts w:ascii="Arial" w:hAnsi="Arial" w:cs="Arial"/>
                <w:sz w:val="22"/>
                <w:szCs w:val="22"/>
              </w:rPr>
              <w:t>TAFE/VET Offers (%)</w:t>
            </w:r>
          </w:p>
        </w:tc>
        <w:tc>
          <w:tcPr>
            <w:tcW w:w="7422" w:type="dxa"/>
          </w:tcPr>
          <w:p w14:paraId="42C40BC8"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 of tertiary applicants who received at least one TAFE/VET offer for courses at Certificate IV or above</w:t>
            </w:r>
            <w:smartTag w:uri="urn:schemas-microsoft-com:office:smarttags" w:element="PersonName">
              <w:r w:rsidRPr="007C6AE8">
                <w:rPr>
                  <w:rFonts w:ascii="Arial" w:hAnsi="Arial" w:cs="Arial"/>
                  <w:sz w:val="22"/>
                  <w:szCs w:val="22"/>
                </w:rPr>
                <w:t>,</w:t>
              </w:r>
            </w:smartTag>
            <w:r w:rsidRPr="007C6AE8">
              <w:rPr>
                <w:rFonts w:ascii="Arial" w:hAnsi="Arial" w:cs="Arial"/>
                <w:sz w:val="22"/>
                <w:szCs w:val="22"/>
              </w:rPr>
              <w:t xml:space="preserve"> including independent tertiary</w:t>
            </w:r>
            <w:r>
              <w:rPr>
                <w:rFonts w:ascii="Arial" w:hAnsi="Arial" w:cs="Arial"/>
                <w:sz w:val="22"/>
                <w:szCs w:val="22"/>
              </w:rPr>
              <w:t xml:space="preserve"> </w:t>
            </w:r>
            <w:r w:rsidRPr="007C6AE8">
              <w:rPr>
                <w:rFonts w:ascii="Arial" w:hAnsi="Arial" w:cs="Arial"/>
                <w:sz w:val="22"/>
                <w:szCs w:val="22"/>
              </w:rPr>
              <w:t>courses.</w:t>
            </w:r>
          </w:p>
        </w:tc>
      </w:tr>
      <w:tr w:rsidR="006147C6" w:rsidRPr="007C6AE8" w14:paraId="42C40BCC" w14:textId="77777777" w:rsidTr="004B0BA5">
        <w:trPr>
          <w:jc w:val="center"/>
        </w:trPr>
        <w:tc>
          <w:tcPr>
            <w:tcW w:w="2412" w:type="dxa"/>
          </w:tcPr>
          <w:p w14:paraId="42C40BCA" w14:textId="77777777" w:rsidR="006147C6" w:rsidRPr="007C6AE8" w:rsidRDefault="006147C6" w:rsidP="00B11E8F">
            <w:pPr>
              <w:rPr>
                <w:rFonts w:ascii="Arial" w:hAnsi="Arial" w:cs="Arial"/>
                <w:sz w:val="22"/>
                <w:szCs w:val="22"/>
              </w:rPr>
            </w:pPr>
            <w:r w:rsidRPr="007C6AE8">
              <w:rPr>
                <w:rFonts w:ascii="Arial" w:hAnsi="Arial" w:cs="Arial"/>
                <w:sz w:val="22"/>
                <w:szCs w:val="22"/>
              </w:rPr>
              <w:t>Any Tertiary Offer (%)</w:t>
            </w:r>
          </w:p>
        </w:tc>
        <w:tc>
          <w:tcPr>
            <w:tcW w:w="7422" w:type="dxa"/>
          </w:tcPr>
          <w:p w14:paraId="42C40BCB"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 of tertiary applicants that received any tertiary offer (University and TAFE/VET Offers). This is not equivalent to the sum of university and TAFE/VET offers because some appli</w:t>
            </w:r>
            <w:r w:rsidR="00E827DE">
              <w:rPr>
                <w:rFonts w:ascii="Arial" w:hAnsi="Arial" w:cs="Arial"/>
                <w:sz w:val="22"/>
                <w:szCs w:val="22"/>
              </w:rPr>
              <w:t xml:space="preserve">cants receive multiple offers. </w:t>
            </w:r>
            <w:r w:rsidRPr="007C6AE8">
              <w:rPr>
                <w:rFonts w:ascii="Arial" w:hAnsi="Arial" w:cs="Arial"/>
                <w:sz w:val="22"/>
                <w:szCs w:val="22"/>
              </w:rPr>
              <w:t>Such applicants are counted only once.</w:t>
            </w:r>
          </w:p>
        </w:tc>
      </w:tr>
      <w:tr w:rsidR="006147C6" w:rsidRPr="007C6AE8" w14:paraId="42C40BCF" w14:textId="77777777" w:rsidTr="004B0BA5">
        <w:trPr>
          <w:jc w:val="center"/>
        </w:trPr>
        <w:tc>
          <w:tcPr>
            <w:tcW w:w="2412" w:type="dxa"/>
          </w:tcPr>
          <w:p w14:paraId="42C40BCD" w14:textId="77777777" w:rsidR="006147C6" w:rsidRPr="007C6AE8" w:rsidRDefault="006147C6" w:rsidP="00B11E8F">
            <w:pPr>
              <w:rPr>
                <w:rFonts w:ascii="Arial" w:hAnsi="Arial" w:cs="Arial"/>
                <w:sz w:val="22"/>
                <w:szCs w:val="22"/>
              </w:rPr>
            </w:pPr>
            <w:r w:rsidRPr="007C6AE8">
              <w:rPr>
                <w:rFonts w:ascii="Arial" w:hAnsi="Arial" w:cs="Arial"/>
                <w:i/>
                <w:sz w:val="22"/>
                <w:szCs w:val="22"/>
              </w:rPr>
              <w:t>ON TRACK</w:t>
            </w:r>
            <w:r w:rsidRPr="007C6AE8">
              <w:rPr>
                <w:rFonts w:ascii="Arial" w:hAnsi="Arial" w:cs="Arial"/>
                <w:sz w:val="22"/>
                <w:szCs w:val="22"/>
              </w:rPr>
              <w:t xml:space="preserve"> SURVEY DATA</w:t>
            </w:r>
          </w:p>
        </w:tc>
        <w:tc>
          <w:tcPr>
            <w:tcW w:w="7422" w:type="dxa"/>
          </w:tcPr>
          <w:p w14:paraId="42C40BCE" w14:textId="77777777" w:rsidR="006147C6" w:rsidRPr="007C6AE8" w:rsidRDefault="006147C6" w:rsidP="00B11E8F">
            <w:pPr>
              <w:rPr>
                <w:rFonts w:ascii="Arial" w:hAnsi="Arial" w:cs="Arial"/>
                <w:sz w:val="22"/>
                <w:szCs w:val="22"/>
              </w:rPr>
            </w:pPr>
            <w:r w:rsidRPr="007C6AE8">
              <w:rPr>
                <w:rFonts w:ascii="Arial" w:hAnsi="Arial" w:cs="Arial"/>
                <w:sz w:val="22"/>
                <w:szCs w:val="22"/>
              </w:rPr>
              <w:t>The data appearing in the columns underneath the heading “</w:t>
            </w:r>
            <w:r w:rsidRPr="007C6AE8">
              <w:rPr>
                <w:rFonts w:ascii="Arial" w:hAnsi="Arial" w:cs="Arial"/>
                <w:i/>
                <w:sz w:val="22"/>
                <w:szCs w:val="22"/>
              </w:rPr>
              <w:t>ON</w:t>
            </w:r>
            <w:r w:rsidRPr="007C6AE8">
              <w:rPr>
                <w:rFonts w:ascii="Arial" w:hAnsi="Arial" w:cs="Arial"/>
                <w:sz w:val="22"/>
                <w:szCs w:val="22"/>
              </w:rPr>
              <w:t xml:space="preserve"> </w:t>
            </w:r>
            <w:r w:rsidRPr="007C6AE8">
              <w:rPr>
                <w:rFonts w:ascii="Arial" w:hAnsi="Arial" w:cs="Arial"/>
                <w:i/>
                <w:sz w:val="22"/>
                <w:szCs w:val="22"/>
              </w:rPr>
              <w:t>TRACK</w:t>
            </w:r>
            <w:r w:rsidRPr="007C6AE8">
              <w:rPr>
                <w:rFonts w:ascii="Arial" w:hAnsi="Arial" w:cs="Arial"/>
                <w:sz w:val="22"/>
                <w:szCs w:val="22"/>
              </w:rPr>
              <w:t xml:space="preserve"> SURVEY DATA” have been sourced from the survey of Year 12 co</w:t>
            </w:r>
            <w:r w:rsidR="00A3537D">
              <w:rPr>
                <w:rFonts w:ascii="Arial" w:hAnsi="Arial" w:cs="Arial"/>
                <w:sz w:val="22"/>
                <w:szCs w:val="22"/>
              </w:rPr>
              <w:t>mpleters conducted in April 2012</w:t>
            </w:r>
            <w:r w:rsidRPr="007C6AE8">
              <w:rPr>
                <w:rFonts w:ascii="Arial" w:hAnsi="Arial" w:cs="Arial"/>
                <w:sz w:val="22"/>
                <w:szCs w:val="22"/>
              </w:rPr>
              <w:t xml:space="preserve"> and exclude</w:t>
            </w:r>
            <w:r w:rsidR="00BF35C2">
              <w:rPr>
                <w:rFonts w:ascii="Arial" w:hAnsi="Arial" w:cs="Arial"/>
                <w:sz w:val="22"/>
                <w:szCs w:val="22"/>
              </w:rPr>
              <w:t>s</w:t>
            </w:r>
            <w:r w:rsidRPr="007C6AE8">
              <w:rPr>
                <w:rFonts w:ascii="Arial" w:hAnsi="Arial" w:cs="Arial"/>
                <w:sz w:val="22"/>
                <w:szCs w:val="22"/>
              </w:rPr>
              <w:t xml:space="preserve"> students with international addresses. </w:t>
            </w:r>
          </w:p>
        </w:tc>
      </w:tr>
      <w:tr w:rsidR="006147C6" w:rsidRPr="007C6AE8" w14:paraId="42C40BD2" w14:textId="77777777" w:rsidTr="004B0BA5">
        <w:trPr>
          <w:jc w:val="center"/>
        </w:trPr>
        <w:tc>
          <w:tcPr>
            <w:tcW w:w="2412" w:type="dxa"/>
          </w:tcPr>
          <w:p w14:paraId="42C40BD0" w14:textId="77777777" w:rsidR="006147C6" w:rsidRPr="007C6AE8" w:rsidRDefault="0025238D" w:rsidP="00B11E8F">
            <w:pPr>
              <w:rPr>
                <w:rFonts w:ascii="Arial" w:hAnsi="Arial" w:cs="Arial"/>
                <w:sz w:val="22"/>
                <w:szCs w:val="22"/>
              </w:rPr>
            </w:pPr>
            <w:r>
              <w:rPr>
                <w:rFonts w:ascii="Arial" w:hAnsi="Arial" w:cs="Arial"/>
                <w:sz w:val="22"/>
                <w:szCs w:val="22"/>
              </w:rPr>
              <w:t xml:space="preserve">Bachelor degree </w:t>
            </w:r>
            <w:r w:rsidR="006147C6" w:rsidRPr="007C6AE8">
              <w:rPr>
                <w:rFonts w:ascii="Arial" w:hAnsi="Arial" w:cs="Arial"/>
                <w:sz w:val="22"/>
                <w:szCs w:val="22"/>
              </w:rPr>
              <w:t>Enrolled (%)</w:t>
            </w:r>
          </w:p>
        </w:tc>
        <w:tc>
          <w:tcPr>
            <w:tcW w:w="7422" w:type="dxa"/>
          </w:tcPr>
          <w:p w14:paraId="42C40BD1"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 of young people that responded to the survey th</w:t>
            </w:r>
            <w:r w:rsidR="0025238D">
              <w:rPr>
                <w:rFonts w:ascii="Arial" w:hAnsi="Arial" w:cs="Arial"/>
                <w:sz w:val="22"/>
                <w:szCs w:val="22"/>
              </w:rPr>
              <w:t xml:space="preserve">at were enrolled in a Bachelor degree </w:t>
            </w:r>
            <w:r w:rsidRPr="007C6AE8">
              <w:rPr>
                <w:rFonts w:ascii="Arial" w:hAnsi="Arial" w:cs="Arial"/>
                <w:sz w:val="22"/>
                <w:szCs w:val="22"/>
              </w:rPr>
              <w:t>course.</w:t>
            </w:r>
          </w:p>
        </w:tc>
      </w:tr>
    </w:tbl>
    <w:p w14:paraId="42C40BD3" w14:textId="77777777" w:rsidR="0023770A" w:rsidRDefault="0023770A">
      <w:r>
        <w:br w:type="page"/>
      </w:r>
    </w:p>
    <w:tbl>
      <w:tblPr>
        <w:tblW w:w="0" w:type="auto"/>
        <w:jc w:val="center"/>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7048"/>
      </w:tblGrid>
      <w:tr w:rsidR="00135D31" w:rsidRPr="007C6AE8" w14:paraId="42C40BD6" w14:textId="77777777" w:rsidTr="00B11E8F">
        <w:trPr>
          <w:jc w:val="center"/>
        </w:trPr>
        <w:tc>
          <w:tcPr>
            <w:tcW w:w="2412" w:type="dxa"/>
          </w:tcPr>
          <w:p w14:paraId="42C40BD4" w14:textId="77777777" w:rsidR="00135D31" w:rsidRPr="007C6AE8" w:rsidRDefault="00135D31" w:rsidP="002B7908">
            <w:pPr>
              <w:rPr>
                <w:rFonts w:ascii="Arial" w:hAnsi="Arial" w:cs="Arial"/>
                <w:sz w:val="22"/>
                <w:szCs w:val="22"/>
              </w:rPr>
            </w:pPr>
            <w:r w:rsidRPr="007C6AE8">
              <w:rPr>
                <w:rFonts w:ascii="Arial" w:hAnsi="Arial" w:cs="Arial"/>
                <w:sz w:val="22"/>
                <w:szCs w:val="22"/>
              </w:rPr>
              <w:t>Deferrals (%)</w:t>
            </w:r>
            <w:r>
              <w:rPr>
                <w:rFonts w:ascii="Arial" w:hAnsi="Arial" w:cs="Arial"/>
                <w:sz w:val="22"/>
                <w:szCs w:val="22"/>
              </w:rPr>
              <w:t xml:space="preserve"> </w:t>
            </w:r>
            <w:r w:rsidRPr="00064207">
              <w:rPr>
                <w:rFonts w:ascii="Arial" w:hAnsi="Arial" w:cs="Arial"/>
                <w:b/>
                <w:sz w:val="22"/>
                <w:szCs w:val="22"/>
              </w:rPr>
              <w:t>*</w:t>
            </w:r>
          </w:p>
        </w:tc>
        <w:tc>
          <w:tcPr>
            <w:tcW w:w="7048" w:type="dxa"/>
          </w:tcPr>
          <w:p w14:paraId="42C40BD5" w14:textId="77777777" w:rsidR="00135D31" w:rsidRPr="00A360D0" w:rsidRDefault="00135D31" w:rsidP="002B7908">
            <w:pPr>
              <w:rPr>
                <w:rFonts w:ascii="Arial" w:hAnsi="Arial" w:cs="Arial"/>
                <w:sz w:val="22"/>
                <w:szCs w:val="22"/>
              </w:rPr>
            </w:pPr>
            <w:r w:rsidRPr="007C6AE8">
              <w:rPr>
                <w:rFonts w:ascii="Arial" w:hAnsi="Arial" w:cs="Arial"/>
                <w:sz w:val="22"/>
                <w:szCs w:val="22"/>
              </w:rPr>
              <w:t xml:space="preserve">The percentage of young people that responded to the survey that have deferred a tertiary place </w:t>
            </w:r>
          </w:p>
        </w:tc>
      </w:tr>
      <w:tr w:rsidR="006147C6" w:rsidRPr="007C6AE8" w14:paraId="42C40BD9" w14:textId="77777777" w:rsidTr="00B11E8F">
        <w:trPr>
          <w:jc w:val="center"/>
        </w:trPr>
        <w:tc>
          <w:tcPr>
            <w:tcW w:w="2412" w:type="dxa"/>
          </w:tcPr>
          <w:p w14:paraId="42C40BD7" w14:textId="77777777" w:rsidR="006147C6" w:rsidRPr="007C6AE8" w:rsidRDefault="006147C6" w:rsidP="00B11E8F">
            <w:pPr>
              <w:rPr>
                <w:rFonts w:ascii="Arial" w:hAnsi="Arial" w:cs="Arial"/>
                <w:sz w:val="22"/>
                <w:szCs w:val="22"/>
              </w:rPr>
            </w:pPr>
            <w:r w:rsidRPr="007C6AE8">
              <w:rPr>
                <w:rFonts w:ascii="Arial" w:hAnsi="Arial" w:cs="Arial"/>
                <w:sz w:val="22"/>
                <w:szCs w:val="22"/>
              </w:rPr>
              <w:t>TAFE/VET Enrolled (%)</w:t>
            </w:r>
          </w:p>
        </w:tc>
        <w:tc>
          <w:tcPr>
            <w:tcW w:w="7048" w:type="dxa"/>
          </w:tcPr>
          <w:p w14:paraId="42C40BD8"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 of young people that responded to the survey that were enrolled in a TAFE/VET course. TAFE/VET courses are vocational education and training courses at a variety of certificate levels</w:t>
            </w:r>
            <w:smartTag w:uri="urn:schemas-microsoft-com:office:smarttags" w:element="PersonName">
              <w:r w:rsidRPr="007C6AE8">
                <w:rPr>
                  <w:rFonts w:ascii="Arial" w:hAnsi="Arial" w:cs="Arial"/>
                  <w:sz w:val="22"/>
                  <w:szCs w:val="22"/>
                </w:rPr>
                <w:t>,</w:t>
              </w:r>
            </w:smartTag>
            <w:r w:rsidRPr="007C6AE8">
              <w:rPr>
                <w:rFonts w:ascii="Arial" w:hAnsi="Arial" w:cs="Arial"/>
                <w:sz w:val="22"/>
                <w:szCs w:val="22"/>
              </w:rPr>
              <w:t xml:space="preserve"> mainly at</w:t>
            </w:r>
            <w:r w:rsidRPr="007C6AE8">
              <w:rPr>
                <w:rFonts w:ascii="Arial" w:hAnsi="Arial" w:cs="Arial"/>
                <w:b/>
                <w:bCs/>
                <w:color w:val="FF0000"/>
                <w:sz w:val="22"/>
                <w:szCs w:val="22"/>
              </w:rPr>
              <w:t xml:space="preserve"> </w:t>
            </w:r>
            <w:r w:rsidRPr="007C6AE8">
              <w:rPr>
                <w:rFonts w:ascii="Arial" w:hAnsi="Arial" w:cs="Arial"/>
                <w:sz w:val="22"/>
                <w:szCs w:val="22"/>
              </w:rPr>
              <w:t>Certificate IV and above.</w:t>
            </w:r>
          </w:p>
        </w:tc>
      </w:tr>
      <w:tr w:rsidR="006147C6" w:rsidRPr="007C6AE8" w14:paraId="42C40BDC" w14:textId="77777777" w:rsidTr="00B11E8F">
        <w:trPr>
          <w:jc w:val="center"/>
        </w:trPr>
        <w:tc>
          <w:tcPr>
            <w:tcW w:w="2412" w:type="dxa"/>
          </w:tcPr>
          <w:p w14:paraId="42C40BDA" w14:textId="77777777" w:rsidR="006147C6" w:rsidRPr="007C6AE8" w:rsidRDefault="006147C6" w:rsidP="00B11E8F">
            <w:pPr>
              <w:rPr>
                <w:rFonts w:ascii="Arial" w:hAnsi="Arial" w:cs="Arial"/>
                <w:sz w:val="22"/>
                <w:szCs w:val="22"/>
              </w:rPr>
            </w:pPr>
            <w:r w:rsidRPr="007C6AE8">
              <w:rPr>
                <w:rFonts w:ascii="Arial" w:hAnsi="Arial" w:cs="Arial"/>
                <w:sz w:val="22"/>
                <w:szCs w:val="22"/>
              </w:rPr>
              <w:t>Apprentice/Trainee (%)</w:t>
            </w:r>
          </w:p>
        </w:tc>
        <w:tc>
          <w:tcPr>
            <w:tcW w:w="7048" w:type="dxa"/>
          </w:tcPr>
          <w:p w14:paraId="42C40BDB"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 of young people that responded to the survey that are undertaking an apprenticeship or traineeship.  Apprenticeships and traineeships combine paid work and relevant training underpinned by a training agreement.</w:t>
            </w:r>
          </w:p>
        </w:tc>
      </w:tr>
      <w:tr w:rsidR="006147C6" w:rsidRPr="007C6AE8" w14:paraId="42C40BDF" w14:textId="77777777" w:rsidTr="00B11E8F">
        <w:trPr>
          <w:jc w:val="center"/>
        </w:trPr>
        <w:tc>
          <w:tcPr>
            <w:tcW w:w="2412" w:type="dxa"/>
          </w:tcPr>
          <w:p w14:paraId="42C40BDD" w14:textId="77777777" w:rsidR="006147C6" w:rsidRPr="007C6AE8" w:rsidRDefault="006147C6" w:rsidP="00B11E8F">
            <w:pPr>
              <w:rPr>
                <w:rFonts w:ascii="Arial" w:hAnsi="Arial" w:cs="Arial"/>
                <w:sz w:val="22"/>
                <w:szCs w:val="22"/>
              </w:rPr>
            </w:pPr>
            <w:r w:rsidRPr="007C6AE8">
              <w:rPr>
                <w:rFonts w:ascii="Arial" w:hAnsi="Arial" w:cs="Arial"/>
                <w:sz w:val="22"/>
                <w:szCs w:val="22"/>
              </w:rPr>
              <w:t>Employed (%)</w:t>
            </w:r>
          </w:p>
        </w:tc>
        <w:tc>
          <w:tcPr>
            <w:tcW w:w="7048" w:type="dxa"/>
          </w:tcPr>
          <w:p w14:paraId="42C40BDE" w14:textId="77777777" w:rsidR="006147C6" w:rsidRPr="007C6AE8" w:rsidRDefault="006147C6" w:rsidP="00B11E8F">
            <w:pPr>
              <w:rPr>
                <w:rFonts w:ascii="Arial" w:hAnsi="Arial" w:cs="Arial"/>
                <w:sz w:val="22"/>
                <w:szCs w:val="22"/>
              </w:rPr>
            </w:pPr>
            <w:r w:rsidRPr="007C6AE8">
              <w:rPr>
                <w:rFonts w:ascii="Arial" w:hAnsi="Arial" w:cs="Arial"/>
                <w:sz w:val="22"/>
                <w:szCs w:val="22"/>
              </w:rPr>
              <w:t>The percentage of young people that responded to the survey that are employed either full time or part time that are not undertaking education or training</w:t>
            </w:r>
            <w:r w:rsidR="00A3537D">
              <w:rPr>
                <w:rFonts w:ascii="Arial" w:hAnsi="Arial" w:cs="Arial"/>
                <w:sz w:val="22"/>
                <w:szCs w:val="22"/>
              </w:rPr>
              <w:t>,</w:t>
            </w:r>
            <w:r w:rsidRPr="007C6AE8">
              <w:rPr>
                <w:rFonts w:ascii="Arial" w:hAnsi="Arial" w:cs="Arial"/>
                <w:sz w:val="22"/>
                <w:szCs w:val="22"/>
              </w:rPr>
              <w:t xml:space="preserve"> excluding deferrals</w:t>
            </w:r>
            <w:r>
              <w:rPr>
                <w:rFonts w:ascii="Arial" w:hAnsi="Arial" w:cs="Arial"/>
                <w:sz w:val="22"/>
                <w:szCs w:val="22"/>
              </w:rPr>
              <w:t>.</w:t>
            </w:r>
            <w:r w:rsidRPr="007C6AE8">
              <w:rPr>
                <w:rFonts w:ascii="Arial" w:hAnsi="Arial" w:cs="Arial"/>
                <w:sz w:val="22"/>
                <w:szCs w:val="22"/>
              </w:rPr>
              <w:t xml:space="preserve"> </w:t>
            </w:r>
          </w:p>
        </w:tc>
      </w:tr>
      <w:tr w:rsidR="006147C6" w:rsidRPr="007C6AE8" w14:paraId="42C40BE2" w14:textId="77777777" w:rsidTr="00B11E8F">
        <w:trPr>
          <w:jc w:val="center"/>
        </w:trPr>
        <w:tc>
          <w:tcPr>
            <w:tcW w:w="2412" w:type="dxa"/>
          </w:tcPr>
          <w:p w14:paraId="42C40BE0" w14:textId="77777777" w:rsidR="006147C6" w:rsidRPr="007C6AE8" w:rsidRDefault="006147C6" w:rsidP="00B11E8F">
            <w:pPr>
              <w:rPr>
                <w:rFonts w:ascii="Arial" w:hAnsi="Arial" w:cs="Arial"/>
                <w:sz w:val="22"/>
                <w:szCs w:val="22"/>
              </w:rPr>
            </w:pPr>
            <w:r w:rsidRPr="007C6AE8">
              <w:rPr>
                <w:rFonts w:ascii="Arial" w:hAnsi="Arial" w:cs="Arial"/>
                <w:sz w:val="22"/>
                <w:szCs w:val="22"/>
              </w:rPr>
              <w:t>Looking for Work (%)</w:t>
            </w:r>
          </w:p>
        </w:tc>
        <w:tc>
          <w:tcPr>
            <w:tcW w:w="7048" w:type="dxa"/>
          </w:tcPr>
          <w:p w14:paraId="42C40BE1" w14:textId="77777777" w:rsidR="006147C6" w:rsidRPr="007C6AE8" w:rsidRDefault="006147C6" w:rsidP="00B11E8F">
            <w:pPr>
              <w:rPr>
                <w:rFonts w:ascii="Arial" w:hAnsi="Arial" w:cs="Arial"/>
                <w:sz w:val="22"/>
                <w:szCs w:val="22"/>
              </w:rPr>
            </w:pPr>
            <w:r w:rsidRPr="007C6AE8">
              <w:rPr>
                <w:rFonts w:ascii="Arial" w:hAnsi="Arial" w:cs="Arial"/>
                <w:sz w:val="22"/>
                <w:szCs w:val="22"/>
              </w:rPr>
              <w:t xml:space="preserve">The percentage of young people that responded to the survey </w:t>
            </w:r>
            <w:r>
              <w:rPr>
                <w:rFonts w:ascii="Arial" w:hAnsi="Arial" w:cs="Arial"/>
                <w:sz w:val="22"/>
                <w:szCs w:val="22"/>
              </w:rPr>
              <w:t xml:space="preserve">who </w:t>
            </w:r>
            <w:r w:rsidRPr="007C6AE8">
              <w:rPr>
                <w:rFonts w:ascii="Arial" w:hAnsi="Arial" w:cs="Arial"/>
                <w:sz w:val="22"/>
                <w:szCs w:val="22"/>
              </w:rPr>
              <w:t>are looking for work and are not undertaking education or training</w:t>
            </w:r>
            <w:r w:rsidR="00A3537D">
              <w:rPr>
                <w:rFonts w:ascii="Arial" w:hAnsi="Arial" w:cs="Arial"/>
                <w:sz w:val="22"/>
                <w:szCs w:val="22"/>
              </w:rPr>
              <w:t>,</w:t>
            </w:r>
            <w:r w:rsidRPr="007C6AE8">
              <w:rPr>
                <w:rFonts w:ascii="Arial" w:hAnsi="Arial" w:cs="Arial"/>
                <w:sz w:val="22"/>
                <w:szCs w:val="22"/>
              </w:rPr>
              <w:t xml:space="preserve"> excluding deferrals</w:t>
            </w:r>
            <w:r>
              <w:rPr>
                <w:rFonts w:ascii="Arial" w:hAnsi="Arial" w:cs="Arial"/>
                <w:sz w:val="22"/>
                <w:szCs w:val="22"/>
              </w:rPr>
              <w:t>.</w:t>
            </w:r>
          </w:p>
        </w:tc>
      </w:tr>
      <w:tr w:rsidR="006147C6" w:rsidRPr="007C6AE8" w14:paraId="42C40BE5" w14:textId="77777777" w:rsidTr="00B11E8F">
        <w:trPr>
          <w:jc w:val="center"/>
        </w:trPr>
        <w:tc>
          <w:tcPr>
            <w:tcW w:w="2412" w:type="dxa"/>
            <w:shd w:val="clear" w:color="auto" w:fill="D9D9D9"/>
          </w:tcPr>
          <w:p w14:paraId="42C40BE3" w14:textId="77777777" w:rsidR="006147C6" w:rsidRPr="007C6AE8" w:rsidRDefault="006147C6" w:rsidP="00B11E8F">
            <w:pPr>
              <w:rPr>
                <w:rFonts w:ascii="Arial" w:hAnsi="Arial" w:cs="Arial"/>
                <w:b/>
                <w:sz w:val="22"/>
                <w:szCs w:val="22"/>
              </w:rPr>
            </w:pPr>
            <w:r w:rsidRPr="007C6AE8">
              <w:rPr>
                <w:rFonts w:ascii="Arial" w:hAnsi="Arial" w:cs="Arial"/>
                <w:b/>
                <w:sz w:val="22"/>
                <w:szCs w:val="22"/>
              </w:rPr>
              <w:t>WHOLE TABLE</w:t>
            </w:r>
          </w:p>
        </w:tc>
        <w:tc>
          <w:tcPr>
            <w:tcW w:w="7048" w:type="dxa"/>
            <w:shd w:val="clear" w:color="auto" w:fill="D9D9D9"/>
          </w:tcPr>
          <w:p w14:paraId="42C40BE4" w14:textId="77777777" w:rsidR="006147C6" w:rsidRPr="007C6AE8" w:rsidRDefault="006147C6" w:rsidP="00B11E8F">
            <w:pPr>
              <w:rPr>
                <w:rFonts w:ascii="Arial" w:hAnsi="Arial" w:cs="Arial"/>
                <w:b/>
                <w:sz w:val="22"/>
                <w:szCs w:val="22"/>
              </w:rPr>
            </w:pPr>
          </w:p>
        </w:tc>
      </w:tr>
      <w:tr w:rsidR="006147C6" w:rsidRPr="007C6AE8" w14:paraId="42C40BE8" w14:textId="77777777" w:rsidTr="00B11E8F">
        <w:trPr>
          <w:jc w:val="center"/>
        </w:trPr>
        <w:tc>
          <w:tcPr>
            <w:tcW w:w="2412" w:type="dxa"/>
          </w:tcPr>
          <w:p w14:paraId="42C40BE6" w14:textId="77777777" w:rsidR="006147C6" w:rsidRPr="007C6AE8" w:rsidRDefault="006147C6" w:rsidP="00B11E8F">
            <w:pPr>
              <w:rPr>
                <w:rFonts w:ascii="Arial" w:hAnsi="Arial" w:cs="Arial"/>
                <w:sz w:val="22"/>
                <w:szCs w:val="22"/>
              </w:rPr>
            </w:pPr>
            <w:r w:rsidRPr="007C6AE8">
              <w:rPr>
                <w:rFonts w:ascii="Arial" w:hAnsi="Arial" w:cs="Arial"/>
                <w:sz w:val="22"/>
                <w:szCs w:val="22"/>
              </w:rPr>
              <w:t>Rounding</w:t>
            </w:r>
          </w:p>
        </w:tc>
        <w:tc>
          <w:tcPr>
            <w:tcW w:w="7048" w:type="dxa"/>
          </w:tcPr>
          <w:p w14:paraId="42C40BE7" w14:textId="77777777" w:rsidR="006147C6" w:rsidRPr="007C6AE8" w:rsidRDefault="006147C6" w:rsidP="00B11E8F">
            <w:pPr>
              <w:rPr>
                <w:rFonts w:ascii="Arial" w:hAnsi="Arial" w:cs="Arial"/>
                <w:sz w:val="22"/>
                <w:szCs w:val="22"/>
              </w:rPr>
            </w:pPr>
            <w:r w:rsidRPr="007C6AE8">
              <w:rPr>
                <w:rFonts w:ascii="Arial" w:hAnsi="Arial" w:cs="Arial"/>
                <w:sz w:val="22"/>
                <w:szCs w:val="22"/>
              </w:rPr>
              <w:t>All percentages have been rounded to the nearest whole number</w:t>
            </w:r>
            <w:r>
              <w:rPr>
                <w:rFonts w:ascii="Arial" w:hAnsi="Arial" w:cs="Arial"/>
                <w:sz w:val="22"/>
                <w:szCs w:val="22"/>
              </w:rPr>
              <w:t>.</w:t>
            </w:r>
          </w:p>
        </w:tc>
      </w:tr>
    </w:tbl>
    <w:p w14:paraId="42C40BE9" w14:textId="77777777" w:rsidR="006147C6" w:rsidRPr="00F54DBE" w:rsidRDefault="006147C6" w:rsidP="006147C6">
      <w:pPr>
        <w:rPr>
          <w:rFonts w:ascii="Arial" w:hAnsi="Arial" w:cs="Arial"/>
          <w:sz w:val="22"/>
          <w:szCs w:val="22"/>
        </w:rPr>
      </w:pPr>
    </w:p>
    <w:p w14:paraId="42C40BEA" w14:textId="77777777" w:rsidR="006147C6" w:rsidRDefault="006147C6" w:rsidP="006147C6">
      <w:pPr>
        <w:jc w:val="center"/>
        <w:rPr>
          <w:rFonts w:ascii="Arial" w:hAnsi="Arial" w:cs="Arial"/>
          <w:szCs w:val="26"/>
          <w:lang w:val="en-US"/>
        </w:rPr>
      </w:pPr>
    </w:p>
    <w:bookmarkEnd w:id="0"/>
    <w:p w14:paraId="42C40BEB" w14:textId="77777777" w:rsidR="006147C6" w:rsidRDefault="006147C6" w:rsidP="006147C6">
      <w:pPr>
        <w:jc w:val="center"/>
        <w:rPr>
          <w:rFonts w:ascii="Arial" w:hAnsi="Arial" w:cs="Arial"/>
          <w:szCs w:val="26"/>
          <w:lang w:val="en-US"/>
        </w:rPr>
      </w:pPr>
    </w:p>
    <w:p w14:paraId="42C40BEC" w14:textId="77777777" w:rsidR="006147C6" w:rsidRPr="007C6AE8" w:rsidRDefault="006147C6" w:rsidP="006147C6">
      <w:pPr>
        <w:rPr>
          <w:rFonts w:ascii="Arial" w:hAnsi="Arial" w:cs="Arial"/>
          <w:sz w:val="22"/>
          <w:szCs w:val="22"/>
        </w:rPr>
      </w:pPr>
    </w:p>
    <w:p w14:paraId="42C40BED" w14:textId="77777777" w:rsidR="006147C6" w:rsidRPr="00985F69" w:rsidRDefault="006147C6" w:rsidP="00F200FE">
      <w:pPr>
        <w:pStyle w:val="Heading1"/>
        <w:pBdr>
          <w:bottom w:val="single" w:sz="12" w:space="1" w:color="auto"/>
        </w:pBdr>
        <w:rPr>
          <w:rFonts w:ascii="Arial" w:hAnsi="Arial" w:cs="Arial"/>
          <w:color w:val="000080"/>
          <w:szCs w:val="24"/>
        </w:rPr>
      </w:pPr>
      <w:r w:rsidRPr="007C6AE8">
        <w:rPr>
          <w:rFonts w:ascii="Arial" w:hAnsi="Arial" w:cs="Arial"/>
          <w:color w:val="000000"/>
        </w:rPr>
        <w:br w:type="page"/>
      </w:r>
      <w:r w:rsidRPr="00985F69">
        <w:rPr>
          <w:rFonts w:ascii="Arial" w:hAnsi="Arial" w:cs="Arial"/>
          <w:color w:val="000080"/>
          <w:szCs w:val="24"/>
        </w:rPr>
        <w:lastRenderedPageBreak/>
        <w:t xml:space="preserve">Questions and answers on publication of </w:t>
      </w:r>
      <w:r w:rsidRPr="00985F69">
        <w:rPr>
          <w:rFonts w:ascii="Arial" w:hAnsi="Arial" w:cs="Arial"/>
          <w:i/>
          <w:color w:val="000080"/>
          <w:szCs w:val="24"/>
        </w:rPr>
        <w:t>On Track</w:t>
      </w:r>
      <w:r w:rsidRPr="00985F69">
        <w:rPr>
          <w:rFonts w:ascii="Arial" w:hAnsi="Arial" w:cs="Arial"/>
          <w:color w:val="000080"/>
          <w:szCs w:val="24"/>
        </w:rPr>
        <w:t xml:space="preserve"> destination data</w:t>
      </w:r>
    </w:p>
    <w:p w14:paraId="42C40BEE" w14:textId="77777777" w:rsidR="006147C6" w:rsidRPr="00985F69" w:rsidRDefault="006147C6" w:rsidP="006147C6">
      <w:pPr>
        <w:rPr>
          <w:rFonts w:ascii="Arial" w:hAnsi="Arial" w:cs="Arial"/>
          <w:color w:val="000000"/>
          <w:sz w:val="22"/>
          <w:szCs w:val="22"/>
        </w:rPr>
      </w:pPr>
    </w:p>
    <w:p w14:paraId="42C40BEF" w14:textId="77777777" w:rsidR="006147C6" w:rsidRPr="0073349C" w:rsidRDefault="006147C6" w:rsidP="0073349C">
      <w:pPr>
        <w:pStyle w:val="numberedheadingparagraph"/>
      </w:pPr>
      <w:r w:rsidRPr="00985F69">
        <w:t>Why publish the destinations of young people after they complete Year 12?</w:t>
      </w:r>
    </w:p>
    <w:p w14:paraId="42C40BF0" w14:textId="77777777" w:rsidR="006147C6" w:rsidRPr="007454E4" w:rsidRDefault="006147C6" w:rsidP="007454E4">
      <w:pPr>
        <w:pStyle w:val="BodyText"/>
      </w:pPr>
      <w:r w:rsidRPr="007454E4">
        <w:t xml:space="preserve">The </w:t>
      </w:r>
      <w:r w:rsidRPr="007454E4">
        <w:rPr>
          <w:i/>
        </w:rPr>
        <w:t>On Track</w:t>
      </w:r>
      <w:r w:rsidR="000932BE" w:rsidRPr="007454E4">
        <w:t xml:space="preserve"> initiative</w:t>
      </w:r>
      <w:r w:rsidRPr="007454E4">
        <w:t xml:space="preserve"> provides data in support of the underlying principle articulated in the Education and Training Reform Act 2006 that “information concerning the performance of education and training providers should be publicly available”.</w:t>
      </w:r>
    </w:p>
    <w:p w14:paraId="42C40BF1" w14:textId="77777777" w:rsidR="006147C6" w:rsidRPr="00985F69" w:rsidRDefault="006147C6" w:rsidP="0073349C">
      <w:pPr>
        <w:spacing w:after="120"/>
        <w:ind w:left="357"/>
        <w:rPr>
          <w:rFonts w:ascii="Arial" w:hAnsi="Arial" w:cs="Arial"/>
          <w:color w:val="000000"/>
          <w:sz w:val="22"/>
          <w:szCs w:val="22"/>
        </w:rPr>
      </w:pPr>
      <w:r w:rsidRPr="00985F69">
        <w:rPr>
          <w:rFonts w:ascii="Arial" w:hAnsi="Arial" w:cs="Arial"/>
          <w:color w:val="000000"/>
          <w:sz w:val="22"/>
          <w:szCs w:val="22"/>
        </w:rPr>
        <w:t>This information has been published annually since June 200</w:t>
      </w:r>
      <w:r w:rsidR="003148B6" w:rsidRPr="00985F69">
        <w:rPr>
          <w:rFonts w:ascii="Arial" w:hAnsi="Arial" w:cs="Arial"/>
          <w:color w:val="000000"/>
          <w:sz w:val="22"/>
          <w:szCs w:val="22"/>
        </w:rPr>
        <w:t>3</w:t>
      </w:r>
      <w:r w:rsidR="00B16A89">
        <w:rPr>
          <w:rFonts w:ascii="Arial" w:hAnsi="Arial" w:cs="Arial"/>
          <w:color w:val="000000"/>
          <w:sz w:val="22"/>
          <w:szCs w:val="22"/>
        </w:rPr>
        <w:t>.  The destination data for 2011</w:t>
      </w:r>
      <w:r w:rsidRPr="00985F69">
        <w:rPr>
          <w:rFonts w:ascii="Arial" w:hAnsi="Arial" w:cs="Arial"/>
          <w:color w:val="000000"/>
          <w:sz w:val="22"/>
          <w:szCs w:val="22"/>
        </w:rPr>
        <w:t xml:space="preserve"> Year 12 completers will be publis</w:t>
      </w:r>
      <w:r w:rsidR="00C82147">
        <w:rPr>
          <w:rFonts w:ascii="Arial" w:hAnsi="Arial" w:cs="Arial"/>
          <w:color w:val="000000"/>
          <w:sz w:val="22"/>
          <w:szCs w:val="22"/>
        </w:rPr>
        <w:t>hed on 4 June 2012</w:t>
      </w:r>
      <w:r w:rsidRPr="00985F69">
        <w:rPr>
          <w:rFonts w:ascii="Arial" w:hAnsi="Arial" w:cs="Arial"/>
          <w:color w:val="000000"/>
          <w:sz w:val="22"/>
          <w:szCs w:val="22"/>
        </w:rPr>
        <w:t>.</w:t>
      </w:r>
    </w:p>
    <w:p w14:paraId="42C40BF2" w14:textId="77777777" w:rsidR="006147C6" w:rsidRPr="00985F69" w:rsidRDefault="006147C6" w:rsidP="0073349C">
      <w:pPr>
        <w:spacing w:after="120"/>
        <w:ind w:left="357"/>
        <w:rPr>
          <w:rFonts w:ascii="Arial" w:hAnsi="Arial" w:cs="Arial"/>
          <w:color w:val="000000"/>
          <w:sz w:val="22"/>
          <w:szCs w:val="22"/>
        </w:rPr>
      </w:pPr>
      <w:r w:rsidRPr="00985F69">
        <w:rPr>
          <w:rFonts w:ascii="Arial" w:hAnsi="Arial" w:cs="Arial"/>
          <w:color w:val="000000"/>
          <w:sz w:val="22"/>
          <w:szCs w:val="22"/>
        </w:rPr>
        <w:t>This data adds significantly to the information available to parents and the Victorian public</w:t>
      </w:r>
      <w:smartTag w:uri="urn:schemas-microsoft-com:office:smarttags" w:element="PersonName">
        <w:r w:rsidRPr="00985F69">
          <w:rPr>
            <w:rFonts w:ascii="Arial" w:hAnsi="Arial" w:cs="Arial"/>
            <w:color w:val="000000"/>
            <w:sz w:val="22"/>
            <w:szCs w:val="22"/>
          </w:rPr>
          <w:t>,</w:t>
        </w:r>
      </w:smartTag>
      <w:r w:rsidRPr="00985F69">
        <w:rPr>
          <w:rFonts w:ascii="Arial" w:hAnsi="Arial" w:cs="Arial"/>
          <w:color w:val="000000"/>
          <w:sz w:val="22"/>
          <w:szCs w:val="22"/>
        </w:rPr>
        <w:t xml:space="preserve"> by highlighting the diversity of options young people pursue after leaving secondary school.  Options available include TAFE or other Vocational Education and Training (VET)</w:t>
      </w:r>
      <w:smartTag w:uri="urn:schemas-microsoft-com:office:smarttags" w:element="PersonName">
        <w:r w:rsidRPr="00985F69">
          <w:rPr>
            <w:rFonts w:ascii="Arial" w:hAnsi="Arial" w:cs="Arial"/>
            <w:color w:val="000000"/>
            <w:sz w:val="22"/>
            <w:szCs w:val="22"/>
          </w:rPr>
          <w:t>,</w:t>
        </w:r>
      </w:smartTag>
      <w:r w:rsidRPr="00985F69">
        <w:rPr>
          <w:rFonts w:ascii="Arial" w:hAnsi="Arial" w:cs="Arial"/>
          <w:color w:val="000000"/>
          <w:sz w:val="22"/>
          <w:szCs w:val="22"/>
        </w:rPr>
        <w:t xml:space="preserve"> apprenticeships or traineeships</w:t>
      </w:r>
      <w:smartTag w:uri="urn:schemas-microsoft-com:office:smarttags" w:element="PersonName">
        <w:r w:rsidRPr="00985F69">
          <w:rPr>
            <w:rFonts w:ascii="Arial" w:hAnsi="Arial" w:cs="Arial"/>
            <w:color w:val="000000"/>
            <w:sz w:val="22"/>
            <w:szCs w:val="22"/>
          </w:rPr>
          <w:t>,</w:t>
        </w:r>
      </w:smartTag>
      <w:r w:rsidRPr="00985F69">
        <w:rPr>
          <w:rFonts w:ascii="Arial" w:hAnsi="Arial" w:cs="Arial"/>
          <w:color w:val="000000"/>
          <w:sz w:val="22"/>
          <w:szCs w:val="22"/>
        </w:rPr>
        <w:t xml:space="preserve"> university or employment.  </w:t>
      </w:r>
    </w:p>
    <w:p w14:paraId="42C40BF3" w14:textId="77777777" w:rsidR="006147C6" w:rsidRPr="00985F69" w:rsidRDefault="006147C6" w:rsidP="0073349C">
      <w:pPr>
        <w:pStyle w:val="numberedheadingparagraph"/>
      </w:pPr>
      <w:r w:rsidRPr="00985F69">
        <w:t>How was the data collected?</w:t>
      </w:r>
    </w:p>
    <w:p w14:paraId="42C40BF4" w14:textId="77777777" w:rsidR="006147C6" w:rsidRPr="00985F69" w:rsidRDefault="00FE5E02" w:rsidP="007454E4">
      <w:pPr>
        <w:pStyle w:val="BodyText"/>
      </w:pPr>
      <w:r>
        <w:t xml:space="preserve">53,239 </w:t>
      </w:r>
      <w:r w:rsidR="006147C6" w:rsidRPr="00985F69">
        <w:t>students from both government and non-government schools/providers that completed Year 12 in 20</w:t>
      </w:r>
      <w:r w:rsidR="00B16A89">
        <w:t>11</w:t>
      </w:r>
      <w:r w:rsidR="006147C6" w:rsidRPr="00985F69">
        <w:t xml:space="preserve"> were invited to take part in</w:t>
      </w:r>
      <w:r w:rsidR="003148B6" w:rsidRPr="00985F69">
        <w:t xml:space="preserve"> a </w:t>
      </w:r>
      <w:r w:rsidR="00B16A89">
        <w:t xml:space="preserve">telephone survey.  Of the </w:t>
      </w:r>
      <w:r>
        <w:t xml:space="preserve">44,776 </w:t>
      </w:r>
      <w:r w:rsidR="006147C6" w:rsidRPr="00985F69">
        <w:t>consenters</w:t>
      </w:r>
      <w:smartTag w:uri="urn:schemas-microsoft-com:office:smarttags" w:element="PersonName">
        <w:r w:rsidR="006147C6" w:rsidRPr="00985F69">
          <w:t>,</w:t>
        </w:r>
      </w:smartTag>
      <w:r w:rsidR="00B16A89">
        <w:t xml:space="preserve"> </w:t>
      </w:r>
      <w:r>
        <w:t xml:space="preserve">76 </w:t>
      </w:r>
      <w:r w:rsidR="00B16A89">
        <w:t>% participated in the April 2012</w:t>
      </w:r>
      <w:r w:rsidR="006147C6" w:rsidRPr="00985F69">
        <w:t xml:space="preserve"> survey.  They responded to a range of questions related to their activities after leaving school.  The contact details of those who consented to participate were provided by the VCAA and strict privacy protocols were observed.</w:t>
      </w:r>
    </w:p>
    <w:p w14:paraId="42C40BF5" w14:textId="77777777" w:rsidR="006147C6" w:rsidRPr="00985F69" w:rsidRDefault="006147C6" w:rsidP="007454E4">
      <w:pPr>
        <w:pStyle w:val="BodyText"/>
      </w:pPr>
      <w:r w:rsidRPr="00985F69">
        <w:t>The Victorian Tertiary Admissions Centre (VTAC) also provided data relating to young people who applied for</w:t>
      </w:r>
      <w:smartTag w:uri="urn:schemas-microsoft-com:office:smarttags" w:element="PersonName">
        <w:r w:rsidRPr="00985F69">
          <w:t>,</w:t>
        </w:r>
      </w:smartTag>
      <w:r w:rsidRPr="00985F69">
        <w:t xml:space="preserve"> and who were offered</w:t>
      </w:r>
      <w:smartTag w:uri="urn:schemas-microsoft-com:office:smarttags" w:element="PersonName">
        <w:r w:rsidRPr="00985F69">
          <w:t>,</w:t>
        </w:r>
      </w:smartTag>
      <w:r w:rsidRPr="00985F69">
        <w:t xml:space="preserve"> tertiary places (university or TAFE/VET).</w:t>
      </w:r>
    </w:p>
    <w:p w14:paraId="42C40BF6" w14:textId="77777777" w:rsidR="006147C6" w:rsidRPr="00985F69" w:rsidRDefault="006147C6" w:rsidP="0073349C">
      <w:pPr>
        <w:pStyle w:val="numberedheadingparagraph"/>
      </w:pPr>
      <w:r w:rsidRPr="00985F69">
        <w:t>What do the tables show?</w:t>
      </w:r>
    </w:p>
    <w:p w14:paraId="42C40BF7" w14:textId="77777777" w:rsidR="006147C6" w:rsidRPr="00985F69" w:rsidRDefault="006147C6" w:rsidP="007454E4">
      <w:pPr>
        <w:pStyle w:val="BodyText"/>
      </w:pPr>
      <w:r w:rsidRPr="00985F69">
        <w:t xml:space="preserve">The tables categorise the major destinations reported by young people who participated in the </w:t>
      </w:r>
      <w:r w:rsidRPr="00985F69">
        <w:rPr>
          <w:i/>
        </w:rPr>
        <w:t>On Track</w:t>
      </w:r>
      <w:r w:rsidRPr="00985F69">
        <w:t xml:space="preserve"> survey.  These young people advised that they were enrolled in university</w:t>
      </w:r>
      <w:smartTag w:uri="urn:schemas-microsoft-com:office:smarttags" w:element="PersonName">
        <w:r w:rsidRPr="00985F69">
          <w:t>,</w:t>
        </w:r>
      </w:smartTag>
      <w:r w:rsidRPr="00985F69">
        <w:t xml:space="preserve"> enrolled in TAFE/VET</w:t>
      </w:r>
      <w:smartTag w:uri="urn:schemas-microsoft-com:office:smarttags" w:element="PersonName">
        <w:r w:rsidRPr="00985F69">
          <w:t>,</w:t>
        </w:r>
      </w:smartTag>
      <w:r w:rsidRPr="00985F69">
        <w:t xml:space="preserve"> undertaking an apprenticeship or traineeship</w:t>
      </w:r>
      <w:smartTag w:uri="urn:schemas-microsoft-com:office:smarttags" w:element="PersonName">
        <w:r w:rsidRPr="00985F69">
          <w:t>,</w:t>
        </w:r>
      </w:smartTag>
      <w:r w:rsidRPr="00985F69">
        <w:t xml:space="preserve"> employed</w:t>
      </w:r>
      <w:smartTag w:uri="urn:schemas-microsoft-com:office:smarttags" w:element="PersonName">
        <w:r w:rsidRPr="00985F69">
          <w:t>,</w:t>
        </w:r>
      </w:smartTag>
      <w:r w:rsidRPr="00985F69">
        <w:t xml:space="preserve"> seeking work or had deferred a tertiary place.  The tables also indicate the number of consenting young peo</w:t>
      </w:r>
      <w:r w:rsidR="000932BE" w:rsidRPr="00985F69">
        <w:t>p</w:t>
      </w:r>
      <w:r w:rsidR="00B16A89">
        <w:t>le who completed Year 12 in 2011</w:t>
      </w:r>
      <w:smartTag w:uri="urn:schemas-microsoft-com:office:smarttags" w:element="PersonName">
        <w:r w:rsidRPr="00985F69">
          <w:t>,</w:t>
        </w:r>
      </w:smartTag>
      <w:r w:rsidRPr="00985F69">
        <w:t xml:space="preserve"> and the percentage of those who applied to a university or TAFE/VET institution and the number of offers made.</w:t>
      </w:r>
    </w:p>
    <w:p w14:paraId="42C40BF8" w14:textId="77777777" w:rsidR="006147C6" w:rsidRPr="00985F69" w:rsidRDefault="006147C6" w:rsidP="0073349C">
      <w:pPr>
        <w:pStyle w:val="numberedheadingparagraph"/>
      </w:pPr>
      <w:r w:rsidRPr="00985F69">
        <w:t>What are the strengths of the data?</w:t>
      </w:r>
    </w:p>
    <w:p w14:paraId="42C40BF9" w14:textId="77777777" w:rsidR="006147C6" w:rsidRPr="00985F69" w:rsidRDefault="006147C6" w:rsidP="007454E4">
      <w:pPr>
        <w:pStyle w:val="BodyText"/>
      </w:pPr>
      <w:r w:rsidRPr="00985F69">
        <w:t>The data provides an accurate snapshot of what young people are doing in the months after the end of the school year.  It recognises that not all young people attend university</w:t>
      </w:r>
      <w:smartTag w:uri="urn:schemas-microsoft-com:office:smarttags" w:element="PersonName">
        <w:r w:rsidRPr="00985F69">
          <w:t>,</w:t>
        </w:r>
      </w:smartTag>
      <w:r w:rsidRPr="00985F69">
        <w:t xml:space="preserve"> or wish to do so</w:t>
      </w:r>
      <w:smartTag w:uri="urn:schemas-microsoft-com:office:smarttags" w:element="PersonName">
        <w:r w:rsidRPr="00985F69">
          <w:t>,</w:t>
        </w:r>
      </w:smartTag>
      <w:r w:rsidRPr="00985F69">
        <w:t xml:space="preserve"> and that there is a range of other possible successful outcomes available.  It must be noted that the data only reflects the destination of young people at the date of the survey.  This may differ from their expectations at the time of finishing school or their circumstances since the survey.</w:t>
      </w:r>
    </w:p>
    <w:p w14:paraId="42C40BFA" w14:textId="77777777" w:rsidR="006147C6" w:rsidRPr="00985F69" w:rsidRDefault="006147C6" w:rsidP="0073349C">
      <w:pPr>
        <w:pStyle w:val="numberedheadingparagraph"/>
      </w:pPr>
      <w:r w:rsidRPr="00985F69">
        <w:t xml:space="preserve">What will the data </w:t>
      </w:r>
      <w:proofErr w:type="gramStart"/>
      <w:r w:rsidRPr="00985F69">
        <w:t>be</w:t>
      </w:r>
      <w:proofErr w:type="gramEnd"/>
      <w:r w:rsidRPr="00985F69">
        <w:t xml:space="preserve"> used for?</w:t>
      </w:r>
    </w:p>
    <w:p w14:paraId="42C40BFB" w14:textId="77777777" w:rsidR="006147C6" w:rsidRPr="00985F69" w:rsidRDefault="006147C6" w:rsidP="007454E4">
      <w:pPr>
        <w:pStyle w:val="BodyText"/>
      </w:pPr>
      <w:r w:rsidRPr="00985F69">
        <w:rPr>
          <w:i/>
          <w:lang w:val="en"/>
        </w:rPr>
        <w:t xml:space="preserve">On Track </w:t>
      </w:r>
      <w:r w:rsidRPr="00985F69">
        <w:rPr>
          <w:lang w:val="en"/>
        </w:rPr>
        <w:t>destination data will help the Victorian Government improve education programs available as well as support to young people. It provides a broader range of information for parents and the local community and schools.</w:t>
      </w:r>
    </w:p>
    <w:p w14:paraId="42C40BFC" w14:textId="77777777" w:rsidR="006147C6" w:rsidRPr="00985F69" w:rsidRDefault="006147C6" w:rsidP="0073349C">
      <w:pPr>
        <w:pStyle w:val="numberedheadingparagraph"/>
      </w:pPr>
      <w:r w:rsidRPr="00985F69">
        <w:t>What about the young people who are looking for work?</w:t>
      </w:r>
    </w:p>
    <w:p w14:paraId="42C40BFD" w14:textId="77777777" w:rsidR="006147C6" w:rsidRPr="00985F69" w:rsidRDefault="006147C6" w:rsidP="007454E4">
      <w:pPr>
        <w:pStyle w:val="BodyText"/>
      </w:pPr>
      <w:r w:rsidRPr="00985F69">
        <w:t>In addition to collecting destination data</w:t>
      </w:r>
      <w:smartTag w:uri="urn:schemas-microsoft-com:office:smarttags" w:element="PersonName">
        <w:r w:rsidRPr="00985F69">
          <w:t>,</w:t>
        </w:r>
      </w:smartTag>
      <w:r w:rsidRPr="00985F69">
        <w:t xml:space="preserve"> the </w:t>
      </w:r>
      <w:r w:rsidRPr="00985F69">
        <w:rPr>
          <w:i/>
        </w:rPr>
        <w:t>On Track</w:t>
      </w:r>
      <w:r w:rsidRPr="00985F69">
        <w:t xml:space="preserve"> survey identifies young people who may need further help in reaching their career goals.  Young people who at the time of the survey</w:t>
      </w:r>
      <w:smartTag w:uri="urn:schemas-microsoft-com:office:smarttags" w:element="PersonName">
        <w:r w:rsidRPr="00985F69">
          <w:t>,</w:t>
        </w:r>
      </w:smartTag>
      <w:r w:rsidRPr="00985F69">
        <w:t xml:space="preserve"> were not in full time employment</w:t>
      </w:r>
      <w:smartTag w:uri="urn:schemas-microsoft-com:office:smarttags" w:element="PersonName">
        <w:r w:rsidRPr="00985F69">
          <w:t>,</w:t>
        </w:r>
      </w:smartTag>
      <w:r w:rsidRPr="00985F69">
        <w:t xml:space="preserve"> or education and training were offered a referral for additional assistance to a Yout</w:t>
      </w:r>
      <w:r w:rsidR="00B16A89">
        <w:t xml:space="preserve">h Transition Support provider. </w:t>
      </w:r>
    </w:p>
    <w:p w14:paraId="42C40BFE" w14:textId="77777777" w:rsidR="006147C6" w:rsidRPr="00985F69" w:rsidRDefault="006147C6" w:rsidP="0073349C">
      <w:pPr>
        <w:pStyle w:val="numberedheadingparagraph"/>
      </w:pPr>
      <w:r w:rsidRPr="00985F69">
        <w:t>Why is my school not listed?</w:t>
      </w:r>
    </w:p>
    <w:p w14:paraId="42C40BFF" w14:textId="77777777" w:rsidR="006147C6" w:rsidRPr="00985F69" w:rsidRDefault="006147C6" w:rsidP="007454E4">
      <w:pPr>
        <w:pStyle w:val="BodyText"/>
      </w:pPr>
      <w:r w:rsidRPr="00985F69">
        <w:t>Data from most secondary schools and a number of other providers have been included in the tables for publication.  The remaining providers have not been included because the numbers of students</w:t>
      </w:r>
      <w:smartTag w:uri="urn:schemas-microsoft-com:office:smarttags" w:element="PersonName">
        <w:r w:rsidRPr="00985F69">
          <w:t>,</w:t>
        </w:r>
      </w:smartTag>
      <w:r w:rsidRPr="00985F69">
        <w:t xml:space="preserve"> or the numbers of students responding to the telephone survey</w:t>
      </w:r>
      <w:smartTag w:uri="urn:schemas-microsoft-com:office:smarttags" w:element="PersonName">
        <w:r w:rsidRPr="00985F69">
          <w:t>,</w:t>
        </w:r>
      </w:smartTag>
      <w:r w:rsidRPr="00985F69">
        <w:t xml:space="preserve"> were insufficient to provide reliable data.</w:t>
      </w:r>
    </w:p>
    <w:p w14:paraId="42C40C00" w14:textId="77777777" w:rsidR="006147C6" w:rsidRPr="00985F69" w:rsidRDefault="006147C6" w:rsidP="00780468">
      <w:pPr>
        <w:spacing w:before="120"/>
        <w:rPr>
          <w:rFonts w:ascii="Arial" w:hAnsi="Arial" w:cs="Arial"/>
          <w:sz w:val="22"/>
          <w:szCs w:val="22"/>
        </w:rPr>
      </w:pPr>
    </w:p>
    <w:p w14:paraId="42C40C01" w14:textId="77777777" w:rsidR="0004207D" w:rsidRDefault="0004207D"/>
    <w:sectPr w:rsidR="0004207D" w:rsidSect="0023770A">
      <w:footerReference w:type="even" r:id="rId11"/>
      <w:footerReference w:type="default" r:id="rId12"/>
      <w:pgSz w:w="11907" w:h="16840" w:code="9"/>
      <w:pgMar w:top="720" w:right="851" w:bottom="964"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40C04" w14:textId="77777777" w:rsidR="00DA444F" w:rsidRDefault="00DA444F">
      <w:r>
        <w:separator/>
      </w:r>
    </w:p>
  </w:endnote>
  <w:endnote w:type="continuationSeparator" w:id="0">
    <w:p w14:paraId="42C40C05" w14:textId="77777777" w:rsidR="00DA444F" w:rsidRDefault="00DA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40C06" w14:textId="77777777" w:rsidR="00A26933" w:rsidRDefault="00A26933" w:rsidP="007D3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40C07" w14:textId="77777777" w:rsidR="00A26933" w:rsidRDefault="00A26933" w:rsidP="00F200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40C08" w14:textId="77777777" w:rsidR="00A26933" w:rsidRDefault="00A26933" w:rsidP="007D3979">
    <w:pPr>
      <w:pStyle w:val="Footer"/>
      <w:framePr w:wrap="around" w:vAnchor="text" w:hAnchor="margin" w:xAlign="right" w:y="1"/>
      <w:rPr>
        <w:rStyle w:val="PageNumber"/>
      </w:rPr>
    </w:pPr>
  </w:p>
  <w:p w14:paraId="42C40C09" w14:textId="77777777" w:rsidR="00A26933" w:rsidRPr="00A42CE3" w:rsidRDefault="00A26933" w:rsidP="00F200FE">
    <w:pPr>
      <w:pStyle w:val="Footer"/>
      <w:ind w:right="360"/>
      <w:jc w:val="center"/>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40C02" w14:textId="77777777" w:rsidR="00DA444F" w:rsidRDefault="00DA444F">
      <w:r>
        <w:separator/>
      </w:r>
    </w:p>
  </w:footnote>
  <w:footnote w:type="continuationSeparator" w:id="0">
    <w:p w14:paraId="42C40C03" w14:textId="77777777" w:rsidR="00DA444F" w:rsidRDefault="00DA4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0A68"/>
    <w:multiLevelType w:val="multilevel"/>
    <w:tmpl w:val="0E66D462"/>
    <w:lvl w:ilvl="0">
      <w:start w:val="1"/>
      <w:numFmt w:val="decimal"/>
      <w:lvlText w:val="%1."/>
      <w:lvlJc w:val="left"/>
      <w:pPr>
        <w:ind w:left="360" w:hanging="360"/>
      </w:pPr>
      <w:rPr>
        <w:rFonts w:ascii="Arial" w:hAnsi="Arial"/>
        <w:b/>
        <w:bCs/>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8262D3"/>
    <w:multiLevelType w:val="hybridMultilevel"/>
    <w:tmpl w:val="F1BE97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D212921"/>
    <w:multiLevelType w:val="hybridMultilevel"/>
    <w:tmpl w:val="649C0FD6"/>
    <w:lvl w:ilvl="0" w:tplc="D0840AFC">
      <w:start w:val="1"/>
      <w:numFmt w:val="decimal"/>
      <w:pStyle w:val="numberedheadingparagraph"/>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A471F82"/>
    <w:multiLevelType w:val="hybridMultilevel"/>
    <w:tmpl w:val="D2EC6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ABB5C02"/>
    <w:multiLevelType w:val="hybridMultilevel"/>
    <w:tmpl w:val="0E66D4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7C6"/>
    <w:rsid w:val="0004207D"/>
    <w:rsid w:val="00056821"/>
    <w:rsid w:val="000932BE"/>
    <w:rsid w:val="000E0D91"/>
    <w:rsid w:val="00135D31"/>
    <w:rsid w:val="001772B0"/>
    <w:rsid w:val="001E4E53"/>
    <w:rsid w:val="00220255"/>
    <w:rsid w:val="00226BCB"/>
    <w:rsid w:val="0023770A"/>
    <w:rsid w:val="00237D83"/>
    <w:rsid w:val="00240D83"/>
    <w:rsid w:val="00242CF1"/>
    <w:rsid w:val="00244CCF"/>
    <w:rsid w:val="0025238D"/>
    <w:rsid w:val="00264189"/>
    <w:rsid w:val="002766E3"/>
    <w:rsid w:val="002B7908"/>
    <w:rsid w:val="002C3E02"/>
    <w:rsid w:val="003148B6"/>
    <w:rsid w:val="0031759C"/>
    <w:rsid w:val="00326128"/>
    <w:rsid w:val="00342193"/>
    <w:rsid w:val="003A69F4"/>
    <w:rsid w:val="003C2ED1"/>
    <w:rsid w:val="003C4A98"/>
    <w:rsid w:val="00402B17"/>
    <w:rsid w:val="004258B6"/>
    <w:rsid w:val="00451D39"/>
    <w:rsid w:val="00481C9D"/>
    <w:rsid w:val="00495258"/>
    <w:rsid w:val="004A1734"/>
    <w:rsid w:val="004B0BA5"/>
    <w:rsid w:val="004F303D"/>
    <w:rsid w:val="00504988"/>
    <w:rsid w:val="00561320"/>
    <w:rsid w:val="005C33A1"/>
    <w:rsid w:val="006147C6"/>
    <w:rsid w:val="0062346C"/>
    <w:rsid w:val="0063568B"/>
    <w:rsid w:val="006D1061"/>
    <w:rsid w:val="006F35C6"/>
    <w:rsid w:val="006F4388"/>
    <w:rsid w:val="0073349C"/>
    <w:rsid w:val="007454E4"/>
    <w:rsid w:val="00780468"/>
    <w:rsid w:val="00787BE7"/>
    <w:rsid w:val="007D3979"/>
    <w:rsid w:val="007D694A"/>
    <w:rsid w:val="007E44F3"/>
    <w:rsid w:val="00820554"/>
    <w:rsid w:val="00822344"/>
    <w:rsid w:val="00862109"/>
    <w:rsid w:val="008675BA"/>
    <w:rsid w:val="008844D5"/>
    <w:rsid w:val="008D17D1"/>
    <w:rsid w:val="00900F0D"/>
    <w:rsid w:val="00932C7B"/>
    <w:rsid w:val="009675E8"/>
    <w:rsid w:val="00985F69"/>
    <w:rsid w:val="009A1995"/>
    <w:rsid w:val="009B31F3"/>
    <w:rsid w:val="009B5B0A"/>
    <w:rsid w:val="00A17972"/>
    <w:rsid w:val="00A26933"/>
    <w:rsid w:val="00A3537D"/>
    <w:rsid w:val="00AA657B"/>
    <w:rsid w:val="00B11E8F"/>
    <w:rsid w:val="00B16A89"/>
    <w:rsid w:val="00B36AE3"/>
    <w:rsid w:val="00B41A0A"/>
    <w:rsid w:val="00B65DCD"/>
    <w:rsid w:val="00B67537"/>
    <w:rsid w:val="00B832F3"/>
    <w:rsid w:val="00BC58F6"/>
    <w:rsid w:val="00BF35C2"/>
    <w:rsid w:val="00C12C12"/>
    <w:rsid w:val="00C37CFF"/>
    <w:rsid w:val="00C45B59"/>
    <w:rsid w:val="00C46065"/>
    <w:rsid w:val="00C657BB"/>
    <w:rsid w:val="00C82147"/>
    <w:rsid w:val="00C8402B"/>
    <w:rsid w:val="00CD1FBE"/>
    <w:rsid w:val="00CF44DC"/>
    <w:rsid w:val="00D02918"/>
    <w:rsid w:val="00D038F6"/>
    <w:rsid w:val="00D46EBC"/>
    <w:rsid w:val="00DA444F"/>
    <w:rsid w:val="00DB4DE3"/>
    <w:rsid w:val="00DC6BAC"/>
    <w:rsid w:val="00DE0E53"/>
    <w:rsid w:val="00DF64A5"/>
    <w:rsid w:val="00E827DE"/>
    <w:rsid w:val="00E96487"/>
    <w:rsid w:val="00E97B97"/>
    <w:rsid w:val="00EA268E"/>
    <w:rsid w:val="00EE555B"/>
    <w:rsid w:val="00F036D3"/>
    <w:rsid w:val="00F14A49"/>
    <w:rsid w:val="00F200FE"/>
    <w:rsid w:val="00F35102"/>
    <w:rsid w:val="00F43541"/>
    <w:rsid w:val="00FA747C"/>
    <w:rsid w:val="00FE5E02"/>
    <w:rsid w:val="00FF6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2C4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7C6"/>
    <w:rPr>
      <w:sz w:val="26"/>
      <w:szCs w:val="24"/>
      <w:lang w:eastAsia="en-US"/>
    </w:rPr>
  </w:style>
  <w:style w:type="paragraph" w:styleId="Heading1">
    <w:name w:val="heading 1"/>
    <w:basedOn w:val="Normal"/>
    <w:next w:val="Normal"/>
    <w:link w:val="Heading1Char"/>
    <w:qFormat/>
    <w:rsid w:val="006147C6"/>
    <w:pPr>
      <w:keepNext/>
      <w:outlineLvl w:val="0"/>
    </w:pPr>
    <w:rPr>
      <w:b/>
      <w:sz w:val="24"/>
      <w:szCs w:val="20"/>
    </w:rPr>
  </w:style>
  <w:style w:type="paragraph" w:styleId="Heading2">
    <w:name w:val="heading 2"/>
    <w:basedOn w:val="Normal"/>
    <w:next w:val="Normal"/>
    <w:link w:val="Heading2Char"/>
    <w:qFormat/>
    <w:rsid w:val="006147C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47C6"/>
    <w:rPr>
      <w:b/>
      <w:sz w:val="24"/>
      <w:lang w:eastAsia="en-US"/>
    </w:rPr>
  </w:style>
  <w:style w:type="character" w:customStyle="1" w:styleId="Heading2Char">
    <w:name w:val="Heading 2 Char"/>
    <w:link w:val="Heading2"/>
    <w:rsid w:val="006147C6"/>
    <w:rPr>
      <w:rFonts w:ascii="Arial" w:hAnsi="Arial" w:cs="Arial"/>
      <w:b/>
      <w:bCs/>
      <w:i/>
      <w:iCs/>
      <w:sz w:val="28"/>
      <w:szCs w:val="28"/>
      <w:lang w:eastAsia="en-US"/>
    </w:rPr>
  </w:style>
  <w:style w:type="character" w:styleId="Hyperlink">
    <w:name w:val="Hyperlink"/>
    <w:rsid w:val="006147C6"/>
    <w:rPr>
      <w:color w:val="0000FF"/>
      <w:u w:val="single"/>
    </w:rPr>
  </w:style>
  <w:style w:type="paragraph" w:styleId="Header">
    <w:name w:val="header"/>
    <w:basedOn w:val="Normal"/>
    <w:link w:val="HeaderChar"/>
    <w:rsid w:val="006147C6"/>
    <w:pPr>
      <w:tabs>
        <w:tab w:val="center" w:pos="4153"/>
        <w:tab w:val="right" w:pos="8306"/>
      </w:tabs>
    </w:pPr>
  </w:style>
  <w:style w:type="character" w:customStyle="1" w:styleId="HeaderChar">
    <w:name w:val="Header Char"/>
    <w:link w:val="Header"/>
    <w:rsid w:val="006147C6"/>
    <w:rPr>
      <w:sz w:val="26"/>
      <w:szCs w:val="24"/>
      <w:lang w:eastAsia="en-US"/>
    </w:rPr>
  </w:style>
  <w:style w:type="paragraph" w:styleId="Footer">
    <w:name w:val="footer"/>
    <w:basedOn w:val="Normal"/>
    <w:link w:val="FooterChar"/>
    <w:rsid w:val="006147C6"/>
    <w:pPr>
      <w:tabs>
        <w:tab w:val="center" w:pos="4153"/>
        <w:tab w:val="right" w:pos="8306"/>
      </w:tabs>
    </w:pPr>
  </w:style>
  <w:style w:type="character" w:customStyle="1" w:styleId="FooterChar">
    <w:name w:val="Footer Char"/>
    <w:link w:val="Footer"/>
    <w:rsid w:val="006147C6"/>
    <w:rPr>
      <w:sz w:val="26"/>
      <w:szCs w:val="24"/>
      <w:lang w:eastAsia="en-US"/>
    </w:rPr>
  </w:style>
  <w:style w:type="paragraph" w:styleId="BodyText">
    <w:name w:val="Body Text"/>
    <w:basedOn w:val="Normal"/>
    <w:link w:val="BodyTextChar"/>
    <w:rsid w:val="007454E4"/>
    <w:pPr>
      <w:spacing w:after="120"/>
      <w:ind w:left="357" w:right="-1"/>
    </w:pPr>
    <w:rPr>
      <w:rFonts w:ascii="Arial" w:hAnsi="Arial" w:cs="Arial"/>
      <w:color w:val="000000"/>
      <w:sz w:val="22"/>
      <w:szCs w:val="22"/>
    </w:rPr>
  </w:style>
  <w:style w:type="character" w:customStyle="1" w:styleId="BodyTextChar">
    <w:name w:val="Body Text Char"/>
    <w:link w:val="BodyText"/>
    <w:rsid w:val="007454E4"/>
    <w:rPr>
      <w:rFonts w:ascii="Arial" w:hAnsi="Arial" w:cs="Arial"/>
      <w:color w:val="000000"/>
      <w:sz w:val="22"/>
      <w:szCs w:val="22"/>
      <w:lang w:eastAsia="en-US"/>
    </w:rPr>
  </w:style>
  <w:style w:type="paragraph" w:styleId="NormalWeb">
    <w:name w:val="Normal (Web)"/>
    <w:basedOn w:val="Normal"/>
    <w:rsid w:val="006147C6"/>
    <w:pPr>
      <w:spacing w:after="100" w:afterAutospacing="1"/>
    </w:pPr>
    <w:rPr>
      <w:sz w:val="19"/>
      <w:szCs w:val="19"/>
      <w:lang w:eastAsia="en-AU"/>
    </w:rPr>
  </w:style>
  <w:style w:type="character" w:styleId="Emphasis">
    <w:name w:val="Emphasis"/>
    <w:qFormat/>
    <w:rsid w:val="006147C6"/>
    <w:rPr>
      <w:i/>
      <w:iCs/>
    </w:rPr>
  </w:style>
  <w:style w:type="character" w:styleId="PageNumber">
    <w:name w:val="page number"/>
    <w:basedOn w:val="DefaultParagraphFont"/>
    <w:rsid w:val="00F200FE"/>
  </w:style>
  <w:style w:type="paragraph" w:customStyle="1" w:styleId="numberedheadingparagraph">
    <w:name w:val="numbered heading paragraph"/>
    <w:basedOn w:val="Normal"/>
    <w:link w:val="numberedheadingparagraphChar"/>
    <w:qFormat/>
    <w:rsid w:val="0073349C"/>
    <w:pPr>
      <w:numPr>
        <w:numId w:val="4"/>
      </w:numPr>
      <w:spacing w:after="120"/>
      <w:ind w:left="357" w:hanging="357"/>
    </w:pPr>
    <w:rPr>
      <w:rFonts w:ascii="Arial" w:hAnsi="Arial" w:cs="Arial"/>
      <w:b/>
      <w:bCs/>
      <w:color w:val="000000"/>
      <w:sz w:val="22"/>
      <w:szCs w:val="22"/>
    </w:rPr>
  </w:style>
  <w:style w:type="character" w:customStyle="1" w:styleId="numberedheadingparagraphChar">
    <w:name w:val="numbered heading paragraph Char"/>
    <w:link w:val="numberedheadingparagraph"/>
    <w:rsid w:val="0073349C"/>
    <w:rPr>
      <w:rFonts w:ascii="Arial" w:hAnsi="Arial" w:cs="Arial"/>
      <w:b/>
      <w:bCs/>
      <w:color w:val="000000"/>
      <w:sz w:val="22"/>
      <w:szCs w:val="22"/>
      <w:lang w:eastAsia="en-US"/>
    </w:rPr>
  </w:style>
  <w:style w:type="paragraph" w:styleId="BalloonText">
    <w:name w:val="Balloon Text"/>
    <w:basedOn w:val="Normal"/>
    <w:link w:val="BalloonTextChar"/>
    <w:rsid w:val="00EA268E"/>
    <w:rPr>
      <w:rFonts w:ascii="Tahoma" w:hAnsi="Tahoma" w:cs="Tahoma"/>
      <w:sz w:val="16"/>
      <w:szCs w:val="16"/>
    </w:rPr>
  </w:style>
  <w:style w:type="character" w:customStyle="1" w:styleId="BalloonTextChar">
    <w:name w:val="Balloon Text Char"/>
    <w:basedOn w:val="DefaultParagraphFont"/>
    <w:link w:val="BalloonText"/>
    <w:rsid w:val="00EA268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441069">
      <w:bodyDiv w:val="1"/>
      <w:marLeft w:val="0"/>
      <w:marRight w:val="0"/>
      <w:marTop w:val="0"/>
      <w:marBottom w:val="0"/>
      <w:divBdr>
        <w:top w:val="none" w:sz="0" w:space="0" w:color="auto"/>
        <w:left w:val="none" w:sz="0" w:space="0" w:color="auto"/>
        <w:bottom w:val="none" w:sz="0" w:space="0" w:color="auto"/>
        <w:right w:val="none" w:sz="0" w:space="0" w:color="auto"/>
      </w:divBdr>
    </w:div>
    <w:div w:id="831028523">
      <w:bodyDiv w:val="1"/>
      <w:marLeft w:val="0"/>
      <w:marRight w:val="0"/>
      <w:marTop w:val="0"/>
      <w:marBottom w:val="0"/>
      <w:divBdr>
        <w:top w:val="none" w:sz="0" w:space="0" w:color="auto"/>
        <w:left w:val="none" w:sz="0" w:space="0" w:color="auto"/>
        <w:bottom w:val="none" w:sz="0" w:space="0" w:color="auto"/>
        <w:right w:val="none" w:sz="0" w:space="0" w:color="auto"/>
      </w:divBdr>
    </w:div>
    <w:div w:id="1068842155">
      <w:bodyDiv w:val="1"/>
      <w:marLeft w:val="0"/>
      <w:marRight w:val="0"/>
      <w:marTop w:val="0"/>
      <w:marBottom w:val="0"/>
      <w:divBdr>
        <w:top w:val="none" w:sz="0" w:space="0" w:color="auto"/>
        <w:left w:val="none" w:sz="0" w:space="0" w:color="auto"/>
        <w:bottom w:val="none" w:sz="0" w:space="0" w:color="auto"/>
        <w:right w:val="none" w:sz="0" w:space="0" w:color="auto"/>
      </w:divBdr>
    </w:div>
    <w:div w:id="1636640690">
      <w:bodyDiv w:val="1"/>
      <w:marLeft w:val="0"/>
      <w:marRight w:val="0"/>
      <w:marTop w:val="0"/>
      <w:marBottom w:val="0"/>
      <w:divBdr>
        <w:top w:val="none" w:sz="0" w:space="0" w:color="auto"/>
        <w:left w:val="none" w:sz="0" w:space="0" w:color="auto"/>
        <w:bottom w:val="none" w:sz="0" w:space="0" w:color="auto"/>
        <w:right w:val="none" w:sz="0" w:space="0" w:color="auto"/>
      </w:divBdr>
    </w:div>
    <w:div w:id="1798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96</Value>
      <Value>94</Value>
      <Value>129</Value>
      <Value>101</Value>
    </TaxCatchAll>
    <PublishingExpirationDate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Publisher xmlns="http://schemas.microsoft.com/sharepoint/v3">Department of Education and Early Childhood Development</DEECD_Publisher>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DEECD_Expired xmlns="http://schemas.microsoft.com/sharepoint/v3">false</DEECD_Expired>
    <DEECD_Keywords xmlns="http://schemas.microsoft.com/sharepoint/v3" xsi:nil="true"/>
    <DEECD_Description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6875E669-9A61-4BBB-81D9-32B5F751C377}"/>
</file>

<file path=customXml/itemProps2.xml><?xml version="1.0" encoding="utf-8"?>
<ds:datastoreItem xmlns:ds="http://schemas.openxmlformats.org/officeDocument/2006/customXml" ds:itemID="{92C8A393-48B5-4AB1-98F8-A4AEAF9010BD}"/>
</file>

<file path=customXml/itemProps3.xml><?xml version="1.0" encoding="utf-8"?>
<ds:datastoreItem xmlns:ds="http://schemas.openxmlformats.org/officeDocument/2006/customXml" ds:itemID="{DAF59EE9-8016-450D-BA80-B52A760E1C7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Notes on the Destinations Data 2012</vt:lpstr>
    </vt:vector>
  </TitlesOfParts>
  <Company>Department of Education</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on the Destinations Data 2012</dc:title>
  <dc:subject/>
  <dc:creator>08302511</dc:creator>
  <cp:keywords/>
  <cp:lastModifiedBy>Nicola M Ramsay</cp:lastModifiedBy>
  <cp:revision>2</cp:revision>
  <cp:lastPrinted>2012-05-23T02:15:00Z</cp:lastPrinted>
  <dcterms:created xsi:type="dcterms:W3CDTF">2012-11-21T23:08:00Z</dcterms:created>
  <dcterms:modified xsi:type="dcterms:W3CDTF">2012-11-21T23:08:00Z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96;#Administration|6dd5b576-1960-4eea-bf7a-adeffddbbc25</vt:lpwstr>
  </property>
  <property fmtid="{D5CDD505-2E9C-101B-9397-08002B2CF9AE}" pid="5" name="DEECD_PageLanguage">
    <vt:lpwstr>1;#en-AU|09a79c66-a57f-4b52-ac52-4c16941cab37</vt:lpwstr>
  </property>
  <property fmtid="{D5CDD505-2E9C-101B-9397-08002B2CF9AE}" pid="6" name="DEECD_ItemType">
    <vt:lpwstr>101;#Page|eb523acf-a821-456c-a76b-7607578309d7</vt:lpwstr>
  </property>
  <property fmtid="{D5CDD505-2E9C-101B-9397-08002B2CF9AE}" pid="7" name="DEECD_Audience">
    <vt:lpwstr>129;#Students|a9021d24-53aa-4cc0-8f90-0782c94ea88b</vt:lpwstr>
  </property>
</Properties>
</file>