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Ararat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Ararat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Ararat (RC)</w:t>
      </w:r>
      <w:r w:rsidRPr="00737C52">
        <w:rPr>
          <w:rFonts w:ascii="Arial" w:hAnsi="Arial" w:cs="Arial"/>
          <w:sz w:val="22"/>
          <w:szCs w:val="22"/>
        </w:rPr>
        <w:t xml:space="preserve">, there were </w:t>
      </w:r>
      <w:proofErr w:type="spellStart"/>
      <w:proofErr w:type="spellEnd"/>
      <w:r>
        <w:rPr>
          <w:rFonts w:ascii="Arial" w:hAnsi="Arial" w:cs="Arial"/>
          <w:sz w:val="22"/>
          <w:szCs w:val="22"/>
        </w:rPr>
        <w:t>98</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86.7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86</w:t>
            </w:r>
          </w:p>
        </w:tc>
        <w:tc>
          <w:tcPr>
            <w:tcW w:w="993" w:type="dxa"/>
            <w:shd w:val="clear" w:color="auto" w:fill="DBD9D6"/>
            <w:vAlign w:val="center"/>
          </w:tcPr>
          <w:p w14:paraId="5D8532A7" w14:textId="77777777" w:rsidR="001E029F" w:rsidRPr="002A4320" w:rsidRDefault="001E029F" w:rsidP="00621F74">
            <w:pPr>
              <w:jc w:val="right"/>
            </w:pPr>
            <w:r>
              <w:t>87.3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w:t>
            </w:r>
          </w:p>
        </w:tc>
        <w:tc>
          <w:tcPr>
            <w:tcW w:w="993" w:type="dxa"/>
            <w:shd w:val="clear" w:color="auto" w:fill="DBD9D6"/>
            <w:vAlign w:val="center"/>
          </w:tcPr>
          <w:p w14:paraId="4D8AF476" w14:textId="77777777" w:rsidR="001E029F" w:rsidRPr="002A4320" w:rsidRDefault="001E029F" w:rsidP="00621F74">
            <w:pPr>
              <w:jc w:val="right"/>
            </w:pPr>
            <w:r>
              <w:t>10.1</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w:t>
            </w:r>
          </w:p>
        </w:tc>
        <w:tc>
          <w:tcPr>
            <w:tcW w:w="993" w:type="dxa"/>
            <w:vAlign w:val="center"/>
          </w:tcPr>
          <w:p w14:paraId="5A2AACA3" w14:textId="77777777" w:rsidR="001E029F" w:rsidRPr="002A4320" w:rsidRDefault="001E029F" w:rsidP="00621F74">
            <w:pPr>
              <w:jc w:val="right"/>
            </w:pPr>
            <w:r>
              <w:t>47.1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w:t>
            </w:r>
          </w:p>
        </w:tc>
        <w:tc>
          <w:tcPr>
            <w:tcW w:w="993" w:type="dxa"/>
            <w:shd w:val="clear" w:color="auto" w:fill="DBD9D6"/>
            <w:vAlign w:val="center"/>
          </w:tcPr>
          <w:p w14:paraId="381D2E35" w14:textId="77777777" w:rsidR="001E029F" w:rsidRPr="002A4320" w:rsidRDefault="001E029F" w:rsidP="00621F74">
            <w:pPr>
              <w:jc w:val="right"/>
            </w:pPr>
            <w:r>
              <w:t>14.5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52.6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w:t>
            </w:r>
          </w:p>
        </w:tc>
        <w:tc>
          <w:tcPr>
            <w:tcW w:w="992" w:type="dxa"/>
            <w:shd w:val="clear" w:color="auto" w:fill="auto"/>
            <w:vAlign w:val="center"/>
          </w:tcPr>
          <w:p w14:paraId="16DEDDFE" w14:textId="77777777" w:rsidR="001E029F" w:rsidRPr="000309BB" w:rsidRDefault="001E029F" w:rsidP="00621F74">
            <w:pPr>
              <w:jc w:val="right"/>
            </w:pPr>
            <w:r>
              <w:t>12.3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25</w:t>
            </w:r>
          </w:p>
        </w:tc>
        <w:tc>
          <w:tcPr>
            <w:tcW w:w="992" w:type="dxa"/>
            <w:shd w:val="clear" w:color="auto" w:fill="DBD9D6"/>
            <w:vAlign w:val="center"/>
          </w:tcPr>
          <w:p w14:paraId="0369F49C" w14:textId="77777777" w:rsidR="001E029F" w:rsidRPr="000309BB" w:rsidRDefault="001E029F" w:rsidP="00621F74">
            <w:pPr>
              <w:jc w:val="right"/>
            </w:pPr>
            <w:r>
              <w:t>25.8</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w:t>
            </w:r>
          </w:p>
        </w:tc>
        <w:tc>
          <w:tcPr>
            <w:tcW w:w="992" w:type="dxa"/>
            <w:vAlign w:val="center"/>
          </w:tcPr>
          <w:p w14:paraId="741712E5" w14:textId="77777777" w:rsidR="001E029F" w:rsidRPr="000309BB" w:rsidRDefault="001E029F" w:rsidP="00621F74">
            <w:pPr>
              <w:jc w:val="right"/>
            </w:pPr>
            <w:r>
              <w:t>28.7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75</w:t>
            </w:r>
          </w:p>
        </w:tc>
        <w:tc>
          <w:tcPr>
            <w:tcW w:w="997" w:type="dxa"/>
            <w:shd w:val="clear" w:color="auto" w:fill="DBD9D6"/>
            <w:vAlign w:val="center"/>
          </w:tcPr>
          <w:p w14:paraId="29E25415" w14:textId="77777777" w:rsidR="001E029F" w:rsidRPr="000309BB" w:rsidRDefault="001E029F" w:rsidP="00621F74">
            <w:pPr>
              <w:jc w:val="right"/>
            </w:pPr>
            <w:r>
              <w:t>76.3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24</w:t>
            </w:r>
          </w:p>
        </w:tc>
        <w:tc>
          <w:tcPr>
            <w:tcW w:w="997" w:type="dxa"/>
            <w:vAlign w:val="center"/>
          </w:tcPr>
          <w:p w14:paraId="3A93D8EB" w14:textId="77777777" w:rsidR="001E029F" w:rsidRPr="000309BB" w:rsidRDefault="001E029F" w:rsidP="00621F74">
            <w:pPr>
              <w:jc w:val="right"/>
            </w:pPr>
            <w:r>
              <w:t>24.1</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w:t>
            </w:r>
          </w:p>
        </w:tc>
        <w:tc>
          <w:tcPr>
            <w:tcW w:w="997" w:type="dxa"/>
            <w:vAlign w:val="center"/>
          </w:tcPr>
          <w:p w14:paraId="7B842FA7" w14:textId="77777777" w:rsidR="001E029F" w:rsidRPr="000309BB" w:rsidRDefault="001E029F" w:rsidP="00621F74">
            <w:pPr>
              <w:jc w:val="right"/>
            </w:pPr>
            <w:r>
              <w:t>16.5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69</w:t>
            </w:r>
          </w:p>
        </w:tc>
        <w:tc>
          <w:tcPr>
            <w:tcW w:w="997" w:type="dxa"/>
            <w:shd w:val="clear" w:color="auto" w:fill="DBD9D6"/>
            <w:vAlign w:val="center"/>
          </w:tcPr>
          <w:p w14:paraId="45437AB6" w14:textId="77777777" w:rsidR="001E029F" w:rsidRPr="000309BB" w:rsidRDefault="001E029F" w:rsidP="00621F74">
            <w:pPr>
              <w:jc w:val="right"/>
            </w:pPr>
            <w:r>
              <w:t>70.9</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w:t>
            </w:r>
          </w:p>
        </w:tc>
        <w:tc>
          <w:tcPr>
            <w:tcW w:w="997" w:type="dxa"/>
            <w:vAlign w:val="center"/>
          </w:tcPr>
          <w:p w14:paraId="2D8CC06E" w14:textId="77777777" w:rsidR="001E029F" w:rsidRPr="000309BB" w:rsidRDefault="001E029F" w:rsidP="00621F74">
            <w:pPr>
              <w:jc w:val="right"/>
            </w:pPr>
            <w:r>
              <w:t>8.3</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89</w:t>
            </w:r>
          </w:p>
        </w:tc>
        <w:tc>
          <w:tcPr>
            <w:tcW w:w="997" w:type="dxa"/>
            <w:shd w:val="clear" w:color="auto" w:fill="DBD9D6"/>
            <w:vAlign w:val="center"/>
          </w:tcPr>
          <w:p w14:paraId="5C6F2447" w14:textId="77777777" w:rsidR="001E029F" w:rsidRPr="000309BB" w:rsidRDefault="001E029F" w:rsidP="00621F74">
            <w:pPr>
              <w:jc w:val="right"/>
            </w:pPr>
            <w:r>
              <w:t>90.6</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15</w:t>
            </w:r>
          </w:p>
        </w:tc>
        <w:tc>
          <w:tcPr>
            <w:tcW w:w="992" w:type="dxa"/>
            <w:shd w:val="clear" w:color="auto" w:fill="auto"/>
            <w:vAlign w:val="center"/>
          </w:tcPr>
          <w:p w14:paraId="4F9FCCEA" w14:textId="77777777" w:rsidR="001E029F" w:rsidRPr="000309BB" w:rsidRDefault="001E029F" w:rsidP="00621F74">
            <w:pPr>
              <w:jc w:val="right"/>
            </w:pPr>
            <w:r>
              <w:t>14.8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w:t>
            </w:r>
          </w:p>
        </w:tc>
        <w:tc>
          <w:tcPr>
            <w:tcW w:w="992" w:type="dxa"/>
            <w:shd w:val="clear" w:color="auto" w:fill="DBD9D6"/>
            <w:vAlign w:val="center"/>
          </w:tcPr>
          <w:p w14:paraId="2F3BAF70" w14:textId="77777777" w:rsidR="001E029F" w:rsidRPr="000309BB" w:rsidRDefault="001E029F" w:rsidP="00621F74">
            <w:pPr>
              <w:jc w:val="right"/>
            </w:pPr>
            <w:r>
              <w:t>9.3</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31</w:t>
            </w:r>
          </w:p>
        </w:tc>
        <w:tc>
          <w:tcPr>
            <w:tcW w:w="992" w:type="dxa"/>
            <w:vAlign w:val="center"/>
          </w:tcPr>
          <w:p w14:paraId="61541F41" w14:textId="77777777" w:rsidR="001E029F" w:rsidRPr="000309BB" w:rsidRDefault="001E029F" w:rsidP="00621F74">
            <w:pPr>
              <w:jc w:val="right"/>
            </w:pPr>
            <w:r>
              <w:t>32.0</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w:t>
            </w:r>
          </w:p>
        </w:tc>
        <w:tc>
          <w:tcPr>
            <w:tcW w:w="979" w:type="dxa"/>
            <w:shd w:val="clear" w:color="auto" w:fill="DBD9D6"/>
            <w:vAlign w:val="center"/>
          </w:tcPr>
          <w:p w14:paraId="466860CA" w14:textId="77777777" w:rsidR="001E029F" w:rsidRPr="008202F2" w:rsidRDefault="001E029F" w:rsidP="00621F74">
            <w:pPr>
              <w:jc w:val="right"/>
            </w:pPr>
            <w:r>
              <w:t>10.9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w:t>
            </w:r>
          </w:p>
        </w:tc>
        <w:tc>
          <w:tcPr>
            <w:tcW w:w="979" w:type="dxa"/>
            <w:vAlign w:val="center"/>
          </w:tcPr>
          <w:p w14:paraId="583C26C8" w14:textId="77777777" w:rsidR="001E029F" w:rsidRPr="008202F2" w:rsidRDefault="001E029F" w:rsidP="00621F74">
            <w:pPr>
              <w:jc w:val="right"/>
            </w:pPr>
            <w:r>
              <w:t>12.5</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12</w:t>
            </w:r>
          </w:p>
        </w:tc>
        <w:tc>
          <w:tcPr>
            <w:tcW w:w="979" w:type="dxa"/>
            <w:shd w:val="clear" w:color="auto" w:fill="DBD9D6"/>
            <w:vAlign w:val="center"/>
          </w:tcPr>
          <w:p w14:paraId="5E3D7CDD" w14:textId="77777777" w:rsidR="001E029F" w:rsidRPr="008202F2" w:rsidRDefault="001E029F" w:rsidP="00621F74">
            <w:pPr>
              <w:jc w:val="right"/>
            </w:pPr>
            <w:r>
              <w:t>12.1</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w:t>
            </w:r>
          </w:p>
        </w:tc>
        <w:tc>
          <w:tcPr>
            <w:tcW w:w="979" w:type="dxa"/>
            <w:vAlign w:val="center"/>
          </w:tcPr>
          <w:p w14:paraId="0A1AA096" w14:textId="77777777" w:rsidR="001E029F" w:rsidRPr="008202F2" w:rsidRDefault="001E029F" w:rsidP="00621F74">
            <w:pPr>
              <w:jc w:val="right"/>
            </w:pPr>
            <w:r>
              <w:t>12.6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w:t>
            </w:r>
          </w:p>
        </w:tc>
        <w:tc>
          <w:tcPr>
            <w:tcW w:w="979" w:type="dxa"/>
            <w:vAlign w:val="center"/>
          </w:tcPr>
          <w:p w14:paraId="68FE02A9" w14:textId="77777777" w:rsidR="001E029F" w:rsidRPr="008202F2" w:rsidRDefault="001E029F" w:rsidP="00621F74">
            <w:pPr>
              <w:jc w:val="right"/>
            </w:pPr>
            <w:r>
              <w:t>10.1</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w:t>
            </w:r>
          </w:p>
        </w:tc>
        <w:tc>
          <w:tcPr>
            <w:tcW w:w="980" w:type="dxa"/>
            <w:shd w:val="clear" w:color="auto" w:fill="auto"/>
            <w:vAlign w:val="center"/>
          </w:tcPr>
          <w:p w14:paraId="32C27126" w14:textId="77777777" w:rsidR="001E029F" w:rsidRPr="000309BB" w:rsidRDefault="001E029F" w:rsidP="00621F74">
            <w:pPr>
              <w:jc w:val="right"/>
            </w:pPr>
            <w:r>
              <w:t>10.8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w:t>
            </w:r>
          </w:p>
        </w:tc>
        <w:tc>
          <w:tcPr>
            <w:tcW w:w="980" w:type="dxa"/>
            <w:shd w:val="clear" w:color="auto" w:fill="DBD9D6"/>
            <w:vAlign w:val="center"/>
          </w:tcPr>
          <w:p w14:paraId="599E26FE" w14:textId="77777777" w:rsidR="001E029F" w:rsidRPr="000309BB" w:rsidRDefault="001E029F" w:rsidP="00621F74">
            <w:pPr>
              <w:jc w:val="right"/>
            </w:pPr>
            <w:r>
              <w:t>6.2</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8.6</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6.2</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15</w:t>
            </w:r>
          </w:p>
        </w:tc>
        <w:tc>
          <w:tcPr>
            <w:tcW w:w="980" w:type="dxa"/>
            <w:shd w:val="clear" w:color="auto" w:fill="DBD9D6"/>
            <w:vAlign w:val="center"/>
          </w:tcPr>
          <w:p w14:paraId="2E7EF981" w14:textId="77777777" w:rsidR="001E029F" w:rsidRPr="000309BB" w:rsidRDefault="001E029F" w:rsidP="00621F74">
            <w:pPr>
              <w:jc w:val="right"/>
            </w:pPr>
            <w:r>
              <w:t>14.9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DF9A-5FEB-4DCE-9DBA-78A96A5CCE6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