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Hindmarsh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Hindmarsh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Hindmarsh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Hindmarsh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Hindmarsh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17</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34</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51</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16</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32</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48</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11</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24</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35</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64.7</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70.6</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68.6</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Hindmarsh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13</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12</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25</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11</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9</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20</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4</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1</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5</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30.8</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8.3</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20.0</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Hindmarsh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Hindmarsh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23</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65.7</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12</w:t>
            </w:r>
          </w:p>
        </w:tc>
        <w:tc>
          <w:tcPr>
            <w:tcW w:w="715" w:type="pct"/>
            <w:vAlign w:val="center"/>
          </w:tcPr>
          <w:p w14:paraId="703A91B0" w14:textId="77777777" w:rsidR="00656F60" w:rsidRPr="00727A26" w:rsidRDefault="00656F60" w:rsidP="00FB3C38">
            <w:pPr>
              <w:jc w:val="right"/>
            </w:pPr>
            <w:r>
              <w:t>34.3</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8</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22.9</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6</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17.1</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np</w:t>
            </w:r>
          </w:p>
        </w:tc>
        <w:tc>
          <w:tcPr>
            <w:tcW w:w="715" w:type="pct"/>
            <w:vAlign w:val="center"/>
          </w:tcPr>
          <w:p w14:paraId="703A91C8" w14:textId="77777777" w:rsidR="00656F60" w:rsidRPr="00727A26" w:rsidRDefault="00656F60" w:rsidP="00FB3C38">
            <w:pPr>
              <w:jc w:val="right"/>
            </w:pPr>
            <w:r>
              <w:t>np</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12</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34.3</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9</w:t>
            </w:r>
          </w:p>
        </w:tc>
        <w:tc>
          <w:tcPr>
            <w:tcW w:w="715" w:type="pct"/>
            <w:vAlign w:val="center"/>
          </w:tcPr>
          <w:p w14:paraId="703A91E0" w14:textId="77777777" w:rsidR="00656F60" w:rsidRPr="00727A26" w:rsidRDefault="00656F60" w:rsidP="00FB3C38">
            <w:pPr>
              <w:jc w:val="right"/>
            </w:pPr>
            <w:r>
              <w:t>25.7</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5</w:t>
            </w:r>
          </w:p>
        </w:tc>
        <w:tc>
          <w:tcPr>
            <w:tcW w:w="715" w:type="pct"/>
            <w:vAlign w:val="center"/>
          </w:tcPr>
          <w:p w14:paraId="703A91EC" w14:textId="77777777" w:rsidR="00656F60" w:rsidRPr="00727A26" w:rsidRDefault="00656F60" w:rsidP="00FB3C38">
            <w:pPr>
              <w:jc w:val="right"/>
            </w:pPr>
            <w:r>
              <w:t>14.3</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35</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Hindmarsh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Hindmarsh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23.7</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np</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15.8</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50.0</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np</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Hindmarsh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30.0</w:t>
            </w:r>
          </w:p>
        </w:tc>
        <w:tc>
          <w:tcPr>
            <w:tcW w:w="738" w:type="pct"/>
            <w:noWrap/>
            <w:vAlign w:val="center"/>
          </w:tcPr>
          <w:p w14:paraId="703A9229" w14:textId="77777777" w:rsidR="00656F60" w:rsidRPr="00017A47" w:rsidRDefault="00656F60" w:rsidP="00FB3C38">
            <w:pPr>
              <w:jc w:val="right"/>
            </w:pPr>
            <w:r>
              <w:t>np</w:t>
            </w:r>
          </w:p>
        </w:tc>
        <w:tc>
          <w:tcPr>
            <w:tcW w:w="843" w:type="pct"/>
            <w:noWrap/>
            <w:vAlign w:val="center"/>
          </w:tcPr>
          <w:p w14:paraId="703A922A" w14:textId="77777777" w:rsidR="00656F60" w:rsidRPr="00017A47" w:rsidRDefault="00656F60" w:rsidP="00FB3C38">
            <w:pPr>
              <w:jc w:val="right"/>
            </w:pPr>
            <w:r>
              <w:t>18.0</w:t>
            </w:r>
          </w:p>
        </w:tc>
        <w:tc>
          <w:tcPr>
            <w:tcW w:w="647" w:type="pct"/>
            <w:noWrap/>
            <w:vAlign w:val="center"/>
          </w:tcPr>
          <w:p w14:paraId="703A922B" w14:textId="77777777" w:rsidR="00656F60" w:rsidRPr="00017A47" w:rsidRDefault="00656F60" w:rsidP="00FB3C38">
            <w:pPr>
              <w:jc w:val="right"/>
            </w:pPr>
            <w:r>
              <w:t>34.0</w:t>
            </w:r>
          </w:p>
        </w:tc>
        <w:tc>
          <w:tcPr>
            <w:tcW w:w="575" w:type="pct"/>
            <w:noWrap/>
            <w:vAlign w:val="center"/>
          </w:tcPr>
          <w:p w14:paraId="703A922C" w14:textId="77777777" w:rsidR="00656F60" w:rsidRPr="00017A47" w:rsidRDefault="00656F60" w:rsidP="00FB3C38">
            <w:pPr>
              <w:jc w:val="right"/>
            </w:pPr>
            <w:r>
              <w:t>np</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Hindmarsh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33.3</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np</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20.5</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28.2</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np</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Hindmarsh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28.2</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12.8</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np</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30.8</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20.5</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Hindmarsh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34.3</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22.9</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np</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25.7</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np</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Hindmarsh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43.5</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21.7</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26.1</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np</w:t>
            </w:r>
          </w:p>
        </w:tc>
        <w:tc>
          <w:tcPr>
            <w:tcW w:w="1215" w:type="dxa"/>
            <w:noWrap/>
            <w:vAlign w:val="center"/>
          </w:tcPr>
          <w:p w14:paraId="703A9297" w14:textId="77777777" w:rsidR="00656F60" w:rsidRPr="00B14C14" w:rsidRDefault="00656F60" w:rsidP="00FB3C38">
            <w:pPr>
              <w:jc w:val="right"/>
            </w:pPr>
            <w:r>
              <w:t>np</w:t>
            </w:r>
          </w:p>
        </w:tc>
        <w:tc>
          <w:tcPr>
            <w:tcW w:w="1215" w:type="dxa"/>
            <w:noWrap/>
            <w:vAlign w:val="center"/>
          </w:tcPr>
          <w:p w14:paraId="703A9298" w14:textId="77777777" w:rsidR="00656F60" w:rsidRPr="00B14C14" w:rsidRDefault="00656F60" w:rsidP="00FB3C38">
            <w:pPr>
              <w:jc w:val="right"/>
            </w:pPr>
            <w:r>
              <w:t>np</w:t>
            </w:r>
          </w:p>
        </w:tc>
        <w:tc>
          <w:tcPr>
            <w:tcW w:w="1215" w:type="dxa"/>
            <w:noWrap/>
            <w:vAlign w:val="center"/>
          </w:tcPr>
          <w:p w14:paraId="703A9299" w14:textId="77777777" w:rsidR="00656F60" w:rsidRPr="00B14C14" w:rsidRDefault="00656F60" w:rsidP="00FB3C38">
            <w:pPr>
              <w:jc w:val="right"/>
            </w:pP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Hindmarsh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29.2</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29.2</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25.0</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45.5</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Hindmarsh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np</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32.0</w:t>
            </w:r>
          </w:p>
        </w:tc>
        <w:tc>
          <w:tcPr>
            <w:tcW w:w="1207" w:type="dxa"/>
            <w:noWrap/>
            <w:vAlign w:val="center"/>
          </w:tcPr>
          <w:p w14:paraId="703A92F7" w14:textId="77777777" w:rsidR="00656F60" w:rsidRPr="00B14C14" w:rsidRDefault="00656F60" w:rsidP="00FB3C38">
            <w:pPr>
              <w:jc w:val="right"/>
            </w:pPr>
            <w:r>
              <w:t>24.0</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32.0</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Hindmarsh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Dimboola Memorial Secondary College</w:t>
            </w:r>
          </w:p>
        </w:tc>
        <w:tc>
          <w:tcPr>
            <w:tcW w:w="2310" w:type="dxa"/>
            <w:shd w:val="clear" w:color="auto" w:fill="D9D9D9"/>
          </w:tcPr>
          <w:p>
            <w:pPr>
              <w:jc w:val="right"/>
            </w:pPr>
            <w:r>
              <w:t>22</w:t>
            </w:r>
          </w:p>
        </w:tc>
        <w:tc>
          <w:tcPr>
            <w:tcW w:w="2310" w:type="dxa"/>
            <w:shd w:val="clear" w:color="auto" w:fill="D9D9D9"/>
          </w:tcPr>
          <w:p>
            <w:pPr>
              <w:jc w:val="right"/>
            </w:pPr>
            <w:r>
              <w:t>12</w:t>
            </w:r>
          </w:p>
        </w:tc>
        <w:tc>
          <w:tcPr>
            <w:tcW w:w="2310" w:type="dxa"/>
            <w:shd w:val="clear" w:color="auto" w:fill="D9D9D9"/>
          </w:tcPr>
          <w:p>
            <w:pPr>
              <w:jc w:val="right"/>
            </w:pPr>
            <w:r>
              <w:t>33.3</w:t>
            </w:r>
          </w:p>
        </w:tc>
        <w:tc>
          <w:tcPr>
            <w:tcW w:w="2310" w:type="dxa"/>
            <w:shd w:val="clear" w:color="auto" w:fill="D9D9D9"/>
          </w:tcPr>
          <w:p>
            <w:pPr>
              <w:jc w:val="right"/>
            </w:pPr>
            <w:r>
              <w:t>25.0</w:t>
            </w:r>
          </w:p>
        </w:tc>
        <w:tc>
          <w:tcPr>
            <w:tcW w:w="2310" w:type="dxa"/>
            <w:shd w:val="clear" w:color="auto" w:fill="D9D9D9"/>
          </w:tcPr>
          <w:p>
            <w:pPr>
              <w:jc w:val="right"/>
            </w:pPr>
            <w:r>
              <w:t>16.7</w:t>
            </w:r>
          </w:p>
        </w:tc>
        <w:tc>
          <w:tcPr>
            <w:tcW w:w="2310" w:type="dxa"/>
            <w:shd w:val="clear" w:color="auto" w:fill="D9D9D9"/>
          </w:tcPr>
          <w:p>
            <w:pPr>
              <w:jc w:val="right"/>
            </w:pPr>
            <w:r>
              <w:t>25.0</w:t>
            </w:r>
          </w:p>
        </w:tc>
      </w:tr>
      <w:tr>
        <w:tc>
          <w:tcPr>
            <w:tcW w:w="2310" w:type="dxa"/>
            <w:shd w:val="clear" w:color="auto" w:fill="FFFFFF"/>
          </w:tcPr>
          <w:p>
            <w:pPr>
              <w:jc w:val="right"/>
            </w:pPr>
            <w:r>
              <w:t>Nhill College</w:t>
            </w:r>
          </w:p>
        </w:tc>
        <w:tc>
          <w:tcPr>
            <w:tcW w:w="2310" w:type="dxa"/>
            <w:shd w:val="clear" w:color="auto" w:fill="FFFFFF"/>
          </w:tcPr>
          <w:p>
            <w:pPr>
              <w:jc w:val="right"/>
            </w:pPr>
            <w:r>
              <w:t>25</w:t>
            </w:r>
          </w:p>
        </w:tc>
        <w:tc>
          <w:tcPr>
            <w:tcW w:w="2310" w:type="dxa"/>
            <w:shd w:val="clear" w:color="auto" w:fill="FFFFFF"/>
          </w:tcPr>
          <w:p>
            <w:pPr>
              <w:jc w:val="right"/>
            </w:pPr>
            <w:r>
              <w:t>19</w:t>
            </w:r>
          </w:p>
        </w:tc>
        <w:tc>
          <w:tcPr>
            <w:tcW w:w="2310" w:type="dxa"/>
            <w:shd w:val="clear" w:color="auto" w:fill="FFFFFF"/>
          </w:tcPr>
          <w:p>
            <w:pPr>
              <w:jc w:val="right"/>
            </w:pPr>
            <w:r>
              <w:t>36.8</w:t>
            </w:r>
          </w:p>
        </w:tc>
        <w:tc>
          <w:tcPr>
            <w:tcW w:w="2310" w:type="dxa"/>
            <w:shd w:val="clear" w:color="auto" w:fill="FFFFFF"/>
          </w:tcPr>
          <w:p>
            <w:pPr>
              <w:jc w:val="right"/>
            </w:pPr>
            <w:r>
              <w:t>15.8</w:t>
            </w:r>
          </w:p>
        </w:tc>
        <w:tc>
          <w:tcPr>
            <w:tcW w:w="2310" w:type="dxa"/>
            <w:shd w:val="clear" w:color="auto" w:fill="FFFFFF"/>
          </w:tcPr>
          <w:p>
            <w:pPr>
              <w:jc w:val="right"/>
            </w:pPr>
            <w:r>
              <w:t>5.3</w:t>
            </w:r>
          </w:p>
        </w:tc>
        <w:tc>
          <w:tcPr>
            <w:tcW w:w="2310" w:type="dxa"/>
            <w:shd w:val="clear" w:color="auto" w:fill="FFFFFF"/>
          </w:tcPr>
          <w:p>
            <w:pPr>
              <w:jc w:val="right"/>
            </w:pPr>
            <w:r>
              <w:t>42.1</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51</w:t>
            </w:r>
          </w:p>
        </w:tc>
        <w:tc>
          <w:tcPr>
            <w:tcW w:w="2310" w:type="dxa"/>
            <w:shd w:val="clear" w:color="auto" w:fill="D9D9D9"/>
          </w:tcPr>
          <w:p>
            <w:pPr>
              <w:jc w:val="right"/>
            </w:pPr>
            <w:r>
              <w:rPr>
                <w:b/>
              </w:rPr>
              <w:t>35</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Hindmarsh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np</w:t>
            </w:r>
          </w:p>
        </w:tc>
        <w:tc>
          <w:tcPr>
            <w:tcW w:w="998" w:type="pct"/>
            <w:shd w:val="clear" w:color="auto" w:fill="auto"/>
          </w:tcPr>
          <w:p w14:paraId="703A9383" w14:textId="77777777" w:rsidR="00656F60" w:rsidRPr="006C4423" w:rsidRDefault="00656F60" w:rsidP="00FB3C38">
            <w:pPr>
              <w:jc w:val="right"/>
            </w:pPr>
            <w:r>
              <w:t>np</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r>
              <w:t>np</w:t>
            </w:r>
          </w:p>
        </w:tc>
        <w:tc>
          <w:tcPr>
            <w:tcW w:w="998" w:type="pct"/>
            <w:shd w:val="clear" w:color="auto" w:fill="D9D9D9" w:themeFill="background2" w:themeFillShade="D9"/>
          </w:tcPr>
          <w:p w14:paraId="703A938B" w14:textId="77777777" w:rsidR="00656F60" w:rsidRPr="00A51380" w:rsidRDefault="00656F60" w:rsidP="00A51380">
            <w:pPr>
              <w:jc w:val="right"/>
            </w:pPr>
            <w:r>
              <w:t>np</w:t>
            </w: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p>
        </w:tc>
        <w:tc>
          <w:tcPr>
            <w:tcW w:w="998" w:type="pct"/>
            <w:shd w:val="clear" w:color="auto" w:fill="FFFFFF" w:themeFill="background2"/>
          </w:tcPr>
          <w:p w14:paraId="703A938F" w14:textId="77777777" w:rsidR="00656F60" w:rsidRPr="006C4423" w:rsidRDefault="00656F60" w:rsidP="00FB3C38">
            <w:pPr>
              <w:jc w:val="right"/>
            </w:pP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np</w:t>
            </w:r>
          </w:p>
        </w:tc>
        <w:tc>
          <w:tcPr>
            <w:tcW w:w="998" w:type="pct"/>
            <w:shd w:val="clear" w:color="auto" w:fill="FFFFFF" w:themeFill="background2"/>
          </w:tcPr>
          <w:p w14:paraId="703A9393" w14:textId="77777777" w:rsidR="00656F60" w:rsidRPr="006C4423" w:rsidRDefault="00656F60" w:rsidP="00FB3C38">
            <w:pPr>
              <w:jc w:val="right"/>
            </w:pPr>
            <w:r>
              <w:t>np</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p>
        </w:tc>
        <w:tc>
          <w:tcPr>
            <w:tcW w:w="998" w:type="pct"/>
            <w:shd w:val="clear" w:color="auto" w:fill="D9D9D9" w:themeFill="background2" w:themeFillShade="D9"/>
          </w:tcPr>
          <w:p w14:paraId="703A9397" w14:textId="77777777" w:rsidR="00656F60" w:rsidRPr="006C4423" w:rsidRDefault="00656F60" w:rsidP="00FB3C38">
            <w:pPr>
              <w:jc w:val="right"/>
            </w:pP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np</w:t>
            </w:r>
          </w:p>
        </w:tc>
        <w:tc>
          <w:tcPr>
            <w:tcW w:w="998" w:type="pct"/>
            <w:shd w:val="clear" w:color="auto" w:fill="FFFFFF" w:themeFill="background2"/>
          </w:tcPr>
          <w:p w14:paraId="703A939B" w14:textId="77777777" w:rsidR="00656F60" w:rsidRPr="006C4423" w:rsidRDefault="00656F60" w:rsidP="00FB3C38">
            <w:pPr>
              <w:jc w:val="right"/>
            </w:pPr>
            <w:r>
              <w:t>np</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np</w:t>
            </w:r>
          </w:p>
        </w:tc>
        <w:tc>
          <w:tcPr>
            <w:tcW w:w="998" w:type="pct"/>
            <w:shd w:val="clear" w:color="auto" w:fill="D9D9D9" w:themeFill="background2" w:themeFillShade="D9"/>
          </w:tcPr>
          <w:p w14:paraId="703A939F" w14:textId="77777777" w:rsidR="00656F60" w:rsidRPr="006C4423" w:rsidRDefault="00656F60" w:rsidP="00FB3C38">
            <w:pPr>
              <w:jc w:val="right"/>
            </w:pPr>
            <w:r>
              <w:t>np</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p>
        </w:tc>
        <w:tc>
          <w:tcPr>
            <w:tcW w:w="998" w:type="pct"/>
            <w:shd w:val="clear" w:color="auto" w:fill="FFFFFF" w:themeFill="background2"/>
          </w:tcPr>
          <w:p w14:paraId="703A93A3" w14:textId="77777777" w:rsidR="00656F60" w:rsidRPr="006C4423" w:rsidRDefault="00656F60" w:rsidP="00FB3C38">
            <w:pPr>
              <w:jc w:val="right"/>
            </w:pP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r>
              <w:t>np</w:t>
            </w:r>
          </w:p>
        </w:tc>
        <w:tc>
          <w:tcPr>
            <w:tcW w:w="998" w:type="pct"/>
            <w:shd w:val="clear" w:color="auto" w:fill="auto"/>
          </w:tcPr>
          <w:p w14:paraId="703A93BF" w14:textId="77777777" w:rsidR="00656F60" w:rsidRPr="006C4423" w:rsidRDefault="00656F60" w:rsidP="00FB3C38">
            <w:pPr>
              <w:jc w:val="right"/>
            </w:pPr>
            <w:r>
              <w:t>np</w:t>
            </w: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r>
              <w:t>np</w:t>
            </w:r>
          </w:p>
        </w:tc>
        <w:tc>
          <w:tcPr>
            <w:tcW w:w="998" w:type="pct"/>
            <w:shd w:val="clear" w:color="auto" w:fill="auto"/>
          </w:tcPr>
          <w:p w14:paraId="703A93CF" w14:textId="77777777" w:rsidR="00656F60" w:rsidRPr="006C4423" w:rsidRDefault="00656F60" w:rsidP="00FB3C38">
            <w:pPr>
              <w:jc w:val="right"/>
            </w:pPr>
            <w:r>
              <w:t>np</w:t>
            </w: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r>
              <w:t>np</w:t>
            </w: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16</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Hindmarsh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np</w:t>
            </w:r>
          </w:p>
        </w:tc>
        <w:tc>
          <w:tcPr>
            <w:tcW w:w="661" w:type="pct"/>
            <w:shd w:val="clear" w:color="auto" w:fill="auto"/>
            <w:noWrap/>
            <w:vAlign w:val="center"/>
          </w:tcPr>
          <w:p w14:paraId="703A942C" w14:textId="77777777" w:rsidR="00656F60" w:rsidRPr="00905459" w:rsidRDefault="00656F60" w:rsidP="00FB3C38">
            <w:pPr>
              <w:jc w:val="right"/>
            </w:pPr>
            <w:r>
              <w:t>np</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p>
        </w:tc>
        <w:tc>
          <w:tcPr>
            <w:tcW w:w="661" w:type="pct"/>
            <w:shd w:val="clear" w:color="auto" w:fill="auto"/>
            <w:noWrap/>
            <w:vAlign w:val="center"/>
          </w:tcPr>
          <w:p w14:paraId="703A9438" w14:textId="77777777" w:rsidR="00656F60" w:rsidRPr="00905459" w:rsidRDefault="00656F60" w:rsidP="00FB3C38">
            <w:pPr>
              <w:jc w:val="right"/>
            </w:pP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7</w:t>
            </w:r>
          </w:p>
        </w:tc>
        <w:tc>
          <w:tcPr>
            <w:tcW w:w="661" w:type="pct"/>
            <w:shd w:val="clear" w:color="auto" w:fill="auto"/>
            <w:noWrap/>
            <w:vAlign w:val="center"/>
          </w:tcPr>
          <w:p w14:paraId="703A9444" w14:textId="77777777" w:rsidR="00656F60" w:rsidRPr="00905459" w:rsidRDefault="00656F60" w:rsidP="00FB3C38">
            <w:pPr>
              <w:jc w:val="right"/>
            </w:pPr>
            <w:r>
              <w:t>35.0</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np</w:t>
            </w:r>
          </w:p>
        </w:tc>
        <w:tc>
          <w:tcPr>
            <w:tcW w:w="661" w:type="pct"/>
            <w:shd w:val="clear" w:color="auto" w:fill="auto"/>
            <w:noWrap/>
            <w:vAlign w:val="center"/>
          </w:tcPr>
          <w:p w14:paraId="703A9450" w14:textId="77777777" w:rsidR="00656F60" w:rsidRPr="00905459" w:rsidRDefault="00656F60" w:rsidP="00FB3C38">
            <w:pPr>
              <w:jc w:val="right"/>
            </w:pPr>
            <w:r>
              <w:t>np</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p>
        </w:tc>
        <w:tc>
          <w:tcPr>
            <w:tcW w:w="661" w:type="pct"/>
            <w:shd w:val="clear" w:color="auto" w:fill="auto"/>
            <w:noWrap/>
            <w:vAlign w:val="center"/>
          </w:tcPr>
          <w:p w14:paraId="703A945C" w14:textId="77777777" w:rsidR="00656F60" w:rsidRPr="00905459" w:rsidRDefault="00656F60" w:rsidP="00FB3C38">
            <w:pPr>
              <w:jc w:val="right"/>
            </w:pP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np</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20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Hindmarsh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Hindmarsh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25.0</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25.0</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45.0</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Hindmarsh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np</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Hindmarsh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3</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Hindmarsh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100.0</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90.0</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50.0</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87.5</w:t>
            </w:r>
          </w:p>
        </w:tc>
        <w:tc>
          <w:tcPr>
            <w:tcW w:w="1062" w:type="pct"/>
            <w:noWrap/>
            <w:vAlign w:val="center"/>
          </w:tcPr>
          <w:p w14:paraId="703A955D" w14:textId="77777777" w:rsidR="00656F60" w:rsidRPr="007A4F35" w:rsidRDefault="00656F60" w:rsidP="00FB3C38">
            <w:pPr>
              <w:jc w:val="right"/>
            </w:pPr>
            <w:r>
              <w:t>62.5</w:t>
            </w:r>
          </w:p>
        </w:tc>
        <w:tc>
          <w:tcPr>
            <w:tcW w:w="1062" w:type="pct"/>
            <w:noWrap/>
            <w:vAlign w:val="center"/>
          </w:tcPr>
          <w:p w14:paraId="703A955E" w14:textId="77777777" w:rsidR="00656F60" w:rsidRPr="007A4F35" w:rsidRDefault="00656F60" w:rsidP="00FB3C38">
            <w:pPr>
              <w:jc w:val="right"/>
            </w:pPr>
            <w:r>
              <w:t>np</w:t>
            </w:r>
          </w:p>
        </w:tc>
        <w:tc>
          <w:tcPr>
            <w:tcW w:w="1062" w:type="pct"/>
            <w:noWrap/>
            <w:vAlign w:val="center"/>
          </w:tcPr>
          <w:p w14:paraId="703A955F" w14:textId="77777777" w:rsidR="00656F60" w:rsidRPr="007A4F35" w:rsidRDefault="00656F60" w:rsidP="00FB3C38">
            <w:pPr>
              <w:jc w:val="right"/>
            </w:pPr>
            <w:r>
              <w:t>np</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85.7</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np</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100.0</w:t>
            </w:r>
          </w:p>
        </w:tc>
        <w:tc>
          <w:tcPr>
            <w:tcW w:w="1062" w:type="pct"/>
            <w:noWrap/>
            <w:vAlign w:val="center"/>
          </w:tcPr>
          <w:p w14:paraId="703A9569" w14:textId="77777777" w:rsidR="00656F60" w:rsidRPr="007A4F35" w:rsidRDefault="00656F60" w:rsidP="00FB3C38">
            <w:pPr>
              <w:jc w:val="right"/>
            </w:pPr>
            <w:r>
              <w:t>46.2</w:t>
            </w:r>
          </w:p>
        </w:tc>
        <w:tc>
          <w:tcPr>
            <w:tcW w:w="1062" w:type="pct"/>
            <w:noWrap/>
            <w:vAlign w:val="center"/>
          </w:tcPr>
          <w:p w14:paraId="703A956A" w14:textId="77777777" w:rsidR="00656F60" w:rsidRPr="007A4F35" w:rsidRDefault="00656F60" w:rsidP="00FB3C38">
            <w:pPr>
              <w:jc w:val="right"/>
            </w:pPr>
            <w:r>
              <w:t>38.5</w:t>
            </w:r>
          </w:p>
        </w:tc>
        <w:tc>
          <w:tcPr>
            <w:tcW w:w="1062" w:type="pct"/>
            <w:noWrap/>
            <w:vAlign w:val="center"/>
          </w:tcPr>
          <w:p w14:paraId="703A956B" w14:textId="77777777" w:rsidR="00656F60" w:rsidRPr="007A4F35" w:rsidRDefault="00656F60" w:rsidP="00FB3C38">
            <w:pPr>
              <w:jc w:val="right"/>
            </w:pPr>
            <w:r>
              <w:t>38.5</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87.5</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75.0</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np</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Hindmarsh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np</w:t>
            </w:r>
          </w:p>
        </w:tc>
        <w:tc>
          <w:tcPr>
            <w:tcW w:w="805" w:type="pct"/>
            <w:noWrap/>
            <w:vAlign w:val="center"/>
          </w:tcPr>
          <w:p w14:paraId="703A958A" w14:textId="77777777" w:rsidR="00656F60" w:rsidRPr="007A4F35" w:rsidRDefault="00656F60" w:rsidP="00FB3C38">
            <w:pPr>
              <w:jc w:val="right"/>
            </w:pPr>
            <w:r>
              <w:t>np</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8</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Hindmarsh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Hindmarsh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Hindmarsh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31.6</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24.0</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15.4</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15.4</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np</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Hindmarsh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2</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50.0</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4</w:t>
            </w:r>
          </w:p>
        </w:tc>
        <w:tc>
          <w:tcPr>
            <w:tcW w:w="589" w:type="pct"/>
            <w:noWrap/>
            <w:vAlign w:val="center"/>
          </w:tcPr>
          <w:p w14:paraId="703A95FF" w14:textId="77777777" w:rsidR="00656F60" w:rsidRPr="007A4F35" w:rsidRDefault="00656F60" w:rsidP="00FB3C38">
            <w:pPr>
              <w:jc w:val="right"/>
            </w:pPr>
            <w:r>
              <w:t>100.0</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4</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100.0</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2</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50.0</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Hindmarsh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np</w:t>
            </w:r>
          </w:p>
        </w:tc>
        <w:tc>
          <w:tcPr>
            <w:tcW w:w="596" w:type="pct"/>
            <w:noWrap/>
            <w:vAlign w:val="center"/>
          </w:tcPr>
          <w:p w14:paraId="703A963A" w14:textId="77777777" w:rsidR="00656F60" w:rsidRPr="007A4F35" w:rsidRDefault="00656F60" w:rsidP="00FB3C38">
            <w:pPr>
              <w:jc w:val="right"/>
            </w:pPr>
            <w:r>
              <w:t>np</w:t>
            </w:r>
          </w:p>
        </w:tc>
        <w:tc>
          <w:tcPr>
            <w:tcW w:w="596" w:type="pct"/>
            <w:noWrap/>
            <w:vAlign w:val="center"/>
          </w:tcPr>
          <w:p w14:paraId="703A963B" w14:textId="77777777" w:rsidR="00656F60" w:rsidRPr="007A4F35" w:rsidRDefault="00656F60" w:rsidP="00FB3C38">
            <w:pPr>
              <w:jc w:val="right"/>
            </w:pPr>
            <w:r>
              <w:t>np</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Hindmarsh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p>
        </w:tc>
        <w:tc>
          <w:tcPr>
            <w:tcW w:w="659" w:type="pct"/>
            <w:noWrap/>
            <w:vAlign w:val="center"/>
          </w:tcPr>
          <w:p w14:paraId="703A9670" w14:textId="77777777" w:rsidR="00656F60" w:rsidRPr="00D50140" w:rsidRDefault="00656F60" w:rsidP="00FB3C38">
            <w:pPr>
              <w:jc w:val="right"/>
            </w:pP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9</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Hindmarsh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p>
        </w:tc>
        <w:tc>
          <w:tcPr>
            <w:tcW w:w="660" w:type="pct"/>
            <w:noWrap/>
            <w:vAlign w:val="center"/>
          </w:tcPr>
          <w:p w14:paraId="703A96C6" w14:textId="77777777" w:rsidR="00656F60" w:rsidRPr="00D50140" w:rsidRDefault="00656F60" w:rsidP="00FB3C38">
            <w:pPr>
              <w:jc w:val="right"/>
            </w:pP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p>
        </w:tc>
        <w:tc>
          <w:tcPr>
            <w:tcW w:w="660" w:type="pct"/>
            <w:noWrap/>
            <w:vAlign w:val="center"/>
          </w:tcPr>
          <w:p w14:paraId="703A96D2" w14:textId="77777777" w:rsidR="00656F60" w:rsidRPr="00D50140" w:rsidRDefault="00656F60" w:rsidP="00FB3C38">
            <w:pPr>
              <w:jc w:val="right"/>
            </w:pP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p>
        </w:tc>
        <w:tc>
          <w:tcPr>
            <w:tcW w:w="660" w:type="pct"/>
            <w:noWrap/>
            <w:vAlign w:val="center"/>
          </w:tcPr>
          <w:p w14:paraId="703A96EA" w14:textId="77777777" w:rsidR="00656F60" w:rsidRPr="00D50140" w:rsidRDefault="00656F60" w:rsidP="00FB3C38">
            <w:pPr>
              <w:jc w:val="right"/>
            </w:pP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8</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Hindmarsh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5</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Hindmarsh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p>
        </w:tc>
        <w:tc>
          <w:tcPr>
            <w:tcW w:w="661" w:type="pct"/>
            <w:noWrap/>
            <w:vAlign w:val="center"/>
          </w:tcPr>
          <w:p w14:paraId="703A9752" w14:textId="77777777" w:rsidR="00656F60" w:rsidRPr="00E371BB" w:rsidRDefault="00656F60" w:rsidP="00FB3C38">
            <w:pPr>
              <w:jc w:val="right"/>
            </w:pP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p>
        </w:tc>
        <w:tc>
          <w:tcPr>
            <w:tcW w:w="661" w:type="pct"/>
            <w:noWrap/>
            <w:vAlign w:val="center"/>
          </w:tcPr>
          <w:p w14:paraId="703A9782" w14:textId="77777777" w:rsidR="00656F60" w:rsidRPr="00E371BB" w:rsidRDefault="00656F60" w:rsidP="00FB3C38">
            <w:pPr>
              <w:jc w:val="right"/>
            </w:pP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5</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Hindmarsh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Hindmarsh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75.0</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Hindmarsh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p>
        </w:tc>
        <w:tc>
          <w:tcPr>
            <w:tcW w:w="644" w:type="pct"/>
            <w:noWrap/>
            <w:vAlign w:val="center"/>
          </w:tcPr>
          <w:p w14:paraId="703A97C0" w14:textId="77777777" w:rsidR="00656F60" w:rsidRPr="00F21259" w:rsidRDefault="00656F60" w:rsidP="00FB3C38">
            <w:pPr>
              <w:jc w:val="right"/>
            </w:pPr>
            <w:r>
              <w:t>np</w:t>
            </w:r>
          </w:p>
        </w:tc>
        <w:tc>
          <w:tcPr>
            <w:tcW w:w="644" w:type="pct"/>
            <w:noWrap/>
            <w:vAlign w:val="center"/>
          </w:tcPr>
          <w:p w14:paraId="703A97C1" w14:textId="77777777" w:rsidR="00656F60" w:rsidRPr="00F21259" w:rsidRDefault="00656F60" w:rsidP="00FB3C38">
            <w:pPr>
              <w:jc w:val="right"/>
            </w:pPr>
            <w:r>
              <w:t>np</w:t>
            </w:r>
          </w:p>
        </w:tc>
        <w:tc>
          <w:tcPr>
            <w:tcW w:w="644" w:type="pct"/>
            <w:noWrap/>
            <w:vAlign w:val="center"/>
          </w:tcPr>
          <w:p w14:paraId="703A97C2" w14:textId="77777777" w:rsidR="00656F60" w:rsidRPr="00F21259" w:rsidRDefault="00656F60" w:rsidP="00FB3C38">
            <w:pPr>
              <w:jc w:val="right"/>
            </w:pP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Hindmarsh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Hindmarsh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40.0</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Hindmarsh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np</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Hindmarsh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Hindmarsh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Hindmarsh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Hindmarsh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71.4</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71.4</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Hindmarsh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np</w:t>
            </w:r>
          </w:p>
        </w:tc>
        <w:tc>
          <w:tcPr>
            <w:tcW w:w="943" w:type="pct"/>
            <w:noWrap/>
            <w:vAlign w:val="center"/>
          </w:tcPr>
          <w:p w14:paraId="703A989A" w14:textId="77777777" w:rsidR="00656F60" w:rsidRPr="00802E09" w:rsidRDefault="00656F60" w:rsidP="00FB3C38">
            <w:pPr>
              <w:jc w:val="right"/>
            </w:pPr>
            <w:r>
              <w:t>np</w:t>
            </w:r>
          </w:p>
        </w:tc>
        <w:tc>
          <w:tcPr>
            <w:tcW w:w="943" w:type="pct"/>
            <w:noWrap/>
            <w:vAlign w:val="center"/>
          </w:tcPr>
          <w:p w14:paraId="703A989B" w14:textId="77777777" w:rsidR="00656F60" w:rsidRPr="00802E09" w:rsidRDefault="00656F60" w:rsidP="00FB3C38">
            <w:pPr>
              <w:jc w:val="right"/>
            </w:pPr>
            <w:r>
              <w:t>np</w:t>
            </w:r>
          </w:p>
        </w:tc>
        <w:tc>
          <w:tcPr>
            <w:tcW w:w="943" w:type="pct"/>
            <w:noWrap/>
            <w:vAlign w:val="center"/>
          </w:tcPr>
          <w:p w14:paraId="703A989C" w14:textId="77777777" w:rsidR="00656F60" w:rsidRPr="00802E09" w:rsidRDefault="00656F60" w:rsidP="00FB3C38">
            <w:pPr>
              <w:jc w:val="right"/>
            </w:pPr>
            <w:r>
              <w:t>np</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Hindmarsh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np</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Hindmarsh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57.1</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42.9</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35.7</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50.0</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Hindmarsh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np</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Hindmarsh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Hindmarsh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62.5</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np</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Hindmarsh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np</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Hindmarsh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np</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Hindmarsh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33.3</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33.3</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33.3</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Hindmarsh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100.0</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Hindmarsh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Hindmarsh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Hindmarsh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Hindmarsh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1</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Hindmarsh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71.4</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np</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80.0</w:t>
            </w:r>
          </w:p>
        </w:tc>
        <w:tc>
          <w:tcPr>
            <w:tcW w:w="1142" w:type="pct"/>
            <w:noWrap/>
            <w:vAlign w:val="center"/>
          </w:tcPr>
          <w:p w14:paraId="703A9995" w14:textId="77777777" w:rsidR="00656F60" w:rsidRPr="002D08AB" w:rsidRDefault="00656F60" w:rsidP="00FB3C38">
            <w:pPr>
              <w:jc w:val="right"/>
            </w:pPr>
            <w:r>
              <w:t>np</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60.0</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np</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71.4</w:t>
            </w:r>
          </w:p>
        </w:tc>
        <w:tc>
          <w:tcPr>
            <w:tcW w:w="1142" w:type="pct"/>
            <w:noWrap/>
            <w:vAlign w:val="center"/>
          </w:tcPr>
          <w:p w14:paraId="703A999D" w14:textId="77777777" w:rsidR="00656F60" w:rsidRPr="002D08AB" w:rsidRDefault="00656F60" w:rsidP="00FB3C38">
            <w:pPr>
              <w:jc w:val="right"/>
            </w:pPr>
            <w:r>
              <w:t>np</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91.4</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np</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88.6</w:t>
            </w:r>
          </w:p>
        </w:tc>
        <w:tc>
          <w:tcPr>
            <w:tcW w:w="1142" w:type="pct"/>
            <w:noWrap/>
            <w:vAlign w:val="center"/>
          </w:tcPr>
          <w:p w14:paraId="703A99A5" w14:textId="77777777" w:rsidR="00656F60" w:rsidRPr="002D08AB" w:rsidRDefault="00656F60" w:rsidP="00FB3C38">
            <w:pPr>
              <w:jc w:val="right"/>
            </w:pPr>
            <w:r>
              <w:t>100.0</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68.6</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17.1</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25.7</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np</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100.0</w:t>
            </w:r>
          </w:p>
        </w:tc>
        <w:tc>
          <w:tcPr>
            <w:tcW w:w="1142" w:type="pct"/>
            <w:noWrap/>
            <w:vAlign w:val="center"/>
          </w:tcPr>
          <w:p w14:paraId="703A99B5" w14:textId="77777777" w:rsidR="00656F60" w:rsidRPr="002D08AB" w:rsidRDefault="00656F60" w:rsidP="00FB3C38">
            <w:pPr>
              <w:jc w:val="right"/>
            </w:pPr>
            <w:r>
              <w:t>100.0</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82.9</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np</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Hindmarsh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Hindmarsh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25.7</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45.7</w:t>
            </w:r>
          </w:p>
        </w:tc>
        <w:tc>
          <w:tcPr>
            <w:tcW w:w="765" w:type="pct"/>
            <w:noWrap/>
            <w:vAlign w:val="center"/>
          </w:tcPr>
          <w:p w14:paraId="703A99D7" w14:textId="77777777" w:rsidR="00656F60" w:rsidRPr="002D08AB" w:rsidRDefault="00656F60" w:rsidP="00FB3C38">
            <w:pPr>
              <w:jc w:val="right"/>
            </w:pP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22.9</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35</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5</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Hindmarsh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35</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5</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29</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82.9</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np</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np</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16</w:t>
            </w:r>
          </w:p>
        </w:tc>
        <w:tc>
          <w:tcPr>
            <w:tcW w:w="730" w:type="pct"/>
            <w:noWrap/>
            <w:vAlign w:val="center"/>
          </w:tcPr>
          <w:p w14:paraId="703A9A10" w14:textId="77777777" w:rsidR="00656F60" w:rsidRPr="002D08AB" w:rsidRDefault="00656F60" w:rsidP="00FB3C38">
            <w:pPr>
              <w:jc w:val="right"/>
            </w:pPr>
            <w:r>
              <w:t>55.2</w:t>
            </w:r>
          </w:p>
        </w:tc>
        <w:tc>
          <w:tcPr>
            <w:tcW w:w="730" w:type="pct"/>
            <w:noWrap/>
            <w:vAlign w:val="center"/>
          </w:tcPr>
          <w:p w14:paraId="703A9A11" w14:textId="77777777" w:rsidR="00656F60" w:rsidRPr="002D08AB" w:rsidRDefault="00656F60" w:rsidP="00FB3C38">
            <w:pPr>
              <w:jc w:val="right"/>
            </w:pPr>
          </w:p>
        </w:tc>
        <w:tc>
          <w:tcPr>
            <w:tcW w:w="730" w:type="pct"/>
            <w:noWrap/>
            <w:vAlign w:val="center"/>
          </w:tcPr>
          <w:p w14:paraId="703A9A12" w14:textId="77777777" w:rsidR="00656F60" w:rsidRPr="002D08AB" w:rsidRDefault="00656F60" w:rsidP="00FB3C38">
            <w:pPr>
              <w:jc w:val="right"/>
            </w:pP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7</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43.8</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Hindmarsh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Hindmarsh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3F30600E-7CB2-44EE-8D89-EAC923429AB6}"/>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