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Central Goldfields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Central Goldfields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Central Goldfields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Central Goldfields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Central Goldfields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53</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73</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126</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44</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66</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110</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32</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44</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76</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60.4</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60.3</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60.3</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Central Goldfields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61</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47</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108</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34</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34</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68</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7</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5</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12</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11.5</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10.6</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11.1</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Central Goldfields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Central Goldfields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54</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71.1</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36</w:t>
            </w:r>
          </w:p>
        </w:tc>
        <w:tc>
          <w:tcPr>
            <w:tcW w:w="715" w:type="pct"/>
            <w:vAlign w:val="center"/>
          </w:tcPr>
          <w:p w14:paraId="703A91B0" w14:textId="77777777" w:rsidR="00656F60" w:rsidRPr="00727A26" w:rsidRDefault="00656F60" w:rsidP="00FB3C38">
            <w:pPr>
              <w:jc w:val="right"/>
            </w:pPr>
            <w:r>
              <w:t>47.4</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12</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15.8</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5</w:t>
            </w:r>
          </w:p>
        </w:tc>
        <w:tc>
          <w:tcPr>
            <w:tcW w:w="715" w:type="pct"/>
            <w:vAlign w:val="center"/>
          </w:tcPr>
          <w:p w14:paraId="703A91BC" w14:textId="77777777" w:rsidR="00656F60" w:rsidRPr="00727A26" w:rsidRDefault="00656F60" w:rsidP="00FB3C38">
            <w:pPr>
              <w:jc w:val="right"/>
            </w:pPr>
            <w:r>
              <w:t>6.6</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7</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9.2</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6</w:t>
            </w:r>
          </w:p>
        </w:tc>
        <w:tc>
          <w:tcPr>
            <w:tcW w:w="715" w:type="pct"/>
            <w:vAlign w:val="center"/>
          </w:tcPr>
          <w:p w14:paraId="703A91C8" w14:textId="77777777" w:rsidR="00656F60" w:rsidRPr="00727A26" w:rsidRDefault="00656F60" w:rsidP="00FB3C38">
            <w:pPr>
              <w:jc w:val="right"/>
            </w:pPr>
            <w:r>
              <w:t>7.9</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22</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28.9</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17</w:t>
            </w:r>
          </w:p>
        </w:tc>
        <w:tc>
          <w:tcPr>
            <w:tcW w:w="715" w:type="pct"/>
            <w:vAlign w:val="center"/>
          </w:tcPr>
          <w:p w14:paraId="703A91E0" w14:textId="77777777" w:rsidR="00656F60" w:rsidRPr="00727A26" w:rsidRDefault="00656F60" w:rsidP="00FB3C38">
            <w:pPr>
              <w:jc w:val="right"/>
            </w:pPr>
            <w:r>
              <w:t>22.4</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6</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7.9</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11</w:t>
            </w:r>
          </w:p>
        </w:tc>
        <w:tc>
          <w:tcPr>
            <w:tcW w:w="715" w:type="pct"/>
            <w:vAlign w:val="center"/>
          </w:tcPr>
          <w:p w14:paraId="703A91EC" w14:textId="77777777" w:rsidR="00656F60" w:rsidRPr="00727A26" w:rsidRDefault="00656F60" w:rsidP="00FB3C38">
            <w:pPr>
              <w:jc w:val="right"/>
            </w:pPr>
            <w:r>
              <w:t>14.5</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5</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6.6</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76</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Central Goldfields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Central Goldfields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38.2</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18.0</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18.0</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22.5</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np</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Central Goldfields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32.5</w:t>
            </w:r>
          </w:p>
        </w:tc>
        <w:tc>
          <w:tcPr>
            <w:tcW w:w="738" w:type="pct"/>
            <w:noWrap/>
            <w:vAlign w:val="center"/>
          </w:tcPr>
          <w:p w14:paraId="703A9229" w14:textId="77777777" w:rsidR="00656F60" w:rsidRPr="00017A47" w:rsidRDefault="00656F60" w:rsidP="00FB3C38">
            <w:pPr>
              <w:jc w:val="right"/>
            </w:pPr>
            <w:r>
              <w:t>14.3</w:t>
            </w:r>
          </w:p>
        </w:tc>
        <w:tc>
          <w:tcPr>
            <w:tcW w:w="843" w:type="pct"/>
            <w:noWrap/>
            <w:vAlign w:val="center"/>
          </w:tcPr>
          <w:p w14:paraId="703A922A" w14:textId="77777777" w:rsidR="00656F60" w:rsidRPr="00017A47" w:rsidRDefault="00656F60" w:rsidP="00FB3C38">
            <w:pPr>
              <w:jc w:val="right"/>
            </w:pPr>
            <w:r>
              <w:t>9.1</w:t>
            </w:r>
          </w:p>
        </w:tc>
        <w:tc>
          <w:tcPr>
            <w:tcW w:w="647" w:type="pct"/>
            <w:noWrap/>
            <w:vAlign w:val="center"/>
          </w:tcPr>
          <w:p w14:paraId="703A922B" w14:textId="77777777" w:rsidR="00656F60" w:rsidRPr="00017A47" w:rsidRDefault="00656F60" w:rsidP="00FB3C38">
            <w:pPr>
              <w:jc w:val="right"/>
            </w:pPr>
            <w:r>
              <w:t>40.3</w:t>
            </w:r>
          </w:p>
        </w:tc>
        <w:tc>
          <w:tcPr>
            <w:tcW w:w="575" w:type="pct"/>
            <w:noWrap/>
            <w:vAlign w:val="center"/>
          </w:tcPr>
          <w:p w14:paraId="703A922C" w14:textId="77777777" w:rsidR="00656F60" w:rsidRPr="00017A47" w:rsidRDefault="00656F60" w:rsidP="00FB3C38">
            <w:pPr>
              <w:jc w:val="right"/>
            </w:pPr>
            <w:r>
              <w:t>np</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Central Goldfields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32.8</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23.9</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29.9</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np</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Central Goldfields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36.3</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12.5</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6.3</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31.3</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12.5</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Central Goldfields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47.4</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15.8</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7.9</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22.4</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6.6</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Central Goldfields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65.9</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27.3</w:t>
            </w:r>
          </w:p>
        </w:tc>
        <w:tc>
          <w:tcPr>
            <w:tcW w:w="1215" w:type="dxa"/>
            <w:noWrap/>
            <w:vAlign w:val="center"/>
          </w:tcPr>
          <w:p w14:paraId="703A9297" w14:textId="77777777" w:rsidR="00656F60" w:rsidRPr="00B14C14" w:rsidRDefault="00656F60" w:rsidP="00FB3C38">
            <w:pPr>
              <w:jc w:val="right"/>
            </w:pPr>
            <w:r>
              <w:t>24.2</w:t>
            </w:r>
          </w:p>
        </w:tc>
        <w:tc>
          <w:tcPr>
            <w:tcW w:w="1215" w:type="dxa"/>
            <w:noWrap/>
            <w:vAlign w:val="center"/>
          </w:tcPr>
          <w:p w14:paraId="703A9298" w14:textId="77777777" w:rsidR="00656F60" w:rsidRPr="00B14C14" w:rsidRDefault="00656F60" w:rsidP="00FB3C38">
            <w:pPr>
              <w:jc w:val="right"/>
            </w:pPr>
            <w:r>
              <w:t>np</w:t>
            </w:r>
          </w:p>
        </w:tc>
        <w:tc>
          <w:tcPr>
            <w:tcW w:w="1215" w:type="dxa"/>
            <w:noWrap/>
            <w:vAlign w:val="center"/>
          </w:tcPr>
          <w:p w14:paraId="703A9299" w14:textId="77777777" w:rsidR="00656F60" w:rsidRPr="00B14C14" w:rsidRDefault="00656F60" w:rsidP="00FB3C38">
            <w:pPr>
              <w:jc w:val="right"/>
            </w:pPr>
            <w:r>
              <w:t>39.4</w:t>
            </w:r>
          </w:p>
        </w:tc>
        <w:tc>
          <w:tcPr>
            <w:tcW w:w="1215" w:type="dxa"/>
            <w:noWrap/>
            <w:vAlign w:val="center"/>
          </w:tcPr>
          <w:p w14:paraId="703A929A" w14:textId="77777777" w:rsidR="00656F60" w:rsidRPr="00B14C14" w:rsidRDefault="00656F60" w:rsidP="00FB3C38">
            <w:pPr>
              <w:jc w:val="right"/>
            </w:pP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Central Goldfields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54.5</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18.2</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11.4</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37.5</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37.5</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Central Goldfields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50.0</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13.8</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8.6</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22.4</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41.2</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np</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Central Goldfields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Highview Christian Community College</w:t>
            </w:r>
          </w:p>
        </w:tc>
        <w:tc>
          <w:tcPr>
            <w:tcW w:w="2310" w:type="dxa"/>
            <w:shd w:val="clear" w:color="auto" w:fill="D9D9D9"/>
          </w:tcPr>
          <w:p>
            <w:pPr>
              <w:jc w:val="right"/>
            </w:pPr>
            <w:r>
              <w:t>61</w:t>
            </w:r>
          </w:p>
        </w:tc>
        <w:tc>
          <w:tcPr>
            <w:tcW w:w="2310" w:type="dxa"/>
            <w:shd w:val="clear" w:color="auto" w:fill="D9D9D9"/>
          </w:tcPr>
          <w:p>
            <w:pPr>
              <w:jc w:val="right"/>
            </w:pPr>
            <w:r>
              <w:t>46</w:t>
            </w:r>
          </w:p>
        </w:tc>
        <w:tc>
          <w:tcPr>
            <w:tcW w:w="2310" w:type="dxa"/>
            <w:shd w:val="clear" w:color="auto" w:fill="D9D9D9"/>
          </w:tcPr>
          <w:p>
            <w:pPr>
              <w:jc w:val="right"/>
            </w:pPr>
            <w:r>
              <w:t>58.7</w:t>
            </w:r>
          </w:p>
        </w:tc>
        <w:tc>
          <w:tcPr>
            <w:tcW w:w="2310" w:type="dxa"/>
            <w:shd w:val="clear" w:color="auto" w:fill="D9D9D9"/>
          </w:tcPr>
          <w:p>
            <w:pPr>
              <w:jc w:val="right"/>
            </w:pPr>
            <w:r>
              <w:t>13.0</w:t>
            </w:r>
          </w:p>
        </w:tc>
        <w:tc>
          <w:tcPr>
            <w:tcW w:w="2310" w:type="dxa"/>
            <w:shd w:val="clear" w:color="auto" w:fill="D9D9D9"/>
          </w:tcPr>
          <w:p>
            <w:pPr>
              <w:jc w:val="right"/>
            </w:pPr>
            <w:r>
              <w:t>6.5</w:t>
            </w:r>
          </w:p>
        </w:tc>
        <w:tc>
          <w:tcPr>
            <w:tcW w:w="2310" w:type="dxa"/>
            <w:shd w:val="clear" w:color="auto" w:fill="D9D9D9"/>
          </w:tcPr>
          <w:p>
            <w:pPr>
              <w:jc w:val="right"/>
            </w:pPr>
            <w:r>
              <w:t>21.7</w:t>
            </w:r>
          </w:p>
        </w:tc>
      </w:tr>
      <w:tr>
        <w:tc>
          <w:tcPr>
            <w:tcW w:w="2310" w:type="dxa"/>
            <w:shd w:val="clear" w:color="auto" w:fill="FFFFFF"/>
          </w:tcPr>
          <w:p>
            <w:pPr>
              <w:jc w:val="right"/>
            </w:pPr>
            <w:r>
              <w:t>Maryborough Education Centre</w:t>
            </w:r>
          </w:p>
        </w:tc>
        <w:tc>
          <w:tcPr>
            <w:tcW w:w="2310" w:type="dxa"/>
            <w:shd w:val="clear" w:color="auto" w:fill="FFFFFF"/>
          </w:tcPr>
          <w:p>
            <w:pPr>
              <w:jc w:val="right"/>
            </w:pPr>
            <w:r>
              <w:t>64</w:t>
            </w:r>
          </w:p>
        </w:tc>
        <w:tc>
          <w:tcPr>
            <w:tcW w:w="2310" w:type="dxa"/>
            <w:shd w:val="clear" w:color="auto" w:fill="FFFFFF"/>
          </w:tcPr>
          <w:p>
            <w:pPr>
              <w:jc w:val="right"/>
            </w:pPr>
            <w:r>
              <w:t>29</w:t>
            </w:r>
          </w:p>
        </w:tc>
        <w:tc>
          <w:tcPr>
            <w:tcW w:w="2310" w:type="dxa"/>
            <w:shd w:val="clear" w:color="auto" w:fill="FFFFFF"/>
          </w:tcPr>
          <w:p>
            <w:pPr>
              <w:jc w:val="right"/>
            </w:pPr>
            <w:r>
              <w:t>31.0</w:t>
            </w:r>
          </w:p>
        </w:tc>
        <w:tc>
          <w:tcPr>
            <w:tcW w:w="2310" w:type="dxa"/>
            <w:shd w:val="clear" w:color="auto" w:fill="FFFFFF"/>
          </w:tcPr>
          <w:p>
            <w:pPr>
              <w:jc w:val="right"/>
            </w:pPr>
            <w:r>
              <w:t>20.7</w:t>
            </w:r>
          </w:p>
        </w:tc>
        <w:tc>
          <w:tcPr>
            <w:tcW w:w="2310" w:type="dxa"/>
            <w:shd w:val="clear" w:color="auto" w:fill="FFFFFF"/>
          </w:tcPr>
          <w:p>
            <w:pPr>
              <w:jc w:val="right"/>
            </w:pPr>
            <w:r>
              <w:t>10.3</w:t>
            </w:r>
          </w:p>
        </w:tc>
        <w:tc>
          <w:tcPr>
            <w:tcW w:w="2310" w:type="dxa"/>
            <w:shd w:val="clear" w:color="auto" w:fill="FFFFFF"/>
          </w:tcPr>
          <w:p>
            <w:pPr>
              <w:jc w:val="right"/>
            </w:pPr>
            <w:r>
              <w:t>37.9</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126</w:t>
            </w:r>
          </w:p>
        </w:tc>
        <w:tc>
          <w:tcPr>
            <w:tcW w:w="2310" w:type="dxa"/>
            <w:shd w:val="clear" w:color="auto" w:fill="D9D9D9"/>
          </w:tcPr>
          <w:p>
            <w:pPr>
              <w:jc w:val="right"/>
            </w:pPr>
            <w:r>
              <w:rPr>
                <w:b/>
              </w:rPr>
              <w:t>76</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Central Goldfields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np</w:t>
            </w:r>
          </w:p>
        </w:tc>
        <w:tc>
          <w:tcPr>
            <w:tcW w:w="998" w:type="pct"/>
            <w:shd w:val="clear" w:color="auto" w:fill="auto"/>
          </w:tcPr>
          <w:p w14:paraId="703A9383" w14:textId="77777777" w:rsidR="00656F60" w:rsidRPr="006C4423" w:rsidRDefault="00656F60" w:rsidP="00FB3C38">
            <w:pPr>
              <w:jc w:val="right"/>
            </w:pPr>
            <w:r>
              <w:t>np</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7</w:t>
            </w:r>
          </w:p>
        </w:tc>
        <w:tc>
          <w:tcPr>
            <w:tcW w:w="998" w:type="pct"/>
            <w:shd w:val="clear" w:color="auto" w:fill="FFFFFF" w:themeFill="background2"/>
          </w:tcPr>
          <w:p w14:paraId="703A938F" w14:textId="77777777" w:rsidR="00656F60" w:rsidRPr="006C4423" w:rsidRDefault="00656F60" w:rsidP="00FB3C38">
            <w:pPr>
              <w:jc w:val="right"/>
            </w:pPr>
            <w:r>
              <w:t>17.9</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9</w:t>
            </w:r>
          </w:p>
        </w:tc>
        <w:tc>
          <w:tcPr>
            <w:tcW w:w="998" w:type="pct"/>
            <w:shd w:val="clear" w:color="auto" w:fill="D9D9D9" w:themeFill="background2" w:themeFillShade="D9"/>
          </w:tcPr>
          <w:p w14:paraId="2B8C1EA0" w14:textId="77777777" w:rsidR="004659ED" w:rsidRPr="006C4423" w:rsidRDefault="004659ED" w:rsidP="00FB3C38">
            <w:pPr>
              <w:jc w:val="right"/>
            </w:pPr>
            <w:r>
              <w:t>23.1</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6</w:t>
            </w:r>
          </w:p>
        </w:tc>
        <w:tc>
          <w:tcPr>
            <w:tcW w:w="998" w:type="pct"/>
            <w:shd w:val="clear" w:color="auto" w:fill="FFFFFF" w:themeFill="background2"/>
          </w:tcPr>
          <w:p w14:paraId="703A9393" w14:textId="77777777" w:rsidR="00656F60" w:rsidRPr="006C4423" w:rsidRDefault="00656F60" w:rsidP="00FB3C38">
            <w:pPr>
              <w:jc w:val="right"/>
            </w:pPr>
            <w:r>
              <w:t>15.4</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np</w:t>
            </w:r>
          </w:p>
        </w:tc>
        <w:tc>
          <w:tcPr>
            <w:tcW w:w="998" w:type="pct"/>
            <w:shd w:val="clear" w:color="auto" w:fill="D9D9D9" w:themeFill="background2" w:themeFillShade="D9"/>
          </w:tcPr>
          <w:p w14:paraId="703A9397" w14:textId="77777777" w:rsidR="00656F60" w:rsidRPr="006C4423" w:rsidRDefault="00656F60" w:rsidP="00FB3C38">
            <w:pPr>
              <w:jc w:val="right"/>
            </w:pPr>
            <w:r>
              <w:t>np</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np</w:t>
            </w:r>
          </w:p>
        </w:tc>
        <w:tc>
          <w:tcPr>
            <w:tcW w:w="998" w:type="pct"/>
            <w:shd w:val="clear" w:color="auto" w:fill="FFFFFF" w:themeFill="background2"/>
          </w:tcPr>
          <w:p w14:paraId="703A939B" w14:textId="77777777" w:rsidR="00656F60" w:rsidRPr="006C4423" w:rsidRDefault="00656F60" w:rsidP="00FB3C38">
            <w:pPr>
              <w:jc w:val="right"/>
            </w:pPr>
            <w:r>
              <w:t>np</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5</w:t>
            </w:r>
          </w:p>
        </w:tc>
        <w:tc>
          <w:tcPr>
            <w:tcW w:w="998" w:type="pct"/>
            <w:shd w:val="clear" w:color="auto" w:fill="D9D9D9" w:themeFill="background2" w:themeFillShade="D9"/>
          </w:tcPr>
          <w:p w14:paraId="703A939F" w14:textId="77777777" w:rsidR="00656F60" w:rsidRPr="006C4423" w:rsidRDefault="00656F60" w:rsidP="00FB3C38">
            <w:pPr>
              <w:jc w:val="right"/>
            </w:pPr>
            <w:r>
              <w:t>12.8</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r>
              <w:t>np</w:t>
            </w:r>
          </w:p>
        </w:tc>
        <w:tc>
          <w:tcPr>
            <w:tcW w:w="998" w:type="pct"/>
            <w:shd w:val="clear" w:color="auto" w:fill="auto"/>
          </w:tcPr>
          <w:p w14:paraId="703A93BF" w14:textId="77777777" w:rsidR="00656F60" w:rsidRPr="006C4423" w:rsidRDefault="00656F60" w:rsidP="00FB3C38">
            <w:pPr>
              <w:jc w:val="right"/>
            </w:pPr>
            <w:r>
              <w:t>np</w:t>
            </w: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39</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Central Goldfields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np</w:t>
            </w:r>
          </w:p>
        </w:tc>
        <w:tc>
          <w:tcPr>
            <w:tcW w:w="661" w:type="pct"/>
            <w:shd w:val="clear" w:color="auto" w:fill="auto"/>
            <w:noWrap/>
            <w:vAlign w:val="center"/>
          </w:tcPr>
          <w:p w14:paraId="703A9420" w14:textId="77777777" w:rsidR="00656F60" w:rsidRPr="00905459" w:rsidRDefault="00656F60" w:rsidP="00FB3C38">
            <w:pPr>
              <w:jc w:val="right"/>
            </w:pPr>
            <w:r>
              <w:t>np</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7</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14.6</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np</w:t>
            </w:r>
          </w:p>
        </w:tc>
        <w:tc>
          <w:tcPr>
            <w:tcW w:w="661" w:type="pct"/>
            <w:shd w:val="clear" w:color="auto" w:fill="auto"/>
            <w:noWrap/>
            <w:vAlign w:val="center"/>
          </w:tcPr>
          <w:p w14:paraId="703A942C" w14:textId="77777777" w:rsidR="00656F60" w:rsidRPr="00905459" w:rsidRDefault="00656F60" w:rsidP="00FB3C38">
            <w:pPr>
              <w:jc w:val="right"/>
            </w:pPr>
            <w:r>
              <w:t>np</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p>
        </w:tc>
        <w:tc>
          <w:tcPr>
            <w:tcW w:w="661" w:type="pct"/>
            <w:shd w:val="clear" w:color="auto" w:fill="auto"/>
            <w:noWrap/>
            <w:vAlign w:val="center"/>
          </w:tcPr>
          <w:p w14:paraId="703A9438" w14:textId="77777777" w:rsidR="00656F60" w:rsidRPr="00905459" w:rsidRDefault="00656F60" w:rsidP="00FB3C38">
            <w:pPr>
              <w:jc w:val="right"/>
            </w:pP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14</w:t>
            </w:r>
          </w:p>
        </w:tc>
        <w:tc>
          <w:tcPr>
            <w:tcW w:w="661" w:type="pct"/>
            <w:shd w:val="clear" w:color="auto" w:fill="auto"/>
            <w:noWrap/>
            <w:vAlign w:val="center"/>
          </w:tcPr>
          <w:p w14:paraId="703A9444" w14:textId="77777777" w:rsidR="00656F60" w:rsidRPr="00905459" w:rsidRDefault="00656F60" w:rsidP="00FB3C38">
            <w:pPr>
              <w:jc w:val="right"/>
            </w:pPr>
            <w:r>
              <w:t>29.2</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6</w:t>
            </w:r>
          </w:p>
        </w:tc>
        <w:tc>
          <w:tcPr>
            <w:tcW w:w="661" w:type="pct"/>
            <w:shd w:val="clear" w:color="auto" w:fill="auto"/>
            <w:noWrap/>
            <w:vAlign w:val="center"/>
          </w:tcPr>
          <w:p w14:paraId="703A9450" w14:textId="77777777" w:rsidR="00656F60" w:rsidRPr="00905459" w:rsidRDefault="00656F60" w:rsidP="00FB3C38">
            <w:pPr>
              <w:jc w:val="right"/>
            </w:pPr>
            <w:r>
              <w:t>12.5</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np</w:t>
            </w:r>
          </w:p>
        </w:tc>
        <w:tc>
          <w:tcPr>
            <w:tcW w:w="661" w:type="pct"/>
            <w:shd w:val="clear" w:color="auto" w:fill="auto"/>
            <w:noWrap/>
            <w:vAlign w:val="center"/>
          </w:tcPr>
          <w:p w14:paraId="703A945C" w14:textId="77777777" w:rsidR="00656F60" w:rsidRPr="00905459" w:rsidRDefault="00656F60" w:rsidP="00FB3C38">
            <w:pPr>
              <w:jc w:val="right"/>
            </w:pPr>
            <w:r>
              <w:t>np</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8</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16.7</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48</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Central Goldfields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Central Goldfields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41.7</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31.3</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22.9</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Central Goldfields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np</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np</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Central Goldfields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6</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Central Goldfields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92.9</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78.6</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35.7</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np</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86.7</w:t>
            </w:r>
          </w:p>
        </w:tc>
        <w:tc>
          <w:tcPr>
            <w:tcW w:w="1062" w:type="pct"/>
            <w:noWrap/>
            <w:vAlign w:val="center"/>
          </w:tcPr>
          <w:p w14:paraId="703A955D" w14:textId="77777777" w:rsidR="00656F60" w:rsidRPr="007A4F35" w:rsidRDefault="00656F60" w:rsidP="00FB3C38">
            <w:pPr>
              <w:jc w:val="right"/>
            </w:pPr>
            <w:r>
              <w:t>93.3</w:t>
            </w:r>
          </w:p>
        </w:tc>
        <w:tc>
          <w:tcPr>
            <w:tcW w:w="1062" w:type="pct"/>
            <w:noWrap/>
            <w:vAlign w:val="center"/>
          </w:tcPr>
          <w:p w14:paraId="703A955E" w14:textId="77777777" w:rsidR="00656F60" w:rsidRPr="007A4F35" w:rsidRDefault="00656F60" w:rsidP="00FB3C38">
            <w:pPr>
              <w:jc w:val="right"/>
            </w:pPr>
            <w:r>
              <w:t>np</w:t>
            </w:r>
          </w:p>
        </w:tc>
        <w:tc>
          <w:tcPr>
            <w:tcW w:w="1062" w:type="pct"/>
            <w:noWrap/>
            <w:vAlign w:val="center"/>
          </w:tcPr>
          <w:p w14:paraId="703A955F" w14:textId="77777777" w:rsidR="00656F60" w:rsidRPr="007A4F35" w:rsidRDefault="00656F60" w:rsidP="00FB3C38">
            <w:pPr>
              <w:jc w:val="right"/>
            </w:pPr>
            <w:r>
              <w:t>40.0</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86.7</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80.0</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np</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88.0</w:t>
            </w:r>
          </w:p>
        </w:tc>
        <w:tc>
          <w:tcPr>
            <w:tcW w:w="1062" w:type="pct"/>
            <w:noWrap/>
            <w:vAlign w:val="center"/>
          </w:tcPr>
          <w:p w14:paraId="703A9569" w14:textId="77777777" w:rsidR="00656F60" w:rsidRPr="007A4F35" w:rsidRDefault="00656F60" w:rsidP="00FB3C38">
            <w:pPr>
              <w:jc w:val="right"/>
            </w:pPr>
            <w:r>
              <w:t>68.0</w:t>
            </w:r>
          </w:p>
        </w:tc>
        <w:tc>
          <w:tcPr>
            <w:tcW w:w="1062" w:type="pct"/>
            <w:noWrap/>
            <w:vAlign w:val="center"/>
          </w:tcPr>
          <w:p w14:paraId="703A956A" w14:textId="77777777" w:rsidR="00656F60" w:rsidRPr="007A4F35" w:rsidRDefault="00656F60" w:rsidP="00FB3C38">
            <w:pPr>
              <w:jc w:val="right"/>
            </w:pPr>
            <w:r>
              <w:t>36.0</w:t>
            </w:r>
          </w:p>
        </w:tc>
        <w:tc>
          <w:tcPr>
            <w:tcW w:w="1062" w:type="pct"/>
            <w:noWrap/>
            <w:vAlign w:val="center"/>
          </w:tcPr>
          <w:p w14:paraId="703A956B" w14:textId="77777777" w:rsidR="00656F60" w:rsidRPr="007A4F35" w:rsidRDefault="00656F60" w:rsidP="00FB3C38">
            <w:pPr>
              <w:jc w:val="right"/>
            </w:pPr>
            <w:r>
              <w:t>20.0</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87.5</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68.8</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31.3</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Central Goldfields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6</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37.5</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6</w:t>
            </w:r>
          </w:p>
        </w:tc>
        <w:tc>
          <w:tcPr>
            <w:tcW w:w="805" w:type="pct"/>
            <w:noWrap/>
            <w:vAlign w:val="center"/>
          </w:tcPr>
          <w:p w14:paraId="703A958A" w14:textId="77777777" w:rsidR="00656F60" w:rsidRPr="007A4F35" w:rsidRDefault="00656F60" w:rsidP="00FB3C38">
            <w:pPr>
              <w:jc w:val="right"/>
            </w:pPr>
            <w:r>
              <w:t>37.5</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16</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Central Goldfields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Central Goldfields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Central Goldfields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11.2</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20.8</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10.4</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12.5</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6.6</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Central Goldfields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3</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60.0</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5</w:t>
            </w:r>
          </w:p>
        </w:tc>
        <w:tc>
          <w:tcPr>
            <w:tcW w:w="589" w:type="pct"/>
            <w:noWrap/>
            <w:vAlign w:val="center"/>
          </w:tcPr>
          <w:p w14:paraId="703A95FF" w14:textId="77777777" w:rsidR="00656F60" w:rsidRPr="007A4F35" w:rsidRDefault="00656F60" w:rsidP="00FB3C38">
            <w:pPr>
              <w:jc w:val="right"/>
            </w:pPr>
            <w:r>
              <w:t>100.0</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4</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80.0</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3</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60.0</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Central Goldfields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71.4</w:t>
            </w:r>
          </w:p>
        </w:tc>
        <w:tc>
          <w:tcPr>
            <w:tcW w:w="596" w:type="pct"/>
            <w:noWrap/>
            <w:vAlign w:val="center"/>
          </w:tcPr>
          <w:p w14:paraId="703A963A" w14:textId="77777777" w:rsidR="00656F60" w:rsidRPr="007A4F35" w:rsidRDefault="00656F60" w:rsidP="00FB3C38">
            <w:pPr>
              <w:jc w:val="right"/>
            </w:pPr>
            <w:r>
              <w:t>80.0</w:t>
            </w:r>
          </w:p>
        </w:tc>
        <w:tc>
          <w:tcPr>
            <w:tcW w:w="596" w:type="pct"/>
            <w:noWrap/>
            <w:vAlign w:val="center"/>
          </w:tcPr>
          <w:p w14:paraId="703A963B" w14:textId="77777777" w:rsidR="00656F60" w:rsidRPr="007A4F35" w:rsidRDefault="00656F60" w:rsidP="00FB3C38">
            <w:pPr>
              <w:jc w:val="right"/>
            </w:pPr>
            <w:r>
              <w:t>np</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Central Goldfields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np</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np</w:t>
            </w:r>
          </w:p>
        </w:tc>
        <w:tc>
          <w:tcPr>
            <w:tcW w:w="659" w:type="pct"/>
            <w:noWrap/>
            <w:vAlign w:val="center"/>
          </w:tcPr>
          <w:p w14:paraId="703A9670" w14:textId="77777777" w:rsidR="00656F60" w:rsidRPr="00D50140" w:rsidRDefault="00656F60" w:rsidP="00FB3C38">
            <w:pPr>
              <w:jc w:val="right"/>
            </w:pPr>
            <w:r>
              <w:t>np</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p>
        </w:tc>
        <w:tc>
          <w:tcPr>
            <w:tcW w:w="659" w:type="pct"/>
            <w:noWrap/>
            <w:vAlign w:val="center"/>
          </w:tcPr>
          <w:p w14:paraId="703A9688" w14:textId="77777777" w:rsidR="00656F60" w:rsidRPr="00D50140" w:rsidRDefault="00656F60" w:rsidP="00FB3C38">
            <w:pPr>
              <w:jc w:val="right"/>
            </w:pP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p>
        </w:tc>
        <w:tc>
          <w:tcPr>
            <w:tcW w:w="659" w:type="pct"/>
            <w:noWrap/>
            <w:vAlign w:val="center"/>
          </w:tcPr>
          <w:p w14:paraId="703A9694" w14:textId="77777777" w:rsidR="00656F60" w:rsidRPr="00D50140" w:rsidRDefault="00656F60" w:rsidP="00FB3C38">
            <w:pPr>
              <w:jc w:val="right"/>
            </w:pP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6</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35.3</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17</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Central Goldfields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p>
        </w:tc>
        <w:tc>
          <w:tcPr>
            <w:tcW w:w="660" w:type="pct"/>
            <w:noWrap/>
            <w:vAlign w:val="center"/>
          </w:tcPr>
          <w:p w14:paraId="703A96C6" w14:textId="77777777" w:rsidR="00656F60" w:rsidRPr="00D50140" w:rsidRDefault="00656F60" w:rsidP="00FB3C38">
            <w:pPr>
              <w:jc w:val="right"/>
            </w:pP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np</w:t>
            </w:r>
          </w:p>
        </w:tc>
        <w:tc>
          <w:tcPr>
            <w:tcW w:w="660" w:type="pct"/>
            <w:noWrap/>
            <w:vAlign w:val="center"/>
          </w:tcPr>
          <w:p w14:paraId="703A96EA" w14:textId="77777777" w:rsidR="00656F60" w:rsidRPr="00D50140" w:rsidRDefault="00656F60" w:rsidP="00FB3C38">
            <w:pPr>
              <w:jc w:val="right"/>
            </w:pPr>
            <w:r>
              <w:t>np</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17</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Central Goldfields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9</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90.0</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np</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10</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Central Goldfields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7</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58.3</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6</w:t>
            </w:r>
          </w:p>
        </w:tc>
        <w:tc>
          <w:tcPr>
            <w:tcW w:w="661" w:type="pct"/>
            <w:noWrap/>
            <w:vAlign w:val="center"/>
          </w:tcPr>
          <w:p w14:paraId="703A975E" w14:textId="77777777" w:rsidR="00656F60" w:rsidRPr="00E371BB" w:rsidRDefault="00656F60" w:rsidP="00FB3C38">
            <w:pPr>
              <w:jc w:val="right"/>
            </w:pPr>
            <w:r>
              <w:t>50.0</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5</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41.7</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5</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41.7</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12</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Central Goldfields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Central Goldfields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23.1</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48.7</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17.9</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np</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Central Goldfields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np</w:t>
            </w:r>
          </w:p>
        </w:tc>
        <w:tc>
          <w:tcPr>
            <w:tcW w:w="644" w:type="pct"/>
            <w:noWrap/>
            <w:vAlign w:val="center"/>
          </w:tcPr>
          <w:p w14:paraId="703A97C0" w14:textId="77777777" w:rsidR="00656F60" w:rsidRPr="00F21259" w:rsidRDefault="00656F60" w:rsidP="00FB3C38">
            <w:pPr>
              <w:jc w:val="right"/>
            </w:pPr>
            <w:r>
              <w:t>33.3</w:t>
            </w:r>
          </w:p>
        </w:tc>
        <w:tc>
          <w:tcPr>
            <w:tcW w:w="644" w:type="pct"/>
            <w:noWrap/>
            <w:vAlign w:val="center"/>
          </w:tcPr>
          <w:p w14:paraId="703A97C1" w14:textId="77777777" w:rsidR="00656F60" w:rsidRPr="00F21259" w:rsidRDefault="00656F60" w:rsidP="00FB3C38">
            <w:pPr>
              <w:jc w:val="right"/>
            </w:pPr>
            <w:r>
              <w:t>np</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Central Goldfields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50.0</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Central Goldfields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31.3</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Central Goldfields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50.0</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Central Goldfields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Central Goldfields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Central Goldfields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Central Goldfields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50.0</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47.2</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55.6</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61.1</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Central Goldfields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69.2</w:t>
            </w:r>
          </w:p>
        </w:tc>
        <w:tc>
          <w:tcPr>
            <w:tcW w:w="943" w:type="pct"/>
            <w:noWrap/>
            <w:vAlign w:val="center"/>
          </w:tcPr>
          <w:p w14:paraId="703A989A" w14:textId="77777777" w:rsidR="00656F60" w:rsidRPr="00802E09" w:rsidRDefault="00656F60" w:rsidP="00FB3C38">
            <w:pPr>
              <w:jc w:val="right"/>
            </w:pPr>
            <w:r>
              <w:t>69.2</w:t>
            </w:r>
          </w:p>
        </w:tc>
        <w:tc>
          <w:tcPr>
            <w:tcW w:w="943" w:type="pct"/>
            <w:noWrap/>
            <w:vAlign w:val="center"/>
          </w:tcPr>
          <w:p w14:paraId="703A989B" w14:textId="77777777" w:rsidR="00656F60" w:rsidRPr="00802E09" w:rsidRDefault="00656F60" w:rsidP="00FB3C38">
            <w:pPr>
              <w:jc w:val="right"/>
            </w:pPr>
            <w:r>
              <w:t>46.2</w:t>
            </w:r>
          </w:p>
        </w:tc>
        <w:tc>
          <w:tcPr>
            <w:tcW w:w="943" w:type="pct"/>
            <w:noWrap/>
            <w:vAlign w:val="center"/>
          </w:tcPr>
          <w:p w14:paraId="703A989C" w14:textId="77777777" w:rsidR="00656F60" w:rsidRPr="00802E09" w:rsidRDefault="00656F60" w:rsidP="00FB3C38">
            <w:pPr>
              <w:jc w:val="right"/>
            </w:pPr>
            <w:r>
              <w:t>61.5</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Central Goldfields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66.7</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66.7</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41.7</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Central Goldfields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64.3</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71.4</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50.0</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78.6</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Central Goldfields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41.7</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50.0</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np</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58.3</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Central Goldfields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Central Goldfields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20.5</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59.0</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20.5</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Central Goldfields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46.7</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np</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Central Goldfields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np</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58.3</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Central Goldfields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np</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37.5</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37.5</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Central Goldfields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41.7</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41.7</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np</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Central Goldfields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np</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np</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Central Goldfields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Central Goldfields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Central Goldfields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r>
              <w:t>np</w:t>
            </w:r>
          </w:p>
        </w:tc>
        <w:tc>
          <w:tcPr>
            <w:tcW w:w="689" w:type="pct"/>
            <w:noWrap/>
            <w:vAlign w:val="center"/>
          </w:tcPr>
          <w:p w14:paraId="703A995D" w14:textId="77777777" w:rsidR="00656F60" w:rsidRPr="00F01252" w:rsidRDefault="00656F60" w:rsidP="00FB3C38">
            <w:pPr>
              <w:jc w:val="right"/>
            </w:pPr>
            <w:r>
              <w:t>np</w:t>
            </w: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3</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Central Goldfields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86.7</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50.0</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94.7</w:t>
            </w:r>
          </w:p>
        </w:tc>
        <w:tc>
          <w:tcPr>
            <w:tcW w:w="1142" w:type="pct"/>
            <w:noWrap/>
            <w:vAlign w:val="center"/>
          </w:tcPr>
          <w:p w14:paraId="703A9995" w14:textId="77777777" w:rsidR="00656F60" w:rsidRPr="002D08AB" w:rsidRDefault="00656F60" w:rsidP="00FB3C38">
            <w:pPr>
              <w:jc w:val="right"/>
            </w:pPr>
            <w:r>
              <w:t>66.7</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60.0</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50.0</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92.0</w:t>
            </w:r>
          </w:p>
        </w:tc>
        <w:tc>
          <w:tcPr>
            <w:tcW w:w="1142" w:type="pct"/>
            <w:noWrap/>
            <w:vAlign w:val="center"/>
          </w:tcPr>
          <w:p w14:paraId="703A999D" w14:textId="77777777" w:rsidR="00656F60" w:rsidRPr="002D08AB" w:rsidRDefault="00656F60" w:rsidP="00FB3C38">
            <w:pPr>
              <w:jc w:val="right"/>
            </w:pPr>
            <w:r>
              <w:t>91.7</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85.3</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50.0</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86.7</w:t>
            </w:r>
          </w:p>
        </w:tc>
        <w:tc>
          <w:tcPr>
            <w:tcW w:w="1142" w:type="pct"/>
            <w:noWrap/>
            <w:vAlign w:val="center"/>
          </w:tcPr>
          <w:p w14:paraId="703A99A5" w14:textId="77777777" w:rsidR="00656F60" w:rsidRPr="002D08AB" w:rsidRDefault="00656F60" w:rsidP="00FB3C38">
            <w:pPr>
              <w:jc w:val="right"/>
            </w:pPr>
            <w:r>
              <w:t>np</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82.7</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np</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22.7</w:t>
            </w:r>
          </w:p>
        </w:tc>
        <w:tc>
          <w:tcPr>
            <w:tcW w:w="1142" w:type="pct"/>
            <w:noWrap/>
            <w:vAlign w:val="center"/>
          </w:tcPr>
          <w:p w14:paraId="703A99AD" w14:textId="77777777" w:rsidR="00656F60" w:rsidRPr="002D08AB" w:rsidRDefault="00656F60" w:rsidP="00FB3C38">
            <w:pPr>
              <w:jc w:val="right"/>
            </w:pPr>
            <w:r>
              <w:t>50.0</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42.7</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58.3</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80.0</w:t>
            </w:r>
          </w:p>
        </w:tc>
        <w:tc>
          <w:tcPr>
            <w:tcW w:w="1142" w:type="pct"/>
            <w:noWrap/>
            <w:vAlign w:val="center"/>
          </w:tcPr>
          <w:p w14:paraId="703A99B5" w14:textId="77777777" w:rsidR="00656F60" w:rsidRPr="002D08AB" w:rsidRDefault="00656F60" w:rsidP="00FB3C38">
            <w:pPr>
              <w:jc w:val="right"/>
            </w:pPr>
            <w:r>
              <w:t>58.3</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69.3</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np</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Central Goldfields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Central Goldfields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20.0</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64.0</w:t>
            </w:r>
          </w:p>
        </w:tc>
        <w:tc>
          <w:tcPr>
            <w:tcW w:w="765" w:type="pct"/>
            <w:noWrap/>
            <w:vAlign w:val="center"/>
          </w:tcPr>
          <w:p w14:paraId="703A99D7" w14:textId="77777777" w:rsidR="00656F60" w:rsidRPr="002D08AB" w:rsidRDefault="00656F60" w:rsidP="00FB3C38">
            <w:pPr>
              <w:jc w:val="right"/>
            </w:pPr>
            <w:r>
              <w:t>np</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10.7</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75</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12</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Central Goldfields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75</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12</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52</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69.3</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np</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np</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15</w:t>
            </w:r>
          </w:p>
        </w:tc>
        <w:tc>
          <w:tcPr>
            <w:tcW w:w="730" w:type="pct"/>
            <w:noWrap/>
            <w:vAlign w:val="center"/>
          </w:tcPr>
          <w:p w14:paraId="703A9A10" w14:textId="77777777" w:rsidR="00656F60" w:rsidRPr="002D08AB" w:rsidRDefault="00656F60" w:rsidP="00FB3C38">
            <w:pPr>
              <w:jc w:val="right"/>
            </w:pPr>
            <w:r>
              <w:t>28.8</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5</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33.3</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2</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Central Goldfields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Central Goldfields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A782C160-5C20-4D9D-AB14-30104406FC18}"/>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