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9A8160" w14:textId="77777777" w:rsidR="004879B8" w:rsidRPr="00341632" w:rsidRDefault="004879B8" w:rsidP="004879B8">
      <w:pPr>
        <w:pStyle w:val="ESBodyText"/>
        <w:jc w:val="center"/>
        <w:rPr>
          <w:b/>
          <w:color w:val="AF272F"/>
          <w:sz w:val="44"/>
        </w:rPr>
      </w:pPr>
      <w:bookmarkStart w:id="0" w:name="_Toc484621888"/>
      <w:bookmarkEnd w:id="0"/>
      <w:r w:rsidRPr="00341632">
        <w:rPr>
          <w:b/>
          <w:color w:val="AF272F"/>
          <w:sz w:val="44"/>
        </w:rPr>
        <w:t>DEPARTMENT OF EDUCATION AND TRAINING 2021–2025</w:t>
      </w:r>
      <w:r w:rsidRPr="00341632">
        <w:rPr>
          <w:b/>
          <w:color w:val="AF272F"/>
          <w:sz w:val="44"/>
        </w:rPr>
        <w:br/>
        <w:t>STRATEGIC PLAN</w:t>
      </w:r>
    </w:p>
    <w:p w14:paraId="36F66D4E" w14:textId="62A5FDCA" w:rsidR="00E9584B" w:rsidRPr="00341632" w:rsidRDefault="00E9584B" w:rsidP="00E9584B">
      <w:pPr>
        <w:pStyle w:val="Heading1"/>
        <w:rPr>
          <w:highlight w:val="yellow"/>
        </w:rPr>
        <w:sectPr w:rsidR="00E9584B" w:rsidRPr="00341632" w:rsidSect="00DF218B">
          <w:headerReference w:type="even" r:id="rId12"/>
          <w:headerReference w:type="default" r:id="rId13"/>
          <w:footerReference w:type="even" r:id="rId14"/>
          <w:footerReference w:type="default" r:id="rId15"/>
          <w:headerReference w:type="first" r:id="rId16"/>
          <w:footerReference w:type="first" r:id="rId17"/>
          <w:pgSz w:w="11900" w:h="16840"/>
          <w:pgMar w:top="1440" w:right="1440" w:bottom="1440" w:left="1440" w:header="709" w:footer="709" w:gutter="0"/>
          <w:cols w:space="708"/>
          <w:vAlign w:val="bottom"/>
          <w:docGrid w:linePitch="360"/>
        </w:sectPr>
      </w:pPr>
    </w:p>
    <w:p w14:paraId="1D16A6C5" w14:textId="20D99217" w:rsidR="00E9584B" w:rsidRPr="00591444" w:rsidRDefault="00E9584B" w:rsidP="00EE4FA1">
      <w:pPr>
        <w:pStyle w:val="ESBodyText"/>
        <w:rPr>
          <w:b/>
          <w:color w:val="AF272F"/>
          <w:sz w:val="44"/>
        </w:rPr>
      </w:pPr>
      <w:bookmarkStart w:id="1" w:name="_Toc484621889"/>
      <w:bookmarkStart w:id="2" w:name="_Toc514071614"/>
      <w:r w:rsidRPr="00591444">
        <w:rPr>
          <w:b/>
          <w:color w:val="AF272F"/>
          <w:sz w:val="44"/>
        </w:rPr>
        <w:lastRenderedPageBreak/>
        <w:t>CONTENTS</w:t>
      </w:r>
      <w:bookmarkEnd w:id="1"/>
      <w:bookmarkEnd w:id="2"/>
    </w:p>
    <w:p w14:paraId="55C64C14" w14:textId="46C9189A" w:rsidR="00587441" w:rsidRPr="00591444" w:rsidRDefault="00587441" w:rsidP="00447808">
      <w:pPr>
        <w:pStyle w:val="ESHeading1"/>
        <w:rPr>
          <w:color w:val="C00000"/>
        </w:rPr>
      </w:pPr>
    </w:p>
    <w:sdt>
      <w:sdtPr>
        <w:rPr>
          <w:b w:val="0"/>
        </w:rPr>
        <w:id w:val="-286048028"/>
        <w:docPartObj>
          <w:docPartGallery w:val="Table of Contents"/>
          <w:docPartUnique/>
        </w:docPartObj>
      </w:sdtPr>
      <w:sdtEndPr>
        <w:rPr>
          <w:bCs/>
          <w:noProof/>
        </w:rPr>
      </w:sdtEndPr>
      <w:sdtContent>
        <w:p w14:paraId="40D7DB41" w14:textId="5C697538" w:rsidR="00591444" w:rsidRPr="008D0865" w:rsidRDefault="00587441" w:rsidP="008D0865">
          <w:pPr>
            <w:pStyle w:val="TOC1"/>
            <w:rPr>
              <w:rFonts w:asciiTheme="minorHAnsi" w:hAnsiTheme="minorHAnsi" w:cstheme="minorBidi"/>
              <w:noProof/>
              <w:color w:val="C00000"/>
              <w:sz w:val="22"/>
              <w:szCs w:val="22"/>
              <w:lang w:val="en-AU" w:eastAsia="en-AU"/>
            </w:rPr>
          </w:pPr>
          <w:r w:rsidRPr="00591444">
            <w:fldChar w:fldCharType="begin"/>
          </w:r>
          <w:r w:rsidRPr="00591444">
            <w:instrText xml:space="preserve"> TOC \o "1-1" \h \z \u </w:instrText>
          </w:r>
          <w:r w:rsidRPr="00591444">
            <w:fldChar w:fldCharType="separate"/>
          </w:r>
          <w:hyperlink w:anchor="_Toc81990942" w:history="1">
            <w:r w:rsidR="00591444" w:rsidRPr="008D0865">
              <w:rPr>
                <w:rStyle w:val="Hyperlink"/>
                <w:noProof/>
                <w:color w:val="C00000"/>
              </w:rPr>
              <w:t>SECRETARY’S MESSAGE</w:t>
            </w:r>
            <w:r w:rsidR="00591444" w:rsidRPr="008D0865">
              <w:rPr>
                <w:noProof/>
                <w:webHidden/>
                <w:color w:val="C00000"/>
              </w:rPr>
              <w:tab/>
            </w:r>
            <w:r w:rsidR="00591444" w:rsidRPr="008D0865">
              <w:rPr>
                <w:noProof/>
                <w:webHidden/>
                <w:color w:val="C00000"/>
              </w:rPr>
              <w:fldChar w:fldCharType="begin"/>
            </w:r>
            <w:r w:rsidR="00591444" w:rsidRPr="008D0865">
              <w:rPr>
                <w:noProof/>
                <w:webHidden/>
                <w:color w:val="C00000"/>
              </w:rPr>
              <w:instrText xml:space="preserve"> PAGEREF _Toc81990942 \h </w:instrText>
            </w:r>
            <w:r w:rsidR="00591444" w:rsidRPr="008D0865">
              <w:rPr>
                <w:noProof/>
                <w:webHidden/>
                <w:color w:val="C00000"/>
              </w:rPr>
            </w:r>
            <w:r w:rsidR="00591444" w:rsidRPr="008D0865">
              <w:rPr>
                <w:noProof/>
                <w:webHidden/>
                <w:color w:val="C00000"/>
              </w:rPr>
              <w:fldChar w:fldCharType="separate"/>
            </w:r>
            <w:r w:rsidR="008D0865" w:rsidRPr="008D0865">
              <w:rPr>
                <w:noProof/>
                <w:webHidden/>
                <w:color w:val="C00000"/>
              </w:rPr>
              <w:t>3</w:t>
            </w:r>
            <w:r w:rsidR="00591444" w:rsidRPr="008D0865">
              <w:rPr>
                <w:noProof/>
                <w:webHidden/>
                <w:color w:val="C00000"/>
              </w:rPr>
              <w:fldChar w:fldCharType="end"/>
            </w:r>
          </w:hyperlink>
        </w:p>
        <w:p w14:paraId="34032AB9" w14:textId="0856ADE4" w:rsidR="00591444" w:rsidRPr="008D0865" w:rsidRDefault="00E50481" w:rsidP="008D0865">
          <w:pPr>
            <w:pStyle w:val="TOC1"/>
            <w:rPr>
              <w:rFonts w:asciiTheme="minorHAnsi" w:hAnsiTheme="minorHAnsi" w:cstheme="minorBidi"/>
              <w:noProof/>
              <w:color w:val="C00000"/>
              <w:sz w:val="22"/>
              <w:szCs w:val="22"/>
              <w:lang w:val="en-AU" w:eastAsia="en-AU"/>
            </w:rPr>
          </w:pPr>
          <w:hyperlink w:anchor="_Toc81990943" w:history="1">
            <w:r w:rsidR="00591444" w:rsidRPr="008D0865">
              <w:rPr>
                <w:rStyle w:val="Hyperlink"/>
                <w:noProof/>
                <w:color w:val="C00000"/>
              </w:rPr>
              <w:t>OUR VISION</w:t>
            </w:r>
            <w:r w:rsidR="00591444" w:rsidRPr="008D0865">
              <w:rPr>
                <w:noProof/>
                <w:webHidden/>
                <w:color w:val="C00000"/>
              </w:rPr>
              <w:tab/>
            </w:r>
            <w:r w:rsidR="00591444" w:rsidRPr="008D0865">
              <w:rPr>
                <w:noProof/>
                <w:webHidden/>
                <w:color w:val="C00000"/>
              </w:rPr>
              <w:fldChar w:fldCharType="begin"/>
            </w:r>
            <w:r w:rsidR="00591444" w:rsidRPr="008D0865">
              <w:rPr>
                <w:noProof/>
                <w:webHidden/>
                <w:color w:val="C00000"/>
              </w:rPr>
              <w:instrText xml:space="preserve"> PAGEREF _Toc81990943 \h </w:instrText>
            </w:r>
            <w:r w:rsidR="00591444" w:rsidRPr="008D0865">
              <w:rPr>
                <w:noProof/>
                <w:webHidden/>
                <w:color w:val="C00000"/>
              </w:rPr>
            </w:r>
            <w:r w:rsidR="00591444" w:rsidRPr="008D0865">
              <w:rPr>
                <w:noProof/>
                <w:webHidden/>
                <w:color w:val="C00000"/>
              </w:rPr>
              <w:fldChar w:fldCharType="separate"/>
            </w:r>
            <w:r w:rsidR="008D0865" w:rsidRPr="008D0865">
              <w:rPr>
                <w:noProof/>
                <w:webHidden/>
                <w:color w:val="C00000"/>
              </w:rPr>
              <w:t>5</w:t>
            </w:r>
            <w:r w:rsidR="00591444" w:rsidRPr="008D0865">
              <w:rPr>
                <w:noProof/>
                <w:webHidden/>
                <w:color w:val="C00000"/>
              </w:rPr>
              <w:fldChar w:fldCharType="end"/>
            </w:r>
          </w:hyperlink>
        </w:p>
        <w:p w14:paraId="788ADA70" w14:textId="5F6CA919" w:rsidR="00591444" w:rsidRPr="008D0865" w:rsidRDefault="00E50481" w:rsidP="008D0865">
          <w:pPr>
            <w:pStyle w:val="TOC1"/>
            <w:rPr>
              <w:rFonts w:asciiTheme="minorHAnsi" w:hAnsiTheme="minorHAnsi" w:cstheme="minorBidi"/>
              <w:noProof/>
              <w:color w:val="C00000"/>
              <w:sz w:val="22"/>
              <w:szCs w:val="22"/>
              <w:lang w:val="en-AU" w:eastAsia="en-AU"/>
            </w:rPr>
          </w:pPr>
          <w:hyperlink w:anchor="_Toc81990944" w:history="1">
            <w:r w:rsidR="00591444" w:rsidRPr="008D0865">
              <w:rPr>
                <w:rStyle w:val="Hyperlink"/>
                <w:noProof/>
                <w:color w:val="C00000"/>
              </w:rPr>
              <w:t>OUR OBJECTIVES</w:t>
            </w:r>
            <w:r w:rsidR="00591444" w:rsidRPr="008D0865">
              <w:rPr>
                <w:noProof/>
                <w:webHidden/>
                <w:color w:val="C00000"/>
              </w:rPr>
              <w:tab/>
            </w:r>
            <w:r w:rsidR="00591444" w:rsidRPr="008D0865">
              <w:rPr>
                <w:noProof/>
                <w:webHidden/>
                <w:color w:val="C00000"/>
              </w:rPr>
              <w:fldChar w:fldCharType="begin"/>
            </w:r>
            <w:r w:rsidR="00591444" w:rsidRPr="008D0865">
              <w:rPr>
                <w:noProof/>
                <w:webHidden/>
                <w:color w:val="C00000"/>
              </w:rPr>
              <w:instrText xml:space="preserve"> PAGEREF _Toc81990944 \h </w:instrText>
            </w:r>
            <w:r w:rsidR="00591444" w:rsidRPr="008D0865">
              <w:rPr>
                <w:noProof/>
                <w:webHidden/>
                <w:color w:val="C00000"/>
              </w:rPr>
            </w:r>
            <w:r w:rsidR="00591444" w:rsidRPr="008D0865">
              <w:rPr>
                <w:noProof/>
                <w:webHidden/>
                <w:color w:val="C00000"/>
              </w:rPr>
              <w:fldChar w:fldCharType="separate"/>
            </w:r>
            <w:r w:rsidR="008D0865" w:rsidRPr="008D0865">
              <w:rPr>
                <w:noProof/>
                <w:webHidden/>
                <w:color w:val="C00000"/>
              </w:rPr>
              <w:t>5</w:t>
            </w:r>
            <w:r w:rsidR="00591444" w:rsidRPr="008D0865">
              <w:rPr>
                <w:noProof/>
                <w:webHidden/>
                <w:color w:val="C00000"/>
              </w:rPr>
              <w:fldChar w:fldCharType="end"/>
            </w:r>
          </w:hyperlink>
        </w:p>
        <w:p w14:paraId="01EAF5B9" w14:textId="0C63ACE5" w:rsidR="00591444" w:rsidRPr="008D0865" w:rsidRDefault="00E50481" w:rsidP="008D0865">
          <w:pPr>
            <w:pStyle w:val="TOC1"/>
            <w:rPr>
              <w:rFonts w:asciiTheme="minorHAnsi" w:hAnsiTheme="minorHAnsi" w:cstheme="minorBidi"/>
              <w:noProof/>
              <w:color w:val="C00000"/>
              <w:sz w:val="22"/>
              <w:szCs w:val="22"/>
              <w:lang w:val="en-AU" w:eastAsia="en-AU"/>
            </w:rPr>
          </w:pPr>
          <w:hyperlink w:anchor="_Toc81990945" w:history="1">
            <w:r w:rsidR="00591444" w:rsidRPr="008D0865">
              <w:rPr>
                <w:rStyle w:val="Hyperlink"/>
                <w:noProof/>
                <w:color w:val="C00000"/>
              </w:rPr>
              <w:t>OUR FINANCIAL OUTLOOK</w:t>
            </w:r>
            <w:r w:rsidR="00591444" w:rsidRPr="008D0865">
              <w:rPr>
                <w:noProof/>
                <w:webHidden/>
                <w:color w:val="C00000"/>
              </w:rPr>
              <w:tab/>
            </w:r>
            <w:r w:rsidR="00591444" w:rsidRPr="008D0865">
              <w:rPr>
                <w:noProof/>
                <w:webHidden/>
                <w:color w:val="C00000"/>
              </w:rPr>
              <w:fldChar w:fldCharType="begin"/>
            </w:r>
            <w:r w:rsidR="00591444" w:rsidRPr="008D0865">
              <w:rPr>
                <w:noProof/>
                <w:webHidden/>
                <w:color w:val="C00000"/>
              </w:rPr>
              <w:instrText xml:space="preserve"> PAGEREF _Toc81990945 \h </w:instrText>
            </w:r>
            <w:r w:rsidR="00591444" w:rsidRPr="008D0865">
              <w:rPr>
                <w:noProof/>
                <w:webHidden/>
                <w:color w:val="C00000"/>
              </w:rPr>
            </w:r>
            <w:r w:rsidR="00591444" w:rsidRPr="008D0865">
              <w:rPr>
                <w:noProof/>
                <w:webHidden/>
                <w:color w:val="C00000"/>
              </w:rPr>
              <w:fldChar w:fldCharType="separate"/>
            </w:r>
            <w:r w:rsidR="008D0865" w:rsidRPr="008D0865">
              <w:rPr>
                <w:noProof/>
                <w:webHidden/>
                <w:color w:val="C00000"/>
              </w:rPr>
              <w:t>5</w:t>
            </w:r>
            <w:r w:rsidR="00591444" w:rsidRPr="008D0865">
              <w:rPr>
                <w:noProof/>
                <w:webHidden/>
                <w:color w:val="C00000"/>
              </w:rPr>
              <w:fldChar w:fldCharType="end"/>
            </w:r>
          </w:hyperlink>
        </w:p>
        <w:p w14:paraId="2DE17793" w14:textId="6A233198" w:rsidR="00591444" w:rsidRPr="008D0865" w:rsidRDefault="00E50481" w:rsidP="008D0865">
          <w:pPr>
            <w:pStyle w:val="TOC1"/>
            <w:rPr>
              <w:rFonts w:asciiTheme="minorHAnsi" w:hAnsiTheme="minorHAnsi" w:cstheme="minorBidi"/>
              <w:noProof/>
              <w:color w:val="C00000"/>
              <w:sz w:val="22"/>
              <w:szCs w:val="22"/>
              <w:lang w:val="en-AU" w:eastAsia="en-AU"/>
            </w:rPr>
          </w:pPr>
          <w:hyperlink w:anchor="_Toc81990946" w:history="1">
            <w:r w:rsidR="00591444" w:rsidRPr="008D0865">
              <w:rPr>
                <w:rStyle w:val="Hyperlink"/>
                <w:noProof/>
                <w:color w:val="C00000"/>
              </w:rPr>
              <w:t>HOW WE MEASURE OUR SUCCESS</w:t>
            </w:r>
            <w:r w:rsidR="00591444" w:rsidRPr="008D0865">
              <w:rPr>
                <w:noProof/>
                <w:webHidden/>
                <w:color w:val="C00000"/>
              </w:rPr>
              <w:tab/>
            </w:r>
            <w:r w:rsidR="00591444" w:rsidRPr="008D0865">
              <w:rPr>
                <w:noProof/>
                <w:webHidden/>
                <w:color w:val="C00000"/>
              </w:rPr>
              <w:fldChar w:fldCharType="begin"/>
            </w:r>
            <w:r w:rsidR="00591444" w:rsidRPr="008D0865">
              <w:rPr>
                <w:noProof/>
                <w:webHidden/>
                <w:color w:val="C00000"/>
              </w:rPr>
              <w:instrText xml:space="preserve"> PAGEREF _Toc81990946 \h </w:instrText>
            </w:r>
            <w:r w:rsidR="00591444" w:rsidRPr="008D0865">
              <w:rPr>
                <w:noProof/>
                <w:webHidden/>
                <w:color w:val="C00000"/>
              </w:rPr>
            </w:r>
            <w:r w:rsidR="00591444" w:rsidRPr="008D0865">
              <w:rPr>
                <w:noProof/>
                <w:webHidden/>
                <w:color w:val="C00000"/>
              </w:rPr>
              <w:fldChar w:fldCharType="separate"/>
            </w:r>
            <w:r w:rsidR="008D0865" w:rsidRPr="008D0865">
              <w:rPr>
                <w:noProof/>
                <w:webHidden/>
                <w:color w:val="C00000"/>
              </w:rPr>
              <w:t>11</w:t>
            </w:r>
            <w:r w:rsidR="00591444" w:rsidRPr="008D0865">
              <w:rPr>
                <w:noProof/>
                <w:webHidden/>
                <w:color w:val="C00000"/>
              </w:rPr>
              <w:fldChar w:fldCharType="end"/>
            </w:r>
          </w:hyperlink>
        </w:p>
        <w:p w14:paraId="3DB5132E" w14:textId="5CEC21F7" w:rsidR="00591444" w:rsidRPr="008D0865" w:rsidRDefault="00E50481" w:rsidP="008D0865">
          <w:pPr>
            <w:pStyle w:val="TOC1"/>
            <w:rPr>
              <w:rFonts w:asciiTheme="minorHAnsi" w:hAnsiTheme="minorHAnsi" w:cstheme="minorBidi"/>
              <w:noProof/>
              <w:color w:val="C00000"/>
              <w:sz w:val="22"/>
              <w:szCs w:val="22"/>
              <w:lang w:val="en-AU" w:eastAsia="en-AU"/>
            </w:rPr>
          </w:pPr>
          <w:hyperlink w:anchor="_Toc81990947" w:history="1">
            <w:r w:rsidR="00591444" w:rsidRPr="008D0865">
              <w:rPr>
                <w:rStyle w:val="Hyperlink"/>
                <w:noProof/>
                <w:color w:val="C00000"/>
              </w:rPr>
              <w:t>OUR DEPARTMENT</w:t>
            </w:r>
            <w:r w:rsidR="00591444" w:rsidRPr="008D0865">
              <w:rPr>
                <w:noProof/>
                <w:webHidden/>
                <w:color w:val="C00000"/>
              </w:rPr>
              <w:tab/>
            </w:r>
            <w:r w:rsidR="00591444" w:rsidRPr="008D0865">
              <w:rPr>
                <w:noProof/>
                <w:webHidden/>
                <w:color w:val="C00000"/>
              </w:rPr>
              <w:fldChar w:fldCharType="begin"/>
            </w:r>
            <w:r w:rsidR="00591444" w:rsidRPr="008D0865">
              <w:rPr>
                <w:noProof/>
                <w:webHidden/>
                <w:color w:val="C00000"/>
              </w:rPr>
              <w:instrText xml:space="preserve"> PAGEREF _Toc81990947 \h </w:instrText>
            </w:r>
            <w:r w:rsidR="00591444" w:rsidRPr="008D0865">
              <w:rPr>
                <w:noProof/>
                <w:webHidden/>
                <w:color w:val="C00000"/>
              </w:rPr>
            </w:r>
            <w:r w:rsidR="00591444" w:rsidRPr="008D0865">
              <w:rPr>
                <w:noProof/>
                <w:webHidden/>
                <w:color w:val="C00000"/>
              </w:rPr>
              <w:fldChar w:fldCharType="separate"/>
            </w:r>
            <w:r w:rsidR="008D0865" w:rsidRPr="008D0865">
              <w:rPr>
                <w:noProof/>
                <w:webHidden/>
                <w:color w:val="C00000"/>
              </w:rPr>
              <w:t>11</w:t>
            </w:r>
            <w:r w:rsidR="00591444" w:rsidRPr="008D0865">
              <w:rPr>
                <w:noProof/>
                <w:webHidden/>
                <w:color w:val="C00000"/>
              </w:rPr>
              <w:fldChar w:fldCharType="end"/>
            </w:r>
          </w:hyperlink>
        </w:p>
        <w:p w14:paraId="66AD8ED8" w14:textId="1F3DDB41" w:rsidR="00591444" w:rsidRPr="008D0865" w:rsidRDefault="00E50481" w:rsidP="008D0865">
          <w:pPr>
            <w:pStyle w:val="TOC1"/>
            <w:rPr>
              <w:rFonts w:asciiTheme="minorHAnsi" w:hAnsiTheme="minorHAnsi" w:cstheme="minorBidi"/>
              <w:noProof/>
              <w:color w:val="C00000"/>
              <w:sz w:val="22"/>
              <w:szCs w:val="22"/>
              <w:lang w:val="en-AU" w:eastAsia="en-AU"/>
            </w:rPr>
          </w:pPr>
          <w:hyperlink w:anchor="_Toc81990948" w:history="1">
            <w:r w:rsidR="00591444" w:rsidRPr="008D0865">
              <w:rPr>
                <w:rStyle w:val="Hyperlink"/>
                <w:noProof/>
                <w:color w:val="C00000"/>
              </w:rPr>
              <w:t xml:space="preserve">HOW WE ACHIEVE OUR </w:t>
            </w:r>
            <w:r w:rsidR="00572469">
              <w:rPr>
                <w:rStyle w:val="Hyperlink"/>
                <w:noProof/>
                <w:color w:val="C00000"/>
              </w:rPr>
              <w:t>OBJECTIVES</w:t>
            </w:r>
            <w:r w:rsidR="00591444" w:rsidRPr="008D0865">
              <w:rPr>
                <w:noProof/>
                <w:webHidden/>
                <w:color w:val="C00000"/>
              </w:rPr>
              <w:tab/>
            </w:r>
            <w:r w:rsidR="00591444" w:rsidRPr="008D0865">
              <w:rPr>
                <w:noProof/>
                <w:webHidden/>
                <w:color w:val="C00000"/>
              </w:rPr>
              <w:fldChar w:fldCharType="begin"/>
            </w:r>
            <w:r w:rsidR="00591444" w:rsidRPr="008D0865">
              <w:rPr>
                <w:noProof/>
                <w:webHidden/>
                <w:color w:val="C00000"/>
              </w:rPr>
              <w:instrText xml:space="preserve"> PAGEREF _Toc81990948 \h </w:instrText>
            </w:r>
            <w:r w:rsidR="00591444" w:rsidRPr="008D0865">
              <w:rPr>
                <w:noProof/>
                <w:webHidden/>
                <w:color w:val="C00000"/>
              </w:rPr>
            </w:r>
            <w:r w:rsidR="00591444" w:rsidRPr="008D0865">
              <w:rPr>
                <w:noProof/>
                <w:webHidden/>
                <w:color w:val="C00000"/>
              </w:rPr>
              <w:fldChar w:fldCharType="separate"/>
            </w:r>
            <w:r w:rsidR="008D0865" w:rsidRPr="008D0865">
              <w:rPr>
                <w:noProof/>
                <w:webHidden/>
                <w:color w:val="C00000"/>
              </w:rPr>
              <w:t>15</w:t>
            </w:r>
            <w:r w:rsidR="00591444" w:rsidRPr="008D0865">
              <w:rPr>
                <w:noProof/>
                <w:webHidden/>
                <w:color w:val="C00000"/>
              </w:rPr>
              <w:fldChar w:fldCharType="end"/>
            </w:r>
          </w:hyperlink>
        </w:p>
        <w:p w14:paraId="2B4DEB15" w14:textId="2C026298" w:rsidR="00591444" w:rsidRPr="008D0865" w:rsidRDefault="00E50481" w:rsidP="00E30FFE">
          <w:pPr>
            <w:pStyle w:val="TOC1"/>
            <w:ind w:left="720"/>
            <w:rPr>
              <w:rFonts w:asciiTheme="minorHAnsi" w:hAnsiTheme="minorHAnsi" w:cstheme="minorBidi"/>
              <w:noProof/>
              <w:color w:val="C00000"/>
              <w:sz w:val="22"/>
              <w:szCs w:val="22"/>
              <w:lang w:val="en-AU" w:eastAsia="en-AU"/>
            </w:rPr>
          </w:pPr>
          <w:hyperlink w:anchor="_Toc81990949" w:history="1">
            <w:r w:rsidR="00591444" w:rsidRPr="008D0865">
              <w:rPr>
                <w:rStyle w:val="Hyperlink"/>
                <w:noProof/>
                <w:color w:val="C00000"/>
              </w:rPr>
              <w:t>EARLY CHILDHOOD</w:t>
            </w:r>
            <w:r w:rsidR="00591444" w:rsidRPr="008D0865">
              <w:rPr>
                <w:noProof/>
                <w:webHidden/>
                <w:color w:val="C00000"/>
              </w:rPr>
              <w:tab/>
            </w:r>
            <w:r w:rsidR="00591444" w:rsidRPr="008D0865">
              <w:rPr>
                <w:noProof/>
                <w:webHidden/>
                <w:color w:val="C00000"/>
              </w:rPr>
              <w:fldChar w:fldCharType="begin"/>
            </w:r>
            <w:r w:rsidR="00591444" w:rsidRPr="008D0865">
              <w:rPr>
                <w:noProof/>
                <w:webHidden/>
                <w:color w:val="C00000"/>
              </w:rPr>
              <w:instrText xml:space="preserve"> PAGEREF _Toc81990949 \h </w:instrText>
            </w:r>
            <w:r w:rsidR="00591444" w:rsidRPr="008D0865">
              <w:rPr>
                <w:noProof/>
                <w:webHidden/>
                <w:color w:val="C00000"/>
              </w:rPr>
            </w:r>
            <w:r w:rsidR="00591444" w:rsidRPr="008D0865">
              <w:rPr>
                <w:noProof/>
                <w:webHidden/>
                <w:color w:val="C00000"/>
              </w:rPr>
              <w:fldChar w:fldCharType="separate"/>
            </w:r>
            <w:r w:rsidR="008D0865" w:rsidRPr="008D0865">
              <w:rPr>
                <w:noProof/>
                <w:webHidden/>
                <w:color w:val="C00000"/>
              </w:rPr>
              <w:t>15</w:t>
            </w:r>
            <w:r w:rsidR="00591444" w:rsidRPr="008D0865">
              <w:rPr>
                <w:noProof/>
                <w:webHidden/>
                <w:color w:val="C00000"/>
              </w:rPr>
              <w:fldChar w:fldCharType="end"/>
            </w:r>
          </w:hyperlink>
        </w:p>
        <w:p w14:paraId="67404CB5" w14:textId="66FF733A" w:rsidR="00591444" w:rsidRPr="008D0865" w:rsidRDefault="00E50481" w:rsidP="00E30FFE">
          <w:pPr>
            <w:pStyle w:val="TOC1"/>
            <w:ind w:left="720"/>
            <w:rPr>
              <w:rFonts w:asciiTheme="minorHAnsi" w:hAnsiTheme="minorHAnsi" w:cstheme="minorBidi"/>
              <w:noProof/>
              <w:color w:val="C00000"/>
              <w:sz w:val="22"/>
              <w:szCs w:val="22"/>
              <w:lang w:val="en-AU" w:eastAsia="en-AU"/>
            </w:rPr>
          </w:pPr>
          <w:hyperlink w:anchor="_Toc81990950" w:history="1">
            <w:r w:rsidR="00591444" w:rsidRPr="008D0865">
              <w:rPr>
                <w:rStyle w:val="Hyperlink"/>
                <w:noProof/>
                <w:color w:val="C00000"/>
              </w:rPr>
              <w:t>S</w:t>
            </w:r>
            <w:r w:rsidR="001409E5" w:rsidRPr="008D0865">
              <w:rPr>
                <w:rStyle w:val="Hyperlink"/>
                <w:noProof/>
                <w:color w:val="C00000"/>
              </w:rPr>
              <w:t>CHOOLS</w:t>
            </w:r>
            <w:r w:rsidR="00591444" w:rsidRPr="008D0865">
              <w:rPr>
                <w:noProof/>
                <w:webHidden/>
                <w:color w:val="C00000"/>
              </w:rPr>
              <w:tab/>
            </w:r>
            <w:r w:rsidR="00591444" w:rsidRPr="008D0865">
              <w:rPr>
                <w:noProof/>
                <w:webHidden/>
                <w:color w:val="C00000"/>
              </w:rPr>
              <w:fldChar w:fldCharType="begin"/>
            </w:r>
            <w:r w:rsidR="00591444" w:rsidRPr="008D0865">
              <w:rPr>
                <w:noProof/>
                <w:webHidden/>
                <w:color w:val="C00000"/>
              </w:rPr>
              <w:instrText xml:space="preserve"> PAGEREF _Toc81990950 \h </w:instrText>
            </w:r>
            <w:r w:rsidR="00591444" w:rsidRPr="008D0865">
              <w:rPr>
                <w:noProof/>
                <w:webHidden/>
                <w:color w:val="C00000"/>
              </w:rPr>
            </w:r>
            <w:r w:rsidR="00591444" w:rsidRPr="008D0865">
              <w:rPr>
                <w:noProof/>
                <w:webHidden/>
                <w:color w:val="C00000"/>
              </w:rPr>
              <w:fldChar w:fldCharType="separate"/>
            </w:r>
            <w:r w:rsidR="008D0865" w:rsidRPr="008D0865">
              <w:rPr>
                <w:noProof/>
                <w:webHidden/>
                <w:color w:val="C00000"/>
              </w:rPr>
              <w:t>16</w:t>
            </w:r>
            <w:r w:rsidR="00591444" w:rsidRPr="008D0865">
              <w:rPr>
                <w:noProof/>
                <w:webHidden/>
                <w:color w:val="C00000"/>
              </w:rPr>
              <w:fldChar w:fldCharType="end"/>
            </w:r>
          </w:hyperlink>
        </w:p>
        <w:p w14:paraId="28CBB1EB" w14:textId="136952B3" w:rsidR="00591444" w:rsidRPr="008D0865" w:rsidRDefault="00E50481" w:rsidP="00E30FFE">
          <w:pPr>
            <w:pStyle w:val="TOC1"/>
            <w:ind w:left="720"/>
            <w:rPr>
              <w:rFonts w:asciiTheme="minorHAnsi" w:hAnsiTheme="minorHAnsi" w:cstheme="minorBidi"/>
              <w:noProof/>
              <w:color w:val="C00000"/>
              <w:sz w:val="22"/>
              <w:szCs w:val="22"/>
              <w:lang w:val="en-AU" w:eastAsia="en-AU"/>
            </w:rPr>
          </w:pPr>
          <w:hyperlink w:anchor="_Toc81990951" w:history="1">
            <w:r w:rsidR="00591444" w:rsidRPr="008D0865">
              <w:rPr>
                <w:rStyle w:val="Hyperlink"/>
                <w:noProof/>
                <w:color w:val="C00000"/>
                <w:lang w:val="en-AU"/>
              </w:rPr>
              <w:t>HIGHER EDUCATION AND SKILLS</w:t>
            </w:r>
            <w:r w:rsidR="00591444" w:rsidRPr="008D0865">
              <w:rPr>
                <w:noProof/>
                <w:webHidden/>
                <w:color w:val="C00000"/>
              </w:rPr>
              <w:tab/>
            </w:r>
            <w:r w:rsidR="00591444" w:rsidRPr="008D0865">
              <w:rPr>
                <w:noProof/>
                <w:webHidden/>
                <w:color w:val="C00000"/>
              </w:rPr>
              <w:fldChar w:fldCharType="begin"/>
            </w:r>
            <w:r w:rsidR="00591444" w:rsidRPr="008D0865">
              <w:rPr>
                <w:noProof/>
                <w:webHidden/>
                <w:color w:val="C00000"/>
              </w:rPr>
              <w:instrText xml:space="preserve"> PAGEREF _Toc81990951 \h </w:instrText>
            </w:r>
            <w:r w:rsidR="00591444" w:rsidRPr="008D0865">
              <w:rPr>
                <w:noProof/>
                <w:webHidden/>
                <w:color w:val="C00000"/>
              </w:rPr>
            </w:r>
            <w:r w:rsidR="00591444" w:rsidRPr="008D0865">
              <w:rPr>
                <w:noProof/>
                <w:webHidden/>
                <w:color w:val="C00000"/>
              </w:rPr>
              <w:fldChar w:fldCharType="separate"/>
            </w:r>
            <w:r w:rsidR="008D0865" w:rsidRPr="008D0865">
              <w:rPr>
                <w:noProof/>
                <w:webHidden/>
                <w:color w:val="C00000"/>
              </w:rPr>
              <w:t>18</w:t>
            </w:r>
            <w:r w:rsidR="00591444" w:rsidRPr="008D0865">
              <w:rPr>
                <w:noProof/>
                <w:webHidden/>
                <w:color w:val="C00000"/>
              </w:rPr>
              <w:fldChar w:fldCharType="end"/>
            </w:r>
          </w:hyperlink>
        </w:p>
        <w:p w14:paraId="29754902" w14:textId="254B67D4" w:rsidR="00591444" w:rsidRPr="008D0865" w:rsidRDefault="00E50481" w:rsidP="008D0865">
          <w:pPr>
            <w:pStyle w:val="TOC1"/>
            <w:rPr>
              <w:rFonts w:asciiTheme="minorHAnsi" w:hAnsiTheme="minorHAnsi" w:cstheme="minorBidi"/>
              <w:noProof/>
              <w:color w:val="C00000"/>
              <w:sz w:val="22"/>
              <w:szCs w:val="22"/>
              <w:lang w:val="en-AU" w:eastAsia="en-AU"/>
            </w:rPr>
          </w:pPr>
          <w:hyperlink w:anchor="_Toc81990952" w:history="1">
            <w:r w:rsidR="00591444" w:rsidRPr="008D0865">
              <w:rPr>
                <w:rStyle w:val="Hyperlink"/>
                <w:noProof/>
                <w:color w:val="C00000"/>
              </w:rPr>
              <w:t>OUR ORGANISATIONAL APPROACH</w:t>
            </w:r>
            <w:r w:rsidR="00591444" w:rsidRPr="008D0865">
              <w:rPr>
                <w:noProof/>
                <w:webHidden/>
                <w:color w:val="C00000"/>
              </w:rPr>
              <w:tab/>
            </w:r>
            <w:r w:rsidR="00591444" w:rsidRPr="008D0865">
              <w:rPr>
                <w:noProof/>
                <w:webHidden/>
                <w:color w:val="C00000"/>
              </w:rPr>
              <w:fldChar w:fldCharType="begin"/>
            </w:r>
            <w:r w:rsidR="00591444" w:rsidRPr="008D0865">
              <w:rPr>
                <w:noProof/>
                <w:webHidden/>
                <w:color w:val="C00000"/>
              </w:rPr>
              <w:instrText xml:space="preserve"> PAGEREF _Toc81990952 \h </w:instrText>
            </w:r>
            <w:r w:rsidR="00591444" w:rsidRPr="008D0865">
              <w:rPr>
                <w:noProof/>
                <w:webHidden/>
                <w:color w:val="C00000"/>
              </w:rPr>
            </w:r>
            <w:r w:rsidR="00591444" w:rsidRPr="008D0865">
              <w:rPr>
                <w:noProof/>
                <w:webHidden/>
                <w:color w:val="C00000"/>
              </w:rPr>
              <w:fldChar w:fldCharType="separate"/>
            </w:r>
            <w:r w:rsidR="008D0865" w:rsidRPr="008D0865">
              <w:rPr>
                <w:noProof/>
                <w:webHidden/>
                <w:color w:val="C00000"/>
              </w:rPr>
              <w:t>20</w:t>
            </w:r>
            <w:r w:rsidR="00591444" w:rsidRPr="008D0865">
              <w:rPr>
                <w:noProof/>
                <w:webHidden/>
                <w:color w:val="C00000"/>
              </w:rPr>
              <w:fldChar w:fldCharType="end"/>
            </w:r>
          </w:hyperlink>
        </w:p>
        <w:p w14:paraId="137E93E4" w14:textId="7A2E8F0A" w:rsidR="00591444" w:rsidRPr="008D0865" w:rsidRDefault="00E50481" w:rsidP="008D0865">
          <w:pPr>
            <w:pStyle w:val="TOC1"/>
            <w:rPr>
              <w:rFonts w:asciiTheme="minorHAnsi" w:hAnsiTheme="minorHAnsi" w:cstheme="minorBidi"/>
              <w:noProof/>
              <w:color w:val="C00000"/>
              <w:sz w:val="22"/>
              <w:szCs w:val="22"/>
              <w:lang w:val="en-AU" w:eastAsia="en-AU"/>
            </w:rPr>
          </w:pPr>
          <w:hyperlink w:anchor="_Toc81990953" w:history="1">
            <w:r w:rsidR="00591444" w:rsidRPr="008D0865">
              <w:rPr>
                <w:rStyle w:val="Hyperlink"/>
                <w:noProof/>
                <w:color w:val="C00000"/>
              </w:rPr>
              <w:t>OUR PEOPLE</w:t>
            </w:r>
            <w:r w:rsidR="00591444" w:rsidRPr="008D0865">
              <w:rPr>
                <w:noProof/>
                <w:webHidden/>
                <w:color w:val="C00000"/>
              </w:rPr>
              <w:tab/>
            </w:r>
            <w:r w:rsidR="00591444" w:rsidRPr="008D0865">
              <w:rPr>
                <w:noProof/>
                <w:webHidden/>
                <w:color w:val="C00000"/>
              </w:rPr>
              <w:fldChar w:fldCharType="begin"/>
            </w:r>
            <w:r w:rsidR="00591444" w:rsidRPr="008D0865">
              <w:rPr>
                <w:noProof/>
                <w:webHidden/>
                <w:color w:val="C00000"/>
              </w:rPr>
              <w:instrText xml:space="preserve"> PAGEREF _Toc81990953 \h </w:instrText>
            </w:r>
            <w:r w:rsidR="00591444" w:rsidRPr="008D0865">
              <w:rPr>
                <w:noProof/>
                <w:webHidden/>
                <w:color w:val="C00000"/>
              </w:rPr>
            </w:r>
            <w:r w:rsidR="00591444" w:rsidRPr="008D0865">
              <w:rPr>
                <w:noProof/>
                <w:webHidden/>
                <w:color w:val="C00000"/>
              </w:rPr>
              <w:fldChar w:fldCharType="separate"/>
            </w:r>
            <w:r w:rsidR="008D0865" w:rsidRPr="008D0865">
              <w:rPr>
                <w:noProof/>
                <w:webHidden/>
                <w:color w:val="C00000"/>
              </w:rPr>
              <w:t>20</w:t>
            </w:r>
            <w:r w:rsidR="00591444" w:rsidRPr="008D0865">
              <w:rPr>
                <w:noProof/>
                <w:webHidden/>
                <w:color w:val="C00000"/>
              </w:rPr>
              <w:fldChar w:fldCharType="end"/>
            </w:r>
          </w:hyperlink>
        </w:p>
        <w:p w14:paraId="7C3CE16A" w14:textId="7FBE4002" w:rsidR="00587441" w:rsidRPr="00591444" w:rsidRDefault="00587441">
          <w:r w:rsidRPr="00591444">
            <w:rPr>
              <w:b/>
              <w:color w:val="C00000"/>
            </w:rPr>
            <w:fldChar w:fldCharType="end"/>
          </w:r>
        </w:p>
      </w:sdtContent>
    </w:sdt>
    <w:p w14:paraId="2BC1B7C5" w14:textId="77777777" w:rsidR="00587441" w:rsidRPr="00341632" w:rsidRDefault="00587441" w:rsidP="00447808">
      <w:pPr>
        <w:pStyle w:val="ESHeading1"/>
        <w:rPr>
          <w:highlight w:val="yellow"/>
        </w:rPr>
      </w:pPr>
    </w:p>
    <w:p w14:paraId="0908A82A" w14:textId="77777777" w:rsidR="00E9584B" w:rsidRPr="00341632" w:rsidRDefault="00E9584B" w:rsidP="00E9584B">
      <w:pPr>
        <w:spacing w:after="40"/>
        <w:rPr>
          <w:rFonts w:cstheme="minorHAnsi"/>
          <w:color w:val="7F7F7F" w:themeColor="text1" w:themeTint="80"/>
          <w:sz w:val="13"/>
          <w:szCs w:val="13"/>
          <w:highlight w:val="yellow"/>
        </w:rPr>
      </w:pPr>
    </w:p>
    <w:p w14:paraId="54E629E3" w14:textId="5CF41F39" w:rsidR="004C2513" w:rsidRPr="00341632" w:rsidRDefault="004C2513" w:rsidP="008D0865">
      <w:pPr>
        <w:pStyle w:val="TOC1"/>
        <w:rPr>
          <w:highlight w:val="yellow"/>
        </w:rPr>
      </w:pPr>
    </w:p>
    <w:p w14:paraId="5C7B66A1" w14:textId="77777777" w:rsidR="004C2513" w:rsidRPr="00341632" w:rsidRDefault="004C2513" w:rsidP="004C2513">
      <w:pPr>
        <w:rPr>
          <w:highlight w:val="yellow"/>
        </w:rPr>
      </w:pPr>
    </w:p>
    <w:p w14:paraId="472E40AB" w14:textId="77777777" w:rsidR="004C2513" w:rsidRPr="00341632" w:rsidRDefault="004C2513" w:rsidP="004C2513">
      <w:pPr>
        <w:rPr>
          <w:highlight w:val="yellow"/>
        </w:rPr>
      </w:pPr>
    </w:p>
    <w:p w14:paraId="77419D92" w14:textId="77777777" w:rsidR="004C2513" w:rsidRPr="00341632" w:rsidRDefault="004C2513" w:rsidP="004C2513">
      <w:pPr>
        <w:rPr>
          <w:highlight w:val="yellow"/>
        </w:rPr>
      </w:pPr>
    </w:p>
    <w:p w14:paraId="5861B79E" w14:textId="77777777" w:rsidR="004C2513" w:rsidRPr="00341632" w:rsidRDefault="004C2513" w:rsidP="004C2513">
      <w:pPr>
        <w:rPr>
          <w:highlight w:val="yellow"/>
        </w:rPr>
      </w:pPr>
    </w:p>
    <w:p w14:paraId="768340F5" w14:textId="77777777" w:rsidR="004C2513" w:rsidRPr="00341632" w:rsidRDefault="004C2513" w:rsidP="004C2513">
      <w:pPr>
        <w:rPr>
          <w:highlight w:val="yellow"/>
        </w:rPr>
      </w:pPr>
    </w:p>
    <w:p w14:paraId="0E81F61D" w14:textId="77777777" w:rsidR="004C2513" w:rsidRPr="00341632" w:rsidRDefault="004C2513" w:rsidP="004C2513">
      <w:pPr>
        <w:rPr>
          <w:highlight w:val="yellow"/>
        </w:rPr>
      </w:pPr>
    </w:p>
    <w:p w14:paraId="591EE1B7" w14:textId="77777777" w:rsidR="004C2513" w:rsidRPr="00341632" w:rsidRDefault="004C2513" w:rsidP="004C2513">
      <w:pPr>
        <w:rPr>
          <w:highlight w:val="yellow"/>
        </w:rPr>
      </w:pPr>
    </w:p>
    <w:p w14:paraId="1C11DD92" w14:textId="77777777" w:rsidR="004C2513" w:rsidRPr="00341632" w:rsidRDefault="004C2513" w:rsidP="004C2513">
      <w:pPr>
        <w:rPr>
          <w:highlight w:val="yellow"/>
        </w:rPr>
      </w:pPr>
    </w:p>
    <w:p w14:paraId="36257F22" w14:textId="77777777" w:rsidR="004C2513" w:rsidRPr="00341632" w:rsidRDefault="004C2513" w:rsidP="004C2513">
      <w:pPr>
        <w:rPr>
          <w:highlight w:val="yellow"/>
        </w:rPr>
      </w:pPr>
    </w:p>
    <w:p w14:paraId="0E3D0487" w14:textId="77777777" w:rsidR="004C2513" w:rsidRPr="00341632" w:rsidRDefault="004C2513" w:rsidP="004C2513">
      <w:pPr>
        <w:rPr>
          <w:highlight w:val="yellow"/>
        </w:rPr>
      </w:pPr>
    </w:p>
    <w:p w14:paraId="0F8C56E3" w14:textId="77777777" w:rsidR="004C2513" w:rsidRPr="00341632" w:rsidRDefault="004C2513" w:rsidP="004C2513">
      <w:pPr>
        <w:rPr>
          <w:highlight w:val="yellow"/>
        </w:rPr>
      </w:pPr>
    </w:p>
    <w:p w14:paraId="675C9510" w14:textId="77777777" w:rsidR="004C2513" w:rsidRPr="00341632" w:rsidRDefault="004C2513" w:rsidP="004C2513">
      <w:pPr>
        <w:rPr>
          <w:highlight w:val="yellow"/>
        </w:rPr>
      </w:pPr>
    </w:p>
    <w:p w14:paraId="62341BE3" w14:textId="77777777" w:rsidR="004C2513" w:rsidRPr="00341632" w:rsidRDefault="004C2513" w:rsidP="004C2513">
      <w:pPr>
        <w:rPr>
          <w:highlight w:val="yellow"/>
        </w:rPr>
      </w:pPr>
    </w:p>
    <w:p w14:paraId="29F68379" w14:textId="77777777" w:rsidR="004C2513" w:rsidRPr="00341632" w:rsidRDefault="004C2513" w:rsidP="004C2513">
      <w:pPr>
        <w:rPr>
          <w:highlight w:val="yellow"/>
        </w:rPr>
      </w:pPr>
    </w:p>
    <w:p w14:paraId="46C4FEEE" w14:textId="4C0843E9" w:rsidR="00E9584B" w:rsidRPr="00341632" w:rsidRDefault="00E9584B" w:rsidP="004C2513">
      <w:pPr>
        <w:tabs>
          <w:tab w:val="left" w:pos="780"/>
        </w:tabs>
        <w:sectPr w:rsidR="00E9584B" w:rsidRPr="00341632" w:rsidSect="00FB40AD">
          <w:headerReference w:type="default" r:id="rId18"/>
          <w:footerReference w:type="default" r:id="rId19"/>
          <w:pgSz w:w="11900" w:h="16840"/>
          <w:pgMar w:top="2144" w:right="1440" w:bottom="1440" w:left="1440" w:header="708" w:footer="708" w:gutter="0"/>
          <w:cols w:space="708"/>
          <w:docGrid w:linePitch="360"/>
        </w:sectPr>
      </w:pPr>
    </w:p>
    <w:p w14:paraId="1CE1BC0A" w14:textId="77777777" w:rsidR="00E9584B" w:rsidRPr="00341632" w:rsidRDefault="00E9584B" w:rsidP="00E9584B">
      <w:pPr>
        <w:pStyle w:val="ESHeading1"/>
      </w:pPr>
      <w:bookmarkStart w:id="3" w:name="_Toc81990942"/>
      <w:r w:rsidRPr="00341632">
        <w:lastRenderedPageBreak/>
        <w:t>SECRETARY’S MESSAGE</w:t>
      </w:r>
      <w:bookmarkEnd w:id="3"/>
    </w:p>
    <w:p w14:paraId="0897B06E" w14:textId="6DB725AA" w:rsidR="00341632" w:rsidRDefault="00341632" w:rsidP="00C22B56">
      <w:pPr>
        <w:pStyle w:val="ESBodyText"/>
      </w:pPr>
      <w:bookmarkStart w:id="4" w:name="_Toc455499269"/>
      <w:bookmarkStart w:id="5" w:name="_Toc455499463"/>
      <w:bookmarkStart w:id="6" w:name="_Toc484504379"/>
      <w:r>
        <w:t xml:space="preserve">I am pleased to introduce the Department’s Strategic Plan for 2021–25. Delivering the Government’s education and training reforms while sustaining and improving high-quality programs and services </w:t>
      </w:r>
      <w:r w:rsidR="00F501F8">
        <w:t>are</w:t>
      </w:r>
      <w:r>
        <w:t xml:space="preserve"> more important than ever, as we continue building a system that improves the outcomes for every learner. </w:t>
      </w:r>
    </w:p>
    <w:p w14:paraId="53D7F316" w14:textId="6D83B887" w:rsidR="00341632" w:rsidRDefault="00341632" w:rsidP="00C22B56">
      <w:pPr>
        <w:pStyle w:val="ESBodyText"/>
      </w:pPr>
      <w:r>
        <w:t xml:space="preserve">Education and training </w:t>
      </w:r>
      <w:r w:rsidR="00F501F8">
        <w:t>are</w:t>
      </w:r>
      <w:r>
        <w:t xml:space="preserve"> critical to Victoria’s economic and social recovery, given the challenges presented to Victoria by the global COVID-19 pandemic. The next four years focuses our efforts on a clear delivery imperative. The priorities and programs outlined in this plan support Victoria’s economic and social </w:t>
      </w:r>
      <w:proofErr w:type="gramStart"/>
      <w:r>
        <w:t>recovery, and</w:t>
      </w:r>
      <w:proofErr w:type="gramEnd"/>
      <w:r>
        <w:t xml:space="preserve"> continues our progress of the ambitious Education State reforms. </w:t>
      </w:r>
    </w:p>
    <w:p w14:paraId="65B0B6B9" w14:textId="77777777" w:rsidR="00341632" w:rsidRDefault="00341632" w:rsidP="00C22B56">
      <w:pPr>
        <w:pStyle w:val="ESBodyText"/>
      </w:pPr>
      <w:r>
        <w:t xml:space="preserve">Achieving the best learning and development outcomes for all learners remains at the heart of the Education State. We know that investment in quality early learning services is one of the most effective ways to give children the best start in life. Our priorities include the rollout of universal funded Three-Year-Old Kindergarten and ensuring our most vulnerable children are engaged. Delivering these programs supports all Victorian children to have access to two years of play-based early learning before school. The continued rollout of School Readiness Funding enables early childhood service providers and educators across the State to respond to the needs of children, who are experiencing educational disadvantage. </w:t>
      </w:r>
    </w:p>
    <w:p w14:paraId="0E94D684" w14:textId="77777777" w:rsidR="00341632" w:rsidRDefault="00341632" w:rsidP="00C22B56">
      <w:pPr>
        <w:pStyle w:val="ESBodyText"/>
      </w:pPr>
      <w:r>
        <w:t xml:space="preserve">The Education State reforms mean that we look to the future with a school system that is </w:t>
      </w:r>
      <w:proofErr w:type="spellStart"/>
      <w:r>
        <w:t>centred</w:t>
      </w:r>
      <w:proofErr w:type="spellEnd"/>
      <w:r>
        <w:t xml:space="preserve"> around evidence-based teaching and learning; student inclusion and wellbeing; and modern, vibrant school facilities. The 2020–21 and 2021–22 State Budgets have provided additional investment to support key reforms, such as: </w:t>
      </w:r>
    </w:p>
    <w:p w14:paraId="7C0B85B1" w14:textId="0580B3F3" w:rsidR="00341632" w:rsidRDefault="00341632" w:rsidP="00341632">
      <w:pPr>
        <w:pStyle w:val="ListParagraph"/>
        <w:numPr>
          <w:ilvl w:val="0"/>
          <w:numId w:val="6"/>
        </w:numPr>
        <w:ind w:left="426" w:hanging="426"/>
        <w:rPr>
          <w:lang w:val="en-AU"/>
        </w:rPr>
      </w:pPr>
      <w:r w:rsidRPr="00341632">
        <w:rPr>
          <w:lang w:val="en-AU"/>
        </w:rPr>
        <w:t xml:space="preserve">supporting students whose learning was most disrupted during 2020 by engaging over </w:t>
      </w:r>
      <w:r w:rsidR="0064095D">
        <w:rPr>
          <w:lang w:val="en-AU"/>
        </w:rPr>
        <w:t>5</w:t>
      </w:r>
      <w:r w:rsidRPr="00341632">
        <w:rPr>
          <w:lang w:val="en-AU"/>
        </w:rPr>
        <w:t>,</w:t>
      </w:r>
      <w:r w:rsidR="0064095D">
        <w:rPr>
          <w:lang w:val="en-AU"/>
        </w:rPr>
        <w:t>6</w:t>
      </w:r>
      <w:r w:rsidRPr="00341632">
        <w:rPr>
          <w:lang w:val="en-AU"/>
        </w:rPr>
        <w:t>00 teaching professionals through the Tutor Learning Initiative</w:t>
      </w:r>
    </w:p>
    <w:p w14:paraId="04DE1562" w14:textId="7632AF0F" w:rsidR="00341632" w:rsidRDefault="00341632" w:rsidP="00341632">
      <w:pPr>
        <w:pStyle w:val="ListParagraph"/>
        <w:numPr>
          <w:ilvl w:val="0"/>
          <w:numId w:val="6"/>
        </w:numPr>
        <w:ind w:left="426" w:hanging="426"/>
        <w:rPr>
          <w:lang w:val="en-AU"/>
        </w:rPr>
      </w:pPr>
      <w:r w:rsidRPr="00341632">
        <w:rPr>
          <w:lang w:val="en-AU"/>
        </w:rPr>
        <w:t xml:space="preserve">changing the way students with </w:t>
      </w:r>
      <w:r w:rsidR="004879B8">
        <w:rPr>
          <w:lang w:val="en-AU"/>
        </w:rPr>
        <w:t>disabilities</w:t>
      </w:r>
      <w:r w:rsidRPr="00341632">
        <w:rPr>
          <w:lang w:val="en-AU"/>
        </w:rPr>
        <w:t xml:space="preserve"> are supported in government schools, to ensure every student at every ability can thrive at school and in life. Disability Inclusion introduces a new school-level funding allocation to deliver classroom and schoolwide adjustments, increases access to professional learning and scholarships for school staff and evidence-based resources. It includes extra on-the-ground support in schools, with new facilitator roles bringing specialist expertise and knowledge into classrooms, supporting students and families to work together to deliver positive outcomes for every student</w:t>
      </w:r>
    </w:p>
    <w:p w14:paraId="224A15A0" w14:textId="6F860E43" w:rsidR="00341632" w:rsidRPr="00341632" w:rsidRDefault="00341632" w:rsidP="00341632">
      <w:pPr>
        <w:pStyle w:val="ListParagraph"/>
        <w:numPr>
          <w:ilvl w:val="0"/>
          <w:numId w:val="6"/>
        </w:numPr>
        <w:ind w:left="426" w:hanging="426"/>
        <w:rPr>
          <w:lang w:val="en-AU"/>
        </w:rPr>
      </w:pPr>
      <w:r w:rsidRPr="00341632">
        <w:rPr>
          <w:lang w:val="en-AU"/>
        </w:rPr>
        <w:t>dedicated mental health funding to ensure that all schools have access to a suite of mental health interventions and supports at both the primary and secondary level</w:t>
      </w:r>
    </w:p>
    <w:p w14:paraId="521FC73D" w14:textId="77777777" w:rsidR="00341632" w:rsidRDefault="00341632" w:rsidP="00341632">
      <w:pPr>
        <w:pStyle w:val="ListParagraph"/>
        <w:numPr>
          <w:ilvl w:val="0"/>
          <w:numId w:val="6"/>
        </w:numPr>
        <w:ind w:left="426" w:hanging="426"/>
        <w:rPr>
          <w:lang w:val="en-AU"/>
        </w:rPr>
      </w:pPr>
      <w:r w:rsidRPr="00341632">
        <w:rPr>
          <w:lang w:val="en-AU"/>
        </w:rPr>
        <w:t>senior secondary reforms that create a stronger and more flexible education system and ensure that the choice of high-quality vocational and applied learning is available to every student. This includes the development of a new single integrated senior secondary certificate</w:t>
      </w:r>
    </w:p>
    <w:p w14:paraId="1E09FFC8" w14:textId="77777777" w:rsidR="00341632" w:rsidRDefault="00341632" w:rsidP="00341632">
      <w:pPr>
        <w:pStyle w:val="ListParagraph"/>
        <w:numPr>
          <w:ilvl w:val="0"/>
          <w:numId w:val="6"/>
        </w:numPr>
        <w:ind w:left="426" w:hanging="426"/>
        <w:rPr>
          <w:lang w:val="en-AU"/>
        </w:rPr>
      </w:pPr>
      <w:r w:rsidRPr="00341632">
        <w:rPr>
          <w:lang w:val="en-AU"/>
        </w:rPr>
        <w:t xml:space="preserve">the creation of the new Victorian Academy of Teaching and Leadership to deliver advanced professional learning and development, to support teachers and school leaders and lift the status of the teaching profession in Victoria. </w:t>
      </w:r>
    </w:p>
    <w:p w14:paraId="3C23FDFB" w14:textId="77777777" w:rsidR="00341632" w:rsidRDefault="00341632" w:rsidP="00341632">
      <w:pPr>
        <w:rPr>
          <w:lang w:val="en-AU"/>
        </w:rPr>
      </w:pPr>
      <w:r w:rsidRPr="00341632">
        <w:rPr>
          <w:lang w:val="en-AU"/>
        </w:rPr>
        <w:t>The next four years provide a critical opportunity for the Department to embed a high-quality training and skills sector in Victoria, with a vibrant Technical and Further Education (TAFE) network at its centre. A revitalised approach to skills and training provides a coordinated, purposeful way of working to meet Victoria’s dynamic needs. Key reforms such as:</w:t>
      </w:r>
    </w:p>
    <w:p w14:paraId="57830407" w14:textId="77777777" w:rsidR="00341632" w:rsidRDefault="00341632" w:rsidP="00341632">
      <w:pPr>
        <w:pStyle w:val="ListParagraph"/>
        <w:numPr>
          <w:ilvl w:val="0"/>
          <w:numId w:val="6"/>
        </w:numPr>
        <w:ind w:left="426" w:hanging="426"/>
        <w:rPr>
          <w:lang w:val="en-AU"/>
        </w:rPr>
      </w:pPr>
      <w:r w:rsidRPr="00341632">
        <w:rPr>
          <w:lang w:val="en-AU"/>
        </w:rPr>
        <w:t>creating the Victorian Skills Authority to be the key link connecting industry, Vocational Education and Training (VET) providers and others to better plan for the training needs of Victoria’s economy</w:t>
      </w:r>
    </w:p>
    <w:p w14:paraId="5EA63D2C" w14:textId="77777777" w:rsidR="00341632" w:rsidRDefault="00341632" w:rsidP="00341632">
      <w:pPr>
        <w:pStyle w:val="ListParagraph"/>
        <w:numPr>
          <w:ilvl w:val="0"/>
          <w:numId w:val="6"/>
        </w:numPr>
        <w:ind w:left="426" w:hanging="426"/>
        <w:rPr>
          <w:lang w:val="en-AU"/>
        </w:rPr>
      </w:pPr>
      <w:r w:rsidRPr="00341632">
        <w:rPr>
          <w:lang w:val="en-AU"/>
        </w:rPr>
        <w:t>establishing the Office of TAFE Coordination and Delivery to facilitate a strong, sustainable and high-quality public TAFE network, helping people develop the skills they need to gain employment and advance careers</w:t>
      </w:r>
    </w:p>
    <w:p w14:paraId="69F09376" w14:textId="77777777" w:rsidR="00341632" w:rsidRDefault="00341632" w:rsidP="00341632">
      <w:pPr>
        <w:pStyle w:val="ListParagraph"/>
        <w:numPr>
          <w:ilvl w:val="0"/>
          <w:numId w:val="6"/>
        </w:numPr>
        <w:ind w:left="426" w:hanging="426"/>
        <w:rPr>
          <w:lang w:val="en-AU"/>
        </w:rPr>
      </w:pPr>
      <w:r w:rsidRPr="00341632">
        <w:rPr>
          <w:lang w:val="en-AU"/>
        </w:rPr>
        <w:t>the creation of Apprenticeships Victoria to help strengthen training coordination and oversight of major projects and through the Big Build Apprenticeships match trainees and apprentices with principal contractors at major project sites</w:t>
      </w:r>
    </w:p>
    <w:p w14:paraId="4AC57B79" w14:textId="77777777" w:rsidR="00341632" w:rsidRDefault="00341632" w:rsidP="00341632">
      <w:pPr>
        <w:pStyle w:val="ListParagraph"/>
        <w:numPr>
          <w:ilvl w:val="0"/>
          <w:numId w:val="6"/>
        </w:numPr>
        <w:ind w:left="426" w:hanging="426"/>
        <w:rPr>
          <w:lang w:val="en-AU"/>
        </w:rPr>
      </w:pPr>
      <w:r w:rsidRPr="00341632">
        <w:rPr>
          <w:lang w:val="en-AU"/>
        </w:rPr>
        <w:t>forming partnership agreements with Victoria’s universities to support social prosperity and Victoria’s economic recovery</w:t>
      </w:r>
    </w:p>
    <w:p w14:paraId="41C44555" w14:textId="77777777" w:rsidR="00341632" w:rsidRDefault="00341632" w:rsidP="00341632">
      <w:pPr>
        <w:pStyle w:val="ListParagraph"/>
        <w:numPr>
          <w:ilvl w:val="0"/>
          <w:numId w:val="6"/>
        </w:numPr>
        <w:ind w:left="426" w:hanging="426"/>
        <w:rPr>
          <w:lang w:val="en-AU"/>
        </w:rPr>
      </w:pPr>
      <w:r w:rsidRPr="00341632">
        <w:rPr>
          <w:lang w:val="en-AU"/>
        </w:rPr>
        <w:t>working with the Adult, Community and Further Education (ACFE) Board, the Department will support the Learn Local sector to continue its vital role in providing pathways for adult Victorians transitioning to further training and jobs, and build strong communities.</w:t>
      </w:r>
    </w:p>
    <w:p w14:paraId="405C3F4D" w14:textId="77777777" w:rsidR="00341632" w:rsidRDefault="00341632" w:rsidP="00341632">
      <w:pPr>
        <w:rPr>
          <w:lang w:val="en-AU"/>
        </w:rPr>
      </w:pPr>
      <w:r w:rsidRPr="00341632">
        <w:rPr>
          <w:lang w:val="en-AU"/>
        </w:rPr>
        <w:t xml:space="preserve">The Department’s work is supported by a strong regional presence with deep connections to local communities. Our focus on supporting educators and leaders in front line service delivery is underpinned by a desire to set high </w:t>
      </w:r>
      <w:r w:rsidRPr="00341632">
        <w:rPr>
          <w:lang w:val="en-AU"/>
        </w:rPr>
        <w:lastRenderedPageBreak/>
        <w:t xml:space="preserve">standards for effective public administration. This means continuing to strengthen how we work together to plan, govern and monitor the performance and delivery of our reforms. </w:t>
      </w:r>
    </w:p>
    <w:p w14:paraId="6352B9C0" w14:textId="2DF54F81" w:rsidR="00C32785" w:rsidRPr="00341632" w:rsidRDefault="00341632" w:rsidP="00341632">
      <w:pPr>
        <w:rPr>
          <w:lang w:val="en-AU"/>
        </w:rPr>
      </w:pPr>
      <w:r w:rsidRPr="00341632">
        <w:rPr>
          <w:lang w:val="en-AU"/>
        </w:rPr>
        <w:t>The Department’s 2021–25 Strategic Plan supports our staff, partners and providers across the education and training sectors to be successful and deliver across these key years. I am proud of our achievements so far and look forward to us continuing to deliver improvements to our education system.</w:t>
      </w:r>
    </w:p>
    <w:p w14:paraId="119940AE" w14:textId="77777777" w:rsidR="00C32785" w:rsidRPr="00341632" w:rsidRDefault="00C32785" w:rsidP="00E9584B">
      <w:pPr>
        <w:pStyle w:val="ESBodyText"/>
        <w:rPr>
          <w:highlight w:val="yellow"/>
        </w:rPr>
      </w:pPr>
    </w:p>
    <w:p w14:paraId="099156E0" w14:textId="77777777" w:rsidR="00B03B53" w:rsidRPr="00341632" w:rsidRDefault="00A301E5" w:rsidP="00632267">
      <w:pPr>
        <w:pStyle w:val="ESHeading1"/>
        <w:rPr>
          <w:highlight w:val="yellow"/>
        </w:rPr>
        <w:sectPr w:rsidR="00B03B53" w:rsidRPr="00341632" w:rsidSect="00655977">
          <w:headerReference w:type="default" r:id="rId20"/>
          <w:footerReference w:type="default" r:id="rId21"/>
          <w:pgSz w:w="11900" w:h="16840"/>
          <w:pgMar w:top="1702" w:right="1240" w:bottom="1276" w:left="1304" w:header="624" w:footer="560" w:gutter="0"/>
          <w:cols w:space="397"/>
          <w:docGrid w:linePitch="360"/>
        </w:sectPr>
      </w:pPr>
      <w:r w:rsidRPr="00341632">
        <w:rPr>
          <w:highlight w:val="yellow"/>
        </w:rPr>
        <w:br w:type="page"/>
      </w:r>
    </w:p>
    <w:p w14:paraId="20AAE23C" w14:textId="3E605A73" w:rsidR="005E7225" w:rsidRPr="00341632" w:rsidRDefault="0057070E" w:rsidP="005E7225">
      <w:pPr>
        <w:pStyle w:val="ESHeading1"/>
      </w:pPr>
      <w:bookmarkStart w:id="7" w:name="_Toc81990943"/>
      <w:r w:rsidRPr="00341632">
        <w:lastRenderedPageBreak/>
        <w:t>OUR VISION</w:t>
      </w:r>
      <w:bookmarkEnd w:id="7"/>
    </w:p>
    <w:p w14:paraId="01758E31" w14:textId="226FE412" w:rsidR="005E7225" w:rsidRPr="00341632" w:rsidRDefault="0057070E" w:rsidP="005E7225">
      <w:pPr>
        <w:pStyle w:val="LK-ESSubheading"/>
      </w:pPr>
      <w:r w:rsidRPr="00341632">
        <w:rPr>
          <w:sz w:val="22"/>
        </w:rPr>
        <w:t>“Together we give every Victorian the best learning and development experience, making our state a smarter, fairer and more prosperous place.”</w:t>
      </w:r>
      <w:r w:rsidR="005E7225" w:rsidRPr="00341632">
        <w:rPr>
          <w:sz w:val="28"/>
        </w:rPr>
        <w:t xml:space="preserve"> </w:t>
      </w:r>
    </w:p>
    <w:p w14:paraId="0C965DB7" w14:textId="77777777" w:rsidR="00341632" w:rsidRPr="00341632" w:rsidRDefault="00341632" w:rsidP="0057070E">
      <w:pPr>
        <w:pStyle w:val="ESBodyText"/>
      </w:pPr>
      <w:r w:rsidRPr="00341632">
        <w:t xml:space="preserve">The Department is responsible for delivering and regulating statewide learning and development services to approximately one-third of all Victorians, across the early childhood education, school education, and training and skills sectors. </w:t>
      </w:r>
    </w:p>
    <w:p w14:paraId="32F1C961" w14:textId="77777777" w:rsidR="00341632" w:rsidRPr="00341632" w:rsidRDefault="00341632" w:rsidP="0057070E">
      <w:pPr>
        <w:pStyle w:val="ESBodyText"/>
      </w:pPr>
      <w:r w:rsidRPr="00341632">
        <w:t xml:space="preserve">We support Victorians to reach their potential, regardless of their background, postcode or circumstance, and to develop the knowledge, skills and attributes they need to participate and thrive in a complex economy and society, as well as engage as global citizens. </w:t>
      </w:r>
    </w:p>
    <w:p w14:paraId="4AF7CD59" w14:textId="0052D618" w:rsidR="00A52440" w:rsidRPr="00341632" w:rsidRDefault="00341632" w:rsidP="0057070E">
      <w:pPr>
        <w:pStyle w:val="ESBodyText"/>
      </w:pPr>
      <w:r w:rsidRPr="00341632">
        <w:t>The goals we set, changes we implement, systems we support and services we offer are all focused on improving outcomes and opportunities for Victorians</w:t>
      </w:r>
      <w:r w:rsidR="00D2387A">
        <w:t>.</w:t>
      </w:r>
      <w:r w:rsidR="00D2387A" w:rsidRPr="00D2387A">
        <w:t xml:space="preserve"> We are committed to supporting Victorians to build happy, healthy and rewarding lives.</w:t>
      </w:r>
    </w:p>
    <w:p w14:paraId="1E9130F5" w14:textId="0A8584D0" w:rsidR="00341632" w:rsidRPr="00341632" w:rsidRDefault="00341632" w:rsidP="00341632">
      <w:pPr>
        <w:spacing w:after="0" w:line="240" w:lineRule="auto"/>
        <w:rPr>
          <w:rFonts w:eastAsiaTheme="majorEastAsia" w:cstheme="majorBidi"/>
          <w:b/>
          <w:bCs/>
          <w:caps/>
          <w:color w:val="AF272F"/>
          <w:sz w:val="20"/>
          <w:szCs w:val="20"/>
          <w:highlight w:val="yellow"/>
        </w:rPr>
      </w:pPr>
    </w:p>
    <w:p w14:paraId="430FDA68" w14:textId="0FAF2093" w:rsidR="00341632" w:rsidRPr="006E799F" w:rsidRDefault="00341632" w:rsidP="00341632">
      <w:pPr>
        <w:pStyle w:val="ESHeading1"/>
      </w:pPr>
      <w:bookmarkStart w:id="8" w:name="_Toc81990944"/>
      <w:r w:rsidRPr="006E799F">
        <w:t xml:space="preserve">OUR </w:t>
      </w:r>
      <w:r w:rsidR="006E799F" w:rsidRPr="006E799F">
        <w:t>OBJECTIVES</w:t>
      </w:r>
      <w:bookmarkEnd w:id="8"/>
    </w:p>
    <w:p w14:paraId="523A927C" w14:textId="5F06C356" w:rsidR="00341632" w:rsidRPr="00341632" w:rsidRDefault="006E799F" w:rsidP="00341632">
      <w:pPr>
        <w:pStyle w:val="BodyText"/>
        <w:rPr>
          <w:highlight w:val="yellow"/>
        </w:rPr>
      </w:pPr>
      <w:r>
        <w:t>The Department has three core objectives crucial to achieving our vision, that together we give every Victorian the best learning and development experience, making our state a smarter, fairer, more prosperous place.</w:t>
      </w:r>
    </w:p>
    <w:p w14:paraId="2C127C8F" w14:textId="04C038AA" w:rsidR="00341632" w:rsidRPr="006E799F" w:rsidRDefault="00341632" w:rsidP="00341632">
      <w:pPr>
        <w:pStyle w:val="ESBodyText"/>
        <w:spacing w:line="240" w:lineRule="auto"/>
        <w:rPr>
          <w:rFonts w:eastAsiaTheme="majorEastAsia" w:cstheme="majorBidi"/>
          <w:b/>
          <w:caps/>
          <w:color w:val="AF272F"/>
          <w:szCs w:val="20"/>
        </w:rPr>
      </w:pPr>
      <w:r w:rsidRPr="006E799F">
        <w:rPr>
          <w:rFonts w:eastAsiaTheme="majorEastAsia" w:cstheme="majorBidi"/>
          <w:b/>
          <w:bCs/>
          <w:caps/>
          <w:color w:val="AF272F"/>
          <w:szCs w:val="20"/>
        </w:rPr>
        <w:t>Achievement</w:t>
      </w:r>
      <w:r w:rsidR="006E799F" w:rsidRPr="006E799F">
        <w:rPr>
          <w:rFonts w:eastAsiaTheme="majorEastAsia" w:cstheme="majorBidi"/>
          <w:b/>
          <w:bCs/>
          <w:caps/>
          <w:color w:val="AF272F"/>
          <w:szCs w:val="20"/>
        </w:rPr>
        <w:t>:</w:t>
      </w:r>
    </w:p>
    <w:p w14:paraId="5C4147CC" w14:textId="0063B758" w:rsidR="00341632" w:rsidRPr="006E799F" w:rsidRDefault="00341632" w:rsidP="00341632">
      <w:pPr>
        <w:pStyle w:val="ESBodyText"/>
        <w:rPr>
          <w:rFonts w:eastAsiaTheme="majorEastAsia" w:cstheme="majorBidi"/>
          <w:b/>
          <w:bCs/>
          <w:color w:val="AF272F"/>
          <w:szCs w:val="20"/>
        </w:rPr>
      </w:pPr>
      <w:r w:rsidRPr="006E799F">
        <w:rPr>
          <w:szCs w:val="20"/>
          <w:lang w:eastAsia="en-AU"/>
        </w:rPr>
        <w:t xml:space="preserve">Raise standards of learning and </w:t>
      </w:r>
      <w:r w:rsidRPr="006E799F">
        <w:rPr>
          <w:szCs w:val="20"/>
        </w:rPr>
        <w:t>development</w:t>
      </w:r>
      <w:r w:rsidRPr="006E799F">
        <w:rPr>
          <w:szCs w:val="20"/>
          <w:lang w:eastAsia="en-AU"/>
        </w:rPr>
        <w:t xml:space="preserve"> achieved by </w:t>
      </w:r>
      <w:r w:rsidRPr="006E799F">
        <w:rPr>
          <w:szCs w:val="20"/>
        </w:rPr>
        <w:t>Victorians</w:t>
      </w:r>
      <w:r w:rsidRPr="006E799F">
        <w:rPr>
          <w:szCs w:val="20"/>
          <w:lang w:eastAsia="en-AU"/>
        </w:rPr>
        <w:t xml:space="preserve"> using education and training</w:t>
      </w:r>
      <w:r w:rsidR="006E799F" w:rsidRPr="006E799F">
        <w:rPr>
          <w:szCs w:val="20"/>
          <w:lang w:eastAsia="en-AU"/>
        </w:rPr>
        <w:t>.</w:t>
      </w:r>
    </w:p>
    <w:p w14:paraId="4F6C52BF" w14:textId="5D4A7CC4" w:rsidR="00341632" w:rsidRPr="006E799F" w:rsidRDefault="00341632" w:rsidP="00341632">
      <w:pPr>
        <w:pStyle w:val="ESBodyText"/>
        <w:spacing w:line="240" w:lineRule="auto"/>
        <w:rPr>
          <w:rFonts w:eastAsiaTheme="majorEastAsia" w:cstheme="majorBidi"/>
          <w:b/>
          <w:caps/>
          <w:color w:val="AF272F"/>
          <w:szCs w:val="20"/>
        </w:rPr>
      </w:pPr>
      <w:r w:rsidRPr="006E799F">
        <w:rPr>
          <w:rFonts w:eastAsiaTheme="majorEastAsia" w:cstheme="majorBidi"/>
          <w:b/>
          <w:bCs/>
          <w:caps/>
          <w:color w:val="AF272F"/>
          <w:szCs w:val="20"/>
        </w:rPr>
        <w:t>Engagement</w:t>
      </w:r>
      <w:r w:rsidR="006E799F" w:rsidRPr="006E799F">
        <w:rPr>
          <w:rFonts w:eastAsiaTheme="majorEastAsia" w:cstheme="majorBidi"/>
          <w:b/>
          <w:bCs/>
          <w:caps/>
          <w:color w:val="AF272F"/>
          <w:szCs w:val="20"/>
        </w:rPr>
        <w:t>:</w:t>
      </w:r>
    </w:p>
    <w:p w14:paraId="09AF49F9" w14:textId="0C7D4EDD" w:rsidR="00341632" w:rsidRPr="006E799F" w:rsidRDefault="00341632" w:rsidP="00341632">
      <w:pPr>
        <w:pStyle w:val="ESBodyText"/>
        <w:rPr>
          <w:rFonts w:eastAsiaTheme="majorEastAsia" w:cstheme="majorBidi"/>
          <w:bCs/>
          <w:szCs w:val="20"/>
        </w:rPr>
      </w:pPr>
      <w:r w:rsidRPr="006E799F">
        <w:rPr>
          <w:rFonts w:eastAsiaTheme="majorEastAsia" w:cstheme="majorBidi"/>
          <w:bCs/>
          <w:szCs w:val="20"/>
        </w:rPr>
        <w:t>Increase the number of Victorians actively participating in education and training</w:t>
      </w:r>
      <w:r w:rsidR="006E799F" w:rsidRPr="006E799F">
        <w:rPr>
          <w:rFonts w:eastAsiaTheme="majorEastAsia" w:cstheme="majorBidi"/>
          <w:bCs/>
          <w:szCs w:val="20"/>
        </w:rPr>
        <w:t>.</w:t>
      </w:r>
    </w:p>
    <w:p w14:paraId="24B58E1B" w14:textId="0DA14F16" w:rsidR="00341632" w:rsidRPr="006E799F" w:rsidRDefault="00341632" w:rsidP="00341632">
      <w:pPr>
        <w:pStyle w:val="ESBodyText"/>
        <w:spacing w:line="240" w:lineRule="auto"/>
        <w:rPr>
          <w:rFonts w:eastAsiaTheme="majorEastAsia" w:cstheme="majorBidi"/>
          <w:b/>
          <w:caps/>
          <w:color w:val="AF272F"/>
          <w:szCs w:val="20"/>
        </w:rPr>
      </w:pPr>
      <w:r w:rsidRPr="006E799F">
        <w:rPr>
          <w:rFonts w:eastAsiaTheme="majorEastAsia" w:cstheme="majorBidi"/>
          <w:b/>
          <w:bCs/>
          <w:caps/>
          <w:color w:val="AF272F"/>
          <w:szCs w:val="20"/>
        </w:rPr>
        <w:t>Wellbeing</w:t>
      </w:r>
      <w:r w:rsidR="006E799F" w:rsidRPr="006E799F">
        <w:rPr>
          <w:rFonts w:eastAsiaTheme="majorEastAsia" w:cstheme="majorBidi"/>
          <w:b/>
          <w:bCs/>
          <w:caps/>
          <w:color w:val="AF272F"/>
          <w:szCs w:val="20"/>
        </w:rPr>
        <w:t>:</w:t>
      </w:r>
    </w:p>
    <w:p w14:paraId="64196192" w14:textId="77777777" w:rsidR="00341632" w:rsidRPr="006E799F" w:rsidRDefault="00341632" w:rsidP="00341632">
      <w:pPr>
        <w:pStyle w:val="ESBodyText"/>
        <w:rPr>
          <w:rFonts w:eastAsiaTheme="majorEastAsia" w:cstheme="majorBidi"/>
          <w:b/>
          <w:bCs/>
          <w:color w:val="AF272F"/>
          <w:szCs w:val="20"/>
        </w:rPr>
      </w:pPr>
      <w:r w:rsidRPr="006E799F">
        <w:rPr>
          <w:szCs w:val="20"/>
        </w:rPr>
        <w:t>Increase the contribution education and training make to quality of life for all Victorians, particularly children and young people.</w:t>
      </w:r>
    </w:p>
    <w:p w14:paraId="0FCAAFAA" w14:textId="76606656" w:rsidR="006E799F" w:rsidRPr="006E799F" w:rsidRDefault="006E799F" w:rsidP="006E799F">
      <w:pPr>
        <w:pStyle w:val="ESHeading1"/>
      </w:pPr>
      <w:bookmarkStart w:id="9" w:name="_Toc81990945"/>
      <w:r w:rsidRPr="006E799F">
        <w:t xml:space="preserve">OUR </w:t>
      </w:r>
      <w:r>
        <w:t>FINANCIAL OUTLOOK</w:t>
      </w:r>
      <w:bookmarkEnd w:id="9"/>
    </w:p>
    <w:p w14:paraId="6DC1D0B7" w14:textId="05243ADB" w:rsidR="006E799F" w:rsidRDefault="006E799F" w:rsidP="006E799F">
      <w:pPr>
        <w:pStyle w:val="BodyText"/>
      </w:pPr>
      <w:r>
        <w:t>The 2021–22 Victorian State Budget Paper 3 (BP3) sets out the Department’s output groups and their budgeted costs. For the 2021–22 financial year, the Department’s output budget totals $15.9 billion. In addition to this, the 2021–22 State Budget announced $1.6 billion in asset initiatives over the next four years. This is shown in the tables below, including the current and future funding for the Department’s new output initiatives until 2024–25.</w:t>
      </w:r>
    </w:p>
    <w:p w14:paraId="65F0315A" w14:textId="0F740167" w:rsidR="006E799F" w:rsidRPr="006E799F" w:rsidRDefault="006E799F" w:rsidP="006E799F">
      <w:pPr>
        <w:pStyle w:val="ESBodyText"/>
        <w:rPr>
          <w:b/>
          <w:color w:val="C00000"/>
          <w:lang w:val="en-AU"/>
        </w:rPr>
      </w:pPr>
      <w:r w:rsidRPr="006E799F">
        <w:rPr>
          <w:b/>
          <w:color w:val="C00000"/>
          <w:lang w:val="en-AU"/>
        </w:rPr>
        <w:t xml:space="preserve">THE DEPARTMENT’S OUTPUT FUNDING 2021–22 </w:t>
      </w:r>
    </w:p>
    <w:p w14:paraId="754BA747" w14:textId="77777777" w:rsidR="006E799F" w:rsidRPr="006E799F" w:rsidRDefault="006E799F" w:rsidP="006E799F">
      <w:pPr>
        <w:pStyle w:val="ListParagraph"/>
        <w:numPr>
          <w:ilvl w:val="0"/>
          <w:numId w:val="6"/>
        </w:numPr>
        <w:ind w:left="426" w:hanging="426"/>
        <w:rPr>
          <w:lang w:val="en-AU"/>
        </w:rPr>
      </w:pPr>
      <w:r w:rsidRPr="006E799F">
        <w:rPr>
          <w:lang w:val="en-AU"/>
        </w:rPr>
        <w:t xml:space="preserve">Strategy, Review and Regulation: $117.8 million </w:t>
      </w:r>
    </w:p>
    <w:p w14:paraId="705FD555" w14:textId="0A62B470" w:rsidR="006E799F" w:rsidRPr="006E799F" w:rsidRDefault="006E799F" w:rsidP="006E799F">
      <w:pPr>
        <w:pStyle w:val="ListParagraph"/>
        <w:numPr>
          <w:ilvl w:val="0"/>
          <w:numId w:val="6"/>
        </w:numPr>
        <w:ind w:left="426" w:hanging="426"/>
        <w:rPr>
          <w:lang w:val="en-AU"/>
        </w:rPr>
      </w:pPr>
      <w:r w:rsidRPr="006E799F">
        <w:rPr>
          <w:lang w:val="en-AU"/>
        </w:rPr>
        <w:t>Early Childhood Education: $973.4 million</w:t>
      </w:r>
    </w:p>
    <w:p w14:paraId="01B3F6D5" w14:textId="1AC81F3A" w:rsidR="006E799F" w:rsidRPr="006E799F" w:rsidRDefault="006E799F" w:rsidP="006E799F">
      <w:pPr>
        <w:pStyle w:val="ListParagraph"/>
        <w:numPr>
          <w:ilvl w:val="0"/>
          <w:numId w:val="6"/>
        </w:numPr>
        <w:ind w:left="426" w:hanging="426"/>
        <w:rPr>
          <w:lang w:val="en-AU"/>
        </w:rPr>
      </w:pPr>
      <w:r w:rsidRPr="006E799F">
        <w:rPr>
          <w:lang w:val="en-AU"/>
        </w:rPr>
        <w:t xml:space="preserve">School Education – Primary: $5,765.9 million </w:t>
      </w:r>
    </w:p>
    <w:p w14:paraId="364C088B" w14:textId="434A771B" w:rsidR="006E799F" w:rsidRPr="006E799F" w:rsidRDefault="006E799F" w:rsidP="006E799F">
      <w:pPr>
        <w:pStyle w:val="ListParagraph"/>
        <w:numPr>
          <w:ilvl w:val="0"/>
          <w:numId w:val="6"/>
        </w:numPr>
        <w:ind w:left="426" w:hanging="426"/>
        <w:rPr>
          <w:lang w:val="en-AU"/>
        </w:rPr>
      </w:pPr>
      <w:r w:rsidRPr="006E799F">
        <w:rPr>
          <w:lang w:val="en-AU"/>
        </w:rPr>
        <w:t>School Education – Secondary: $4,713.1</w:t>
      </w:r>
    </w:p>
    <w:p w14:paraId="074E93BB" w14:textId="7F98D598" w:rsidR="006E799F" w:rsidRPr="006E799F" w:rsidRDefault="006E799F" w:rsidP="006E799F">
      <w:pPr>
        <w:pStyle w:val="ListParagraph"/>
        <w:numPr>
          <w:ilvl w:val="0"/>
          <w:numId w:val="6"/>
        </w:numPr>
        <w:ind w:left="426" w:hanging="426"/>
        <w:rPr>
          <w:lang w:val="en-AU"/>
        </w:rPr>
      </w:pPr>
      <w:r w:rsidRPr="006E799F">
        <w:rPr>
          <w:lang w:val="en-AU"/>
        </w:rPr>
        <w:t>Training, Higher Education and Workforce Development: $2,599.8 million</w:t>
      </w:r>
    </w:p>
    <w:p w14:paraId="3E52A763" w14:textId="25471F5B" w:rsidR="006E799F" w:rsidRPr="006E799F" w:rsidRDefault="006E799F" w:rsidP="006E799F">
      <w:pPr>
        <w:pStyle w:val="ListParagraph"/>
        <w:numPr>
          <w:ilvl w:val="0"/>
          <w:numId w:val="6"/>
        </w:numPr>
        <w:ind w:left="426" w:hanging="426"/>
        <w:rPr>
          <w:lang w:val="en-AU"/>
        </w:rPr>
      </w:pPr>
      <w:r w:rsidRPr="006E799F">
        <w:rPr>
          <w:lang w:val="en-AU"/>
        </w:rPr>
        <w:t>Support Services Delivery: $389.1 million</w:t>
      </w:r>
    </w:p>
    <w:p w14:paraId="6E8DD3E7" w14:textId="348AB8B5" w:rsidR="006E799F" w:rsidRPr="006E799F" w:rsidRDefault="006E799F" w:rsidP="006E799F">
      <w:pPr>
        <w:pStyle w:val="ListParagraph"/>
        <w:numPr>
          <w:ilvl w:val="0"/>
          <w:numId w:val="6"/>
        </w:numPr>
        <w:ind w:left="426" w:hanging="426"/>
        <w:rPr>
          <w:lang w:val="en-AU"/>
        </w:rPr>
      </w:pPr>
      <w:r w:rsidRPr="006E799F">
        <w:rPr>
          <w:lang w:val="en-AU"/>
        </w:rPr>
        <w:t>Support for Students with Disabilities: $1,363.6 million</w:t>
      </w:r>
    </w:p>
    <w:p w14:paraId="59F28619" w14:textId="48DCB8A4" w:rsidR="006E799F" w:rsidRPr="006E799F" w:rsidRDefault="006E799F" w:rsidP="006E799F">
      <w:pPr>
        <w:pStyle w:val="ListParagraph"/>
        <w:numPr>
          <w:ilvl w:val="0"/>
          <w:numId w:val="6"/>
        </w:numPr>
        <w:ind w:left="426" w:hanging="426"/>
        <w:rPr>
          <w:lang w:val="en-AU"/>
        </w:rPr>
      </w:pPr>
      <w:r w:rsidRPr="006E799F">
        <w:rPr>
          <w:lang w:val="en-AU"/>
        </w:rPr>
        <w:t>Total: $15,922.8 million</w:t>
      </w:r>
    </w:p>
    <w:p w14:paraId="2D5BF360" w14:textId="7925AA81" w:rsidR="00980196" w:rsidRPr="006E799F" w:rsidRDefault="00980196" w:rsidP="00980196">
      <w:pPr>
        <w:pStyle w:val="ESBodyText"/>
        <w:rPr>
          <w:b/>
          <w:color w:val="C00000"/>
          <w:lang w:val="en-AU"/>
        </w:rPr>
      </w:pPr>
      <w:r w:rsidRPr="006E799F">
        <w:rPr>
          <w:b/>
          <w:color w:val="C00000"/>
          <w:lang w:val="en-AU"/>
        </w:rPr>
        <w:t xml:space="preserve">THE DEPARTMENT’S 2021–22 OUTPUT </w:t>
      </w:r>
      <w:r>
        <w:rPr>
          <w:b/>
          <w:color w:val="C00000"/>
          <w:lang w:val="en-AU"/>
        </w:rPr>
        <w:t>INITIATIVES</w:t>
      </w:r>
      <w:r w:rsidRPr="006E799F">
        <w:rPr>
          <w:b/>
          <w:color w:val="C00000"/>
          <w:lang w:val="en-AU"/>
        </w:rPr>
        <w:t xml:space="preserve"> </w:t>
      </w:r>
    </w:p>
    <w:p w14:paraId="4FF81986" w14:textId="372CA65F" w:rsidR="00980196" w:rsidRPr="00366A33" w:rsidRDefault="00980196" w:rsidP="00980196">
      <w:pPr>
        <w:pStyle w:val="ESBodyText"/>
        <w:rPr>
          <w:rFonts w:eastAsiaTheme="majorEastAsia" w:cstheme="majorBidi"/>
          <w:b/>
          <w:bCs/>
          <w:color w:val="AF272F"/>
          <w:szCs w:val="20"/>
          <w:lang w:val="en-AU"/>
        </w:rPr>
      </w:pPr>
      <w:r w:rsidRPr="00366A33">
        <w:rPr>
          <w:rFonts w:eastAsiaTheme="majorEastAsia" w:cstheme="majorBidi"/>
          <w:b/>
          <w:bCs/>
          <w:color w:val="AF272F"/>
          <w:szCs w:val="20"/>
          <w:lang w:val="en-AU"/>
        </w:rPr>
        <w:t>EARLY CHILDHOOD</w:t>
      </w:r>
      <w:r w:rsidRPr="00366A33">
        <w:t xml:space="preserve"> </w:t>
      </w:r>
      <w:r>
        <w:rPr>
          <w:rFonts w:eastAsiaTheme="majorEastAsia" w:cstheme="majorBidi"/>
          <w:b/>
          <w:bCs/>
          <w:color w:val="AF272F"/>
          <w:szCs w:val="20"/>
          <w:lang w:val="en-AU"/>
        </w:rPr>
        <w:t>EDUCATION</w:t>
      </w:r>
    </w:p>
    <w:p w14:paraId="22B58171" w14:textId="1A5F69B9" w:rsidR="00C5778A" w:rsidRPr="00731F9B" w:rsidRDefault="00C5778A" w:rsidP="00980196">
      <w:pPr>
        <w:pStyle w:val="ListParagraph"/>
        <w:numPr>
          <w:ilvl w:val="0"/>
          <w:numId w:val="6"/>
        </w:numPr>
        <w:ind w:left="426" w:hanging="426"/>
        <w:rPr>
          <w:lang w:val="en-AU"/>
        </w:rPr>
      </w:pPr>
      <w:r w:rsidRPr="00731F9B">
        <w:rPr>
          <w:lang w:val="en-AU"/>
        </w:rPr>
        <w:t>Additional support for early years management:</w:t>
      </w:r>
    </w:p>
    <w:p w14:paraId="3B9472A2" w14:textId="7856735C" w:rsidR="00980196" w:rsidRPr="00731F9B" w:rsidRDefault="00C5778A" w:rsidP="00C5778A">
      <w:pPr>
        <w:pStyle w:val="ListParagraph"/>
        <w:numPr>
          <w:ilvl w:val="1"/>
          <w:numId w:val="6"/>
        </w:numPr>
        <w:rPr>
          <w:lang w:val="en-AU"/>
        </w:rPr>
      </w:pPr>
      <w:r w:rsidRPr="00731F9B">
        <w:rPr>
          <w:lang w:val="en-AU"/>
        </w:rPr>
        <w:t xml:space="preserve">2021–22: </w:t>
      </w:r>
      <w:r w:rsidR="00980196" w:rsidRPr="00731F9B">
        <w:rPr>
          <w:lang w:val="en-AU"/>
        </w:rPr>
        <w:t xml:space="preserve"> $</w:t>
      </w:r>
      <w:r w:rsidRPr="00731F9B">
        <w:rPr>
          <w:lang w:val="en-AU"/>
        </w:rPr>
        <w:t>7.0</w:t>
      </w:r>
      <w:r w:rsidR="00980196" w:rsidRPr="00731F9B">
        <w:rPr>
          <w:lang w:val="en-AU"/>
        </w:rPr>
        <w:t xml:space="preserve"> million </w:t>
      </w:r>
    </w:p>
    <w:p w14:paraId="5CC39579" w14:textId="66757E00" w:rsidR="00C5778A" w:rsidRPr="00731F9B" w:rsidRDefault="00C5778A" w:rsidP="00C5778A">
      <w:pPr>
        <w:pStyle w:val="ListParagraph"/>
        <w:numPr>
          <w:ilvl w:val="1"/>
          <w:numId w:val="6"/>
        </w:numPr>
        <w:rPr>
          <w:lang w:val="en-AU"/>
        </w:rPr>
      </w:pPr>
      <w:r w:rsidRPr="00731F9B">
        <w:rPr>
          <w:lang w:val="en-AU"/>
        </w:rPr>
        <w:t xml:space="preserve">2022–23:  $7.9 million </w:t>
      </w:r>
    </w:p>
    <w:p w14:paraId="564A27BC" w14:textId="0D55FE9D" w:rsidR="00C5778A" w:rsidRPr="00731F9B" w:rsidRDefault="00C5778A" w:rsidP="00C5778A">
      <w:pPr>
        <w:pStyle w:val="ListParagraph"/>
        <w:numPr>
          <w:ilvl w:val="1"/>
          <w:numId w:val="6"/>
        </w:numPr>
        <w:rPr>
          <w:lang w:val="en-AU"/>
        </w:rPr>
      </w:pPr>
      <w:r w:rsidRPr="00731F9B">
        <w:rPr>
          <w:lang w:val="en-AU"/>
        </w:rPr>
        <w:t xml:space="preserve">2023–24:  $7.9 million </w:t>
      </w:r>
    </w:p>
    <w:p w14:paraId="27947A13" w14:textId="166F87AC" w:rsidR="00C5778A" w:rsidRPr="00731F9B" w:rsidRDefault="00C5778A" w:rsidP="00C5778A">
      <w:pPr>
        <w:pStyle w:val="ListParagraph"/>
        <w:numPr>
          <w:ilvl w:val="1"/>
          <w:numId w:val="6"/>
        </w:numPr>
        <w:rPr>
          <w:lang w:val="en-AU"/>
        </w:rPr>
      </w:pPr>
      <w:r w:rsidRPr="00731F9B">
        <w:rPr>
          <w:lang w:val="en-AU"/>
        </w:rPr>
        <w:lastRenderedPageBreak/>
        <w:t xml:space="preserve">2024–25:  $8.4 million </w:t>
      </w:r>
    </w:p>
    <w:p w14:paraId="48FE72A3" w14:textId="0D2FD9A4" w:rsidR="00980196" w:rsidRPr="00731F9B" w:rsidRDefault="00C5778A" w:rsidP="00980196">
      <w:pPr>
        <w:pStyle w:val="ListParagraph"/>
        <w:numPr>
          <w:ilvl w:val="0"/>
          <w:numId w:val="6"/>
        </w:numPr>
        <w:ind w:left="426" w:hanging="426"/>
        <w:rPr>
          <w:lang w:val="en-AU"/>
        </w:rPr>
      </w:pPr>
      <w:r w:rsidRPr="00731F9B">
        <w:rPr>
          <w:lang w:val="en-AU"/>
        </w:rPr>
        <w:t>Child Link</w:t>
      </w:r>
      <w:r w:rsidR="00980196" w:rsidRPr="00731F9B">
        <w:rPr>
          <w:lang w:val="en-AU"/>
        </w:rPr>
        <w:t>:</w:t>
      </w:r>
    </w:p>
    <w:p w14:paraId="17627A4F" w14:textId="5900861F" w:rsidR="00C5778A" w:rsidRPr="00731F9B" w:rsidRDefault="00C5778A" w:rsidP="00C5778A">
      <w:pPr>
        <w:pStyle w:val="ListParagraph"/>
        <w:numPr>
          <w:ilvl w:val="1"/>
          <w:numId w:val="6"/>
        </w:numPr>
        <w:rPr>
          <w:lang w:val="en-AU"/>
        </w:rPr>
      </w:pPr>
      <w:r w:rsidRPr="00731F9B">
        <w:rPr>
          <w:lang w:val="en-AU"/>
        </w:rPr>
        <w:t xml:space="preserve">2021–22:  $23.4 million </w:t>
      </w:r>
    </w:p>
    <w:p w14:paraId="37FAE9F6" w14:textId="7B5855A1" w:rsidR="00C5778A" w:rsidRPr="00731F9B" w:rsidRDefault="00C5778A" w:rsidP="00C5778A">
      <w:pPr>
        <w:pStyle w:val="ListParagraph"/>
        <w:numPr>
          <w:ilvl w:val="1"/>
          <w:numId w:val="6"/>
        </w:numPr>
        <w:rPr>
          <w:lang w:val="en-AU"/>
        </w:rPr>
      </w:pPr>
      <w:r w:rsidRPr="00731F9B">
        <w:rPr>
          <w:lang w:val="en-AU"/>
        </w:rPr>
        <w:t xml:space="preserve">2022–23:  $21.5 million </w:t>
      </w:r>
    </w:p>
    <w:p w14:paraId="2FEE643A" w14:textId="2AF2B1F1" w:rsidR="00C5778A" w:rsidRPr="00731F9B" w:rsidRDefault="00C5778A" w:rsidP="00C5778A">
      <w:pPr>
        <w:pStyle w:val="ListParagraph"/>
        <w:numPr>
          <w:ilvl w:val="1"/>
          <w:numId w:val="6"/>
        </w:numPr>
        <w:rPr>
          <w:lang w:val="en-AU"/>
        </w:rPr>
      </w:pPr>
      <w:r w:rsidRPr="00731F9B">
        <w:rPr>
          <w:lang w:val="en-AU"/>
        </w:rPr>
        <w:t xml:space="preserve">2023–24:  $22.6 million </w:t>
      </w:r>
    </w:p>
    <w:p w14:paraId="6787C116" w14:textId="478065A3" w:rsidR="00C5778A" w:rsidRPr="00731F9B" w:rsidRDefault="00C5778A" w:rsidP="00C5778A">
      <w:pPr>
        <w:pStyle w:val="ListParagraph"/>
        <w:numPr>
          <w:ilvl w:val="1"/>
          <w:numId w:val="6"/>
        </w:numPr>
        <w:rPr>
          <w:lang w:val="en-AU"/>
        </w:rPr>
      </w:pPr>
      <w:r w:rsidRPr="00731F9B">
        <w:rPr>
          <w:lang w:val="en-AU"/>
        </w:rPr>
        <w:t xml:space="preserve">2024–25:  $18.6 million </w:t>
      </w:r>
    </w:p>
    <w:p w14:paraId="7FBD2C89" w14:textId="58821729" w:rsidR="00C5778A" w:rsidRDefault="00C5778A" w:rsidP="00980196">
      <w:pPr>
        <w:pStyle w:val="ListParagraph"/>
        <w:numPr>
          <w:ilvl w:val="0"/>
          <w:numId w:val="6"/>
        </w:numPr>
        <w:ind w:left="426" w:hanging="426"/>
        <w:rPr>
          <w:lang w:val="en-AU"/>
        </w:rPr>
      </w:pPr>
      <w:r w:rsidRPr="00731F9B">
        <w:rPr>
          <w:lang w:val="en-AU"/>
        </w:rPr>
        <w:t>Continuation of the early language program</w:t>
      </w:r>
    </w:p>
    <w:p w14:paraId="11BF6187" w14:textId="7FA4BD13" w:rsidR="00731F9B" w:rsidRPr="00731F9B" w:rsidRDefault="00731F9B" w:rsidP="00731F9B">
      <w:pPr>
        <w:pStyle w:val="ListParagraph"/>
        <w:numPr>
          <w:ilvl w:val="1"/>
          <w:numId w:val="6"/>
        </w:numPr>
        <w:rPr>
          <w:lang w:val="en-AU"/>
        </w:rPr>
      </w:pPr>
      <w:r w:rsidRPr="00731F9B">
        <w:rPr>
          <w:lang w:val="en-AU"/>
        </w:rPr>
        <w:t>2022–23:  $2.</w:t>
      </w:r>
      <w:r>
        <w:rPr>
          <w:lang w:val="en-AU"/>
        </w:rPr>
        <w:t>7</w:t>
      </w:r>
      <w:r w:rsidRPr="00731F9B">
        <w:rPr>
          <w:lang w:val="en-AU"/>
        </w:rPr>
        <w:t xml:space="preserve"> million </w:t>
      </w:r>
    </w:p>
    <w:p w14:paraId="1DAB9C7C" w14:textId="6DF6918A" w:rsidR="00C5778A" w:rsidRDefault="00C5778A" w:rsidP="00980196">
      <w:pPr>
        <w:pStyle w:val="ListParagraph"/>
        <w:numPr>
          <w:ilvl w:val="0"/>
          <w:numId w:val="6"/>
        </w:numPr>
        <w:ind w:left="426" w:hanging="426"/>
        <w:rPr>
          <w:lang w:val="en-AU"/>
        </w:rPr>
      </w:pPr>
      <w:r w:rsidRPr="00731F9B">
        <w:rPr>
          <w:lang w:val="en-AU"/>
        </w:rPr>
        <w:t>Giving vulnerable and disadvantaged kids the best start in life</w:t>
      </w:r>
    </w:p>
    <w:p w14:paraId="2211875D" w14:textId="09B33072" w:rsidR="00731F9B" w:rsidRPr="00731F9B" w:rsidRDefault="00731F9B" w:rsidP="00731F9B">
      <w:pPr>
        <w:pStyle w:val="ListParagraph"/>
        <w:numPr>
          <w:ilvl w:val="1"/>
          <w:numId w:val="6"/>
        </w:numPr>
        <w:rPr>
          <w:lang w:val="en-AU"/>
        </w:rPr>
      </w:pPr>
      <w:r w:rsidRPr="00731F9B">
        <w:rPr>
          <w:lang w:val="en-AU"/>
        </w:rPr>
        <w:t>2021–22:  $</w:t>
      </w:r>
      <w:r>
        <w:rPr>
          <w:lang w:val="en-AU"/>
        </w:rPr>
        <w:t>8.6</w:t>
      </w:r>
      <w:r w:rsidRPr="00731F9B">
        <w:rPr>
          <w:lang w:val="en-AU"/>
        </w:rPr>
        <w:t xml:space="preserve"> million </w:t>
      </w:r>
    </w:p>
    <w:p w14:paraId="1582C8A3" w14:textId="42DEFDA5" w:rsidR="00731F9B" w:rsidRPr="00731F9B" w:rsidRDefault="00731F9B" w:rsidP="00731F9B">
      <w:pPr>
        <w:pStyle w:val="ListParagraph"/>
        <w:numPr>
          <w:ilvl w:val="1"/>
          <w:numId w:val="6"/>
        </w:numPr>
        <w:rPr>
          <w:lang w:val="en-AU"/>
        </w:rPr>
      </w:pPr>
      <w:r w:rsidRPr="00731F9B">
        <w:rPr>
          <w:lang w:val="en-AU"/>
        </w:rPr>
        <w:t>2022–23:  $</w:t>
      </w:r>
      <w:r>
        <w:rPr>
          <w:lang w:val="en-AU"/>
        </w:rPr>
        <w:t>8.2</w:t>
      </w:r>
      <w:r w:rsidRPr="00731F9B">
        <w:rPr>
          <w:lang w:val="en-AU"/>
        </w:rPr>
        <w:t xml:space="preserve"> million </w:t>
      </w:r>
    </w:p>
    <w:p w14:paraId="5557E47D" w14:textId="4057A391" w:rsidR="00731F9B" w:rsidRPr="00731F9B" w:rsidRDefault="00731F9B" w:rsidP="00731F9B">
      <w:pPr>
        <w:pStyle w:val="ListParagraph"/>
        <w:numPr>
          <w:ilvl w:val="1"/>
          <w:numId w:val="6"/>
        </w:numPr>
        <w:rPr>
          <w:lang w:val="en-AU"/>
        </w:rPr>
      </w:pPr>
      <w:r w:rsidRPr="00731F9B">
        <w:rPr>
          <w:lang w:val="en-AU"/>
        </w:rPr>
        <w:t>2023–24:  $</w:t>
      </w:r>
      <w:r>
        <w:rPr>
          <w:lang w:val="en-AU"/>
        </w:rPr>
        <w:t>8.5</w:t>
      </w:r>
      <w:r w:rsidRPr="00731F9B">
        <w:rPr>
          <w:lang w:val="en-AU"/>
        </w:rPr>
        <w:t xml:space="preserve"> million </w:t>
      </w:r>
    </w:p>
    <w:p w14:paraId="273A3CEB" w14:textId="6C8E7213" w:rsidR="00731F9B" w:rsidRPr="00731F9B" w:rsidRDefault="00731F9B" w:rsidP="00731F9B">
      <w:pPr>
        <w:pStyle w:val="ListParagraph"/>
        <w:numPr>
          <w:ilvl w:val="1"/>
          <w:numId w:val="6"/>
        </w:numPr>
        <w:rPr>
          <w:lang w:val="en-AU"/>
        </w:rPr>
      </w:pPr>
      <w:r w:rsidRPr="00731F9B">
        <w:rPr>
          <w:lang w:val="en-AU"/>
        </w:rPr>
        <w:t>2024–25:  $</w:t>
      </w:r>
      <w:r>
        <w:rPr>
          <w:lang w:val="en-AU"/>
        </w:rPr>
        <w:t>8.5</w:t>
      </w:r>
      <w:r w:rsidRPr="00731F9B">
        <w:rPr>
          <w:lang w:val="en-AU"/>
        </w:rPr>
        <w:t xml:space="preserve"> million </w:t>
      </w:r>
    </w:p>
    <w:p w14:paraId="09A1DBD0" w14:textId="2FBB3000" w:rsidR="00C5778A" w:rsidRDefault="00C5778A" w:rsidP="00980196">
      <w:pPr>
        <w:pStyle w:val="ListParagraph"/>
        <w:numPr>
          <w:ilvl w:val="0"/>
          <w:numId w:val="6"/>
        </w:numPr>
        <w:ind w:left="426" w:hanging="426"/>
        <w:rPr>
          <w:lang w:val="en-AU"/>
        </w:rPr>
      </w:pPr>
      <w:r w:rsidRPr="00731F9B">
        <w:rPr>
          <w:lang w:val="en-AU"/>
        </w:rPr>
        <w:t>Kindergarten enrolment-based funding</w:t>
      </w:r>
    </w:p>
    <w:p w14:paraId="5068B1F4" w14:textId="0A6B476A" w:rsidR="00731F9B" w:rsidRPr="00731F9B" w:rsidRDefault="00731F9B" w:rsidP="00731F9B">
      <w:pPr>
        <w:pStyle w:val="ListParagraph"/>
        <w:numPr>
          <w:ilvl w:val="1"/>
          <w:numId w:val="6"/>
        </w:numPr>
        <w:rPr>
          <w:lang w:val="en-AU"/>
        </w:rPr>
      </w:pPr>
      <w:r w:rsidRPr="00731F9B">
        <w:rPr>
          <w:lang w:val="en-AU"/>
        </w:rPr>
        <w:t>2021–22:  $</w:t>
      </w:r>
      <w:r>
        <w:rPr>
          <w:lang w:val="en-AU"/>
        </w:rPr>
        <w:t>4.7</w:t>
      </w:r>
      <w:r w:rsidRPr="00731F9B">
        <w:rPr>
          <w:lang w:val="en-AU"/>
        </w:rPr>
        <w:t xml:space="preserve"> million </w:t>
      </w:r>
    </w:p>
    <w:p w14:paraId="5B7FBF6C" w14:textId="6BDE7CD1" w:rsidR="00731F9B" w:rsidRPr="00731F9B" w:rsidRDefault="00731F9B" w:rsidP="00731F9B">
      <w:pPr>
        <w:pStyle w:val="ListParagraph"/>
        <w:numPr>
          <w:ilvl w:val="1"/>
          <w:numId w:val="6"/>
        </w:numPr>
        <w:rPr>
          <w:lang w:val="en-AU"/>
        </w:rPr>
      </w:pPr>
      <w:r w:rsidRPr="00731F9B">
        <w:rPr>
          <w:lang w:val="en-AU"/>
        </w:rPr>
        <w:t>2022–23:  $</w:t>
      </w:r>
      <w:r>
        <w:rPr>
          <w:lang w:val="en-AU"/>
        </w:rPr>
        <w:t>4.8</w:t>
      </w:r>
      <w:r w:rsidRPr="00731F9B">
        <w:rPr>
          <w:lang w:val="en-AU"/>
        </w:rPr>
        <w:t xml:space="preserve"> million </w:t>
      </w:r>
    </w:p>
    <w:p w14:paraId="4EDF6DA5" w14:textId="71F9D6E8" w:rsidR="00731F9B" w:rsidRPr="00731F9B" w:rsidRDefault="00731F9B" w:rsidP="00731F9B">
      <w:pPr>
        <w:pStyle w:val="ListParagraph"/>
        <w:numPr>
          <w:ilvl w:val="1"/>
          <w:numId w:val="6"/>
        </w:numPr>
        <w:rPr>
          <w:lang w:val="en-AU"/>
        </w:rPr>
      </w:pPr>
      <w:r w:rsidRPr="00731F9B">
        <w:rPr>
          <w:lang w:val="en-AU"/>
        </w:rPr>
        <w:t>2023–24:  $</w:t>
      </w:r>
      <w:r>
        <w:rPr>
          <w:lang w:val="en-AU"/>
        </w:rPr>
        <w:t>4.9</w:t>
      </w:r>
      <w:r w:rsidRPr="00731F9B">
        <w:rPr>
          <w:lang w:val="en-AU"/>
        </w:rPr>
        <w:t xml:space="preserve"> million </w:t>
      </w:r>
    </w:p>
    <w:p w14:paraId="3B2D3576" w14:textId="1B77AA51" w:rsidR="00731F9B" w:rsidRPr="00731F9B" w:rsidRDefault="00731F9B" w:rsidP="00731F9B">
      <w:pPr>
        <w:pStyle w:val="ListParagraph"/>
        <w:numPr>
          <w:ilvl w:val="1"/>
          <w:numId w:val="6"/>
        </w:numPr>
        <w:rPr>
          <w:lang w:val="en-AU"/>
        </w:rPr>
      </w:pPr>
      <w:r w:rsidRPr="00731F9B">
        <w:rPr>
          <w:lang w:val="en-AU"/>
        </w:rPr>
        <w:t>2024–25:  $</w:t>
      </w:r>
      <w:r>
        <w:rPr>
          <w:lang w:val="en-AU"/>
        </w:rPr>
        <w:t>5.1</w:t>
      </w:r>
      <w:r w:rsidRPr="00731F9B">
        <w:rPr>
          <w:lang w:val="en-AU"/>
        </w:rPr>
        <w:t xml:space="preserve"> million </w:t>
      </w:r>
    </w:p>
    <w:p w14:paraId="6C77DF39" w14:textId="58CDA09E" w:rsidR="00C5778A" w:rsidRDefault="00C5778A" w:rsidP="00980196">
      <w:pPr>
        <w:pStyle w:val="ListParagraph"/>
        <w:numPr>
          <w:ilvl w:val="0"/>
          <w:numId w:val="6"/>
        </w:numPr>
        <w:ind w:left="426" w:hanging="426"/>
        <w:rPr>
          <w:lang w:val="en-AU"/>
        </w:rPr>
      </w:pPr>
      <w:r w:rsidRPr="00731F9B">
        <w:rPr>
          <w:lang w:val="en-AU"/>
        </w:rPr>
        <w:t>Maintaining universal access to 15 hours of four-year-old kindergarten</w:t>
      </w:r>
    </w:p>
    <w:p w14:paraId="4ED1BFFC" w14:textId="31348BEA" w:rsidR="00731F9B" w:rsidRPr="00731F9B" w:rsidRDefault="00731F9B" w:rsidP="00731F9B">
      <w:pPr>
        <w:pStyle w:val="ListParagraph"/>
        <w:numPr>
          <w:ilvl w:val="1"/>
          <w:numId w:val="6"/>
        </w:numPr>
        <w:rPr>
          <w:lang w:val="en-AU"/>
        </w:rPr>
      </w:pPr>
      <w:r w:rsidRPr="00731F9B">
        <w:rPr>
          <w:lang w:val="en-AU"/>
        </w:rPr>
        <w:t>2021–22:  $</w:t>
      </w:r>
      <w:r>
        <w:rPr>
          <w:lang w:val="en-AU"/>
        </w:rPr>
        <w:t>8.1</w:t>
      </w:r>
      <w:r w:rsidRPr="00731F9B">
        <w:rPr>
          <w:lang w:val="en-AU"/>
        </w:rPr>
        <w:t xml:space="preserve"> million </w:t>
      </w:r>
    </w:p>
    <w:p w14:paraId="5FBEF4FF" w14:textId="0D47D529" w:rsidR="00731F9B" w:rsidRPr="00731F9B" w:rsidRDefault="00731F9B" w:rsidP="00731F9B">
      <w:pPr>
        <w:pStyle w:val="ListParagraph"/>
        <w:numPr>
          <w:ilvl w:val="1"/>
          <w:numId w:val="6"/>
        </w:numPr>
        <w:rPr>
          <w:lang w:val="en-AU"/>
        </w:rPr>
      </w:pPr>
      <w:r w:rsidRPr="00731F9B">
        <w:rPr>
          <w:lang w:val="en-AU"/>
        </w:rPr>
        <w:t>2022–23:  $</w:t>
      </w:r>
      <w:r>
        <w:rPr>
          <w:lang w:val="en-AU"/>
        </w:rPr>
        <w:t>8.1</w:t>
      </w:r>
      <w:r w:rsidRPr="00731F9B">
        <w:rPr>
          <w:lang w:val="en-AU"/>
        </w:rPr>
        <w:t xml:space="preserve"> million </w:t>
      </w:r>
    </w:p>
    <w:p w14:paraId="2DD4B409" w14:textId="17C94F8D" w:rsidR="00C5778A" w:rsidRDefault="00C5778A" w:rsidP="00980196">
      <w:pPr>
        <w:pStyle w:val="ListParagraph"/>
        <w:numPr>
          <w:ilvl w:val="0"/>
          <w:numId w:val="6"/>
        </w:numPr>
        <w:ind w:left="426" w:hanging="426"/>
        <w:rPr>
          <w:lang w:val="en-AU"/>
        </w:rPr>
      </w:pPr>
      <w:r w:rsidRPr="00731F9B">
        <w:rPr>
          <w:lang w:val="en-AU"/>
        </w:rPr>
        <w:t>Ready for school: Kinder for every three-year-old</w:t>
      </w:r>
    </w:p>
    <w:p w14:paraId="3C792B1A" w14:textId="2F1BA457" w:rsidR="00731F9B" w:rsidRPr="00731F9B" w:rsidRDefault="00731F9B" w:rsidP="00731F9B">
      <w:pPr>
        <w:pStyle w:val="ListParagraph"/>
        <w:numPr>
          <w:ilvl w:val="1"/>
          <w:numId w:val="6"/>
        </w:numPr>
        <w:rPr>
          <w:lang w:val="en-AU"/>
        </w:rPr>
      </w:pPr>
      <w:r w:rsidRPr="00731F9B">
        <w:rPr>
          <w:lang w:val="en-AU"/>
        </w:rPr>
        <w:t>2021–22:  $2</w:t>
      </w:r>
      <w:r>
        <w:rPr>
          <w:lang w:val="en-AU"/>
        </w:rPr>
        <w:t>1.3</w:t>
      </w:r>
      <w:r w:rsidRPr="00731F9B">
        <w:rPr>
          <w:lang w:val="en-AU"/>
        </w:rPr>
        <w:t xml:space="preserve"> million </w:t>
      </w:r>
    </w:p>
    <w:p w14:paraId="0F774E7A" w14:textId="09AAC2C9" w:rsidR="00731F9B" w:rsidRPr="00731F9B" w:rsidRDefault="00731F9B" w:rsidP="00731F9B">
      <w:pPr>
        <w:pStyle w:val="ListParagraph"/>
        <w:numPr>
          <w:ilvl w:val="1"/>
          <w:numId w:val="6"/>
        </w:numPr>
        <w:rPr>
          <w:lang w:val="en-AU"/>
        </w:rPr>
      </w:pPr>
      <w:r w:rsidRPr="00731F9B">
        <w:rPr>
          <w:lang w:val="en-AU"/>
        </w:rPr>
        <w:t>2022–23:  $2</w:t>
      </w:r>
      <w:r>
        <w:rPr>
          <w:lang w:val="en-AU"/>
        </w:rPr>
        <w:t>3</w:t>
      </w:r>
      <w:r w:rsidRPr="00731F9B">
        <w:rPr>
          <w:lang w:val="en-AU"/>
        </w:rPr>
        <w:t>.</w:t>
      </w:r>
      <w:r>
        <w:rPr>
          <w:lang w:val="en-AU"/>
        </w:rPr>
        <w:t>4</w:t>
      </w:r>
      <w:r w:rsidRPr="00731F9B">
        <w:rPr>
          <w:lang w:val="en-AU"/>
        </w:rPr>
        <w:t xml:space="preserve"> million </w:t>
      </w:r>
    </w:p>
    <w:p w14:paraId="6F0A637A" w14:textId="594AB9BE" w:rsidR="00731F9B" w:rsidRPr="00731F9B" w:rsidRDefault="00731F9B" w:rsidP="00731F9B">
      <w:pPr>
        <w:pStyle w:val="ListParagraph"/>
        <w:numPr>
          <w:ilvl w:val="1"/>
          <w:numId w:val="6"/>
        </w:numPr>
        <w:rPr>
          <w:lang w:val="en-AU"/>
        </w:rPr>
      </w:pPr>
      <w:r w:rsidRPr="00731F9B">
        <w:rPr>
          <w:lang w:val="en-AU"/>
        </w:rPr>
        <w:t>2023–24:  $</w:t>
      </w:r>
      <w:r>
        <w:rPr>
          <w:lang w:val="en-AU"/>
        </w:rPr>
        <w:t>15.0</w:t>
      </w:r>
      <w:r w:rsidRPr="00731F9B">
        <w:rPr>
          <w:lang w:val="en-AU"/>
        </w:rPr>
        <w:t xml:space="preserve"> million </w:t>
      </w:r>
    </w:p>
    <w:p w14:paraId="20FD9CE8" w14:textId="67D3F873" w:rsidR="00731F9B" w:rsidRPr="00731F9B" w:rsidRDefault="00731F9B" w:rsidP="00731F9B">
      <w:pPr>
        <w:pStyle w:val="ListParagraph"/>
        <w:numPr>
          <w:ilvl w:val="1"/>
          <w:numId w:val="6"/>
        </w:numPr>
        <w:rPr>
          <w:lang w:val="en-AU"/>
        </w:rPr>
      </w:pPr>
      <w:r w:rsidRPr="00731F9B">
        <w:rPr>
          <w:lang w:val="en-AU"/>
        </w:rPr>
        <w:t>2024–25:  $</w:t>
      </w:r>
      <w:r>
        <w:rPr>
          <w:lang w:val="en-AU"/>
        </w:rPr>
        <w:t>62.7</w:t>
      </w:r>
      <w:r w:rsidRPr="00731F9B">
        <w:rPr>
          <w:lang w:val="en-AU"/>
        </w:rPr>
        <w:t xml:space="preserve"> million </w:t>
      </w:r>
    </w:p>
    <w:p w14:paraId="7A8D1CC8" w14:textId="2042D2D6" w:rsidR="00980196" w:rsidRPr="00366A33" w:rsidRDefault="00980196" w:rsidP="00980196">
      <w:pPr>
        <w:pStyle w:val="ESBodyText"/>
        <w:rPr>
          <w:rFonts w:eastAsiaTheme="majorEastAsia" w:cstheme="majorBidi"/>
          <w:b/>
          <w:bCs/>
          <w:color w:val="AF272F"/>
          <w:szCs w:val="20"/>
          <w:lang w:val="en-AU"/>
        </w:rPr>
      </w:pPr>
      <w:r>
        <w:rPr>
          <w:rFonts w:eastAsiaTheme="majorEastAsia" w:cstheme="majorBidi"/>
          <w:b/>
          <w:bCs/>
          <w:color w:val="AF272F"/>
          <w:szCs w:val="20"/>
          <w:lang w:val="en-AU"/>
        </w:rPr>
        <w:t>SCHOOL</w:t>
      </w:r>
      <w:r w:rsidRPr="00366A33">
        <w:t xml:space="preserve"> </w:t>
      </w:r>
      <w:r>
        <w:rPr>
          <w:rFonts w:eastAsiaTheme="majorEastAsia" w:cstheme="majorBidi"/>
          <w:b/>
          <w:bCs/>
          <w:color w:val="AF272F"/>
          <w:szCs w:val="20"/>
          <w:lang w:val="en-AU"/>
        </w:rPr>
        <w:t>EDUCATION</w:t>
      </w:r>
    </w:p>
    <w:p w14:paraId="63BA9C3D" w14:textId="1AC73D39" w:rsidR="00731F9B" w:rsidRPr="00731F9B" w:rsidRDefault="00731F9B" w:rsidP="00980196">
      <w:pPr>
        <w:pStyle w:val="ListParagraph"/>
        <w:numPr>
          <w:ilvl w:val="0"/>
          <w:numId w:val="6"/>
        </w:numPr>
        <w:ind w:left="426" w:hanging="426"/>
        <w:rPr>
          <w:lang w:val="en-AU"/>
        </w:rPr>
      </w:pPr>
      <w:r w:rsidRPr="00731F9B">
        <w:rPr>
          <w:lang w:val="en-AU"/>
        </w:rPr>
        <w:t>Addressing the cost of delivery education</w:t>
      </w:r>
    </w:p>
    <w:p w14:paraId="39387AD9" w14:textId="3F96F133" w:rsidR="00731F9B" w:rsidRPr="00731F9B" w:rsidRDefault="00731F9B" w:rsidP="00731F9B">
      <w:pPr>
        <w:pStyle w:val="ListParagraph"/>
        <w:numPr>
          <w:ilvl w:val="1"/>
          <w:numId w:val="6"/>
        </w:numPr>
        <w:rPr>
          <w:lang w:val="en-AU"/>
        </w:rPr>
      </w:pPr>
      <w:r w:rsidRPr="00731F9B">
        <w:rPr>
          <w:lang w:val="en-AU"/>
        </w:rPr>
        <w:t>2021–22:  $</w:t>
      </w:r>
      <w:r>
        <w:rPr>
          <w:lang w:val="en-AU"/>
        </w:rPr>
        <w:t>6.1</w:t>
      </w:r>
      <w:r w:rsidRPr="00731F9B">
        <w:rPr>
          <w:lang w:val="en-AU"/>
        </w:rPr>
        <w:t xml:space="preserve"> million </w:t>
      </w:r>
    </w:p>
    <w:p w14:paraId="46CDB8C4" w14:textId="1D491774" w:rsidR="00731F9B" w:rsidRPr="00731F9B" w:rsidRDefault="00731F9B" w:rsidP="00731F9B">
      <w:pPr>
        <w:pStyle w:val="ListParagraph"/>
        <w:numPr>
          <w:ilvl w:val="1"/>
          <w:numId w:val="6"/>
        </w:numPr>
        <w:rPr>
          <w:lang w:val="en-AU"/>
        </w:rPr>
      </w:pPr>
      <w:r w:rsidRPr="00731F9B">
        <w:rPr>
          <w:lang w:val="en-AU"/>
        </w:rPr>
        <w:t>2022–23:  $</w:t>
      </w:r>
      <w:r>
        <w:rPr>
          <w:lang w:val="en-AU"/>
        </w:rPr>
        <w:t>9.4</w:t>
      </w:r>
      <w:r w:rsidRPr="00731F9B">
        <w:rPr>
          <w:lang w:val="en-AU"/>
        </w:rPr>
        <w:t xml:space="preserve"> million </w:t>
      </w:r>
    </w:p>
    <w:p w14:paraId="5D3605A7" w14:textId="3A5CD8F3" w:rsidR="00731F9B" w:rsidRPr="00731F9B" w:rsidRDefault="00731F9B" w:rsidP="00731F9B">
      <w:pPr>
        <w:pStyle w:val="ListParagraph"/>
        <w:numPr>
          <w:ilvl w:val="1"/>
          <w:numId w:val="6"/>
        </w:numPr>
        <w:rPr>
          <w:lang w:val="en-AU"/>
        </w:rPr>
      </w:pPr>
      <w:r w:rsidRPr="00731F9B">
        <w:rPr>
          <w:lang w:val="en-AU"/>
        </w:rPr>
        <w:t>2023–24:  $</w:t>
      </w:r>
      <w:r>
        <w:rPr>
          <w:lang w:val="en-AU"/>
        </w:rPr>
        <w:t>9.9</w:t>
      </w:r>
      <w:r w:rsidRPr="00731F9B">
        <w:rPr>
          <w:lang w:val="en-AU"/>
        </w:rPr>
        <w:t xml:space="preserve"> million </w:t>
      </w:r>
    </w:p>
    <w:p w14:paraId="7C83B852" w14:textId="034007B6" w:rsidR="00731F9B" w:rsidRPr="00731F9B" w:rsidRDefault="00731F9B" w:rsidP="00731F9B">
      <w:pPr>
        <w:pStyle w:val="ListParagraph"/>
        <w:numPr>
          <w:ilvl w:val="1"/>
          <w:numId w:val="6"/>
        </w:numPr>
        <w:rPr>
          <w:lang w:val="en-AU"/>
        </w:rPr>
      </w:pPr>
      <w:r w:rsidRPr="00731F9B">
        <w:rPr>
          <w:lang w:val="en-AU"/>
        </w:rPr>
        <w:t>2024–25:  $</w:t>
      </w:r>
      <w:r>
        <w:rPr>
          <w:lang w:val="en-AU"/>
        </w:rPr>
        <w:t>16.3</w:t>
      </w:r>
      <w:r w:rsidRPr="00731F9B">
        <w:rPr>
          <w:lang w:val="en-AU"/>
        </w:rPr>
        <w:t xml:space="preserve"> million </w:t>
      </w:r>
    </w:p>
    <w:p w14:paraId="68846190" w14:textId="535027A2" w:rsidR="00731F9B" w:rsidRPr="00731F9B" w:rsidRDefault="00731F9B" w:rsidP="00980196">
      <w:pPr>
        <w:pStyle w:val="ListParagraph"/>
        <w:numPr>
          <w:ilvl w:val="0"/>
          <w:numId w:val="6"/>
        </w:numPr>
        <w:ind w:left="426" w:hanging="426"/>
        <w:rPr>
          <w:lang w:val="en-AU"/>
        </w:rPr>
      </w:pPr>
      <w:r w:rsidRPr="00731F9B">
        <w:rPr>
          <w:lang w:val="en-AU"/>
        </w:rPr>
        <w:t>Addressing underperformance in schools</w:t>
      </w:r>
    </w:p>
    <w:p w14:paraId="64432E21" w14:textId="2B0C5900" w:rsidR="00731F9B" w:rsidRPr="00731F9B" w:rsidRDefault="00731F9B" w:rsidP="00731F9B">
      <w:pPr>
        <w:pStyle w:val="ListParagraph"/>
        <w:numPr>
          <w:ilvl w:val="1"/>
          <w:numId w:val="6"/>
        </w:numPr>
        <w:rPr>
          <w:lang w:val="en-AU"/>
        </w:rPr>
      </w:pPr>
      <w:r w:rsidRPr="00731F9B">
        <w:rPr>
          <w:lang w:val="en-AU"/>
        </w:rPr>
        <w:t>2021–22:  $2</w:t>
      </w:r>
      <w:r>
        <w:rPr>
          <w:lang w:val="en-AU"/>
        </w:rPr>
        <w:t>.6</w:t>
      </w:r>
      <w:r w:rsidRPr="00731F9B">
        <w:rPr>
          <w:lang w:val="en-AU"/>
        </w:rPr>
        <w:t xml:space="preserve"> million </w:t>
      </w:r>
    </w:p>
    <w:p w14:paraId="004D8A13" w14:textId="7AAC83E1" w:rsidR="00731F9B" w:rsidRPr="00731F9B" w:rsidRDefault="00731F9B" w:rsidP="00731F9B">
      <w:pPr>
        <w:pStyle w:val="ListParagraph"/>
        <w:numPr>
          <w:ilvl w:val="1"/>
          <w:numId w:val="6"/>
        </w:numPr>
        <w:rPr>
          <w:lang w:val="en-AU"/>
        </w:rPr>
      </w:pPr>
      <w:r w:rsidRPr="00731F9B">
        <w:rPr>
          <w:lang w:val="en-AU"/>
        </w:rPr>
        <w:t>2022–23:  $</w:t>
      </w:r>
      <w:r>
        <w:rPr>
          <w:lang w:val="en-AU"/>
        </w:rPr>
        <w:t>5.3</w:t>
      </w:r>
      <w:r w:rsidRPr="00731F9B">
        <w:rPr>
          <w:lang w:val="en-AU"/>
        </w:rPr>
        <w:t xml:space="preserve"> million </w:t>
      </w:r>
    </w:p>
    <w:p w14:paraId="39B6A576" w14:textId="41E5F342" w:rsidR="00731F9B" w:rsidRPr="00731F9B" w:rsidRDefault="00731F9B" w:rsidP="00731F9B">
      <w:pPr>
        <w:pStyle w:val="ListParagraph"/>
        <w:numPr>
          <w:ilvl w:val="1"/>
          <w:numId w:val="6"/>
        </w:numPr>
        <w:rPr>
          <w:lang w:val="en-AU"/>
        </w:rPr>
      </w:pPr>
      <w:r w:rsidRPr="00731F9B">
        <w:rPr>
          <w:lang w:val="en-AU"/>
        </w:rPr>
        <w:t>2023–24:  $</w:t>
      </w:r>
      <w:r>
        <w:rPr>
          <w:lang w:val="en-AU"/>
        </w:rPr>
        <w:t>11</w:t>
      </w:r>
      <w:r w:rsidRPr="00731F9B">
        <w:rPr>
          <w:lang w:val="en-AU"/>
        </w:rPr>
        <w:t xml:space="preserve">.6 million </w:t>
      </w:r>
    </w:p>
    <w:p w14:paraId="450D591A" w14:textId="79FA0ABB" w:rsidR="00731F9B" w:rsidRPr="00731F9B" w:rsidRDefault="00731F9B" w:rsidP="00980196">
      <w:pPr>
        <w:pStyle w:val="ListParagraph"/>
        <w:numPr>
          <w:ilvl w:val="0"/>
          <w:numId w:val="6"/>
        </w:numPr>
        <w:ind w:left="426" w:hanging="426"/>
        <w:rPr>
          <w:lang w:val="en-AU"/>
        </w:rPr>
      </w:pPr>
      <w:r w:rsidRPr="00731F9B">
        <w:rPr>
          <w:lang w:val="en-AU"/>
        </w:rPr>
        <w:t xml:space="preserve">Doctors in </w:t>
      </w:r>
      <w:r w:rsidR="00D2387A">
        <w:rPr>
          <w:lang w:val="en-AU"/>
        </w:rPr>
        <w:t>S</w:t>
      </w:r>
      <w:r w:rsidRPr="00731F9B">
        <w:rPr>
          <w:lang w:val="en-AU"/>
        </w:rPr>
        <w:t xml:space="preserve">econdary </w:t>
      </w:r>
      <w:r w:rsidR="00D2387A">
        <w:rPr>
          <w:lang w:val="en-AU"/>
        </w:rPr>
        <w:t>S</w:t>
      </w:r>
      <w:r w:rsidRPr="00731F9B">
        <w:rPr>
          <w:lang w:val="en-AU"/>
        </w:rPr>
        <w:t>chools</w:t>
      </w:r>
    </w:p>
    <w:p w14:paraId="41A4E96E" w14:textId="1B521C7A" w:rsidR="00731F9B" w:rsidRPr="00731F9B" w:rsidRDefault="00731F9B" w:rsidP="00731F9B">
      <w:pPr>
        <w:pStyle w:val="ListParagraph"/>
        <w:numPr>
          <w:ilvl w:val="1"/>
          <w:numId w:val="6"/>
        </w:numPr>
        <w:rPr>
          <w:lang w:val="en-AU"/>
        </w:rPr>
      </w:pPr>
      <w:r w:rsidRPr="00731F9B">
        <w:rPr>
          <w:lang w:val="en-AU"/>
        </w:rPr>
        <w:t>2021–22:  $</w:t>
      </w:r>
      <w:r>
        <w:rPr>
          <w:lang w:val="en-AU"/>
        </w:rPr>
        <w:t>5.9</w:t>
      </w:r>
      <w:r w:rsidRPr="00731F9B">
        <w:rPr>
          <w:lang w:val="en-AU"/>
        </w:rPr>
        <w:t xml:space="preserve"> million </w:t>
      </w:r>
    </w:p>
    <w:p w14:paraId="6E9C0A88" w14:textId="348ED542" w:rsidR="00731F9B" w:rsidRPr="00731F9B" w:rsidRDefault="00731F9B" w:rsidP="00731F9B">
      <w:pPr>
        <w:pStyle w:val="ListParagraph"/>
        <w:numPr>
          <w:ilvl w:val="1"/>
          <w:numId w:val="6"/>
        </w:numPr>
        <w:rPr>
          <w:lang w:val="en-AU"/>
        </w:rPr>
      </w:pPr>
      <w:r w:rsidRPr="00731F9B">
        <w:rPr>
          <w:lang w:val="en-AU"/>
        </w:rPr>
        <w:t>2022–23:  $</w:t>
      </w:r>
      <w:r>
        <w:rPr>
          <w:lang w:val="en-AU"/>
        </w:rPr>
        <w:t>12.1</w:t>
      </w:r>
      <w:r w:rsidRPr="00731F9B">
        <w:rPr>
          <w:lang w:val="en-AU"/>
        </w:rPr>
        <w:t xml:space="preserve"> million </w:t>
      </w:r>
    </w:p>
    <w:p w14:paraId="734D00FC" w14:textId="33D2EF35" w:rsidR="00731F9B" w:rsidRPr="00731F9B" w:rsidRDefault="00731F9B" w:rsidP="00731F9B">
      <w:pPr>
        <w:pStyle w:val="ListParagraph"/>
        <w:numPr>
          <w:ilvl w:val="1"/>
          <w:numId w:val="6"/>
        </w:numPr>
        <w:rPr>
          <w:lang w:val="en-AU"/>
        </w:rPr>
      </w:pPr>
      <w:r w:rsidRPr="00731F9B">
        <w:rPr>
          <w:lang w:val="en-AU"/>
        </w:rPr>
        <w:t>2023–24:  $</w:t>
      </w:r>
      <w:r>
        <w:rPr>
          <w:lang w:val="en-AU"/>
        </w:rPr>
        <w:t>12.4</w:t>
      </w:r>
      <w:r w:rsidRPr="00731F9B">
        <w:rPr>
          <w:lang w:val="en-AU"/>
        </w:rPr>
        <w:t xml:space="preserve"> million </w:t>
      </w:r>
    </w:p>
    <w:p w14:paraId="6C2BADDE" w14:textId="6E460942" w:rsidR="00731F9B" w:rsidRPr="00731F9B" w:rsidRDefault="00731F9B" w:rsidP="00731F9B">
      <w:pPr>
        <w:pStyle w:val="ListParagraph"/>
        <w:numPr>
          <w:ilvl w:val="1"/>
          <w:numId w:val="6"/>
        </w:numPr>
        <w:rPr>
          <w:lang w:val="en-AU"/>
        </w:rPr>
      </w:pPr>
      <w:r w:rsidRPr="00731F9B">
        <w:rPr>
          <w:lang w:val="en-AU"/>
        </w:rPr>
        <w:t>2024–25:  $</w:t>
      </w:r>
      <w:r>
        <w:rPr>
          <w:lang w:val="en-AU"/>
        </w:rPr>
        <w:t>12.6</w:t>
      </w:r>
      <w:r w:rsidRPr="00731F9B">
        <w:rPr>
          <w:lang w:val="en-AU"/>
        </w:rPr>
        <w:t xml:space="preserve"> million </w:t>
      </w:r>
    </w:p>
    <w:p w14:paraId="2B13C411" w14:textId="13BBE431" w:rsidR="00731F9B" w:rsidRPr="00731F9B" w:rsidRDefault="00731F9B" w:rsidP="00980196">
      <w:pPr>
        <w:pStyle w:val="ListParagraph"/>
        <w:numPr>
          <w:ilvl w:val="0"/>
          <w:numId w:val="6"/>
        </w:numPr>
        <w:ind w:left="426" w:hanging="426"/>
        <w:rPr>
          <w:lang w:val="en-AU"/>
        </w:rPr>
      </w:pPr>
      <w:r w:rsidRPr="00731F9B">
        <w:rPr>
          <w:lang w:val="en-AU"/>
        </w:rPr>
        <w:t>English as an additional language</w:t>
      </w:r>
    </w:p>
    <w:p w14:paraId="62BA1442" w14:textId="4F69D4CA" w:rsidR="00731F9B" w:rsidRPr="00731F9B" w:rsidRDefault="00731F9B" w:rsidP="00731F9B">
      <w:pPr>
        <w:pStyle w:val="ListParagraph"/>
        <w:numPr>
          <w:ilvl w:val="1"/>
          <w:numId w:val="6"/>
        </w:numPr>
        <w:rPr>
          <w:lang w:val="en-AU"/>
        </w:rPr>
      </w:pPr>
      <w:r w:rsidRPr="00731F9B">
        <w:rPr>
          <w:lang w:val="en-AU"/>
        </w:rPr>
        <w:t>2021–22:  $</w:t>
      </w:r>
      <w:r>
        <w:rPr>
          <w:lang w:val="en-AU"/>
        </w:rPr>
        <w:t>2.5</w:t>
      </w:r>
      <w:r w:rsidRPr="00731F9B">
        <w:rPr>
          <w:lang w:val="en-AU"/>
        </w:rPr>
        <w:t xml:space="preserve"> million </w:t>
      </w:r>
    </w:p>
    <w:p w14:paraId="17A81680" w14:textId="0677669E" w:rsidR="00731F9B" w:rsidRPr="00731F9B" w:rsidRDefault="00731F9B" w:rsidP="00731F9B">
      <w:pPr>
        <w:pStyle w:val="ListParagraph"/>
        <w:numPr>
          <w:ilvl w:val="1"/>
          <w:numId w:val="6"/>
        </w:numPr>
        <w:rPr>
          <w:lang w:val="en-AU"/>
        </w:rPr>
      </w:pPr>
      <w:r w:rsidRPr="00731F9B">
        <w:rPr>
          <w:lang w:val="en-AU"/>
        </w:rPr>
        <w:t>2022–23:  $</w:t>
      </w:r>
      <w:r>
        <w:rPr>
          <w:lang w:val="en-AU"/>
        </w:rPr>
        <w:t>12</w:t>
      </w:r>
      <w:r w:rsidRPr="00731F9B">
        <w:rPr>
          <w:lang w:val="en-AU"/>
        </w:rPr>
        <w:t>.</w:t>
      </w:r>
      <w:r>
        <w:rPr>
          <w:lang w:val="en-AU"/>
        </w:rPr>
        <w:t>8</w:t>
      </w:r>
      <w:r w:rsidRPr="00731F9B">
        <w:rPr>
          <w:lang w:val="en-AU"/>
        </w:rPr>
        <w:t xml:space="preserve"> million </w:t>
      </w:r>
    </w:p>
    <w:p w14:paraId="2A2DE3C6" w14:textId="74FB77B0" w:rsidR="00731F9B" w:rsidRPr="00731F9B" w:rsidRDefault="00731F9B" w:rsidP="00980196">
      <w:pPr>
        <w:pStyle w:val="ListParagraph"/>
        <w:numPr>
          <w:ilvl w:val="0"/>
          <w:numId w:val="6"/>
        </w:numPr>
        <w:ind w:left="426" w:hanging="426"/>
        <w:rPr>
          <w:lang w:val="en-AU"/>
        </w:rPr>
      </w:pPr>
      <w:r w:rsidRPr="00731F9B">
        <w:rPr>
          <w:lang w:val="en-AU"/>
        </w:rPr>
        <w:t>Enhancing secondary vocational pathways</w:t>
      </w:r>
    </w:p>
    <w:p w14:paraId="6941132B" w14:textId="174E0FD3" w:rsidR="00731F9B" w:rsidRPr="00731F9B" w:rsidRDefault="00731F9B" w:rsidP="00731F9B">
      <w:pPr>
        <w:pStyle w:val="ListParagraph"/>
        <w:numPr>
          <w:ilvl w:val="1"/>
          <w:numId w:val="6"/>
        </w:numPr>
        <w:rPr>
          <w:lang w:val="en-AU"/>
        </w:rPr>
      </w:pPr>
      <w:r w:rsidRPr="00731F9B">
        <w:rPr>
          <w:lang w:val="en-AU"/>
        </w:rPr>
        <w:t>2022–23:  $</w:t>
      </w:r>
      <w:r>
        <w:rPr>
          <w:lang w:val="en-AU"/>
        </w:rPr>
        <w:t>8.8</w:t>
      </w:r>
      <w:r w:rsidRPr="00731F9B">
        <w:rPr>
          <w:lang w:val="en-AU"/>
        </w:rPr>
        <w:t xml:space="preserve"> million </w:t>
      </w:r>
    </w:p>
    <w:p w14:paraId="6E2B9B5D" w14:textId="521211B5" w:rsidR="00731F9B" w:rsidRPr="00731F9B" w:rsidRDefault="00731F9B" w:rsidP="00980196">
      <w:pPr>
        <w:pStyle w:val="ListParagraph"/>
        <w:numPr>
          <w:ilvl w:val="0"/>
          <w:numId w:val="6"/>
        </w:numPr>
        <w:ind w:left="426" w:hanging="426"/>
        <w:rPr>
          <w:lang w:val="en-AU"/>
        </w:rPr>
      </w:pPr>
      <w:r w:rsidRPr="00731F9B">
        <w:rPr>
          <w:lang w:val="en-AU"/>
        </w:rPr>
        <w:t>Essential maintenance and compliance</w:t>
      </w:r>
    </w:p>
    <w:p w14:paraId="71AE4153" w14:textId="5AA922CF" w:rsidR="00731F9B" w:rsidRPr="00731F9B" w:rsidRDefault="00731F9B" w:rsidP="00731F9B">
      <w:pPr>
        <w:pStyle w:val="ListParagraph"/>
        <w:numPr>
          <w:ilvl w:val="1"/>
          <w:numId w:val="6"/>
        </w:numPr>
        <w:rPr>
          <w:lang w:val="en-AU"/>
        </w:rPr>
      </w:pPr>
      <w:r w:rsidRPr="00731F9B">
        <w:rPr>
          <w:lang w:val="en-AU"/>
        </w:rPr>
        <w:t>2021–22:  $</w:t>
      </w:r>
      <w:r w:rsidR="005E5F55">
        <w:rPr>
          <w:lang w:val="en-AU"/>
        </w:rPr>
        <w:t>18.0</w:t>
      </w:r>
      <w:r w:rsidRPr="00731F9B">
        <w:rPr>
          <w:lang w:val="en-AU"/>
        </w:rPr>
        <w:t xml:space="preserve"> million </w:t>
      </w:r>
    </w:p>
    <w:p w14:paraId="450D0C91" w14:textId="008B31D8" w:rsidR="00731F9B" w:rsidRPr="00731F9B" w:rsidRDefault="00731F9B" w:rsidP="00731F9B">
      <w:pPr>
        <w:pStyle w:val="ListParagraph"/>
        <w:numPr>
          <w:ilvl w:val="1"/>
          <w:numId w:val="6"/>
        </w:numPr>
        <w:rPr>
          <w:lang w:val="en-AU"/>
        </w:rPr>
      </w:pPr>
      <w:r w:rsidRPr="00731F9B">
        <w:rPr>
          <w:lang w:val="en-AU"/>
        </w:rPr>
        <w:t>2022–23:  $</w:t>
      </w:r>
      <w:r w:rsidR="005E5F55">
        <w:rPr>
          <w:lang w:val="en-AU"/>
        </w:rPr>
        <w:t>30.0</w:t>
      </w:r>
      <w:r w:rsidRPr="00731F9B">
        <w:rPr>
          <w:lang w:val="en-AU"/>
        </w:rPr>
        <w:t xml:space="preserve"> million </w:t>
      </w:r>
    </w:p>
    <w:p w14:paraId="20A7FF34" w14:textId="1D16FFBE" w:rsidR="00731F9B" w:rsidRPr="00731F9B" w:rsidRDefault="00731F9B" w:rsidP="00731F9B">
      <w:pPr>
        <w:pStyle w:val="ListParagraph"/>
        <w:numPr>
          <w:ilvl w:val="1"/>
          <w:numId w:val="6"/>
        </w:numPr>
        <w:rPr>
          <w:lang w:val="en-AU"/>
        </w:rPr>
      </w:pPr>
      <w:r w:rsidRPr="00731F9B">
        <w:rPr>
          <w:lang w:val="en-AU"/>
        </w:rPr>
        <w:t>2023–24:  $</w:t>
      </w:r>
      <w:r w:rsidR="005E5F55">
        <w:rPr>
          <w:lang w:val="en-AU"/>
        </w:rPr>
        <w:t>30.0</w:t>
      </w:r>
      <w:r w:rsidRPr="00731F9B">
        <w:rPr>
          <w:lang w:val="en-AU"/>
        </w:rPr>
        <w:t xml:space="preserve"> million </w:t>
      </w:r>
    </w:p>
    <w:p w14:paraId="67F63046" w14:textId="5B7A7EE3" w:rsidR="00731F9B" w:rsidRPr="00731F9B" w:rsidRDefault="00731F9B" w:rsidP="00731F9B">
      <w:pPr>
        <w:pStyle w:val="ListParagraph"/>
        <w:numPr>
          <w:ilvl w:val="1"/>
          <w:numId w:val="6"/>
        </w:numPr>
        <w:rPr>
          <w:lang w:val="en-AU"/>
        </w:rPr>
      </w:pPr>
      <w:r w:rsidRPr="00731F9B">
        <w:rPr>
          <w:lang w:val="en-AU"/>
        </w:rPr>
        <w:t>2024–25:  $</w:t>
      </w:r>
      <w:r w:rsidR="005E5F55">
        <w:rPr>
          <w:lang w:val="en-AU"/>
        </w:rPr>
        <w:t>30.0</w:t>
      </w:r>
      <w:r w:rsidRPr="00731F9B">
        <w:rPr>
          <w:lang w:val="en-AU"/>
        </w:rPr>
        <w:t xml:space="preserve"> million </w:t>
      </w:r>
    </w:p>
    <w:p w14:paraId="1A3E3668" w14:textId="72A0715B" w:rsidR="00731F9B" w:rsidRPr="00731F9B" w:rsidRDefault="00731F9B" w:rsidP="00980196">
      <w:pPr>
        <w:pStyle w:val="ListParagraph"/>
        <w:numPr>
          <w:ilvl w:val="0"/>
          <w:numId w:val="6"/>
        </w:numPr>
        <w:ind w:left="426" w:hanging="426"/>
        <w:rPr>
          <w:lang w:val="en-AU"/>
        </w:rPr>
      </w:pPr>
      <w:r w:rsidRPr="00731F9B">
        <w:rPr>
          <w:lang w:val="en-AU"/>
        </w:rPr>
        <w:t>Increasing access to tech schools</w:t>
      </w:r>
    </w:p>
    <w:p w14:paraId="6AA6EB15" w14:textId="0337EFBA" w:rsidR="00731F9B" w:rsidRPr="00731F9B" w:rsidRDefault="00731F9B" w:rsidP="00731F9B">
      <w:pPr>
        <w:pStyle w:val="ListParagraph"/>
        <w:numPr>
          <w:ilvl w:val="1"/>
          <w:numId w:val="6"/>
        </w:numPr>
        <w:rPr>
          <w:lang w:val="en-AU"/>
        </w:rPr>
      </w:pPr>
      <w:r w:rsidRPr="00731F9B">
        <w:rPr>
          <w:lang w:val="en-AU"/>
        </w:rPr>
        <w:t>2021–22:  $</w:t>
      </w:r>
      <w:r w:rsidR="005E5F55">
        <w:rPr>
          <w:lang w:val="en-AU"/>
        </w:rPr>
        <w:t>2.3</w:t>
      </w:r>
      <w:r w:rsidRPr="00731F9B">
        <w:rPr>
          <w:lang w:val="en-AU"/>
        </w:rPr>
        <w:t xml:space="preserve"> million </w:t>
      </w:r>
    </w:p>
    <w:p w14:paraId="209575EC" w14:textId="6BF87CE8" w:rsidR="00731F9B" w:rsidRPr="00731F9B" w:rsidRDefault="00731F9B" w:rsidP="00731F9B">
      <w:pPr>
        <w:pStyle w:val="ListParagraph"/>
        <w:numPr>
          <w:ilvl w:val="1"/>
          <w:numId w:val="6"/>
        </w:numPr>
        <w:rPr>
          <w:lang w:val="en-AU"/>
        </w:rPr>
      </w:pPr>
      <w:r w:rsidRPr="00731F9B">
        <w:rPr>
          <w:lang w:val="en-AU"/>
        </w:rPr>
        <w:t>2022–23:  $</w:t>
      </w:r>
      <w:r w:rsidR="005E5F55">
        <w:rPr>
          <w:lang w:val="en-AU"/>
        </w:rPr>
        <w:t>6.0</w:t>
      </w:r>
      <w:r w:rsidRPr="00731F9B">
        <w:rPr>
          <w:lang w:val="en-AU"/>
        </w:rPr>
        <w:t xml:space="preserve"> million </w:t>
      </w:r>
    </w:p>
    <w:p w14:paraId="20D9AACA" w14:textId="69CAB6A7" w:rsidR="00731F9B" w:rsidRPr="00731F9B" w:rsidRDefault="00731F9B" w:rsidP="00731F9B">
      <w:pPr>
        <w:pStyle w:val="ListParagraph"/>
        <w:numPr>
          <w:ilvl w:val="1"/>
          <w:numId w:val="6"/>
        </w:numPr>
        <w:rPr>
          <w:lang w:val="en-AU"/>
        </w:rPr>
      </w:pPr>
      <w:r w:rsidRPr="00731F9B">
        <w:rPr>
          <w:lang w:val="en-AU"/>
        </w:rPr>
        <w:t>2023–24:  $6</w:t>
      </w:r>
      <w:r w:rsidR="005E5F55">
        <w:rPr>
          <w:lang w:val="en-AU"/>
        </w:rPr>
        <w:t>.2</w:t>
      </w:r>
      <w:r w:rsidRPr="00731F9B">
        <w:rPr>
          <w:lang w:val="en-AU"/>
        </w:rPr>
        <w:t xml:space="preserve"> million </w:t>
      </w:r>
    </w:p>
    <w:p w14:paraId="5979C8DE" w14:textId="6A193059" w:rsidR="00731F9B" w:rsidRPr="00731F9B" w:rsidRDefault="00731F9B" w:rsidP="00731F9B">
      <w:pPr>
        <w:pStyle w:val="ListParagraph"/>
        <w:numPr>
          <w:ilvl w:val="1"/>
          <w:numId w:val="6"/>
        </w:numPr>
        <w:rPr>
          <w:lang w:val="en-AU"/>
        </w:rPr>
      </w:pPr>
      <w:r w:rsidRPr="00731F9B">
        <w:rPr>
          <w:lang w:val="en-AU"/>
        </w:rPr>
        <w:t>2024–25:  $</w:t>
      </w:r>
      <w:r w:rsidR="005E5F55">
        <w:rPr>
          <w:lang w:val="en-AU"/>
        </w:rPr>
        <w:t>6.0</w:t>
      </w:r>
      <w:r w:rsidRPr="00731F9B">
        <w:rPr>
          <w:lang w:val="en-AU"/>
        </w:rPr>
        <w:t xml:space="preserve"> million </w:t>
      </w:r>
    </w:p>
    <w:p w14:paraId="10299896" w14:textId="15477579" w:rsidR="00731F9B" w:rsidRPr="00731F9B" w:rsidRDefault="00731F9B" w:rsidP="00980196">
      <w:pPr>
        <w:pStyle w:val="ListParagraph"/>
        <w:numPr>
          <w:ilvl w:val="0"/>
          <w:numId w:val="6"/>
        </w:numPr>
        <w:ind w:left="426" w:hanging="426"/>
        <w:rPr>
          <w:lang w:val="en-AU"/>
        </w:rPr>
      </w:pPr>
      <w:r w:rsidRPr="00731F9B">
        <w:rPr>
          <w:lang w:val="en-AU"/>
        </w:rPr>
        <w:lastRenderedPageBreak/>
        <w:t>Music in schools</w:t>
      </w:r>
    </w:p>
    <w:p w14:paraId="301BE369" w14:textId="0AB65F30" w:rsidR="00731F9B" w:rsidRPr="00731F9B" w:rsidRDefault="00731F9B" w:rsidP="00731F9B">
      <w:pPr>
        <w:pStyle w:val="ListParagraph"/>
        <w:numPr>
          <w:ilvl w:val="1"/>
          <w:numId w:val="6"/>
        </w:numPr>
        <w:rPr>
          <w:lang w:val="en-AU"/>
        </w:rPr>
      </w:pPr>
      <w:r w:rsidRPr="00731F9B">
        <w:rPr>
          <w:lang w:val="en-AU"/>
        </w:rPr>
        <w:t>2021–22:  $</w:t>
      </w:r>
      <w:r w:rsidR="005E5F55">
        <w:rPr>
          <w:lang w:val="en-AU"/>
        </w:rPr>
        <w:t>0</w:t>
      </w:r>
      <w:r w:rsidRPr="00731F9B">
        <w:rPr>
          <w:lang w:val="en-AU"/>
        </w:rPr>
        <w:t>.</w:t>
      </w:r>
      <w:r w:rsidR="005E5F55">
        <w:rPr>
          <w:lang w:val="en-AU"/>
        </w:rPr>
        <w:t>5</w:t>
      </w:r>
      <w:r w:rsidRPr="00731F9B">
        <w:rPr>
          <w:lang w:val="en-AU"/>
        </w:rPr>
        <w:t xml:space="preserve"> million </w:t>
      </w:r>
    </w:p>
    <w:p w14:paraId="38F0092A" w14:textId="16B7F58B" w:rsidR="00731F9B" w:rsidRPr="00731F9B" w:rsidRDefault="00731F9B" w:rsidP="00731F9B">
      <w:pPr>
        <w:pStyle w:val="ListParagraph"/>
        <w:numPr>
          <w:ilvl w:val="1"/>
          <w:numId w:val="6"/>
        </w:numPr>
        <w:rPr>
          <w:lang w:val="en-AU"/>
        </w:rPr>
      </w:pPr>
      <w:r w:rsidRPr="00731F9B">
        <w:rPr>
          <w:lang w:val="en-AU"/>
        </w:rPr>
        <w:t>2022–23:  $</w:t>
      </w:r>
      <w:r w:rsidR="005E5F55">
        <w:rPr>
          <w:lang w:val="en-AU"/>
        </w:rPr>
        <w:t>1.0</w:t>
      </w:r>
      <w:r w:rsidRPr="00731F9B">
        <w:rPr>
          <w:lang w:val="en-AU"/>
        </w:rPr>
        <w:t xml:space="preserve"> million </w:t>
      </w:r>
    </w:p>
    <w:p w14:paraId="6B9C57D0" w14:textId="328CDF8D" w:rsidR="00731F9B" w:rsidRPr="00731F9B" w:rsidRDefault="00731F9B" w:rsidP="00731F9B">
      <w:pPr>
        <w:pStyle w:val="ListParagraph"/>
        <w:numPr>
          <w:ilvl w:val="1"/>
          <w:numId w:val="6"/>
        </w:numPr>
        <w:rPr>
          <w:lang w:val="en-AU"/>
        </w:rPr>
      </w:pPr>
      <w:r w:rsidRPr="00731F9B">
        <w:rPr>
          <w:lang w:val="en-AU"/>
        </w:rPr>
        <w:t>2023–24:  $</w:t>
      </w:r>
      <w:r w:rsidR="005E5F55">
        <w:rPr>
          <w:lang w:val="en-AU"/>
        </w:rPr>
        <w:t>1.0</w:t>
      </w:r>
      <w:r w:rsidRPr="00731F9B">
        <w:rPr>
          <w:lang w:val="en-AU"/>
        </w:rPr>
        <w:t xml:space="preserve"> million </w:t>
      </w:r>
    </w:p>
    <w:p w14:paraId="67E1B24F" w14:textId="0956292A" w:rsidR="00731F9B" w:rsidRPr="00731F9B" w:rsidRDefault="00731F9B" w:rsidP="00731F9B">
      <w:pPr>
        <w:pStyle w:val="ListParagraph"/>
        <w:numPr>
          <w:ilvl w:val="1"/>
          <w:numId w:val="6"/>
        </w:numPr>
        <w:rPr>
          <w:lang w:val="en-AU"/>
        </w:rPr>
      </w:pPr>
      <w:r w:rsidRPr="00731F9B">
        <w:rPr>
          <w:lang w:val="en-AU"/>
        </w:rPr>
        <w:t>2024–25:  $</w:t>
      </w:r>
      <w:r w:rsidR="005E5F55">
        <w:rPr>
          <w:lang w:val="en-AU"/>
        </w:rPr>
        <w:t>1.0</w:t>
      </w:r>
      <w:r w:rsidRPr="00731F9B">
        <w:rPr>
          <w:lang w:val="en-AU"/>
        </w:rPr>
        <w:t xml:space="preserve"> million </w:t>
      </w:r>
    </w:p>
    <w:p w14:paraId="71725562" w14:textId="5BC280F5" w:rsidR="00731F9B" w:rsidRPr="00731F9B" w:rsidRDefault="00731F9B" w:rsidP="00980196">
      <w:pPr>
        <w:pStyle w:val="ListParagraph"/>
        <w:numPr>
          <w:ilvl w:val="0"/>
          <w:numId w:val="6"/>
        </w:numPr>
        <w:ind w:left="426" w:hanging="426"/>
        <w:rPr>
          <w:lang w:val="en-AU"/>
        </w:rPr>
      </w:pPr>
      <w:r w:rsidRPr="00731F9B">
        <w:rPr>
          <w:lang w:val="en-AU"/>
        </w:rPr>
        <w:t xml:space="preserve">New </w:t>
      </w:r>
      <w:r w:rsidR="004879B8" w:rsidRPr="00731F9B">
        <w:rPr>
          <w:lang w:val="en-AU"/>
        </w:rPr>
        <w:t>schools’</w:t>
      </w:r>
      <w:r w:rsidRPr="00731F9B">
        <w:rPr>
          <w:lang w:val="en-AU"/>
        </w:rPr>
        <w:t xml:space="preserve"> construction</w:t>
      </w:r>
    </w:p>
    <w:p w14:paraId="58826254" w14:textId="11D22B4C" w:rsidR="00731F9B" w:rsidRPr="00731F9B" w:rsidRDefault="00731F9B" w:rsidP="00731F9B">
      <w:pPr>
        <w:pStyle w:val="ListParagraph"/>
        <w:numPr>
          <w:ilvl w:val="1"/>
          <w:numId w:val="6"/>
        </w:numPr>
        <w:rPr>
          <w:lang w:val="en-AU"/>
        </w:rPr>
      </w:pPr>
      <w:r w:rsidRPr="00731F9B">
        <w:rPr>
          <w:lang w:val="en-AU"/>
        </w:rPr>
        <w:t>2021–22:  $</w:t>
      </w:r>
      <w:r w:rsidR="005E5F55">
        <w:rPr>
          <w:lang w:val="en-AU"/>
        </w:rPr>
        <w:t>0.7</w:t>
      </w:r>
      <w:r w:rsidRPr="00731F9B">
        <w:rPr>
          <w:lang w:val="en-AU"/>
        </w:rPr>
        <w:t xml:space="preserve"> million </w:t>
      </w:r>
    </w:p>
    <w:p w14:paraId="1D03245B" w14:textId="35745249" w:rsidR="00731F9B" w:rsidRPr="00731F9B" w:rsidRDefault="00731F9B" w:rsidP="00731F9B">
      <w:pPr>
        <w:pStyle w:val="ListParagraph"/>
        <w:numPr>
          <w:ilvl w:val="1"/>
          <w:numId w:val="6"/>
        </w:numPr>
        <w:rPr>
          <w:lang w:val="en-AU"/>
        </w:rPr>
      </w:pPr>
      <w:r w:rsidRPr="00731F9B">
        <w:rPr>
          <w:lang w:val="en-AU"/>
        </w:rPr>
        <w:t>2022–23:  $</w:t>
      </w:r>
      <w:r w:rsidR="005E5F55">
        <w:rPr>
          <w:lang w:val="en-AU"/>
        </w:rPr>
        <w:t>10.8</w:t>
      </w:r>
      <w:r w:rsidRPr="00731F9B">
        <w:rPr>
          <w:lang w:val="en-AU"/>
        </w:rPr>
        <w:t xml:space="preserve"> million </w:t>
      </w:r>
    </w:p>
    <w:p w14:paraId="1C9689DB" w14:textId="23E20B87" w:rsidR="00731F9B" w:rsidRPr="00731F9B" w:rsidRDefault="00731F9B" w:rsidP="00731F9B">
      <w:pPr>
        <w:pStyle w:val="ListParagraph"/>
        <w:numPr>
          <w:ilvl w:val="1"/>
          <w:numId w:val="6"/>
        </w:numPr>
        <w:rPr>
          <w:lang w:val="en-AU"/>
        </w:rPr>
      </w:pPr>
      <w:r w:rsidRPr="00731F9B">
        <w:rPr>
          <w:lang w:val="en-AU"/>
        </w:rPr>
        <w:t>2023–24:  $</w:t>
      </w:r>
      <w:r w:rsidR="005E5F55">
        <w:rPr>
          <w:lang w:val="en-AU"/>
        </w:rPr>
        <w:t>17.4</w:t>
      </w:r>
      <w:r w:rsidRPr="00731F9B">
        <w:rPr>
          <w:lang w:val="en-AU"/>
        </w:rPr>
        <w:t xml:space="preserve"> million </w:t>
      </w:r>
    </w:p>
    <w:p w14:paraId="56336562" w14:textId="20EA4C1D" w:rsidR="00731F9B" w:rsidRPr="00731F9B" w:rsidRDefault="00731F9B" w:rsidP="00731F9B">
      <w:pPr>
        <w:pStyle w:val="ListParagraph"/>
        <w:numPr>
          <w:ilvl w:val="1"/>
          <w:numId w:val="6"/>
        </w:numPr>
        <w:rPr>
          <w:lang w:val="en-AU"/>
        </w:rPr>
      </w:pPr>
      <w:r w:rsidRPr="00731F9B">
        <w:rPr>
          <w:lang w:val="en-AU"/>
        </w:rPr>
        <w:t>2024–25:  $18.</w:t>
      </w:r>
      <w:r w:rsidR="005E5F55">
        <w:rPr>
          <w:lang w:val="en-AU"/>
        </w:rPr>
        <w:t>1</w:t>
      </w:r>
      <w:r w:rsidRPr="00731F9B">
        <w:rPr>
          <w:lang w:val="en-AU"/>
        </w:rPr>
        <w:t xml:space="preserve"> million </w:t>
      </w:r>
    </w:p>
    <w:p w14:paraId="6AE0B38C" w14:textId="2ED8D4C9" w:rsidR="00731F9B" w:rsidRPr="00731F9B" w:rsidRDefault="00731F9B" w:rsidP="00980196">
      <w:pPr>
        <w:pStyle w:val="ListParagraph"/>
        <w:numPr>
          <w:ilvl w:val="0"/>
          <w:numId w:val="6"/>
        </w:numPr>
        <w:ind w:left="426" w:hanging="426"/>
        <w:rPr>
          <w:lang w:val="en-AU"/>
        </w:rPr>
      </w:pPr>
      <w:r w:rsidRPr="00731F9B">
        <w:rPr>
          <w:lang w:val="en-AU"/>
        </w:rPr>
        <w:t>Relocatable buildings program</w:t>
      </w:r>
    </w:p>
    <w:p w14:paraId="0CC53DBE" w14:textId="0781D55B" w:rsidR="00731F9B" w:rsidRPr="00731F9B" w:rsidRDefault="00731F9B" w:rsidP="00731F9B">
      <w:pPr>
        <w:pStyle w:val="ListParagraph"/>
        <w:numPr>
          <w:ilvl w:val="1"/>
          <w:numId w:val="6"/>
        </w:numPr>
        <w:rPr>
          <w:lang w:val="en-AU"/>
        </w:rPr>
      </w:pPr>
      <w:r w:rsidRPr="00731F9B">
        <w:rPr>
          <w:lang w:val="en-AU"/>
        </w:rPr>
        <w:t>2021–22:  $</w:t>
      </w:r>
      <w:r w:rsidR="005E5F55">
        <w:rPr>
          <w:lang w:val="en-AU"/>
        </w:rPr>
        <w:t>9.0</w:t>
      </w:r>
      <w:r w:rsidRPr="00731F9B">
        <w:rPr>
          <w:lang w:val="en-AU"/>
        </w:rPr>
        <w:t xml:space="preserve"> million </w:t>
      </w:r>
    </w:p>
    <w:p w14:paraId="05DE4D09" w14:textId="38583F11" w:rsidR="00731F9B" w:rsidRPr="00731F9B" w:rsidRDefault="00731F9B" w:rsidP="00731F9B">
      <w:pPr>
        <w:pStyle w:val="ListParagraph"/>
        <w:numPr>
          <w:ilvl w:val="1"/>
          <w:numId w:val="6"/>
        </w:numPr>
        <w:rPr>
          <w:lang w:val="en-AU"/>
        </w:rPr>
      </w:pPr>
      <w:r w:rsidRPr="00731F9B">
        <w:rPr>
          <w:lang w:val="en-AU"/>
        </w:rPr>
        <w:t>2022–23:  $</w:t>
      </w:r>
      <w:r w:rsidR="005E5F55">
        <w:rPr>
          <w:lang w:val="en-AU"/>
        </w:rPr>
        <w:t>3.0</w:t>
      </w:r>
      <w:r w:rsidRPr="00731F9B">
        <w:rPr>
          <w:lang w:val="en-AU"/>
        </w:rPr>
        <w:t xml:space="preserve"> million </w:t>
      </w:r>
    </w:p>
    <w:p w14:paraId="3C3E0FC9" w14:textId="59BA42BE" w:rsidR="00731F9B" w:rsidRPr="00731F9B" w:rsidRDefault="00731F9B" w:rsidP="00731F9B">
      <w:pPr>
        <w:pStyle w:val="ListParagraph"/>
        <w:numPr>
          <w:ilvl w:val="1"/>
          <w:numId w:val="6"/>
        </w:numPr>
        <w:rPr>
          <w:lang w:val="en-AU"/>
        </w:rPr>
      </w:pPr>
      <w:r w:rsidRPr="00731F9B">
        <w:rPr>
          <w:lang w:val="en-AU"/>
        </w:rPr>
        <w:t>2023–24:  $</w:t>
      </w:r>
      <w:r w:rsidR="005E5F55">
        <w:rPr>
          <w:lang w:val="en-AU"/>
        </w:rPr>
        <w:t>3.0</w:t>
      </w:r>
      <w:r w:rsidRPr="00731F9B">
        <w:rPr>
          <w:lang w:val="en-AU"/>
        </w:rPr>
        <w:t xml:space="preserve"> million </w:t>
      </w:r>
    </w:p>
    <w:p w14:paraId="33F070BB" w14:textId="03EA3504" w:rsidR="00731F9B" w:rsidRPr="00731F9B" w:rsidRDefault="00731F9B" w:rsidP="00731F9B">
      <w:pPr>
        <w:pStyle w:val="ListParagraph"/>
        <w:numPr>
          <w:ilvl w:val="1"/>
          <w:numId w:val="6"/>
        </w:numPr>
        <w:rPr>
          <w:lang w:val="en-AU"/>
        </w:rPr>
      </w:pPr>
      <w:r w:rsidRPr="00731F9B">
        <w:rPr>
          <w:lang w:val="en-AU"/>
        </w:rPr>
        <w:t>2024–25:  $</w:t>
      </w:r>
      <w:r w:rsidR="005E5F55">
        <w:rPr>
          <w:lang w:val="en-AU"/>
        </w:rPr>
        <w:t>3.1</w:t>
      </w:r>
      <w:r w:rsidRPr="00731F9B">
        <w:rPr>
          <w:lang w:val="en-AU"/>
        </w:rPr>
        <w:t xml:space="preserve"> million </w:t>
      </w:r>
    </w:p>
    <w:p w14:paraId="4F67EF12" w14:textId="2B40C1BE" w:rsidR="00731F9B" w:rsidRPr="00731F9B" w:rsidRDefault="00731F9B" w:rsidP="00980196">
      <w:pPr>
        <w:pStyle w:val="ListParagraph"/>
        <w:numPr>
          <w:ilvl w:val="0"/>
          <w:numId w:val="6"/>
        </w:numPr>
        <w:ind w:left="426" w:hanging="426"/>
        <w:rPr>
          <w:lang w:val="en-AU"/>
        </w:rPr>
      </w:pPr>
      <w:r w:rsidRPr="00731F9B">
        <w:rPr>
          <w:lang w:val="en-AU"/>
        </w:rPr>
        <w:t>School enrolment</w:t>
      </w:r>
      <w:r w:rsidRPr="00731F9B">
        <w:rPr>
          <w:lang w:val="en-AU"/>
        </w:rPr>
        <w:noBreakHyphen/>
        <w:t>based funding</w:t>
      </w:r>
    </w:p>
    <w:p w14:paraId="2A218030" w14:textId="0286CD86" w:rsidR="00731F9B" w:rsidRPr="00731F9B" w:rsidRDefault="00731F9B" w:rsidP="00731F9B">
      <w:pPr>
        <w:pStyle w:val="ListParagraph"/>
        <w:numPr>
          <w:ilvl w:val="1"/>
          <w:numId w:val="6"/>
        </w:numPr>
        <w:rPr>
          <w:lang w:val="en-AU"/>
        </w:rPr>
      </w:pPr>
      <w:r w:rsidRPr="00731F9B">
        <w:rPr>
          <w:lang w:val="en-AU"/>
        </w:rPr>
        <w:t>2021–22:  $</w:t>
      </w:r>
      <w:r w:rsidR="005E5F55">
        <w:rPr>
          <w:lang w:val="en-AU"/>
        </w:rPr>
        <w:t>167.2</w:t>
      </w:r>
      <w:r w:rsidRPr="00731F9B">
        <w:rPr>
          <w:lang w:val="en-AU"/>
        </w:rPr>
        <w:t xml:space="preserve"> million </w:t>
      </w:r>
    </w:p>
    <w:p w14:paraId="623F8B80" w14:textId="39184962" w:rsidR="00731F9B" w:rsidRPr="00731F9B" w:rsidRDefault="00731F9B" w:rsidP="00731F9B">
      <w:pPr>
        <w:pStyle w:val="ListParagraph"/>
        <w:numPr>
          <w:ilvl w:val="1"/>
          <w:numId w:val="6"/>
        </w:numPr>
        <w:rPr>
          <w:lang w:val="en-AU"/>
        </w:rPr>
      </w:pPr>
      <w:r w:rsidRPr="00731F9B">
        <w:rPr>
          <w:lang w:val="en-AU"/>
        </w:rPr>
        <w:t>2022–23:  $</w:t>
      </w:r>
      <w:r w:rsidR="005E5F55">
        <w:rPr>
          <w:lang w:val="en-AU"/>
        </w:rPr>
        <w:t>171.4</w:t>
      </w:r>
      <w:r w:rsidRPr="00731F9B">
        <w:rPr>
          <w:lang w:val="en-AU"/>
        </w:rPr>
        <w:t xml:space="preserve"> million </w:t>
      </w:r>
    </w:p>
    <w:p w14:paraId="3AD79414" w14:textId="21E1FD1B" w:rsidR="00731F9B" w:rsidRPr="00731F9B" w:rsidRDefault="00731F9B" w:rsidP="00731F9B">
      <w:pPr>
        <w:pStyle w:val="ListParagraph"/>
        <w:numPr>
          <w:ilvl w:val="1"/>
          <w:numId w:val="6"/>
        </w:numPr>
        <w:rPr>
          <w:lang w:val="en-AU"/>
        </w:rPr>
      </w:pPr>
      <w:r w:rsidRPr="00731F9B">
        <w:rPr>
          <w:lang w:val="en-AU"/>
        </w:rPr>
        <w:t>2023–24:  $</w:t>
      </w:r>
      <w:r w:rsidR="005E5F55">
        <w:rPr>
          <w:lang w:val="en-AU"/>
        </w:rPr>
        <w:t>175.7</w:t>
      </w:r>
      <w:r w:rsidRPr="00731F9B">
        <w:rPr>
          <w:lang w:val="en-AU"/>
        </w:rPr>
        <w:t xml:space="preserve"> million </w:t>
      </w:r>
    </w:p>
    <w:p w14:paraId="7B58904A" w14:textId="4EC583C9" w:rsidR="00731F9B" w:rsidRPr="00731F9B" w:rsidRDefault="00731F9B" w:rsidP="00731F9B">
      <w:pPr>
        <w:pStyle w:val="ListParagraph"/>
        <w:numPr>
          <w:ilvl w:val="1"/>
          <w:numId w:val="6"/>
        </w:numPr>
        <w:rPr>
          <w:lang w:val="en-AU"/>
        </w:rPr>
      </w:pPr>
      <w:r w:rsidRPr="00731F9B">
        <w:rPr>
          <w:lang w:val="en-AU"/>
        </w:rPr>
        <w:t>2024–25:  $</w:t>
      </w:r>
      <w:r w:rsidR="005E5F55">
        <w:rPr>
          <w:lang w:val="en-AU"/>
        </w:rPr>
        <w:t>180.1</w:t>
      </w:r>
      <w:r w:rsidRPr="00731F9B">
        <w:rPr>
          <w:lang w:val="en-AU"/>
        </w:rPr>
        <w:t xml:space="preserve"> million </w:t>
      </w:r>
    </w:p>
    <w:p w14:paraId="2A02F901" w14:textId="6B1A3E66" w:rsidR="00731F9B" w:rsidRPr="00731F9B" w:rsidRDefault="00731F9B" w:rsidP="00980196">
      <w:pPr>
        <w:pStyle w:val="ListParagraph"/>
        <w:numPr>
          <w:ilvl w:val="0"/>
          <w:numId w:val="6"/>
        </w:numPr>
        <w:ind w:left="426" w:hanging="426"/>
        <w:rPr>
          <w:lang w:val="en-AU"/>
        </w:rPr>
      </w:pPr>
      <w:r w:rsidRPr="00731F9B">
        <w:rPr>
          <w:lang w:val="en-AU"/>
        </w:rPr>
        <w:t>School information technology: onsite technical support</w:t>
      </w:r>
    </w:p>
    <w:p w14:paraId="0FA45C99" w14:textId="2E1CED72" w:rsidR="00731F9B" w:rsidRPr="00731F9B" w:rsidRDefault="00731F9B" w:rsidP="00731F9B">
      <w:pPr>
        <w:pStyle w:val="ListParagraph"/>
        <w:numPr>
          <w:ilvl w:val="1"/>
          <w:numId w:val="6"/>
        </w:numPr>
        <w:rPr>
          <w:lang w:val="en-AU"/>
        </w:rPr>
      </w:pPr>
      <w:r w:rsidRPr="00731F9B">
        <w:rPr>
          <w:lang w:val="en-AU"/>
        </w:rPr>
        <w:t>2021–22:  $</w:t>
      </w:r>
      <w:r w:rsidR="005E5F55">
        <w:rPr>
          <w:lang w:val="en-AU"/>
        </w:rPr>
        <w:t>4.0</w:t>
      </w:r>
      <w:r w:rsidRPr="00731F9B">
        <w:rPr>
          <w:lang w:val="en-AU"/>
        </w:rPr>
        <w:t xml:space="preserve"> million </w:t>
      </w:r>
    </w:p>
    <w:p w14:paraId="2F811AD9" w14:textId="1D823908" w:rsidR="00731F9B" w:rsidRPr="00731F9B" w:rsidRDefault="00731F9B" w:rsidP="00731F9B">
      <w:pPr>
        <w:pStyle w:val="ListParagraph"/>
        <w:numPr>
          <w:ilvl w:val="1"/>
          <w:numId w:val="6"/>
        </w:numPr>
        <w:rPr>
          <w:lang w:val="en-AU"/>
        </w:rPr>
      </w:pPr>
      <w:r w:rsidRPr="00731F9B">
        <w:rPr>
          <w:lang w:val="en-AU"/>
        </w:rPr>
        <w:t>2022–23:  $</w:t>
      </w:r>
      <w:r w:rsidR="005E5F55">
        <w:rPr>
          <w:lang w:val="en-AU"/>
        </w:rPr>
        <w:t>5.3</w:t>
      </w:r>
      <w:r w:rsidRPr="00731F9B">
        <w:rPr>
          <w:lang w:val="en-AU"/>
        </w:rPr>
        <w:t xml:space="preserve"> million </w:t>
      </w:r>
    </w:p>
    <w:p w14:paraId="06EFB254" w14:textId="504B761E" w:rsidR="00731F9B" w:rsidRPr="00731F9B" w:rsidRDefault="00731F9B" w:rsidP="00731F9B">
      <w:pPr>
        <w:pStyle w:val="ListParagraph"/>
        <w:numPr>
          <w:ilvl w:val="1"/>
          <w:numId w:val="6"/>
        </w:numPr>
        <w:rPr>
          <w:lang w:val="en-AU"/>
        </w:rPr>
      </w:pPr>
      <w:r w:rsidRPr="00731F9B">
        <w:rPr>
          <w:lang w:val="en-AU"/>
        </w:rPr>
        <w:t>2023–24:  $</w:t>
      </w:r>
      <w:r w:rsidR="005E5F55">
        <w:rPr>
          <w:lang w:val="en-AU"/>
        </w:rPr>
        <w:t>6.4</w:t>
      </w:r>
      <w:r w:rsidRPr="00731F9B">
        <w:rPr>
          <w:lang w:val="en-AU"/>
        </w:rPr>
        <w:t xml:space="preserve"> million </w:t>
      </w:r>
    </w:p>
    <w:p w14:paraId="3498FC89" w14:textId="0950EFD3" w:rsidR="00731F9B" w:rsidRPr="00731F9B" w:rsidRDefault="00731F9B" w:rsidP="00731F9B">
      <w:pPr>
        <w:pStyle w:val="ListParagraph"/>
        <w:numPr>
          <w:ilvl w:val="1"/>
          <w:numId w:val="6"/>
        </w:numPr>
        <w:rPr>
          <w:lang w:val="en-AU"/>
        </w:rPr>
      </w:pPr>
      <w:r w:rsidRPr="00731F9B">
        <w:rPr>
          <w:lang w:val="en-AU"/>
        </w:rPr>
        <w:t>2024–25:  $</w:t>
      </w:r>
      <w:r w:rsidR="005E5F55">
        <w:rPr>
          <w:lang w:val="en-AU"/>
        </w:rPr>
        <w:t>7.5</w:t>
      </w:r>
      <w:r w:rsidRPr="00731F9B">
        <w:rPr>
          <w:lang w:val="en-AU"/>
        </w:rPr>
        <w:t xml:space="preserve"> million </w:t>
      </w:r>
    </w:p>
    <w:p w14:paraId="68D8AD9D" w14:textId="24619952" w:rsidR="00731F9B" w:rsidRPr="00731F9B" w:rsidRDefault="00731F9B" w:rsidP="00980196">
      <w:pPr>
        <w:pStyle w:val="ListParagraph"/>
        <w:numPr>
          <w:ilvl w:val="0"/>
          <w:numId w:val="6"/>
        </w:numPr>
        <w:ind w:left="426" w:hanging="426"/>
        <w:rPr>
          <w:lang w:val="en-AU"/>
        </w:rPr>
      </w:pPr>
      <w:r w:rsidRPr="00731F9B">
        <w:rPr>
          <w:lang w:val="en-AU"/>
        </w:rPr>
        <w:t>School upgrades: growth for 2024</w:t>
      </w:r>
    </w:p>
    <w:p w14:paraId="561E26C0" w14:textId="2E204D6B" w:rsidR="00731F9B" w:rsidRPr="00731F9B" w:rsidRDefault="00731F9B" w:rsidP="00731F9B">
      <w:pPr>
        <w:pStyle w:val="ListParagraph"/>
        <w:numPr>
          <w:ilvl w:val="1"/>
          <w:numId w:val="6"/>
        </w:numPr>
        <w:rPr>
          <w:lang w:val="en-AU"/>
        </w:rPr>
      </w:pPr>
      <w:r w:rsidRPr="00731F9B">
        <w:rPr>
          <w:lang w:val="en-AU"/>
        </w:rPr>
        <w:t>2023–24:  $</w:t>
      </w:r>
      <w:r w:rsidR="005E5F55">
        <w:rPr>
          <w:lang w:val="en-AU"/>
        </w:rPr>
        <w:t>1</w:t>
      </w:r>
      <w:r w:rsidRPr="00731F9B">
        <w:rPr>
          <w:lang w:val="en-AU"/>
        </w:rPr>
        <w:t>.</w:t>
      </w:r>
      <w:r w:rsidR="005E5F55">
        <w:rPr>
          <w:lang w:val="en-AU"/>
        </w:rPr>
        <w:t>2</w:t>
      </w:r>
      <w:r w:rsidRPr="00731F9B">
        <w:rPr>
          <w:lang w:val="en-AU"/>
        </w:rPr>
        <w:t xml:space="preserve"> million </w:t>
      </w:r>
    </w:p>
    <w:p w14:paraId="5DC17B00" w14:textId="6C5FFF3B" w:rsidR="00731F9B" w:rsidRPr="00731F9B" w:rsidRDefault="00731F9B" w:rsidP="00731F9B">
      <w:pPr>
        <w:pStyle w:val="ListParagraph"/>
        <w:numPr>
          <w:ilvl w:val="1"/>
          <w:numId w:val="6"/>
        </w:numPr>
        <w:rPr>
          <w:lang w:val="en-AU"/>
        </w:rPr>
      </w:pPr>
      <w:r w:rsidRPr="00731F9B">
        <w:rPr>
          <w:lang w:val="en-AU"/>
        </w:rPr>
        <w:t>2024–25:  $</w:t>
      </w:r>
      <w:r w:rsidR="005E5F55">
        <w:rPr>
          <w:lang w:val="en-AU"/>
        </w:rPr>
        <w:t>2</w:t>
      </w:r>
      <w:r w:rsidRPr="00731F9B">
        <w:rPr>
          <w:lang w:val="en-AU"/>
        </w:rPr>
        <w:t>.</w:t>
      </w:r>
      <w:r w:rsidR="005E5F55">
        <w:rPr>
          <w:lang w:val="en-AU"/>
        </w:rPr>
        <w:t>4</w:t>
      </w:r>
      <w:r w:rsidRPr="00731F9B">
        <w:rPr>
          <w:lang w:val="en-AU"/>
        </w:rPr>
        <w:t xml:space="preserve"> million </w:t>
      </w:r>
    </w:p>
    <w:p w14:paraId="4F4391D1" w14:textId="265D4A01" w:rsidR="00731F9B" w:rsidRPr="00731F9B" w:rsidRDefault="00731F9B" w:rsidP="00980196">
      <w:pPr>
        <w:pStyle w:val="ListParagraph"/>
        <w:numPr>
          <w:ilvl w:val="0"/>
          <w:numId w:val="6"/>
        </w:numPr>
        <w:ind w:left="426" w:hanging="426"/>
        <w:rPr>
          <w:lang w:val="en-AU"/>
        </w:rPr>
      </w:pPr>
      <w:r w:rsidRPr="00731F9B">
        <w:rPr>
          <w:lang w:val="en-AU"/>
        </w:rPr>
        <w:t>Student health and wellbeing</w:t>
      </w:r>
    </w:p>
    <w:p w14:paraId="62989460" w14:textId="2371F7E2" w:rsidR="00731F9B" w:rsidRPr="00731F9B" w:rsidRDefault="00731F9B" w:rsidP="00731F9B">
      <w:pPr>
        <w:pStyle w:val="ListParagraph"/>
        <w:numPr>
          <w:ilvl w:val="1"/>
          <w:numId w:val="6"/>
        </w:numPr>
        <w:rPr>
          <w:lang w:val="en-AU"/>
        </w:rPr>
      </w:pPr>
      <w:r w:rsidRPr="00731F9B">
        <w:rPr>
          <w:lang w:val="en-AU"/>
        </w:rPr>
        <w:t>2021–22:  $</w:t>
      </w:r>
      <w:r w:rsidR="005E5F55">
        <w:rPr>
          <w:lang w:val="en-AU"/>
        </w:rPr>
        <w:t>2.1</w:t>
      </w:r>
      <w:r w:rsidRPr="00731F9B">
        <w:rPr>
          <w:lang w:val="en-AU"/>
        </w:rPr>
        <w:t xml:space="preserve"> million </w:t>
      </w:r>
    </w:p>
    <w:p w14:paraId="12811DDD" w14:textId="40E5973E" w:rsidR="00731F9B" w:rsidRPr="00731F9B" w:rsidRDefault="00731F9B" w:rsidP="00731F9B">
      <w:pPr>
        <w:pStyle w:val="ListParagraph"/>
        <w:numPr>
          <w:ilvl w:val="1"/>
          <w:numId w:val="6"/>
        </w:numPr>
        <w:rPr>
          <w:lang w:val="en-AU"/>
        </w:rPr>
      </w:pPr>
      <w:r w:rsidRPr="00731F9B">
        <w:rPr>
          <w:lang w:val="en-AU"/>
        </w:rPr>
        <w:t>2022–23:  $</w:t>
      </w:r>
      <w:r w:rsidR="005E5F55">
        <w:rPr>
          <w:lang w:val="en-AU"/>
        </w:rPr>
        <w:t>4.1</w:t>
      </w:r>
      <w:r w:rsidRPr="00731F9B">
        <w:rPr>
          <w:lang w:val="en-AU"/>
        </w:rPr>
        <w:t xml:space="preserve"> million </w:t>
      </w:r>
    </w:p>
    <w:p w14:paraId="7E636BD7" w14:textId="2635CDBE" w:rsidR="00731F9B" w:rsidRPr="00731F9B" w:rsidRDefault="00731F9B" w:rsidP="00731F9B">
      <w:pPr>
        <w:pStyle w:val="ListParagraph"/>
        <w:numPr>
          <w:ilvl w:val="1"/>
          <w:numId w:val="6"/>
        </w:numPr>
        <w:rPr>
          <w:lang w:val="en-AU"/>
        </w:rPr>
      </w:pPr>
      <w:r w:rsidRPr="00731F9B">
        <w:rPr>
          <w:lang w:val="en-AU"/>
        </w:rPr>
        <w:t>2023–24:  $</w:t>
      </w:r>
      <w:r w:rsidR="005E5F55">
        <w:rPr>
          <w:lang w:val="en-AU"/>
        </w:rPr>
        <w:t>4.2</w:t>
      </w:r>
      <w:r w:rsidRPr="00731F9B">
        <w:rPr>
          <w:lang w:val="en-AU"/>
        </w:rPr>
        <w:t xml:space="preserve"> million </w:t>
      </w:r>
    </w:p>
    <w:p w14:paraId="472D1F06" w14:textId="55EF6800" w:rsidR="00731F9B" w:rsidRPr="00731F9B" w:rsidRDefault="00731F9B" w:rsidP="00731F9B">
      <w:pPr>
        <w:pStyle w:val="ListParagraph"/>
        <w:numPr>
          <w:ilvl w:val="1"/>
          <w:numId w:val="6"/>
        </w:numPr>
        <w:rPr>
          <w:lang w:val="en-AU"/>
        </w:rPr>
      </w:pPr>
      <w:r w:rsidRPr="00731F9B">
        <w:rPr>
          <w:lang w:val="en-AU"/>
        </w:rPr>
        <w:t>2024–25:  $</w:t>
      </w:r>
      <w:r w:rsidR="005E5F55">
        <w:rPr>
          <w:lang w:val="en-AU"/>
        </w:rPr>
        <w:t>2.1</w:t>
      </w:r>
      <w:r w:rsidRPr="00731F9B">
        <w:rPr>
          <w:lang w:val="en-AU"/>
        </w:rPr>
        <w:t xml:space="preserve"> million </w:t>
      </w:r>
    </w:p>
    <w:p w14:paraId="63ECD1F1" w14:textId="4BC5E708" w:rsidR="00731F9B" w:rsidRPr="00731F9B" w:rsidRDefault="00731F9B" w:rsidP="00980196">
      <w:pPr>
        <w:pStyle w:val="ListParagraph"/>
        <w:numPr>
          <w:ilvl w:val="0"/>
          <w:numId w:val="6"/>
        </w:numPr>
        <w:ind w:left="426" w:hanging="426"/>
        <w:rPr>
          <w:lang w:val="en-AU"/>
        </w:rPr>
      </w:pPr>
      <w:r w:rsidRPr="00731F9B">
        <w:rPr>
          <w:lang w:val="en-AU"/>
        </w:rPr>
        <w:t>Swimming and water safety education</w:t>
      </w:r>
    </w:p>
    <w:p w14:paraId="290C1634" w14:textId="3F03E1E4" w:rsidR="00731F9B" w:rsidRPr="00731F9B" w:rsidRDefault="00731F9B" w:rsidP="00731F9B">
      <w:pPr>
        <w:pStyle w:val="ListParagraph"/>
        <w:numPr>
          <w:ilvl w:val="1"/>
          <w:numId w:val="6"/>
        </w:numPr>
        <w:rPr>
          <w:lang w:val="en-AU"/>
        </w:rPr>
      </w:pPr>
      <w:r w:rsidRPr="00731F9B">
        <w:rPr>
          <w:lang w:val="en-AU"/>
        </w:rPr>
        <w:t>2021–22:  $</w:t>
      </w:r>
      <w:r w:rsidR="005E5F55">
        <w:rPr>
          <w:lang w:val="en-AU"/>
        </w:rPr>
        <w:t>8.7</w:t>
      </w:r>
      <w:r w:rsidRPr="00731F9B">
        <w:rPr>
          <w:lang w:val="en-AU"/>
        </w:rPr>
        <w:t xml:space="preserve"> million </w:t>
      </w:r>
    </w:p>
    <w:p w14:paraId="4FBC8761" w14:textId="5EB6291F" w:rsidR="00731F9B" w:rsidRPr="00731F9B" w:rsidRDefault="00731F9B" w:rsidP="00731F9B">
      <w:pPr>
        <w:pStyle w:val="ListParagraph"/>
        <w:numPr>
          <w:ilvl w:val="1"/>
          <w:numId w:val="6"/>
        </w:numPr>
        <w:rPr>
          <w:lang w:val="en-AU"/>
        </w:rPr>
      </w:pPr>
      <w:r w:rsidRPr="00731F9B">
        <w:rPr>
          <w:lang w:val="en-AU"/>
        </w:rPr>
        <w:t>2022–23:  $</w:t>
      </w:r>
      <w:r w:rsidR="005E5F55">
        <w:rPr>
          <w:lang w:val="en-AU"/>
        </w:rPr>
        <w:t>18.0</w:t>
      </w:r>
      <w:r w:rsidRPr="00731F9B">
        <w:rPr>
          <w:lang w:val="en-AU"/>
        </w:rPr>
        <w:t xml:space="preserve"> million </w:t>
      </w:r>
    </w:p>
    <w:p w14:paraId="0EA280D0" w14:textId="66A5AC6B" w:rsidR="00731F9B" w:rsidRPr="00731F9B" w:rsidRDefault="00731F9B" w:rsidP="00731F9B">
      <w:pPr>
        <w:pStyle w:val="ListParagraph"/>
        <w:numPr>
          <w:ilvl w:val="1"/>
          <w:numId w:val="6"/>
        </w:numPr>
        <w:rPr>
          <w:lang w:val="en-AU"/>
        </w:rPr>
      </w:pPr>
      <w:r w:rsidRPr="00731F9B">
        <w:rPr>
          <w:lang w:val="en-AU"/>
        </w:rPr>
        <w:t>2023–24:  $</w:t>
      </w:r>
      <w:r w:rsidR="005E5F55">
        <w:rPr>
          <w:lang w:val="en-AU"/>
        </w:rPr>
        <w:t>18.6</w:t>
      </w:r>
      <w:r w:rsidRPr="00731F9B">
        <w:rPr>
          <w:lang w:val="en-AU"/>
        </w:rPr>
        <w:t xml:space="preserve"> million </w:t>
      </w:r>
    </w:p>
    <w:p w14:paraId="0B34669C" w14:textId="5F4455FD" w:rsidR="00731F9B" w:rsidRPr="00731F9B" w:rsidRDefault="00731F9B" w:rsidP="00731F9B">
      <w:pPr>
        <w:pStyle w:val="ListParagraph"/>
        <w:numPr>
          <w:ilvl w:val="1"/>
          <w:numId w:val="6"/>
        </w:numPr>
        <w:rPr>
          <w:lang w:val="en-AU"/>
        </w:rPr>
      </w:pPr>
      <w:r w:rsidRPr="00731F9B">
        <w:rPr>
          <w:lang w:val="en-AU"/>
        </w:rPr>
        <w:t>2024–25:  $</w:t>
      </w:r>
      <w:r w:rsidR="005E5F55">
        <w:rPr>
          <w:lang w:val="en-AU"/>
        </w:rPr>
        <w:t>9.9</w:t>
      </w:r>
      <w:r w:rsidRPr="00731F9B">
        <w:rPr>
          <w:lang w:val="en-AU"/>
        </w:rPr>
        <w:t xml:space="preserve"> million </w:t>
      </w:r>
    </w:p>
    <w:p w14:paraId="023D0E01" w14:textId="52DC9BEE" w:rsidR="00731F9B" w:rsidRPr="00731F9B" w:rsidRDefault="00731F9B" w:rsidP="00980196">
      <w:pPr>
        <w:pStyle w:val="ListParagraph"/>
        <w:numPr>
          <w:ilvl w:val="0"/>
          <w:numId w:val="6"/>
        </w:numPr>
        <w:ind w:left="426" w:hanging="426"/>
        <w:rPr>
          <w:lang w:val="en-AU"/>
        </w:rPr>
      </w:pPr>
      <w:r w:rsidRPr="00731F9B">
        <w:rPr>
          <w:lang w:val="en-AU"/>
        </w:rPr>
        <w:t>Targeted initiatives to attract more teachers</w:t>
      </w:r>
    </w:p>
    <w:p w14:paraId="7451273D" w14:textId="45C2FA56" w:rsidR="00731F9B" w:rsidRPr="00731F9B" w:rsidRDefault="00731F9B" w:rsidP="00731F9B">
      <w:pPr>
        <w:pStyle w:val="ListParagraph"/>
        <w:numPr>
          <w:ilvl w:val="1"/>
          <w:numId w:val="6"/>
        </w:numPr>
        <w:rPr>
          <w:lang w:val="en-AU"/>
        </w:rPr>
      </w:pPr>
      <w:r w:rsidRPr="00731F9B">
        <w:rPr>
          <w:lang w:val="en-AU"/>
        </w:rPr>
        <w:t>2021–22:  $</w:t>
      </w:r>
      <w:r w:rsidR="005E5F55">
        <w:rPr>
          <w:lang w:val="en-AU"/>
        </w:rPr>
        <w:t>3.2</w:t>
      </w:r>
      <w:r w:rsidRPr="00731F9B">
        <w:rPr>
          <w:lang w:val="en-AU"/>
        </w:rPr>
        <w:t xml:space="preserve"> million </w:t>
      </w:r>
    </w:p>
    <w:p w14:paraId="685B54AE" w14:textId="0FBC6FD8" w:rsidR="00731F9B" w:rsidRPr="00731F9B" w:rsidRDefault="00731F9B" w:rsidP="00731F9B">
      <w:pPr>
        <w:pStyle w:val="ListParagraph"/>
        <w:numPr>
          <w:ilvl w:val="1"/>
          <w:numId w:val="6"/>
        </w:numPr>
        <w:rPr>
          <w:lang w:val="en-AU"/>
        </w:rPr>
      </w:pPr>
      <w:r w:rsidRPr="00731F9B">
        <w:rPr>
          <w:lang w:val="en-AU"/>
        </w:rPr>
        <w:t>2022–23:  $</w:t>
      </w:r>
      <w:r w:rsidR="005E5F55">
        <w:rPr>
          <w:lang w:val="en-AU"/>
        </w:rPr>
        <w:t>1.4</w:t>
      </w:r>
      <w:r w:rsidRPr="00731F9B">
        <w:rPr>
          <w:lang w:val="en-AU"/>
        </w:rPr>
        <w:t xml:space="preserve"> million </w:t>
      </w:r>
    </w:p>
    <w:p w14:paraId="12CC8B6E" w14:textId="381BDAE1" w:rsidR="00731F9B" w:rsidRPr="00731F9B" w:rsidRDefault="00731F9B" w:rsidP="00731F9B">
      <w:pPr>
        <w:pStyle w:val="ListParagraph"/>
        <w:numPr>
          <w:ilvl w:val="1"/>
          <w:numId w:val="6"/>
        </w:numPr>
        <w:rPr>
          <w:lang w:val="en-AU"/>
        </w:rPr>
      </w:pPr>
      <w:r w:rsidRPr="00731F9B">
        <w:rPr>
          <w:lang w:val="en-AU"/>
        </w:rPr>
        <w:t>2023–24:  $</w:t>
      </w:r>
      <w:r w:rsidR="005E5F55">
        <w:rPr>
          <w:lang w:val="en-AU"/>
        </w:rPr>
        <w:t>0.2</w:t>
      </w:r>
      <w:r w:rsidRPr="00731F9B">
        <w:rPr>
          <w:lang w:val="en-AU"/>
        </w:rPr>
        <w:t xml:space="preserve"> million </w:t>
      </w:r>
    </w:p>
    <w:p w14:paraId="129621DD" w14:textId="42548298" w:rsidR="00980196" w:rsidRDefault="00731F9B" w:rsidP="00731F9B">
      <w:pPr>
        <w:pStyle w:val="ListParagraph"/>
        <w:numPr>
          <w:ilvl w:val="0"/>
          <w:numId w:val="6"/>
        </w:numPr>
        <w:ind w:left="426" w:hanging="426"/>
        <w:rPr>
          <w:lang w:val="en-AU"/>
        </w:rPr>
      </w:pPr>
      <w:r w:rsidRPr="00731F9B">
        <w:rPr>
          <w:lang w:val="en-AU"/>
        </w:rPr>
        <w:t>Victorian Academy of Teaching and Leadership</w:t>
      </w:r>
    </w:p>
    <w:p w14:paraId="3800F733" w14:textId="27DD01B2" w:rsidR="00731F9B" w:rsidRPr="00731F9B" w:rsidRDefault="00731F9B" w:rsidP="00731F9B">
      <w:pPr>
        <w:pStyle w:val="ListParagraph"/>
        <w:numPr>
          <w:ilvl w:val="1"/>
          <w:numId w:val="6"/>
        </w:numPr>
        <w:rPr>
          <w:lang w:val="en-AU"/>
        </w:rPr>
      </w:pPr>
      <w:r w:rsidRPr="00731F9B">
        <w:rPr>
          <w:lang w:val="en-AU"/>
        </w:rPr>
        <w:t>2021–22:  $2</w:t>
      </w:r>
      <w:r w:rsidR="005E5F55">
        <w:rPr>
          <w:lang w:val="en-AU"/>
        </w:rPr>
        <w:t>1</w:t>
      </w:r>
      <w:r w:rsidRPr="00731F9B">
        <w:rPr>
          <w:lang w:val="en-AU"/>
        </w:rPr>
        <w:t>.</w:t>
      </w:r>
      <w:r w:rsidR="005E5F55">
        <w:rPr>
          <w:lang w:val="en-AU"/>
        </w:rPr>
        <w:t>3</w:t>
      </w:r>
      <w:r w:rsidRPr="00731F9B">
        <w:rPr>
          <w:lang w:val="en-AU"/>
        </w:rPr>
        <w:t xml:space="preserve"> million </w:t>
      </w:r>
    </w:p>
    <w:p w14:paraId="1818291C" w14:textId="271F3737" w:rsidR="00731F9B" w:rsidRPr="00731F9B" w:rsidRDefault="00731F9B" w:rsidP="00731F9B">
      <w:pPr>
        <w:pStyle w:val="ListParagraph"/>
        <w:numPr>
          <w:ilvl w:val="1"/>
          <w:numId w:val="6"/>
        </w:numPr>
        <w:rPr>
          <w:lang w:val="en-AU"/>
        </w:rPr>
      </w:pPr>
      <w:r w:rsidRPr="00731F9B">
        <w:rPr>
          <w:lang w:val="en-AU"/>
        </w:rPr>
        <w:t>2022–23:  $</w:t>
      </w:r>
      <w:r w:rsidR="005E5F55">
        <w:rPr>
          <w:lang w:val="en-AU"/>
        </w:rPr>
        <w:t>34.5</w:t>
      </w:r>
      <w:r w:rsidRPr="00731F9B">
        <w:rPr>
          <w:lang w:val="en-AU"/>
        </w:rPr>
        <w:t xml:space="preserve"> million </w:t>
      </w:r>
    </w:p>
    <w:p w14:paraId="71EDD8E2" w14:textId="60B053D1" w:rsidR="00731F9B" w:rsidRPr="00731F9B" w:rsidRDefault="00731F9B" w:rsidP="00731F9B">
      <w:pPr>
        <w:pStyle w:val="ListParagraph"/>
        <w:numPr>
          <w:ilvl w:val="1"/>
          <w:numId w:val="6"/>
        </w:numPr>
        <w:rPr>
          <w:lang w:val="en-AU"/>
        </w:rPr>
      </w:pPr>
      <w:r w:rsidRPr="00731F9B">
        <w:rPr>
          <w:lang w:val="en-AU"/>
        </w:rPr>
        <w:t>2023–24:  $</w:t>
      </w:r>
      <w:r w:rsidR="005E5F55">
        <w:rPr>
          <w:lang w:val="en-AU"/>
        </w:rPr>
        <w:t>34.9</w:t>
      </w:r>
      <w:r w:rsidRPr="00731F9B">
        <w:rPr>
          <w:lang w:val="en-AU"/>
        </w:rPr>
        <w:t xml:space="preserve"> million </w:t>
      </w:r>
    </w:p>
    <w:p w14:paraId="3F22E03A" w14:textId="70A4FC1B" w:rsidR="00731F9B" w:rsidRPr="00731F9B" w:rsidRDefault="00731F9B" w:rsidP="00731F9B">
      <w:pPr>
        <w:pStyle w:val="ListParagraph"/>
        <w:numPr>
          <w:ilvl w:val="1"/>
          <w:numId w:val="6"/>
        </w:numPr>
        <w:rPr>
          <w:lang w:val="en-AU"/>
        </w:rPr>
      </w:pPr>
      <w:r w:rsidRPr="00731F9B">
        <w:rPr>
          <w:lang w:val="en-AU"/>
        </w:rPr>
        <w:t>2024–25:  $</w:t>
      </w:r>
      <w:r w:rsidR="005E5F55">
        <w:rPr>
          <w:lang w:val="en-AU"/>
        </w:rPr>
        <w:t>35.7</w:t>
      </w:r>
      <w:r w:rsidRPr="00731F9B">
        <w:rPr>
          <w:lang w:val="en-AU"/>
        </w:rPr>
        <w:t xml:space="preserve"> million </w:t>
      </w:r>
    </w:p>
    <w:p w14:paraId="50DDDB42" w14:textId="6019EFC2" w:rsidR="00980196" w:rsidRPr="00366A33" w:rsidRDefault="00980196" w:rsidP="00980196">
      <w:pPr>
        <w:pStyle w:val="ESBodyText"/>
        <w:rPr>
          <w:rFonts w:eastAsiaTheme="majorEastAsia" w:cstheme="majorBidi"/>
          <w:b/>
          <w:bCs/>
          <w:color w:val="AF272F"/>
          <w:szCs w:val="20"/>
          <w:lang w:val="en-AU"/>
        </w:rPr>
      </w:pPr>
      <w:r>
        <w:rPr>
          <w:rFonts w:eastAsiaTheme="majorEastAsia" w:cstheme="majorBidi"/>
          <w:b/>
          <w:bCs/>
          <w:color w:val="AF272F"/>
          <w:szCs w:val="20"/>
          <w:lang w:val="en-AU"/>
        </w:rPr>
        <w:t>SUPPORT FOR STUDENTS WITH DISABILITIES</w:t>
      </w:r>
    </w:p>
    <w:p w14:paraId="3C4884DC" w14:textId="3A7C1194" w:rsidR="005E5F55" w:rsidRDefault="005E5F55" w:rsidP="005E5F55">
      <w:pPr>
        <w:pStyle w:val="ListParagraph"/>
        <w:numPr>
          <w:ilvl w:val="0"/>
          <w:numId w:val="6"/>
        </w:numPr>
        <w:ind w:left="426" w:hanging="426"/>
        <w:rPr>
          <w:lang w:val="en-AU"/>
        </w:rPr>
      </w:pPr>
      <w:r>
        <w:rPr>
          <w:lang w:val="en-AU"/>
        </w:rPr>
        <w:t>Students with disabilities transport program</w:t>
      </w:r>
    </w:p>
    <w:p w14:paraId="451DD1AD" w14:textId="7C25E939" w:rsidR="005E5F55" w:rsidRPr="00731F9B" w:rsidRDefault="005E5F55" w:rsidP="005E5F55">
      <w:pPr>
        <w:pStyle w:val="ListParagraph"/>
        <w:numPr>
          <w:ilvl w:val="1"/>
          <w:numId w:val="6"/>
        </w:numPr>
        <w:rPr>
          <w:lang w:val="en-AU"/>
        </w:rPr>
      </w:pPr>
      <w:r w:rsidRPr="00731F9B">
        <w:rPr>
          <w:lang w:val="en-AU"/>
        </w:rPr>
        <w:t>2021–22:  $2</w:t>
      </w:r>
      <w:r>
        <w:rPr>
          <w:lang w:val="en-AU"/>
        </w:rPr>
        <w:t>5</w:t>
      </w:r>
      <w:r w:rsidRPr="00731F9B">
        <w:rPr>
          <w:lang w:val="en-AU"/>
        </w:rPr>
        <w:t>.</w:t>
      </w:r>
      <w:r>
        <w:rPr>
          <w:lang w:val="en-AU"/>
        </w:rPr>
        <w:t>2</w:t>
      </w:r>
      <w:r w:rsidRPr="00731F9B">
        <w:rPr>
          <w:lang w:val="en-AU"/>
        </w:rPr>
        <w:t xml:space="preserve"> million </w:t>
      </w:r>
    </w:p>
    <w:p w14:paraId="07F9FBA5" w14:textId="79FFF15B" w:rsidR="005E5F55" w:rsidRDefault="005E5F55" w:rsidP="005E5F55">
      <w:pPr>
        <w:pStyle w:val="ListParagraph"/>
        <w:numPr>
          <w:ilvl w:val="0"/>
          <w:numId w:val="6"/>
        </w:numPr>
        <w:ind w:left="426" w:hanging="426"/>
        <w:rPr>
          <w:lang w:val="en-AU"/>
        </w:rPr>
      </w:pPr>
      <w:r>
        <w:rPr>
          <w:lang w:val="en-AU"/>
        </w:rPr>
        <w:t>Support for students with disabilities and additional needs</w:t>
      </w:r>
    </w:p>
    <w:p w14:paraId="1C37AC87" w14:textId="5EC4249B" w:rsidR="005E5F55" w:rsidRPr="00731F9B" w:rsidRDefault="005E5F55" w:rsidP="005E5F55">
      <w:pPr>
        <w:pStyle w:val="ListParagraph"/>
        <w:numPr>
          <w:ilvl w:val="1"/>
          <w:numId w:val="6"/>
        </w:numPr>
        <w:rPr>
          <w:lang w:val="en-AU"/>
        </w:rPr>
      </w:pPr>
      <w:r w:rsidRPr="00731F9B">
        <w:rPr>
          <w:lang w:val="en-AU"/>
        </w:rPr>
        <w:t>2021–22:  $</w:t>
      </w:r>
      <w:r>
        <w:rPr>
          <w:lang w:val="en-AU"/>
        </w:rPr>
        <w:t>4.8</w:t>
      </w:r>
      <w:r w:rsidRPr="00731F9B">
        <w:rPr>
          <w:lang w:val="en-AU"/>
        </w:rPr>
        <w:t xml:space="preserve"> million </w:t>
      </w:r>
    </w:p>
    <w:p w14:paraId="1EE28ABD" w14:textId="19A91619" w:rsidR="005E5F55" w:rsidRPr="00731F9B" w:rsidRDefault="005E5F55" w:rsidP="005E5F55">
      <w:pPr>
        <w:pStyle w:val="ListParagraph"/>
        <w:numPr>
          <w:ilvl w:val="1"/>
          <w:numId w:val="6"/>
        </w:numPr>
        <w:rPr>
          <w:lang w:val="en-AU"/>
        </w:rPr>
      </w:pPr>
      <w:r w:rsidRPr="00731F9B">
        <w:rPr>
          <w:lang w:val="en-AU"/>
        </w:rPr>
        <w:t>2022–23:  $</w:t>
      </w:r>
      <w:r>
        <w:rPr>
          <w:lang w:val="en-AU"/>
        </w:rPr>
        <w:t>9.8</w:t>
      </w:r>
      <w:r w:rsidRPr="00731F9B">
        <w:rPr>
          <w:lang w:val="en-AU"/>
        </w:rPr>
        <w:t xml:space="preserve"> million </w:t>
      </w:r>
    </w:p>
    <w:p w14:paraId="73F14A60" w14:textId="63602059" w:rsidR="005E5F55" w:rsidRPr="00731F9B" w:rsidRDefault="005E5F55" w:rsidP="005E5F55">
      <w:pPr>
        <w:pStyle w:val="ListParagraph"/>
        <w:numPr>
          <w:ilvl w:val="1"/>
          <w:numId w:val="6"/>
        </w:numPr>
        <w:rPr>
          <w:lang w:val="en-AU"/>
        </w:rPr>
      </w:pPr>
      <w:r w:rsidRPr="00731F9B">
        <w:rPr>
          <w:lang w:val="en-AU"/>
        </w:rPr>
        <w:t>2023–24:  $</w:t>
      </w:r>
      <w:r>
        <w:rPr>
          <w:lang w:val="en-AU"/>
        </w:rPr>
        <w:t>5.0</w:t>
      </w:r>
      <w:r w:rsidRPr="00731F9B">
        <w:rPr>
          <w:lang w:val="en-AU"/>
        </w:rPr>
        <w:t xml:space="preserve"> million </w:t>
      </w:r>
    </w:p>
    <w:p w14:paraId="5E0FDD36" w14:textId="35625AC0" w:rsidR="00980196" w:rsidRPr="00366A33" w:rsidRDefault="00980196" w:rsidP="00980196">
      <w:pPr>
        <w:pStyle w:val="ESBodyText"/>
        <w:rPr>
          <w:rFonts w:eastAsiaTheme="majorEastAsia" w:cstheme="majorBidi"/>
          <w:b/>
          <w:bCs/>
          <w:color w:val="AF272F"/>
          <w:szCs w:val="20"/>
          <w:lang w:val="en-AU"/>
        </w:rPr>
      </w:pPr>
      <w:r>
        <w:rPr>
          <w:rFonts w:eastAsiaTheme="majorEastAsia" w:cstheme="majorBidi"/>
          <w:b/>
          <w:bCs/>
          <w:color w:val="AF272F"/>
          <w:szCs w:val="20"/>
          <w:lang w:val="en-AU"/>
        </w:rPr>
        <w:t>SUPPORT SERVICES DELIVERY</w:t>
      </w:r>
    </w:p>
    <w:p w14:paraId="7E2972BB" w14:textId="1282BA10" w:rsidR="005E5F55" w:rsidRDefault="005E5F55" w:rsidP="005E5F55">
      <w:pPr>
        <w:pStyle w:val="ListParagraph"/>
        <w:numPr>
          <w:ilvl w:val="0"/>
          <w:numId w:val="6"/>
        </w:numPr>
        <w:ind w:left="426" w:hanging="426"/>
        <w:rPr>
          <w:lang w:val="en-AU"/>
        </w:rPr>
      </w:pPr>
      <w:r>
        <w:rPr>
          <w:lang w:val="en-AU"/>
        </w:rPr>
        <w:lastRenderedPageBreak/>
        <w:t>Reducing the administrative burden on principals</w:t>
      </w:r>
    </w:p>
    <w:p w14:paraId="17236FB0" w14:textId="0A1A3432" w:rsidR="005E5F55" w:rsidRPr="00731F9B" w:rsidRDefault="005E5F55" w:rsidP="005E5F55">
      <w:pPr>
        <w:pStyle w:val="ListParagraph"/>
        <w:numPr>
          <w:ilvl w:val="1"/>
          <w:numId w:val="6"/>
        </w:numPr>
        <w:rPr>
          <w:lang w:val="en-AU"/>
        </w:rPr>
      </w:pPr>
      <w:r w:rsidRPr="00731F9B">
        <w:rPr>
          <w:lang w:val="en-AU"/>
        </w:rPr>
        <w:t>2021–22:  $</w:t>
      </w:r>
      <w:r>
        <w:rPr>
          <w:lang w:val="en-AU"/>
        </w:rPr>
        <w:t>2.6</w:t>
      </w:r>
      <w:r w:rsidRPr="00731F9B">
        <w:rPr>
          <w:lang w:val="en-AU"/>
        </w:rPr>
        <w:t xml:space="preserve"> million </w:t>
      </w:r>
    </w:p>
    <w:p w14:paraId="4580813D" w14:textId="67050EC1" w:rsidR="005E5F55" w:rsidRPr="00731F9B" w:rsidRDefault="005E5F55" w:rsidP="005E5F55">
      <w:pPr>
        <w:pStyle w:val="ListParagraph"/>
        <w:numPr>
          <w:ilvl w:val="1"/>
          <w:numId w:val="6"/>
        </w:numPr>
        <w:rPr>
          <w:lang w:val="en-AU"/>
        </w:rPr>
      </w:pPr>
      <w:r w:rsidRPr="00731F9B">
        <w:rPr>
          <w:lang w:val="en-AU"/>
        </w:rPr>
        <w:t>2022–23:  $</w:t>
      </w:r>
      <w:r>
        <w:rPr>
          <w:lang w:val="en-AU"/>
        </w:rPr>
        <w:t>3.1</w:t>
      </w:r>
      <w:r w:rsidRPr="00731F9B">
        <w:rPr>
          <w:lang w:val="en-AU"/>
        </w:rPr>
        <w:t xml:space="preserve"> million </w:t>
      </w:r>
    </w:p>
    <w:p w14:paraId="6DEAD3E1" w14:textId="512ED150" w:rsidR="005E5F55" w:rsidRPr="00731F9B" w:rsidRDefault="005E5F55" w:rsidP="005E5F55">
      <w:pPr>
        <w:pStyle w:val="ListParagraph"/>
        <w:numPr>
          <w:ilvl w:val="1"/>
          <w:numId w:val="6"/>
        </w:numPr>
        <w:rPr>
          <w:lang w:val="en-AU"/>
        </w:rPr>
      </w:pPr>
      <w:r w:rsidRPr="00731F9B">
        <w:rPr>
          <w:lang w:val="en-AU"/>
        </w:rPr>
        <w:t>2023–24:  $</w:t>
      </w:r>
      <w:r>
        <w:rPr>
          <w:lang w:val="en-AU"/>
        </w:rPr>
        <w:t>3.2</w:t>
      </w:r>
      <w:r w:rsidRPr="00731F9B">
        <w:rPr>
          <w:lang w:val="en-AU"/>
        </w:rPr>
        <w:t xml:space="preserve"> million </w:t>
      </w:r>
    </w:p>
    <w:p w14:paraId="64CF4CF5" w14:textId="2E5067A1" w:rsidR="005E5F55" w:rsidRPr="00731F9B" w:rsidRDefault="005E5F55" w:rsidP="005E5F55">
      <w:pPr>
        <w:pStyle w:val="ListParagraph"/>
        <w:numPr>
          <w:ilvl w:val="1"/>
          <w:numId w:val="6"/>
        </w:numPr>
        <w:rPr>
          <w:lang w:val="en-AU"/>
        </w:rPr>
      </w:pPr>
      <w:r w:rsidRPr="00731F9B">
        <w:rPr>
          <w:lang w:val="en-AU"/>
        </w:rPr>
        <w:t>2024–25:  $</w:t>
      </w:r>
      <w:r>
        <w:rPr>
          <w:lang w:val="en-AU"/>
        </w:rPr>
        <w:t>3.3</w:t>
      </w:r>
      <w:r w:rsidRPr="00731F9B">
        <w:rPr>
          <w:lang w:val="en-AU"/>
        </w:rPr>
        <w:t xml:space="preserve"> million </w:t>
      </w:r>
    </w:p>
    <w:p w14:paraId="7FC83455" w14:textId="7B0188EE" w:rsidR="005E5F55" w:rsidRDefault="005E5F55" w:rsidP="005E5F55">
      <w:pPr>
        <w:pStyle w:val="ListParagraph"/>
        <w:numPr>
          <w:ilvl w:val="0"/>
          <w:numId w:val="6"/>
        </w:numPr>
        <w:ind w:left="426" w:hanging="426"/>
        <w:rPr>
          <w:lang w:val="en-AU"/>
        </w:rPr>
      </w:pPr>
      <w:r>
        <w:rPr>
          <w:lang w:val="en-AU"/>
        </w:rPr>
        <w:t xml:space="preserve">Social </w:t>
      </w:r>
      <w:r w:rsidR="004879B8">
        <w:rPr>
          <w:lang w:val="en-AU"/>
        </w:rPr>
        <w:t>cohesion</w:t>
      </w:r>
      <w:r>
        <w:rPr>
          <w:lang w:val="en-AU"/>
        </w:rPr>
        <w:t xml:space="preserve"> through education</w:t>
      </w:r>
    </w:p>
    <w:p w14:paraId="3E8C9F35" w14:textId="75723501" w:rsidR="005E5F55" w:rsidRPr="00731F9B" w:rsidRDefault="005E5F55" w:rsidP="005E5F55">
      <w:pPr>
        <w:pStyle w:val="ListParagraph"/>
        <w:numPr>
          <w:ilvl w:val="1"/>
          <w:numId w:val="6"/>
        </w:numPr>
        <w:rPr>
          <w:lang w:val="en-AU"/>
        </w:rPr>
      </w:pPr>
      <w:r w:rsidRPr="00731F9B">
        <w:rPr>
          <w:lang w:val="en-AU"/>
        </w:rPr>
        <w:t>2021–22:  $</w:t>
      </w:r>
      <w:r>
        <w:rPr>
          <w:lang w:val="en-AU"/>
        </w:rPr>
        <w:t>0.7</w:t>
      </w:r>
      <w:r w:rsidRPr="00731F9B">
        <w:rPr>
          <w:lang w:val="en-AU"/>
        </w:rPr>
        <w:t xml:space="preserve"> million </w:t>
      </w:r>
    </w:p>
    <w:p w14:paraId="33C497AF" w14:textId="19FB2010" w:rsidR="005E5F55" w:rsidRPr="00731F9B" w:rsidRDefault="005E5F55" w:rsidP="005E5F55">
      <w:pPr>
        <w:pStyle w:val="ListParagraph"/>
        <w:numPr>
          <w:ilvl w:val="1"/>
          <w:numId w:val="6"/>
        </w:numPr>
        <w:rPr>
          <w:lang w:val="en-AU"/>
        </w:rPr>
      </w:pPr>
      <w:r w:rsidRPr="00731F9B">
        <w:rPr>
          <w:lang w:val="en-AU"/>
        </w:rPr>
        <w:t>2022–23:  $</w:t>
      </w:r>
      <w:r>
        <w:rPr>
          <w:lang w:val="en-AU"/>
        </w:rPr>
        <w:t>0.7</w:t>
      </w:r>
      <w:r w:rsidRPr="00731F9B">
        <w:rPr>
          <w:lang w:val="en-AU"/>
        </w:rPr>
        <w:t xml:space="preserve"> million</w:t>
      </w:r>
    </w:p>
    <w:p w14:paraId="17FBEFD7" w14:textId="44BBE055" w:rsidR="005E5F55" w:rsidRPr="00731F9B" w:rsidRDefault="005E5F55" w:rsidP="005E5F55">
      <w:pPr>
        <w:pStyle w:val="ListParagraph"/>
        <w:numPr>
          <w:ilvl w:val="1"/>
          <w:numId w:val="6"/>
        </w:numPr>
        <w:rPr>
          <w:lang w:val="en-AU"/>
        </w:rPr>
      </w:pPr>
      <w:r w:rsidRPr="00731F9B">
        <w:rPr>
          <w:lang w:val="en-AU"/>
        </w:rPr>
        <w:t>2023–24:  $</w:t>
      </w:r>
      <w:r>
        <w:rPr>
          <w:lang w:val="en-AU"/>
        </w:rPr>
        <w:t>0.8</w:t>
      </w:r>
      <w:r w:rsidRPr="00731F9B">
        <w:rPr>
          <w:lang w:val="en-AU"/>
        </w:rPr>
        <w:t xml:space="preserve"> million</w:t>
      </w:r>
    </w:p>
    <w:p w14:paraId="372CC7B9" w14:textId="568BB2B4" w:rsidR="005E5F55" w:rsidRPr="00731F9B" w:rsidRDefault="005E5F55" w:rsidP="005E5F55">
      <w:pPr>
        <w:pStyle w:val="ListParagraph"/>
        <w:numPr>
          <w:ilvl w:val="1"/>
          <w:numId w:val="6"/>
        </w:numPr>
        <w:rPr>
          <w:lang w:val="en-AU"/>
        </w:rPr>
      </w:pPr>
      <w:r w:rsidRPr="00731F9B">
        <w:rPr>
          <w:lang w:val="en-AU"/>
        </w:rPr>
        <w:t>2024–25:  $</w:t>
      </w:r>
      <w:r>
        <w:rPr>
          <w:lang w:val="en-AU"/>
        </w:rPr>
        <w:t>0.8</w:t>
      </w:r>
      <w:r w:rsidRPr="00731F9B">
        <w:rPr>
          <w:lang w:val="en-AU"/>
        </w:rPr>
        <w:t xml:space="preserve"> million</w:t>
      </w:r>
    </w:p>
    <w:p w14:paraId="19405783" w14:textId="33093703" w:rsidR="00980196" w:rsidRPr="00366A33" w:rsidRDefault="00980196" w:rsidP="00980196">
      <w:pPr>
        <w:pStyle w:val="ESBodyText"/>
        <w:rPr>
          <w:rFonts w:eastAsiaTheme="majorEastAsia" w:cstheme="majorBidi"/>
          <w:b/>
          <w:bCs/>
          <w:color w:val="AF272F"/>
          <w:szCs w:val="20"/>
          <w:lang w:val="en-AU"/>
        </w:rPr>
      </w:pPr>
      <w:r>
        <w:rPr>
          <w:rFonts w:eastAsiaTheme="majorEastAsia" w:cstheme="majorBidi"/>
          <w:b/>
          <w:bCs/>
          <w:color w:val="AF272F"/>
          <w:szCs w:val="20"/>
          <w:lang w:val="en-AU"/>
        </w:rPr>
        <w:t>TRAINING, HIGHER EDUCATION AND WORKFORCE DEVELOPMENT</w:t>
      </w:r>
    </w:p>
    <w:p w14:paraId="4EBA792B" w14:textId="064F102D" w:rsidR="005E5F55" w:rsidRDefault="005E5F55" w:rsidP="005E5F55">
      <w:pPr>
        <w:pStyle w:val="ListParagraph"/>
        <w:numPr>
          <w:ilvl w:val="0"/>
          <w:numId w:val="6"/>
        </w:numPr>
        <w:ind w:left="426" w:hanging="426"/>
        <w:rPr>
          <w:lang w:val="en-AU"/>
        </w:rPr>
      </w:pPr>
      <w:r>
        <w:rPr>
          <w:lang w:val="en-AU"/>
        </w:rPr>
        <w:t>Carmichael centre</w:t>
      </w:r>
    </w:p>
    <w:p w14:paraId="62C744CE" w14:textId="74B0B2B8" w:rsidR="005E5F55" w:rsidRPr="00731F9B" w:rsidRDefault="005E5F55" w:rsidP="005E5F55">
      <w:pPr>
        <w:pStyle w:val="ListParagraph"/>
        <w:numPr>
          <w:ilvl w:val="1"/>
          <w:numId w:val="6"/>
        </w:numPr>
        <w:rPr>
          <w:lang w:val="en-AU"/>
        </w:rPr>
      </w:pPr>
      <w:r w:rsidRPr="00731F9B">
        <w:rPr>
          <w:lang w:val="en-AU"/>
        </w:rPr>
        <w:t>2021–22:  $</w:t>
      </w:r>
      <w:r>
        <w:rPr>
          <w:lang w:val="en-AU"/>
        </w:rPr>
        <w:t>0.5</w:t>
      </w:r>
      <w:r w:rsidRPr="00731F9B">
        <w:rPr>
          <w:lang w:val="en-AU"/>
        </w:rPr>
        <w:t xml:space="preserve"> million </w:t>
      </w:r>
    </w:p>
    <w:p w14:paraId="4A20346F" w14:textId="10222EF7" w:rsidR="005E5F55" w:rsidRDefault="005E5F55" w:rsidP="005E5F55">
      <w:pPr>
        <w:pStyle w:val="ListParagraph"/>
        <w:numPr>
          <w:ilvl w:val="0"/>
          <w:numId w:val="6"/>
        </w:numPr>
        <w:ind w:left="426" w:hanging="426"/>
        <w:rPr>
          <w:lang w:val="en-AU"/>
        </w:rPr>
      </w:pPr>
      <w:r>
        <w:rPr>
          <w:lang w:val="en-AU"/>
        </w:rPr>
        <w:t>Establishing the Victorian Skills Authority</w:t>
      </w:r>
    </w:p>
    <w:p w14:paraId="508872D2" w14:textId="71281519" w:rsidR="005E5F55" w:rsidRPr="00731F9B" w:rsidRDefault="005E5F55" w:rsidP="005E5F55">
      <w:pPr>
        <w:pStyle w:val="ListParagraph"/>
        <w:numPr>
          <w:ilvl w:val="1"/>
          <w:numId w:val="6"/>
        </w:numPr>
        <w:rPr>
          <w:lang w:val="en-AU"/>
        </w:rPr>
      </w:pPr>
      <w:r w:rsidRPr="00731F9B">
        <w:rPr>
          <w:lang w:val="en-AU"/>
        </w:rPr>
        <w:t>2021–22:  $</w:t>
      </w:r>
      <w:r>
        <w:rPr>
          <w:lang w:val="en-AU"/>
        </w:rPr>
        <w:t>17.7</w:t>
      </w:r>
      <w:r w:rsidRPr="00731F9B">
        <w:rPr>
          <w:lang w:val="en-AU"/>
        </w:rPr>
        <w:t xml:space="preserve"> million </w:t>
      </w:r>
    </w:p>
    <w:p w14:paraId="1DA9BCBB" w14:textId="5CD85266" w:rsidR="005E5F55" w:rsidRPr="00731F9B" w:rsidRDefault="005E5F55" w:rsidP="005E5F55">
      <w:pPr>
        <w:pStyle w:val="ListParagraph"/>
        <w:numPr>
          <w:ilvl w:val="1"/>
          <w:numId w:val="6"/>
        </w:numPr>
        <w:rPr>
          <w:lang w:val="en-AU"/>
        </w:rPr>
      </w:pPr>
      <w:r w:rsidRPr="00731F9B">
        <w:rPr>
          <w:lang w:val="en-AU"/>
        </w:rPr>
        <w:t>2022–23:  $</w:t>
      </w:r>
      <w:r>
        <w:rPr>
          <w:lang w:val="en-AU"/>
        </w:rPr>
        <w:t>22.2</w:t>
      </w:r>
      <w:r w:rsidRPr="00731F9B">
        <w:rPr>
          <w:lang w:val="en-AU"/>
        </w:rPr>
        <w:t xml:space="preserve"> million</w:t>
      </w:r>
    </w:p>
    <w:p w14:paraId="13BA0EA1" w14:textId="4E9B48FF" w:rsidR="005E5F55" w:rsidRPr="00731F9B" w:rsidRDefault="005E5F55" w:rsidP="005E5F55">
      <w:pPr>
        <w:pStyle w:val="ListParagraph"/>
        <w:numPr>
          <w:ilvl w:val="1"/>
          <w:numId w:val="6"/>
        </w:numPr>
        <w:rPr>
          <w:lang w:val="en-AU"/>
        </w:rPr>
      </w:pPr>
      <w:r w:rsidRPr="00731F9B">
        <w:rPr>
          <w:lang w:val="en-AU"/>
        </w:rPr>
        <w:t>2023–24:  $</w:t>
      </w:r>
      <w:r>
        <w:rPr>
          <w:lang w:val="en-AU"/>
        </w:rPr>
        <w:t>22.5</w:t>
      </w:r>
      <w:r w:rsidRPr="00731F9B">
        <w:rPr>
          <w:lang w:val="en-AU"/>
        </w:rPr>
        <w:t xml:space="preserve"> million</w:t>
      </w:r>
    </w:p>
    <w:p w14:paraId="63CFEEE8" w14:textId="761B9C18" w:rsidR="005E5F55" w:rsidRPr="00731F9B" w:rsidRDefault="005E5F55" w:rsidP="005E5F55">
      <w:pPr>
        <w:pStyle w:val="ListParagraph"/>
        <w:numPr>
          <w:ilvl w:val="1"/>
          <w:numId w:val="6"/>
        </w:numPr>
        <w:rPr>
          <w:lang w:val="en-AU"/>
        </w:rPr>
      </w:pPr>
      <w:r w:rsidRPr="00731F9B">
        <w:rPr>
          <w:lang w:val="en-AU"/>
        </w:rPr>
        <w:t>2024–25:  $</w:t>
      </w:r>
      <w:r>
        <w:rPr>
          <w:lang w:val="en-AU"/>
        </w:rPr>
        <w:t>22.9</w:t>
      </w:r>
      <w:r w:rsidRPr="00731F9B">
        <w:rPr>
          <w:lang w:val="en-AU"/>
        </w:rPr>
        <w:t xml:space="preserve"> million</w:t>
      </w:r>
    </w:p>
    <w:p w14:paraId="3B0D31DE" w14:textId="3E1722D3" w:rsidR="005E5F55" w:rsidRDefault="005E5F55" w:rsidP="005E5F55">
      <w:pPr>
        <w:pStyle w:val="ListParagraph"/>
        <w:numPr>
          <w:ilvl w:val="0"/>
          <w:numId w:val="6"/>
        </w:numPr>
        <w:ind w:left="426" w:hanging="426"/>
        <w:rPr>
          <w:lang w:val="en-AU"/>
        </w:rPr>
      </w:pPr>
      <w:r>
        <w:rPr>
          <w:lang w:val="en-AU"/>
        </w:rPr>
        <w:t>Increasing the funding of high</w:t>
      </w:r>
      <w:r>
        <w:rPr>
          <w:lang w:val="en-AU"/>
        </w:rPr>
        <w:noBreakHyphen/>
        <w:t>quality and accessible training</w:t>
      </w:r>
    </w:p>
    <w:p w14:paraId="043EE798" w14:textId="7FFBB569" w:rsidR="005E5F55" w:rsidRPr="00731F9B" w:rsidRDefault="005E5F55" w:rsidP="005E5F55">
      <w:pPr>
        <w:pStyle w:val="ListParagraph"/>
        <w:numPr>
          <w:ilvl w:val="1"/>
          <w:numId w:val="6"/>
        </w:numPr>
        <w:rPr>
          <w:lang w:val="en-AU"/>
        </w:rPr>
      </w:pPr>
      <w:r w:rsidRPr="00731F9B">
        <w:rPr>
          <w:lang w:val="en-AU"/>
        </w:rPr>
        <w:t>2021–22:  $</w:t>
      </w:r>
      <w:r w:rsidR="00F87130">
        <w:rPr>
          <w:lang w:val="en-AU"/>
        </w:rPr>
        <w:t>14.1</w:t>
      </w:r>
      <w:r w:rsidRPr="00731F9B">
        <w:rPr>
          <w:lang w:val="en-AU"/>
        </w:rPr>
        <w:t xml:space="preserve"> million </w:t>
      </w:r>
    </w:p>
    <w:p w14:paraId="7C4772CE" w14:textId="69F90D46" w:rsidR="005E5F55" w:rsidRPr="00731F9B" w:rsidRDefault="005E5F55" w:rsidP="005E5F55">
      <w:pPr>
        <w:pStyle w:val="ListParagraph"/>
        <w:numPr>
          <w:ilvl w:val="1"/>
          <w:numId w:val="6"/>
        </w:numPr>
        <w:rPr>
          <w:lang w:val="en-AU"/>
        </w:rPr>
      </w:pPr>
      <w:r w:rsidRPr="00731F9B">
        <w:rPr>
          <w:lang w:val="en-AU"/>
        </w:rPr>
        <w:t>2022–23:  $</w:t>
      </w:r>
      <w:r w:rsidR="00F87130">
        <w:rPr>
          <w:lang w:val="en-AU"/>
        </w:rPr>
        <w:t>29.6</w:t>
      </w:r>
      <w:r w:rsidRPr="00731F9B">
        <w:rPr>
          <w:lang w:val="en-AU"/>
        </w:rPr>
        <w:t xml:space="preserve"> million </w:t>
      </w:r>
    </w:p>
    <w:p w14:paraId="5C0C38B4" w14:textId="2F3ED0AF" w:rsidR="005E5F55" w:rsidRPr="00731F9B" w:rsidRDefault="005E5F55" w:rsidP="005E5F55">
      <w:pPr>
        <w:pStyle w:val="ListParagraph"/>
        <w:numPr>
          <w:ilvl w:val="1"/>
          <w:numId w:val="6"/>
        </w:numPr>
        <w:rPr>
          <w:lang w:val="en-AU"/>
        </w:rPr>
      </w:pPr>
      <w:r w:rsidRPr="00731F9B">
        <w:rPr>
          <w:lang w:val="en-AU"/>
        </w:rPr>
        <w:t>2023–24:  $</w:t>
      </w:r>
      <w:r w:rsidR="00F87130">
        <w:rPr>
          <w:lang w:val="en-AU"/>
        </w:rPr>
        <w:t xml:space="preserve">29.8 </w:t>
      </w:r>
      <w:r w:rsidRPr="00731F9B">
        <w:rPr>
          <w:lang w:val="en-AU"/>
        </w:rPr>
        <w:t xml:space="preserve">million </w:t>
      </w:r>
    </w:p>
    <w:p w14:paraId="5BE83292" w14:textId="49E85265" w:rsidR="005E5F55" w:rsidRPr="00731F9B" w:rsidRDefault="005E5F55" w:rsidP="005E5F55">
      <w:pPr>
        <w:pStyle w:val="ListParagraph"/>
        <w:numPr>
          <w:ilvl w:val="1"/>
          <w:numId w:val="6"/>
        </w:numPr>
        <w:rPr>
          <w:lang w:val="en-AU"/>
        </w:rPr>
      </w:pPr>
      <w:r w:rsidRPr="00731F9B">
        <w:rPr>
          <w:lang w:val="en-AU"/>
        </w:rPr>
        <w:t>2024–25:  $</w:t>
      </w:r>
      <w:r w:rsidR="00F87130">
        <w:rPr>
          <w:lang w:val="en-AU"/>
        </w:rPr>
        <w:t>25.5</w:t>
      </w:r>
      <w:r w:rsidRPr="00731F9B">
        <w:rPr>
          <w:lang w:val="en-AU"/>
        </w:rPr>
        <w:t xml:space="preserve"> million </w:t>
      </w:r>
    </w:p>
    <w:p w14:paraId="75E8FB6E" w14:textId="36B406A8" w:rsidR="005E5F55" w:rsidRDefault="005E5F55" w:rsidP="005E5F55">
      <w:pPr>
        <w:pStyle w:val="ListParagraph"/>
        <w:numPr>
          <w:ilvl w:val="0"/>
          <w:numId w:val="6"/>
        </w:numPr>
        <w:ind w:left="426" w:hanging="426"/>
        <w:rPr>
          <w:lang w:val="en-AU"/>
        </w:rPr>
      </w:pPr>
      <w:r>
        <w:rPr>
          <w:lang w:val="en-AU"/>
        </w:rPr>
        <w:t>More training places for the TAFE and training system</w:t>
      </w:r>
    </w:p>
    <w:p w14:paraId="0602967D" w14:textId="5FB961F3" w:rsidR="005E5F55" w:rsidRPr="00731F9B" w:rsidRDefault="005E5F55" w:rsidP="005E5F55">
      <w:pPr>
        <w:pStyle w:val="ListParagraph"/>
        <w:numPr>
          <w:ilvl w:val="1"/>
          <w:numId w:val="6"/>
        </w:numPr>
        <w:rPr>
          <w:lang w:val="en-AU"/>
        </w:rPr>
      </w:pPr>
      <w:r w:rsidRPr="00731F9B">
        <w:rPr>
          <w:lang w:val="en-AU"/>
        </w:rPr>
        <w:t>2021–22:  $</w:t>
      </w:r>
      <w:r w:rsidR="00F87130">
        <w:rPr>
          <w:lang w:val="en-AU"/>
        </w:rPr>
        <w:t>84.3</w:t>
      </w:r>
      <w:r w:rsidRPr="00731F9B">
        <w:rPr>
          <w:lang w:val="en-AU"/>
        </w:rPr>
        <w:t xml:space="preserve"> million </w:t>
      </w:r>
    </w:p>
    <w:p w14:paraId="2C53DFB3" w14:textId="64D38B50" w:rsidR="005E5F55" w:rsidRPr="00731F9B" w:rsidRDefault="005E5F55" w:rsidP="005E5F55">
      <w:pPr>
        <w:pStyle w:val="ListParagraph"/>
        <w:numPr>
          <w:ilvl w:val="1"/>
          <w:numId w:val="6"/>
        </w:numPr>
        <w:rPr>
          <w:lang w:val="en-AU"/>
        </w:rPr>
      </w:pPr>
      <w:r w:rsidRPr="00731F9B">
        <w:rPr>
          <w:lang w:val="en-AU"/>
        </w:rPr>
        <w:t>2022–23:  $</w:t>
      </w:r>
      <w:r w:rsidR="00F87130">
        <w:rPr>
          <w:lang w:val="en-AU"/>
        </w:rPr>
        <w:t>1.5</w:t>
      </w:r>
      <w:r w:rsidRPr="00731F9B">
        <w:rPr>
          <w:lang w:val="en-AU"/>
        </w:rPr>
        <w:t xml:space="preserve"> million</w:t>
      </w:r>
    </w:p>
    <w:p w14:paraId="28B9A8E6" w14:textId="5B86A75B" w:rsidR="005E5F55" w:rsidRPr="00731F9B" w:rsidRDefault="005E5F55" w:rsidP="005E5F55">
      <w:pPr>
        <w:pStyle w:val="ListParagraph"/>
        <w:numPr>
          <w:ilvl w:val="1"/>
          <w:numId w:val="6"/>
        </w:numPr>
        <w:rPr>
          <w:lang w:val="en-AU"/>
        </w:rPr>
      </w:pPr>
      <w:r w:rsidRPr="00731F9B">
        <w:rPr>
          <w:lang w:val="en-AU"/>
        </w:rPr>
        <w:t>2023–24:  $</w:t>
      </w:r>
      <w:r w:rsidR="00F87130">
        <w:rPr>
          <w:lang w:val="en-AU"/>
        </w:rPr>
        <w:t>1.5</w:t>
      </w:r>
      <w:r w:rsidRPr="00731F9B">
        <w:rPr>
          <w:lang w:val="en-AU"/>
        </w:rPr>
        <w:t xml:space="preserve"> million</w:t>
      </w:r>
    </w:p>
    <w:p w14:paraId="75915558" w14:textId="77662A2C" w:rsidR="005E5F55" w:rsidRPr="00731F9B" w:rsidRDefault="005E5F55" w:rsidP="005E5F55">
      <w:pPr>
        <w:pStyle w:val="ListParagraph"/>
        <w:numPr>
          <w:ilvl w:val="1"/>
          <w:numId w:val="6"/>
        </w:numPr>
        <w:rPr>
          <w:lang w:val="en-AU"/>
        </w:rPr>
      </w:pPr>
      <w:r w:rsidRPr="00731F9B">
        <w:rPr>
          <w:lang w:val="en-AU"/>
        </w:rPr>
        <w:t>2024–25:  $</w:t>
      </w:r>
      <w:r w:rsidR="00F87130">
        <w:rPr>
          <w:lang w:val="en-AU"/>
        </w:rPr>
        <w:t>1.5</w:t>
      </w:r>
      <w:r w:rsidRPr="00731F9B">
        <w:rPr>
          <w:lang w:val="en-AU"/>
        </w:rPr>
        <w:t xml:space="preserve"> million</w:t>
      </w:r>
    </w:p>
    <w:p w14:paraId="63841058" w14:textId="19A87325" w:rsidR="005E5F55" w:rsidRDefault="005E5F55" w:rsidP="005E5F55">
      <w:pPr>
        <w:pStyle w:val="ListParagraph"/>
        <w:numPr>
          <w:ilvl w:val="0"/>
          <w:numId w:val="6"/>
        </w:numPr>
        <w:ind w:left="426" w:hanging="426"/>
        <w:rPr>
          <w:lang w:val="en-AU"/>
        </w:rPr>
      </w:pPr>
      <w:r>
        <w:rPr>
          <w:lang w:val="en-AU"/>
        </w:rPr>
        <w:t>Skills and jobs centre bus for the Mallee</w:t>
      </w:r>
    </w:p>
    <w:p w14:paraId="5C73F814" w14:textId="35F85758" w:rsidR="005E5F55" w:rsidRPr="00731F9B" w:rsidRDefault="005E5F55" w:rsidP="005E5F55">
      <w:pPr>
        <w:pStyle w:val="ListParagraph"/>
        <w:numPr>
          <w:ilvl w:val="1"/>
          <w:numId w:val="6"/>
        </w:numPr>
        <w:rPr>
          <w:lang w:val="en-AU"/>
        </w:rPr>
      </w:pPr>
      <w:r w:rsidRPr="00731F9B">
        <w:rPr>
          <w:lang w:val="en-AU"/>
        </w:rPr>
        <w:t>2021–22:  $</w:t>
      </w:r>
      <w:r w:rsidR="00F87130">
        <w:rPr>
          <w:lang w:val="en-AU"/>
        </w:rPr>
        <w:t>1.1</w:t>
      </w:r>
      <w:r w:rsidRPr="00731F9B">
        <w:rPr>
          <w:lang w:val="en-AU"/>
        </w:rPr>
        <w:t xml:space="preserve"> million </w:t>
      </w:r>
    </w:p>
    <w:p w14:paraId="6800F79F" w14:textId="55729214" w:rsidR="005E5F55" w:rsidRPr="00731F9B" w:rsidRDefault="005E5F55" w:rsidP="005E5F55">
      <w:pPr>
        <w:pStyle w:val="ListParagraph"/>
        <w:numPr>
          <w:ilvl w:val="1"/>
          <w:numId w:val="6"/>
        </w:numPr>
        <w:rPr>
          <w:lang w:val="en-AU"/>
        </w:rPr>
      </w:pPr>
      <w:r w:rsidRPr="00731F9B">
        <w:rPr>
          <w:lang w:val="en-AU"/>
        </w:rPr>
        <w:t>2022–23:  $</w:t>
      </w:r>
      <w:r w:rsidR="00F87130">
        <w:rPr>
          <w:lang w:val="en-AU"/>
        </w:rPr>
        <w:t>0.3</w:t>
      </w:r>
      <w:r w:rsidRPr="00731F9B">
        <w:rPr>
          <w:lang w:val="en-AU"/>
        </w:rPr>
        <w:t xml:space="preserve"> million </w:t>
      </w:r>
    </w:p>
    <w:p w14:paraId="36BF4AC5" w14:textId="1A79D3C8" w:rsidR="005E5F55" w:rsidRDefault="005E5F55" w:rsidP="005E5F55">
      <w:pPr>
        <w:pStyle w:val="ListParagraph"/>
        <w:numPr>
          <w:ilvl w:val="0"/>
          <w:numId w:val="6"/>
        </w:numPr>
        <w:ind w:left="426" w:hanging="426"/>
        <w:rPr>
          <w:lang w:val="en-AU"/>
        </w:rPr>
      </w:pPr>
      <w:r>
        <w:rPr>
          <w:lang w:val="en-AU"/>
        </w:rPr>
        <w:t>Tackling the digital skills divide to get Victorians into jobs</w:t>
      </w:r>
    </w:p>
    <w:p w14:paraId="63A433D7" w14:textId="334C14D5" w:rsidR="005E5F55" w:rsidRPr="00731F9B" w:rsidRDefault="005E5F55" w:rsidP="005E5F55">
      <w:pPr>
        <w:pStyle w:val="ListParagraph"/>
        <w:numPr>
          <w:ilvl w:val="1"/>
          <w:numId w:val="6"/>
        </w:numPr>
        <w:rPr>
          <w:lang w:val="en-AU"/>
        </w:rPr>
      </w:pPr>
      <w:r w:rsidRPr="00731F9B">
        <w:rPr>
          <w:lang w:val="en-AU"/>
        </w:rPr>
        <w:t>2021–22:  $</w:t>
      </w:r>
      <w:r>
        <w:rPr>
          <w:lang w:val="en-AU"/>
        </w:rPr>
        <w:t>3.1</w:t>
      </w:r>
      <w:r w:rsidRPr="00731F9B">
        <w:rPr>
          <w:lang w:val="en-AU"/>
        </w:rPr>
        <w:t xml:space="preserve"> million </w:t>
      </w:r>
    </w:p>
    <w:p w14:paraId="2D65BBDD" w14:textId="77E8346B" w:rsidR="005E5F55" w:rsidRPr="00731F9B" w:rsidRDefault="005E5F55" w:rsidP="005E5F55">
      <w:pPr>
        <w:pStyle w:val="ListParagraph"/>
        <w:numPr>
          <w:ilvl w:val="1"/>
          <w:numId w:val="6"/>
        </w:numPr>
        <w:rPr>
          <w:lang w:val="en-AU"/>
        </w:rPr>
      </w:pPr>
      <w:r w:rsidRPr="00731F9B">
        <w:rPr>
          <w:lang w:val="en-AU"/>
        </w:rPr>
        <w:t>2022–23:  $</w:t>
      </w:r>
      <w:r>
        <w:rPr>
          <w:lang w:val="en-AU"/>
        </w:rPr>
        <w:t>3.1</w:t>
      </w:r>
      <w:r w:rsidRPr="00731F9B">
        <w:rPr>
          <w:lang w:val="en-AU"/>
        </w:rPr>
        <w:t xml:space="preserve"> million</w:t>
      </w:r>
    </w:p>
    <w:p w14:paraId="502C5EB4" w14:textId="7B14ABB0" w:rsidR="00F87130" w:rsidRDefault="00F87130" w:rsidP="00F87130">
      <w:pPr>
        <w:pStyle w:val="ListParagraph"/>
        <w:numPr>
          <w:ilvl w:val="0"/>
          <w:numId w:val="6"/>
        </w:numPr>
        <w:ind w:left="426" w:hanging="426"/>
        <w:rPr>
          <w:lang w:val="en-AU"/>
        </w:rPr>
      </w:pPr>
      <w:r>
        <w:rPr>
          <w:lang w:val="en-AU"/>
        </w:rPr>
        <w:t>TAFE reform</w:t>
      </w:r>
    </w:p>
    <w:p w14:paraId="5139FEEC" w14:textId="6D187534" w:rsidR="00F87130" w:rsidRPr="00731F9B" w:rsidRDefault="00F87130" w:rsidP="00F87130">
      <w:pPr>
        <w:pStyle w:val="ListParagraph"/>
        <w:numPr>
          <w:ilvl w:val="1"/>
          <w:numId w:val="6"/>
        </w:numPr>
        <w:rPr>
          <w:lang w:val="en-AU"/>
        </w:rPr>
      </w:pPr>
      <w:r w:rsidRPr="00731F9B">
        <w:rPr>
          <w:lang w:val="en-AU"/>
        </w:rPr>
        <w:t>2021–22:  $</w:t>
      </w:r>
      <w:r>
        <w:rPr>
          <w:lang w:val="en-AU"/>
        </w:rPr>
        <w:t>11.0</w:t>
      </w:r>
      <w:r w:rsidRPr="00731F9B">
        <w:rPr>
          <w:lang w:val="en-AU"/>
        </w:rPr>
        <w:t xml:space="preserve"> million </w:t>
      </w:r>
    </w:p>
    <w:p w14:paraId="38F59447" w14:textId="49F3C55E" w:rsidR="00F87130" w:rsidRPr="00731F9B" w:rsidRDefault="00F87130" w:rsidP="00F87130">
      <w:pPr>
        <w:pStyle w:val="ListParagraph"/>
        <w:numPr>
          <w:ilvl w:val="1"/>
          <w:numId w:val="6"/>
        </w:numPr>
        <w:rPr>
          <w:lang w:val="en-AU"/>
        </w:rPr>
      </w:pPr>
      <w:r w:rsidRPr="00731F9B">
        <w:rPr>
          <w:lang w:val="en-AU"/>
        </w:rPr>
        <w:t>2022–23:  $</w:t>
      </w:r>
      <w:r>
        <w:rPr>
          <w:lang w:val="en-AU"/>
        </w:rPr>
        <w:t>4.0</w:t>
      </w:r>
      <w:r w:rsidRPr="00731F9B">
        <w:rPr>
          <w:lang w:val="en-AU"/>
        </w:rPr>
        <w:t xml:space="preserve"> million</w:t>
      </w:r>
    </w:p>
    <w:p w14:paraId="50261100" w14:textId="4846667F" w:rsidR="007F573D" w:rsidRDefault="007F573D" w:rsidP="007F573D">
      <w:pPr>
        <w:pStyle w:val="ESBodyText"/>
        <w:rPr>
          <w:rFonts w:eastAsiaTheme="majorEastAsia" w:cstheme="majorBidi"/>
          <w:b/>
          <w:bCs/>
          <w:color w:val="AF272F"/>
          <w:szCs w:val="20"/>
          <w:lang w:val="en-AU"/>
        </w:rPr>
      </w:pPr>
      <w:r>
        <w:rPr>
          <w:rFonts w:eastAsiaTheme="majorEastAsia" w:cstheme="majorBidi"/>
          <w:b/>
          <w:bCs/>
          <w:color w:val="AF272F"/>
          <w:szCs w:val="20"/>
          <w:lang w:val="en-AU"/>
        </w:rPr>
        <w:t>TOTAL OUTPUT INITIATIVES</w:t>
      </w:r>
    </w:p>
    <w:p w14:paraId="0292D108" w14:textId="2A3D0A16" w:rsidR="007F573D" w:rsidRPr="00731F9B" w:rsidRDefault="007F573D" w:rsidP="007F573D">
      <w:pPr>
        <w:pStyle w:val="ListParagraph"/>
        <w:numPr>
          <w:ilvl w:val="1"/>
          <w:numId w:val="6"/>
        </w:numPr>
        <w:rPr>
          <w:lang w:val="en-AU"/>
        </w:rPr>
      </w:pPr>
      <w:r w:rsidRPr="00731F9B">
        <w:rPr>
          <w:lang w:val="en-AU"/>
        </w:rPr>
        <w:t>2021–22:  $</w:t>
      </w:r>
      <w:r>
        <w:rPr>
          <w:lang w:val="en-AU"/>
        </w:rPr>
        <w:t>502.3</w:t>
      </w:r>
      <w:r w:rsidRPr="00731F9B">
        <w:rPr>
          <w:lang w:val="en-AU"/>
        </w:rPr>
        <w:t xml:space="preserve"> million </w:t>
      </w:r>
    </w:p>
    <w:p w14:paraId="5569DA3D" w14:textId="3E682D38" w:rsidR="007F573D" w:rsidRPr="00731F9B" w:rsidRDefault="007F573D" w:rsidP="007F573D">
      <w:pPr>
        <w:pStyle w:val="ListParagraph"/>
        <w:numPr>
          <w:ilvl w:val="1"/>
          <w:numId w:val="6"/>
        </w:numPr>
        <w:rPr>
          <w:lang w:val="en-AU"/>
        </w:rPr>
      </w:pPr>
      <w:r w:rsidRPr="00731F9B">
        <w:rPr>
          <w:lang w:val="en-AU"/>
        </w:rPr>
        <w:t>2022–23:  $</w:t>
      </w:r>
      <w:r>
        <w:rPr>
          <w:lang w:val="en-AU"/>
        </w:rPr>
        <w:t>484.8</w:t>
      </w:r>
      <w:r w:rsidRPr="00731F9B">
        <w:rPr>
          <w:lang w:val="en-AU"/>
        </w:rPr>
        <w:t xml:space="preserve"> million</w:t>
      </w:r>
    </w:p>
    <w:p w14:paraId="58E62C71" w14:textId="79B3ED24" w:rsidR="007F573D" w:rsidRPr="00731F9B" w:rsidRDefault="007F573D" w:rsidP="007F573D">
      <w:pPr>
        <w:pStyle w:val="ListParagraph"/>
        <w:numPr>
          <w:ilvl w:val="1"/>
          <w:numId w:val="6"/>
        </w:numPr>
        <w:rPr>
          <w:lang w:val="en-AU"/>
        </w:rPr>
      </w:pPr>
      <w:r w:rsidRPr="00731F9B">
        <w:rPr>
          <w:lang w:val="en-AU"/>
        </w:rPr>
        <w:t>2023–24:  $</w:t>
      </w:r>
      <w:r>
        <w:rPr>
          <w:lang w:val="en-AU"/>
        </w:rPr>
        <w:t>454.5</w:t>
      </w:r>
      <w:r w:rsidRPr="00731F9B">
        <w:rPr>
          <w:lang w:val="en-AU"/>
        </w:rPr>
        <w:t xml:space="preserve"> million</w:t>
      </w:r>
    </w:p>
    <w:p w14:paraId="1143CEC9" w14:textId="0417BF79" w:rsidR="007F573D" w:rsidRPr="00731F9B" w:rsidRDefault="007F573D" w:rsidP="007F573D">
      <w:pPr>
        <w:pStyle w:val="ListParagraph"/>
        <w:numPr>
          <w:ilvl w:val="1"/>
          <w:numId w:val="6"/>
        </w:numPr>
        <w:rPr>
          <w:lang w:val="en-AU"/>
        </w:rPr>
      </w:pPr>
      <w:r w:rsidRPr="00731F9B">
        <w:rPr>
          <w:lang w:val="en-AU"/>
        </w:rPr>
        <w:t>2024–25:  $</w:t>
      </w:r>
      <w:r>
        <w:rPr>
          <w:lang w:val="en-AU"/>
        </w:rPr>
        <w:t>482.0</w:t>
      </w:r>
      <w:r w:rsidRPr="00731F9B">
        <w:rPr>
          <w:lang w:val="en-AU"/>
        </w:rPr>
        <w:t xml:space="preserve"> million</w:t>
      </w:r>
    </w:p>
    <w:p w14:paraId="4FD6E855" w14:textId="6D44BE6D" w:rsidR="007F573D" w:rsidRPr="00366A33" w:rsidRDefault="007F573D" w:rsidP="007F573D">
      <w:pPr>
        <w:pStyle w:val="ESBodyText"/>
        <w:rPr>
          <w:rFonts w:eastAsiaTheme="majorEastAsia" w:cstheme="majorBidi"/>
          <w:b/>
          <w:bCs/>
          <w:color w:val="AF272F"/>
          <w:szCs w:val="20"/>
          <w:lang w:val="en-AU"/>
        </w:rPr>
      </w:pPr>
      <w:r>
        <w:rPr>
          <w:rFonts w:eastAsiaTheme="majorEastAsia" w:cstheme="majorBidi"/>
          <w:b/>
          <w:bCs/>
          <w:color w:val="AF272F"/>
          <w:szCs w:val="20"/>
          <w:lang w:val="en-AU"/>
        </w:rPr>
        <w:t>BASE AND EFFICIENCY REVIEW</w:t>
      </w:r>
    </w:p>
    <w:p w14:paraId="71609F6D" w14:textId="635F2502" w:rsidR="007F573D" w:rsidRPr="00731F9B" w:rsidRDefault="007F573D" w:rsidP="007F573D">
      <w:pPr>
        <w:pStyle w:val="ListParagraph"/>
        <w:numPr>
          <w:ilvl w:val="1"/>
          <w:numId w:val="6"/>
        </w:numPr>
        <w:rPr>
          <w:lang w:val="en-AU"/>
        </w:rPr>
      </w:pPr>
      <w:r w:rsidRPr="00731F9B">
        <w:rPr>
          <w:lang w:val="en-AU"/>
        </w:rPr>
        <w:t xml:space="preserve">2021–22:  </w:t>
      </w:r>
      <w:r>
        <w:rPr>
          <w:lang w:val="en-AU"/>
        </w:rPr>
        <w:t>-</w:t>
      </w:r>
      <w:r w:rsidRPr="00731F9B">
        <w:rPr>
          <w:lang w:val="en-AU"/>
        </w:rPr>
        <w:t>$</w:t>
      </w:r>
      <w:r>
        <w:rPr>
          <w:lang w:val="en-AU"/>
        </w:rPr>
        <w:t>31.9</w:t>
      </w:r>
      <w:r w:rsidRPr="00731F9B">
        <w:rPr>
          <w:lang w:val="en-AU"/>
        </w:rPr>
        <w:t xml:space="preserve"> million </w:t>
      </w:r>
    </w:p>
    <w:p w14:paraId="22D11176" w14:textId="155A5AE2" w:rsidR="007F573D" w:rsidRPr="00731F9B" w:rsidRDefault="007F573D" w:rsidP="007F573D">
      <w:pPr>
        <w:pStyle w:val="ListParagraph"/>
        <w:numPr>
          <w:ilvl w:val="1"/>
          <w:numId w:val="6"/>
        </w:numPr>
        <w:rPr>
          <w:lang w:val="en-AU"/>
        </w:rPr>
      </w:pPr>
      <w:r w:rsidRPr="00731F9B">
        <w:rPr>
          <w:lang w:val="en-AU"/>
        </w:rPr>
        <w:t xml:space="preserve">2022–23: </w:t>
      </w:r>
      <w:r>
        <w:rPr>
          <w:lang w:val="en-AU"/>
        </w:rPr>
        <w:t xml:space="preserve"> -</w:t>
      </w:r>
      <w:r w:rsidRPr="00731F9B">
        <w:rPr>
          <w:lang w:val="en-AU"/>
        </w:rPr>
        <w:t>$</w:t>
      </w:r>
      <w:r>
        <w:rPr>
          <w:lang w:val="en-AU"/>
        </w:rPr>
        <w:t>62.8</w:t>
      </w:r>
      <w:r w:rsidRPr="00731F9B">
        <w:rPr>
          <w:lang w:val="en-AU"/>
        </w:rPr>
        <w:t xml:space="preserve"> million</w:t>
      </w:r>
    </w:p>
    <w:p w14:paraId="49978EE5" w14:textId="774AC511" w:rsidR="007F573D" w:rsidRPr="00731F9B" w:rsidRDefault="007F573D" w:rsidP="007F573D">
      <w:pPr>
        <w:pStyle w:val="ListParagraph"/>
        <w:numPr>
          <w:ilvl w:val="1"/>
          <w:numId w:val="6"/>
        </w:numPr>
        <w:rPr>
          <w:lang w:val="en-AU"/>
        </w:rPr>
      </w:pPr>
      <w:r w:rsidRPr="00731F9B">
        <w:rPr>
          <w:lang w:val="en-AU"/>
        </w:rPr>
        <w:t xml:space="preserve">2023–24:  </w:t>
      </w:r>
      <w:r>
        <w:rPr>
          <w:lang w:val="en-AU"/>
        </w:rPr>
        <w:t>-</w:t>
      </w:r>
      <w:r w:rsidRPr="00731F9B">
        <w:rPr>
          <w:lang w:val="en-AU"/>
        </w:rPr>
        <w:t>$</w:t>
      </w:r>
      <w:r>
        <w:rPr>
          <w:lang w:val="en-AU"/>
        </w:rPr>
        <w:t>94.6</w:t>
      </w:r>
      <w:r w:rsidRPr="00731F9B">
        <w:rPr>
          <w:lang w:val="en-AU"/>
        </w:rPr>
        <w:t xml:space="preserve"> million</w:t>
      </w:r>
    </w:p>
    <w:p w14:paraId="5651B56A" w14:textId="046F4CF8" w:rsidR="007F573D" w:rsidRPr="00731F9B" w:rsidRDefault="007F573D" w:rsidP="007F573D">
      <w:pPr>
        <w:pStyle w:val="ListParagraph"/>
        <w:numPr>
          <w:ilvl w:val="1"/>
          <w:numId w:val="6"/>
        </w:numPr>
        <w:rPr>
          <w:lang w:val="en-AU"/>
        </w:rPr>
      </w:pPr>
      <w:r w:rsidRPr="00731F9B">
        <w:rPr>
          <w:lang w:val="en-AU"/>
        </w:rPr>
        <w:t xml:space="preserve">2024–25:  </w:t>
      </w:r>
      <w:r>
        <w:rPr>
          <w:lang w:val="en-AU"/>
        </w:rPr>
        <w:t>-</w:t>
      </w:r>
      <w:r w:rsidRPr="00731F9B">
        <w:rPr>
          <w:lang w:val="en-AU"/>
        </w:rPr>
        <w:t>$</w:t>
      </w:r>
      <w:r>
        <w:rPr>
          <w:lang w:val="en-AU"/>
        </w:rPr>
        <w:t>111.3</w:t>
      </w:r>
      <w:r w:rsidRPr="00731F9B">
        <w:rPr>
          <w:lang w:val="en-AU"/>
        </w:rPr>
        <w:t xml:space="preserve"> million</w:t>
      </w:r>
    </w:p>
    <w:p w14:paraId="1862D024" w14:textId="436BFC86" w:rsidR="007F573D" w:rsidRPr="006E799F" w:rsidRDefault="007F573D" w:rsidP="007F573D">
      <w:pPr>
        <w:pStyle w:val="ESBodyText"/>
        <w:rPr>
          <w:b/>
          <w:color w:val="C00000"/>
          <w:lang w:val="en-AU"/>
        </w:rPr>
      </w:pPr>
      <w:r w:rsidRPr="006E799F">
        <w:rPr>
          <w:b/>
          <w:color w:val="C00000"/>
          <w:lang w:val="en-AU"/>
        </w:rPr>
        <w:t xml:space="preserve">THE DEPARTMENT’S </w:t>
      </w:r>
      <w:r>
        <w:rPr>
          <w:b/>
          <w:color w:val="C00000"/>
          <w:lang w:val="en-AU"/>
        </w:rPr>
        <w:t>ASSET INITIATIVES</w:t>
      </w:r>
      <w:r w:rsidRPr="006E799F">
        <w:rPr>
          <w:b/>
          <w:color w:val="C00000"/>
          <w:lang w:val="en-AU"/>
        </w:rPr>
        <w:t xml:space="preserve"> </w:t>
      </w:r>
    </w:p>
    <w:p w14:paraId="21D7AC27" w14:textId="77777777" w:rsidR="007F573D" w:rsidRPr="00366A33" w:rsidRDefault="007F573D" w:rsidP="007F573D">
      <w:pPr>
        <w:pStyle w:val="ESBodyText"/>
        <w:rPr>
          <w:rFonts w:eastAsiaTheme="majorEastAsia" w:cstheme="majorBidi"/>
          <w:b/>
          <w:bCs/>
          <w:color w:val="AF272F"/>
          <w:szCs w:val="20"/>
          <w:lang w:val="en-AU"/>
        </w:rPr>
      </w:pPr>
      <w:r w:rsidRPr="00366A33">
        <w:rPr>
          <w:rFonts w:eastAsiaTheme="majorEastAsia" w:cstheme="majorBidi"/>
          <w:b/>
          <w:bCs/>
          <w:color w:val="AF272F"/>
          <w:szCs w:val="20"/>
          <w:lang w:val="en-AU"/>
        </w:rPr>
        <w:t>EARLY CHILDHOOD</w:t>
      </w:r>
      <w:r w:rsidRPr="00366A33">
        <w:t xml:space="preserve"> </w:t>
      </w:r>
      <w:r>
        <w:rPr>
          <w:rFonts w:eastAsiaTheme="majorEastAsia" w:cstheme="majorBidi"/>
          <w:b/>
          <w:bCs/>
          <w:color w:val="AF272F"/>
          <w:szCs w:val="20"/>
          <w:lang w:val="en-AU"/>
        </w:rPr>
        <w:t>EDUCATION</w:t>
      </w:r>
    </w:p>
    <w:p w14:paraId="69F41B0C" w14:textId="3EA447D4" w:rsidR="007F573D" w:rsidRPr="00731F9B" w:rsidRDefault="007F573D" w:rsidP="007F573D">
      <w:pPr>
        <w:pStyle w:val="ListParagraph"/>
        <w:numPr>
          <w:ilvl w:val="0"/>
          <w:numId w:val="6"/>
        </w:numPr>
        <w:ind w:left="426" w:hanging="426"/>
        <w:rPr>
          <w:lang w:val="en-AU"/>
        </w:rPr>
      </w:pPr>
      <w:r>
        <w:rPr>
          <w:lang w:val="en-AU"/>
        </w:rPr>
        <w:t>Child Link</w:t>
      </w:r>
      <w:r w:rsidRPr="00731F9B">
        <w:rPr>
          <w:lang w:val="en-AU"/>
        </w:rPr>
        <w:t>:</w:t>
      </w:r>
    </w:p>
    <w:p w14:paraId="54BE951E" w14:textId="28ED5ABF" w:rsidR="007F573D" w:rsidRDefault="007F573D" w:rsidP="007F573D">
      <w:pPr>
        <w:pStyle w:val="ListParagraph"/>
        <w:numPr>
          <w:ilvl w:val="1"/>
          <w:numId w:val="6"/>
        </w:numPr>
        <w:rPr>
          <w:lang w:val="en-AU"/>
        </w:rPr>
      </w:pPr>
      <w:r w:rsidRPr="00731F9B">
        <w:rPr>
          <w:lang w:val="en-AU"/>
        </w:rPr>
        <w:t>2021–22:  $</w:t>
      </w:r>
      <w:r>
        <w:rPr>
          <w:lang w:val="en-AU"/>
        </w:rPr>
        <w:t>5.5</w:t>
      </w:r>
      <w:r w:rsidRPr="00731F9B">
        <w:rPr>
          <w:lang w:val="en-AU"/>
        </w:rPr>
        <w:t xml:space="preserve"> million </w:t>
      </w:r>
    </w:p>
    <w:p w14:paraId="7C40C685" w14:textId="599F0DDD" w:rsidR="007F573D" w:rsidRPr="00731F9B" w:rsidRDefault="007F573D" w:rsidP="007F573D">
      <w:pPr>
        <w:pStyle w:val="ListParagraph"/>
        <w:numPr>
          <w:ilvl w:val="1"/>
          <w:numId w:val="6"/>
        </w:numPr>
        <w:rPr>
          <w:lang w:val="en-AU"/>
        </w:rPr>
      </w:pPr>
      <w:r>
        <w:rPr>
          <w:lang w:val="en-AU"/>
        </w:rPr>
        <w:t>TEI: $5.5 million</w:t>
      </w:r>
    </w:p>
    <w:p w14:paraId="007FE5AE" w14:textId="398EDF85" w:rsidR="007F573D" w:rsidRPr="00731F9B" w:rsidRDefault="007F573D" w:rsidP="007F573D">
      <w:pPr>
        <w:pStyle w:val="ListParagraph"/>
        <w:numPr>
          <w:ilvl w:val="0"/>
          <w:numId w:val="6"/>
        </w:numPr>
        <w:ind w:left="426" w:hanging="426"/>
        <w:rPr>
          <w:lang w:val="en-AU"/>
        </w:rPr>
      </w:pPr>
      <w:r>
        <w:rPr>
          <w:lang w:val="en-AU"/>
        </w:rPr>
        <w:t>Ready for school</w:t>
      </w:r>
      <w:r w:rsidRPr="00731F9B">
        <w:rPr>
          <w:lang w:val="en-AU"/>
        </w:rPr>
        <w:t>:</w:t>
      </w:r>
      <w:r>
        <w:rPr>
          <w:lang w:val="en-AU"/>
        </w:rPr>
        <w:t xml:space="preserve"> Kinder for every three</w:t>
      </w:r>
      <w:r>
        <w:rPr>
          <w:lang w:val="en-AU"/>
        </w:rPr>
        <w:noBreakHyphen/>
        <w:t>year</w:t>
      </w:r>
      <w:r>
        <w:rPr>
          <w:lang w:val="en-AU"/>
        </w:rPr>
        <w:noBreakHyphen/>
        <w:t>old</w:t>
      </w:r>
    </w:p>
    <w:p w14:paraId="77006B52" w14:textId="77777777" w:rsidR="007F573D" w:rsidRDefault="007F573D" w:rsidP="007F573D">
      <w:pPr>
        <w:pStyle w:val="ListParagraph"/>
        <w:numPr>
          <w:ilvl w:val="1"/>
          <w:numId w:val="6"/>
        </w:numPr>
        <w:rPr>
          <w:lang w:val="en-AU"/>
        </w:rPr>
      </w:pPr>
      <w:r w:rsidRPr="00731F9B">
        <w:rPr>
          <w:lang w:val="en-AU"/>
        </w:rPr>
        <w:lastRenderedPageBreak/>
        <w:t>2024–25:  $</w:t>
      </w:r>
      <w:r>
        <w:rPr>
          <w:lang w:val="en-AU"/>
        </w:rPr>
        <w:t>44.8</w:t>
      </w:r>
      <w:r w:rsidRPr="00731F9B">
        <w:rPr>
          <w:lang w:val="en-AU"/>
        </w:rPr>
        <w:t xml:space="preserve"> million</w:t>
      </w:r>
    </w:p>
    <w:p w14:paraId="72006252" w14:textId="03EF6263" w:rsidR="007F573D" w:rsidRPr="00731F9B" w:rsidRDefault="007F573D" w:rsidP="007F573D">
      <w:pPr>
        <w:pStyle w:val="ListParagraph"/>
        <w:numPr>
          <w:ilvl w:val="1"/>
          <w:numId w:val="6"/>
        </w:numPr>
        <w:rPr>
          <w:lang w:val="en-AU"/>
        </w:rPr>
      </w:pPr>
      <w:r>
        <w:rPr>
          <w:lang w:val="en-AU"/>
        </w:rPr>
        <w:t>TEI: $44.8 million</w:t>
      </w:r>
      <w:r w:rsidRPr="00731F9B">
        <w:rPr>
          <w:lang w:val="en-AU"/>
        </w:rPr>
        <w:t xml:space="preserve"> </w:t>
      </w:r>
    </w:p>
    <w:p w14:paraId="23FE7534" w14:textId="77777777" w:rsidR="007F573D" w:rsidRPr="00366A33" w:rsidRDefault="007F573D" w:rsidP="007F573D">
      <w:pPr>
        <w:pStyle w:val="ESBodyText"/>
        <w:rPr>
          <w:rFonts w:eastAsiaTheme="majorEastAsia" w:cstheme="majorBidi"/>
          <w:b/>
          <w:bCs/>
          <w:color w:val="AF272F"/>
          <w:szCs w:val="20"/>
          <w:lang w:val="en-AU"/>
        </w:rPr>
      </w:pPr>
      <w:r>
        <w:rPr>
          <w:rFonts w:eastAsiaTheme="majorEastAsia" w:cstheme="majorBidi"/>
          <w:b/>
          <w:bCs/>
          <w:color w:val="AF272F"/>
          <w:szCs w:val="20"/>
          <w:lang w:val="en-AU"/>
        </w:rPr>
        <w:t>SCHOOL</w:t>
      </w:r>
      <w:r w:rsidRPr="00366A33">
        <w:t xml:space="preserve"> </w:t>
      </w:r>
      <w:r>
        <w:rPr>
          <w:rFonts w:eastAsiaTheme="majorEastAsia" w:cstheme="majorBidi"/>
          <w:b/>
          <w:bCs/>
          <w:color w:val="AF272F"/>
          <w:szCs w:val="20"/>
          <w:lang w:val="en-AU"/>
        </w:rPr>
        <w:t>EDUCATION</w:t>
      </w:r>
    </w:p>
    <w:p w14:paraId="73E31B16" w14:textId="0FDE54A7" w:rsidR="007F573D" w:rsidRPr="005B1C1D" w:rsidRDefault="007F573D" w:rsidP="007F573D">
      <w:pPr>
        <w:pStyle w:val="ListParagraph"/>
        <w:numPr>
          <w:ilvl w:val="0"/>
          <w:numId w:val="6"/>
        </w:numPr>
        <w:ind w:left="426" w:hanging="426"/>
        <w:rPr>
          <w:lang w:val="en-AU"/>
        </w:rPr>
      </w:pPr>
      <w:r w:rsidRPr="005B1C1D">
        <w:rPr>
          <w:lang w:val="en-AU"/>
        </w:rPr>
        <w:t>Doctors in secondary schools</w:t>
      </w:r>
    </w:p>
    <w:p w14:paraId="6A931AF8" w14:textId="7D52AD4E" w:rsidR="007F573D" w:rsidRPr="005B1C1D" w:rsidRDefault="007F573D" w:rsidP="007F573D">
      <w:pPr>
        <w:pStyle w:val="ListParagraph"/>
        <w:numPr>
          <w:ilvl w:val="1"/>
          <w:numId w:val="6"/>
        </w:numPr>
        <w:rPr>
          <w:lang w:val="en-AU"/>
        </w:rPr>
      </w:pPr>
      <w:r w:rsidRPr="005B1C1D">
        <w:rPr>
          <w:lang w:val="en-AU"/>
        </w:rPr>
        <w:t>2021–22:  $</w:t>
      </w:r>
      <w:r w:rsidR="002F0FAF" w:rsidRPr="005B1C1D">
        <w:rPr>
          <w:lang w:val="en-AU"/>
        </w:rPr>
        <w:t>0.4</w:t>
      </w:r>
      <w:r w:rsidRPr="005B1C1D">
        <w:rPr>
          <w:lang w:val="en-AU"/>
        </w:rPr>
        <w:t xml:space="preserve"> million </w:t>
      </w:r>
    </w:p>
    <w:p w14:paraId="287E7F3A" w14:textId="04078DA5" w:rsidR="007F573D" w:rsidRPr="005B1C1D" w:rsidRDefault="002F0FAF" w:rsidP="007F573D">
      <w:pPr>
        <w:pStyle w:val="ListParagraph"/>
        <w:numPr>
          <w:ilvl w:val="1"/>
          <w:numId w:val="6"/>
        </w:numPr>
        <w:rPr>
          <w:lang w:val="en-AU"/>
        </w:rPr>
      </w:pPr>
      <w:r w:rsidRPr="005B1C1D">
        <w:rPr>
          <w:lang w:val="en-AU"/>
        </w:rPr>
        <w:t>TEI</w:t>
      </w:r>
      <w:r w:rsidR="007F573D" w:rsidRPr="005B1C1D">
        <w:rPr>
          <w:lang w:val="en-AU"/>
        </w:rPr>
        <w:t>:  $</w:t>
      </w:r>
      <w:r w:rsidRPr="005B1C1D">
        <w:rPr>
          <w:lang w:val="en-AU"/>
        </w:rPr>
        <w:t>0.4</w:t>
      </w:r>
      <w:r w:rsidR="007F573D" w:rsidRPr="005B1C1D">
        <w:rPr>
          <w:lang w:val="en-AU"/>
        </w:rPr>
        <w:t xml:space="preserve"> million </w:t>
      </w:r>
    </w:p>
    <w:p w14:paraId="6DBC1A69" w14:textId="62C34CFF" w:rsidR="007F573D" w:rsidRPr="005B1C1D" w:rsidRDefault="007F573D" w:rsidP="007F573D">
      <w:pPr>
        <w:pStyle w:val="ListParagraph"/>
        <w:numPr>
          <w:ilvl w:val="0"/>
          <w:numId w:val="6"/>
        </w:numPr>
        <w:ind w:left="426" w:hanging="426"/>
        <w:rPr>
          <w:lang w:val="en-AU"/>
        </w:rPr>
      </w:pPr>
      <w:r w:rsidRPr="005B1C1D">
        <w:rPr>
          <w:lang w:val="en-AU"/>
        </w:rPr>
        <w:t>Essential maintenance and compliance</w:t>
      </w:r>
    </w:p>
    <w:p w14:paraId="644E1193" w14:textId="7016BE19" w:rsidR="007F573D" w:rsidRPr="005B1C1D" w:rsidRDefault="007F573D" w:rsidP="007F573D">
      <w:pPr>
        <w:pStyle w:val="ListParagraph"/>
        <w:numPr>
          <w:ilvl w:val="1"/>
          <w:numId w:val="6"/>
        </w:numPr>
        <w:rPr>
          <w:lang w:val="en-AU"/>
        </w:rPr>
      </w:pPr>
      <w:r w:rsidRPr="005B1C1D">
        <w:rPr>
          <w:lang w:val="en-AU"/>
        </w:rPr>
        <w:t>2021–22:  $</w:t>
      </w:r>
      <w:r w:rsidR="005B1C1D" w:rsidRPr="005B1C1D">
        <w:rPr>
          <w:lang w:val="en-AU"/>
        </w:rPr>
        <w:t>1</w:t>
      </w:r>
      <w:r w:rsidRPr="005B1C1D">
        <w:rPr>
          <w:lang w:val="en-AU"/>
        </w:rPr>
        <w:t xml:space="preserve">.6 million </w:t>
      </w:r>
    </w:p>
    <w:p w14:paraId="22050FBE" w14:textId="154F3683" w:rsidR="007F573D" w:rsidRPr="005B1C1D" w:rsidRDefault="007F573D" w:rsidP="007F573D">
      <w:pPr>
        <w:pStyle w:val="ListParagraph"/>
        <w:numPr>
          <w:ilvl w:val="1"/>
          <w:numId w:val="6"/>
        </w:numPr>
        <w:rPr>
          <w:lang w:val="en-AU"/>
        </w:rPr>
      </w:pPr>
      <w:r w:rsidRPr="005B1C1D">
        <w:rPr>
          <w:lang w:val="en-AU"/>
        </w:rPr>
        <w:t>2022–23:  $5</w:t>
      </w:r>
      <w:r w:rsidR="005B1C1D" w:rsidRPr="005B1C1D">
        <w:rPr>
          <w:lang w:val="en-AU"/>
        </w:rPr>
        <w:t>6</w:t>
      </w:r>
      <w:r w:rsidRPr="005B1C1D">
        <w:rPr>
          <w:lang w:val="en-AU"/>
        </w:rPr>
        <w:t>.</w:t>
      </w:r>
      <w:r w:rsidR="005B1C1D" w:rsidRPr="005B1C1D">
        <w:rPr>
          <w:lang w:val="en-AU"/>
        </w:rPr>
        <w:t>6</w:t>
      </w:r>
      <w:r w:rsidRPr="005B1C1D">
        <w:rPr>
          <w:lang w:val="en-AU"/>
        </w:rPr>
        <w:t xml:space="preserve"> million </w:t>
      </w:r>
    </w:p>
    <w:p w14:paraId="3739AF9C" w14:textId="34CB0638" w:rsidR="007F573D" w:rsidRPr="005B1C1D" w:rsidRDefault="007F573D" w:rsidP="007F573D">
      <w:pPr>
        <w:pStyle w:val="ListParagraph"/>
        <w:numPr>
          <w:ilvl w:val="1"/>
          <w:numId w:val="6"/>
        </w:numPr>
        <w:rPr>
          <w:lang w:val="en-AU"/>
        </w:rPr>
      </w:pPr>
      <w:r w:rsidRPr="005B1C1D">
        <w:rPr>
          <w:lang w:val="en-AU"/>
        </w:rPr>
        <w:t>2023–24:  $</w:t>
      </w:r>
      <w:r w:rsidR="005B1C1D" w:rsidRPr="005B1C1D">
        <w:rPr>
          <w:lang w:val="en-AU"/>
        </w:rPr>
        <w:t>20.8</w:t>
      </w:r>
      <w:r w:rsidRPr="005B1C1D">
        <w:rPr>
          <w:lang w:val="en-AU"/>
        </w:rPr>
        <w:t xml:space="preserve"> million </w:t>
      </w:r>
    </w:p>
    <w:p w14:paraId="6BBA6716" w14:textId="6EAF3F69" w:rsidR="005B1C1D" w:rsidRPr="005B1C1D" w:rsidRDefault="005B1C1D" w:rsidP="005B1C1D">
      <w:pPr>
        <w:pStyle w:val="ListParagraph"/>
        <w:numPr>
          <w:ilvl w:val="1"/>
          <w:numId w:val="6"/>
        </w:numPr>
        <w:rPr>
          <w:lang w:val="en-AU"/>
        </w:rPr>
      </w:pPr>
      <w:r w:rsidRPr="005B1C1D">
        <w:rPr>
          <w:lang w:val="en-AU"/>
        </w:rPr>
        <w:t>2024–25:  $1.0 million</w:t>
      </w:r>
    </w:p>
    <w:p w14:paraId="54209887" w14:textId="1E241CDB" w:rsidR="005B1C1D" w:rsidRPr="005B1C1D" w:rsidRDefault="005B1C1D" w:rsidP="005B1C1D">
      <w:pPr>
        <w:pStyle w:val="ListParagraph"/>
        <w:numPr>
          <w:ilvl w:val="1"/>
          <w:numId w:val="6"/>
        </w:numPr>
        <w:rPr>
          <w:lang w:val="en-AU"/>
        </w:rPr>
      </w:pPr>
      <w:r w:rsidRPr="005B1C1D">
        <w:rPr>
          <w:lang w:val="en-AU"/>
        </w:rPr>
        <w:t>TEI:  $80.0 million</w:t>
      </w:r>
    </w:p>
    <w:p w14:paraId="3B12C75E" w14:textId="599A6B7C" w:rsidR="007F573D" w:rsidRPr="005B1C1D" w:rsidRDefault="007F573D" w:rsidP="007F573D">
      <w:pPr>
        <w:pStyle w:val="ListParagraph"/>
        <w:numPr>
          <w:ilvl w:val="0"/>
          <w:numId w:val="6"/>
        </w:numPr>
        <w:ind w:left="426" w:hanging="426"/>
        <w:rPr>
          <w:lang w:val="en-AU"/>
        </w:rPr>
      </w:pPr>
      <w:r w:rsidRPr="005B1C1D">
        <w:rPr>
          <w:lang w:val="en-AU"/>
        </w:rPr>
        <w:t>Land acquisition</w:t>
      </w:r>
    </w:p>
    <w:p w14:paraId="5A7736DD" w14:textId="0D0A0A60" w:rsidR="007F573D" w:rsidRPr="005B1C1D" w:rsidRDefault="007F573D" w:rsidP="007F573D">
      <w:pPr>
        <w:pStyle w:val="ListParagraph"/>
        <w:numPr>
          <w:ilvl w:val="1"/>
          <w:numId w:val="6"/>
        </w:numPr>
        <w:rPr>
          <w:lang w:val="en-AU"/>
        </w:rPr>
      </w:pPr>
      <w:r w:rsidRPr="005B1C1D">
        <w:rPr>
          <w:lang w:val="en-AU"/>
        </w:rPr>
        <w:t>2021–22:  $</w:t>
      </w:r>
      <w:r w:rsidR="005B1C1D" w:rsidRPr="005B1C1D">
        <w:rPr>
          <w:lang w:val="en-AU"/>
        </w:rPr>
        <w:t>86.7</w:t>
      </w:r>
      <w:r w:rsidRPr="005B1C1D">
        <w:rPr>
          <w:lang w:val="en-AU"/>
        </w:rPr>
        <w:t xml:space="preserve"> million </w:t>
      </w:r>
    </w:p>
    <w:p w14:paraId="2A80B4B2" w14:textId="2D70D2CA" w:rsidR="007F573D" w:rsidRPr="005B1C1D" w:rsidRDefault="007F573D" w:rsidP="007F573D">
      <w:pPr>
        <w:pStyle w:val="ListParagraph"/>
        <w:numPr>
          <w:ilvl w:val="1"/>
          <w:numId w:val="6"/>
        </w:numPr>
        <w:rPr>
          <w:lang w:val="en-AU"/>
        </w:rPr>
      </w:pPr>
      <w:r w:rsidRPr="005B1C1D">
        <w:rPr>
          <w:lang w:val="en-AU"/>
        </w:rPr>
        <w:t>2022–23:  $</w:t>
      </w:r>
      <w:r w:rsidR="005B1C1D" w:rsidRPr="005B1C1D">
        <w:rPr>
          <w:lang w:val="en-AU"/>
        </w:rPr>
        <w:t>45.2</w:t>
      </w:r>
      <w:r w:rsidRPr="005B1C1D">
        <w:rPr>
          <w:lang w:val="en-AU"/>
        </w:rPr>
        <w:t xml:space="preserve"> million </w:t>
      </w:r>
    </w:p>
    <w:p w14:paraId="26A0E689" w14:textId="3705E3A8" w:rsidR="007F573D" w:rsidRPr="005B1C1D" w:rsidRDefault="007F573D" w:rsidP="007F573D">
      <w:pPr>
        <w:pStyle w:val="ListParagraph"/>
        <w:numPr>
          <w:ilvl w:val="1"/>
          <w:numId w:val="6"/>
        </w:numPr>
        <w:rPr>
          <w:lang w:val="en-AU"/>
        </w:rPr>
      </w:pPr>
      <w:r w:rsidRPr="005B1C1D">
        <w:rPr>
          <w:lang w:val="en-AU"/>
        </w:rPr>
        <w:t>2023–24:  $</w:t>
      </w:r>
      <w:r w:rsidR="005B1C1D" w:rsidRPr="005B1C1D">
        <w:rPr>
          <w:lang w:val="en-AU"/>
        </w:rPr>
        <w:t>144.6</w:t>
      </w:r>
      <w:r w:rsidRPr="005B1C1D">
        <w:rPr>
          <w:lang w:val="en-AU"/>
        </w:rPr>
        <w:t xml:space="preserve"> million </w:t>
      </w:r>
    </w:p>
    <w:p w14:paraId="05B8CF65" w14:textId="726ABE87" w:rsidR="007F573D" w:rsidRPr="005B1C1D" w:rsidRDefault="005B1C1D" w:rsidP="007F573D">
      <w:pPr>
        <w:pStyle w:val="ListParagraph"/>
        <w:numPr>
          <w:ilvl w:val="1"/>
          <w:numId w:val="6"/>
        </w:numPr>
        <w:rPr>
          <w:lang w:val="en-AU"/>
        </w:rPr>
      </w:pPr>
      <w:r w:rsidRPr="005B1C1D">
        <w:rPr>
          <w:lang w:val="en-AU"/>
        </w:rPr>
        <w:t>TEI</w:t>
      </w:r>
      <w:r w:rsidR="007F573D" w:rsidRPr="005B1C1D">
        <w:rPr>
          <w:lang w:val="en-AU"/>
        </w:rPr>
        <w:t>:  $</w:t>
      </w:r>
      <w:r w:rsidRPr="005B1C1D">
        <w:rPr>
          <w:lang w:val="en-AU"/>
        </w:rPr>
        <w:t>276.4</w:t>
      </w:r>
      <w:r w:rsidR="007F573D" w:rsidRPr="005B1C1D">
        <w:rPr>
          <w:lang w:val="en-AU"/>
        </w:rPr>
        <w:t xml:space="preserve"> million </w:t>
      </w:r>
    </w:p>
    <w:p w14:paraId="19212E9B" w14:textId="38D668CB" w:rsidR="002F0FAF" w:rsidRPr="005B1C1D" w:rsidRDefault="002F0FAF" w:rsidP="002F0FAF">
      <w:pPr>
        <w:pStyle w:val="ListParagraph"/>
        <w:numPr>
          <w:ilvl w:val="0"/>
          <w:numId w:val="6"/>
        </w:numPr>
        <w:ind w:left="426" w:hanging="426"/>
        <w:rPr>
          <w:lang w:val="en-AU"/>
        </w:rPr>
      </w:pPr>
      <w:r w:rsidRPr="005B1C1D">
        <w:rPr>
          <w:lang w:val="en-AU"/>
        </w:rPr>
        <w:t xml:space="preserve">Minor </w:t>
      </w:r>
      <w:r w:rsidR="00D2387A">
        <w:rPr>
          <w:lang w:val="en-AU"/>
        </w:rPr>
        <w:t>C</w:t>
      </w:r>
      <w:r w:rsidRPr="005B1C1D">
        <w:rPr>
          <w:lang w:val="en-AU"/>
        </w:rPr>
        <w:t xml:space="preserve">apital </w:t>
      </w:r>
      <w:r w:rsidR="00D2387A">
        <w:rPr>
          <w:lang w:val="en-AU"/>
        </w:rPr>
        <w:t>W</w:t>
      </w:r>
      <w:r w:rsidRPr="005B1C1D">
        <w:rPr>
          <w:lang w:val="en-AU"/>
        </w:rPr>
        <w:t xml:space="preserve">orks </w:t>
      </w:r>
      <w:r w:rsidR="00D2387A">
        <w:rPr>
          <w:lang w:val="en-AU"/>
        </w:rPr>
        <w:t>F</w:t>
      </w:r>
      <w:r w:rsidRPr="005B1C1D">
        <w:rPr>
          <w:lang w:val="en-AU"/>
        </w:rPr>
        <w:t>und</w:t>
      </w:r>
    </w:p>
    <w:p w14:paraId="29059E2B" w14:textId="4B47BC53" w:rsidR="002F0FAF" w:rsidRPr="005B1C1D" w:rsidRDefault="002F0FAF" w:rsidP="002F0FAF">
      <w:pPr>
        <w:pStyle w:val="ListParagraph"/>
        <w:numPr>
          <w:ilvl w:val="1"/>
          <w:numId w:val="6"/>
        </w:numPr>
        <w:rPr>
          <w:lang w:val="en-AU"/>
        </w:rPr>
      </w:pPr>
      <w:r w:rsidRPr="005B1C1D">
        <w:rPr>
          <w:lang w:val="en-AU"/>
        </w:rPr>
        <w:t>2021–22:  $6.</w:t>
      </w:r>
      <w:r w:rsidR="005B1C1D" w:rsidRPr="005B1C1D">
        <w:rPr>
          <w:lang w:val="en-AU"/>
        </w:rPr>
        <w:t>0</w:t>
      </w:r>
      <w:r w:rsidRPr="005B1C1D">
        <w:rPr>
          <w:lang w:val="en-AU"/>
        </w:rPr>
        <w:t xml:space="preserve"> million </w:t>
      </w:r>
    </w:p>
    <w:p w14:paraId="57919164" w14:textId="0BD665FF" w:rsidR="002F0FAF" w:rsidRPr="005B1C1D" w:rsidRDefault="002F0FAF" w:rsidP="002F0FAF">
      <w:pPr>
        <w:pStyle w:val="ListParagraph"/>
        <w:numPr>
          <w:ilvl w:val="1"/>
          <w:numId w:val="6"/>
        </w:numPr>
        <w:rPr>
          <w:lang w:val="en-AU"/>
        </w:rPr>
      </w:pPr>
      <w:r w:rsidRPr="005B1C1D">
        <w:rPr>
          <w:lang w:val="en-AU"/>
        </w:rPr>
        <w:t>2022–23:  $</w:t>
      </w:r>
      <w:r w:rsidR="005B1C1D" w:rsidRPr="005B1C1D">
        <w:rPr>
          <w:lang w:val="en-AU"/>
        </w:rPr>
        <w:t>14.0</w:t>
      </w:r>
      <w:r w:rsidRPr="005B1C1D">
        <w:rPr>
          <w:lang w:val="en-AU"/>
        </w:rPr>
        <w:t xml:space="preserve"> million </w:t>
      </w:r>
    </w:p>
    <w:p w14:paraId="068384E5" w14:textId="45CF5C76" w:rsidR="002F0FAF" w:rsidRPr="005B1C1D" w:rsidRDefault="005B1C1D" w:rsidP="002F0FAF">
      <w:pPr>
        <w:pStyle w:val="ListParagraph"/>
        <w:numPr>
          <w:ilvl w:val="1"/>
          <w:numId w:val="6"/>
        </w:numPr>
        <w:rPr>
          <w:lang w:val="en-AU"/>
        </w:rPr>
      </w:pPr>
      <w:r w:rsidRPr="005B1C1D">
        <w:rPr>
          <w:lang w:val="en-AU"/>
        </w:rPr>
        <w:t>TEI</w:t>
      </w:r>
      <w:r w:rsidR="002F0FAF" w:rsidRPr="005B1C1D">
        <w:rPr>
          <w:lang w:val="en-AU"/>
        </w:rPr>
        <w:t>:  $</w:t>
      </w:r>
      <w:r w:rsidRPr="005B1C1D">
        <w:rPr>
          <w:lang w:val="en-AU"/>
        </w:rPr>
        <w:t>20.0</w:t>
      </w:r>
      <w:r w:rsidR="002F0FAF" w:rsidRPr="005B1C1D">
        <w:rPr>
          <w:lang w:val="en-AU"/>
        </w:rPr>
        <w:t xml:space="preserve"> million </w:t>
      </w:r>
    </w:p>
    <w:p w14:paraId="2755CC1F" w14:textId="126CA1D3" w:rsidR="002F0FAF" w:rsidRPr="00731F9B" w:rsidRDefault="002F0FAF" w:rsidP="002F0FAF">
      <w:pPr>
        <w:pStyle w:val="ListParagraph"/>
        <w:numPr>
          <w:ilvl w:val="0"/>
          <w:numId w:val="6"/>
        </w:numPr>
        <w:ind w:left="426" w:hanging="426"/>
        <w:rPr>
          <w:lang w:val="en-AU"/>
        </w:rPr>
      </w:pPr>
      <w:r>
        <w:rPr>
          <w:lang w:val="en-AU"/>
        </w:rPr>
        <w:t xml:space="preserve">New </w:t>
      </w:r>
      <w:r w:rsidR="004879B8">
        <w:rPr>
          <w:lang w:val="en-AU"/>
        </w:rPr>
        <w:t>schools’</w:t>
      </w:r>
      <w:r>
        <w:rPr>
          <w:lang w:val="en-AU"/>
        </w:rPr>
        <w:t xml:space="preserve"> construction</w:t>
      </w:r>
    </w:p>
    <w:p w14:paraId="2184981B" w14:textId="4451B83C" w:rsidR="002F0FAF" w:rsidRPr="00731F9B" w:rsidRDefault="002F0FAF" w:rsidP="002F0FAF">
      <w:pPr>
        <w:pStyle w:val="ListParagraph"/>
        <w:numPr>
          <w:ilvl w:val="1"/>
          <w:numId w:val="6"/>
        </w:numPr>
        <w:rPr>
          <w:lang w:val="en-AU"/>
        </w:rPr>
      </w:pPr>
      <w:r w:rsidRPr="00731F9B">
        <w:rPr>
          <w:lang w:val="en-AU"/>
        </w:rPr>
        <w:t>2021–22:  $</w:t>
      </w:r>
      <w:r w:rsidR="005B1C1D">
        <w:rPr>
          <w:lang w:val="en-AU"/>
        </w:rPr>
        <w:t>181.1</w:t>
      </w:r>
      <w:r w:rsidRPr="00731F9B">
        <w:rPr>
          <w:lang w:val="en-AU"/>
        </w:rPr>
        <w:t xml:space="preserve"> million </w:t>
      </w:r>
    </w:p>
    <w:p w14:paraId="76CC0B4A" w14:textId="45856DDE" w:rsidR="002F0FAF" w:rsidRPr="00731F9B" w:rsidRDefault="002F0FAF" w:rsidP="002F0FAF">
      <w:pPr>
        <w:pStyle w:val="ListParagraph"/>
        <w:numPr>
          <w:ilvl w:val="1"/>
          <w:numId w:val="6"/>
        </w:numPr>
        <w:rPr>
          <w:lang w:val="en-AU"/>
        </w:rPr>
      </w:pPr>
      <w:r w:rsidRPr="00731F9B">
        <w:rPr>
          <w:lang w:val="en-AU"/>
        </w:rPr>
        <w:t>2022–23:  $</w:t>
      </w:r>
      <w:r w:rsidR="005B1C1D">
        <w:rPr>
          <w:lang w:val="en-AU"/>
        </w:rPr>
        <w:t>278.8</w:t>
      </w:r>
      <w:r w:rsidRPr="00731F9B">
        <w:rPr>
          <w:lang w:val="en-AU"/>
        </w:rPr>
        <w:t xml:space="preserve"> million </w:t>
      </w:r>
    </w:p>
    <w:p w14:paraId="0CD9FAAA" w14:textId="6231215B" w:rsidR="002F0FAF" w:rsidRDefault="002F0FAF" w:rsidP="002F0FAF">
      <w:pPr>
        <w:pStyle w:val="ListParagraph"/>
        <w:numPr>
          <w:ilvl w:val="1"/>
          <w:numId w:val="6"/>
        </w:numPr>
        <w:rPr>
          <w:lang w:val="en-AU"/>
        </w:rPr>
      </w:pPr>
      <w:r w:rsidRPr="00731F9B">
        <w:rPr>
          <w:lang w:val="en-AU"/>
        </w:rPr>
        <w:t>2023–24:  $</w:t>
      </w:r>
      <w:r w:rsidR="005B1C1D">
        <w:rPr>
          <w:lang w:val="en-AU"/>
        </w:rPr>
        <w:t>31.1</w:t>
      </w:r>
      <w:r w:rsidRPr="00731F9B">
        <w:rPr>
          <w:lang w:val="en-AU"/>
        </w:rPr>
        <w:t xml:space="preserve"> million </w:t>
      </w:r>
    </w:p>
    <w:p w14:paraId="6447E31F" w14:textId="71A3D64A" w:rsidR="005B1C1D" w:rsidRPr="005B1C1D" w:rsidRDefault="005B1C1D" w:rsidP="005B1C1D">
      <w:pPr>
        <w:pStyle w:val="ListParagraph"/>
        <w:numPr>
          <w:ilvl w:val="1"/>
          <w:numId w:val="6"/>
        </w:numPr>
        <w:rPr>
          <w:lang w:val="en-AU"/>
        </w:rPr>
      </w:pPr>
      <w:r w:rsidRPr="005B1C1D">
        <w:rPr>
          <w:lang w:val="en-AU"/>
        </w:rPr>
        <w:t>2024–25:  $0</w:t>
      </w:r>
      <w:r>
        <w:rPr>
          <w:lang w:val="en-AU"/>
        </w:rPr>
        <w:t>.4</w:t>
      </w:r>
      <w:r w:rsidRPr="005B1C1D">
        <w:rPr>
          <w:lang w:val="en-AU"/>
        </w:rPr>
        <w:t xml:space="preserve"> million</w:t>
      </w:r>
    </w:p>
    <w:p w14:paraId="11D99C25" w14:textId="314EEA25" w:rsidR="005B1C1D" w:rsidRPr="005B1C1D" w:rsidRDefault="005B1C1D" w:rsidP="005B1C1D">
      <w:pPr>
        <w:pStyle w:val="ListParagraph"/>
        <w:numPr>
          <w:ilvl w:val="1"/>
          <w:numId w:val="6"/>
        </w:numPr>
        <w:rPr>
          <w:lang w:val="en-AU"/>
        </w:rPr>
      </w:pPr>
      <w:r w:rsidRPr="005B1C1D">
        <w:rPr>
          <w:lang w:val="en-AU"/>
        </w:rPr>
        <w:t>TEI:  $</w:t>
      </w:r>
      <w:r>
        <w:rPr>
          <w:lang w:val="en-AU"/>
        </w:rPr>
        <w:t>491.6</w:t>
      </w:r>
      <w:r w:rsidRPr="005B1C1D">
        <w:rPr>
          <w:lang w:val="en-AU"/>
        </w:rPr>
        <w:t xml:space="preserve"> million</w:t>
      </w:r>
    </w:p>
    <w:p w14:paraId="21720B13" w14:textId="4DDCC969" w:rsidR="002F0FAF" w:rsidRPr="00731F9B" w:rsidRDefault="002F0FAF" w:rsidP="002F0FAF">
      <w:pPr>
        <w:pStyle w:val="ListParagraph"/>
        <w:numPr>
          <w:ilvl w:val="0"/>
          <w:numId w:val="6"/>
        </w:numPr>
        <w:ind w:left="426" w:hanging="426"/>
        <w:rPr>
          <w:lang w:val="en-AU"/>
        </w:rPr>
      </w:pPr>
      <w:r>
        <w:rPr>
          <w:lang w:val="en-AU"/>
        </w:rPr>
        <w:t xml:space="preserve">Relocatable </w:t>
      </w:r>
      <w:r w:rsidR="00D2387A">
        <w:rPr>
          <w:lang w:val="en-AU"/>
        </w:rPr>
        <w:t>B</w:t>
      </w:r>
      <w:r>
        <w:rPr>
          <w:lang w:val="en-AU"/>
        </w:rPr>
        <w:t xml:space="preserve">uildings </w:t>
      </w:r>
      <w:r w:rsidR="00D2387A">
        <w:rPr>
          <w:lang w:val="en-AU"/>
        </w:rPr>
        <w:t>P</w:t>
      </w:r>
      <w:r>
        <w:rPr>
          <w:lang w:val="en-AU"/>
        </w:rPr>
        <w:t>rogram</w:t>
      </w:r>
    </w:p>
    <w:p w14:paraId="2F1F9E09" w14:textId="5EA8D7BF" w:rsidR="002F0FAF" w:rsidRPr="00731F9B" w:rsidRDefault="002F0FAF" w:rsidP="002F0FAF">
      <w:pPr>
        <w:pStyle w:val="ListParagraph"/>
        <w:numPr>
          <w:ilvl w:val="1"/>
          <w:numId w:val="6"/>
        </w:numPr>
        <w:rPr>
          <w:lang w:val="en-AU"/>
        </w:rPr>
      </w:pPr>
      <w:r w:rsidRPr="00731F9B">
        <w:rPr>
          <w:lang w:val="en-AU"/>
        </w:rPr>
        <w:t>2021–22:  $</w:t>
      </w:r>
      <w:r w:rsidR="005B1C1D">
        <w:rPr>
          <w:lang w:val="en-AU"/>
        </w:rPr>
        <w:t>105.3</w:t>
      </w:r>
      <w:r w:rsidRPr="00731F9B">
        <w:rPr>
          <w:lang w:val="en-AU"/>
        </w:rPr>
        <w:t xml:space="preserve"> million </w:t>
      </w:r>
    </w:p>
    <w:p w14:paraId="08DBBF23" w14:textId="7B4992FA" w:rsidR="002F0FAF" w:rsidRPr="00731F9B" w:rsidRDefault="005B1C1D" w:rsidP="002F0FAF">
      <w:pPr>
        <w:pStyle w:val="ListParagraph"/>
        <w:numPr>
          <w:ilvl w:val="1"/>
          <w:numId w:val="6"/>
        </w:numPr>
        <w:rPr>
          <w:lang w:val="en-AU"/>
        </w:rPr>
      </w:pPr>
      <w:r>
        <w:rPr>
          <w:lang w:val="en-AU"/>
        </w:rPr>
        <w:t>TEI</w:t>
      </w:r>
      <w:r w:rsidR="002F0FAF" w:rsidRPr="00731F9B">
        <w:rPr>
          <w:lang w:val="en-AU"/>
        </w:rPr>
        <w:t>:  $</w:t>
      </w:r>
      <w:r w:rsidR="002F0FAF">
        <w:rPr>
          <w:lang w:val="en-AU"/>
        </w:rPr>
        <w:t>1</w:t>
      </w:r>
      <w:r>
        <w:rPr>
          <w:lang w:val="en-AU"/>
        </w:rPr>
        <w:t>05.3</w:t>
      </w:r>
      <w:r w:rsidR="002F0FAF" w:rsidRPr="00731F9B">
        <w:rPr>
          <w:lang w:val="en-AU"/>
        </w:rPr>
        <w:t xml:space="preserve"> million </w:t>
      </w:r>
    </w:p>
    <w:p w14:paraId="71405A82" w14:textId="3C3B0C3B" w:rsidR="002F0FAF" w:rsidRPr="00731F9B" w:rsidRDefault="002F0FAF" w:rsidP="002F0FAF">
      <w:pPr>
        <w:pStyle w:val="ListParagraph"/>
        <w:numPr>
          <w:ilvl w:val="0"/>
          <w:numId w:val="6"/>
        </w:numPr>
        <w:ind w:left="426" w:hanging="426"/>
        <w:rPr>
          <w:lang w:val="en-AU"/>
        </w:rPr>
      </w:pPr>
      <w:r>
        <w:rPr>
          <w:lang w:val="en-AU"/>
        </w:rPr>
        <w:t>School upgrades</w:t>
      </w:r>
    </w:p>
    <w:p w14:paraId="4CDD214A" w14:textId="75060713" w:rsidR="002F0FAF" w:rsidRPr="00731F9B" w:rsidRDefault="002F0FAF" w:rsidP="002F0FAF">
      <w:pPr>
        <w:pStyle w:val="ListParagraph"/>
        <w:numPr>
          <w:ilvl w:val="1"/>
          <w:numId w:val="6"/>
        </w:numPr>
        <w:rPr>
          <w:lang w:val="en-AU"/>
        </w:rPr>
      </w:pPr>
      <w:r w:rsidRPr="00731F9B">
        <w:rPr>
          <w:lang w:val="en-AU"/>
        </w:rPr>
        <w:t>2021–22:  $</w:t>
      </w:r>
      <w:r w:rsidR="005B1C1D">
        <w:rPr>
          <w:lang w:val="en-AU"/>
        </w:rPr>
        <w:t>9.2</w:t>
      </w:r>
      <w:r w:rsidRPr="00731F9B">
        <w:rPr>
          <w:lang w:val="en-AU"/>
        </w:rPr>
        <w:t xml:space="preserve"> million </w:t>
      </w:r>
    </w:p>
    <w:p w14:paraId="5A52FBA8" w14:textId="4E4C0F74" w:rsidR="002F0FAF" w:rsidRPr="00731F9B" w:rsidRDefault="002F0FAF" w:rsidP="002F0FAF">
      <w:pPr>
        <w:pStyle w:val="ListParagraph"/>
        <w:numPr>
          <w:ilvl w:val="1"/>
          <w:numId w:val="6"/>
        </w:numPr>
        <w:rPr>
          <w:lang w:val="en-AU"/>
        </w:rPr>
      </w:pPr>
      <w:r w:rsidRPr="00731F9B">
        <w:rPr>
          <w:lang w:val="en-AU"/>
        </w:rPr>
        <w:t>2022–23:  $</w:t>
      </w:r>
      <w:r w:rsidR="005B1C1D">
        <w:rPr>
          <w:lang w:val="en-AU"/>
        </w:rPr>
        <w:t>106.4</w:t>
      </w:r>
      <w:r w:rsidRPr="00731F9B">
        <w:rPr>
          <w:lang w:val="en-AU"/>
        </w:rPr>
        <w:t xml:space="preserve"> million </w:t>
      </w:r>
    </w:p>
    <w:p w14:paraId="3C8D4BD3" w14:textId="48250DF8" w:rsidR="002F0FAF" w:rsidRPr="00731F9B" w:rsidRDefault="002F0FAF" w:rsidP="002F0FAF">
      <w:pPr>
        <w:pStyle w:val="ListParagraph"/>
        <w:numPr>
          <w:ilvl w:val="1"/>
          <w:numId w:val="6"/>
        </w:numPr>
        <w:rPr>
          <w:lang w:val="en-AU"/>
        </w:rPr>
      </w:pPr>
      <w:r w:rsidRPr="00731F9B">
        <w:rPr>
          <w:lang w:val="en-AU"/>
        </w:rPr>
        <w:t>2023–24:  $</w:t>
      </w:r>
      <w:r w:rsidR="005B1C1D">
        <w:rPr>
          <w:lang w:val="en-AU"/>
        </w:rPr>
        <w:t>204.0</w:t>
      </w:r>
      <w:r w:rsidRPr="00731F9B">
        <w:rPr>
          <w:lang w:val="en-AU"/>
        </w:rPr>
        <w:t xml:space="preserve"> million </w:t>
      </w:r>
    </w:p>
    <w:p w14:paraId="13A2B7CB" w14:textId="3682FF0F" w:rsidR="002F0FAF" w:rsidRDefault="002F0FAF" w:rsidP="002F0FAF">
      <w:pPr>
        <w:pStyle w:val="ListParagraph"/>
        <w:numPr>
          <w:ilvl w:val="1"/>
          <w:numId w:val="6"/>
        </w:numPr>
        <w:rPr>
          <w:lang w:val="en-AU"/>
        </w:rPr>
      </w:pPr>
      <w:r w:rsidRPr="00731F9B">
        <w:rPr>
          <w:lang w:val="en-AU"/>
        </w:rPr>
        <w:t>2024–25:  $</w:t>
      </w:r>
      <w:r>
        <w:rPr>
          <w:lang w:val="en-AU"/>
        </w:rPr>
        <w:t>1</w:t>
      </w:r>
      <w:r w:rsidR="005B1C1D">
        <w:rPr>
          <w:lang w:val="en-AU"/>
        </w:rPr>
        <w:t>9.8</w:t>
      </w:r>
      <w:r w:rsidRPr="00731F9B">
        <w:rPr>
          <w:lang w:val="en-AU"/>
        </w:rPr>
        <w:t xml:space="preserve"> million </w:t>
      </w:r>
    </w:p>
    <w:p w14:paraId="5A7FB4A5" w14:textId="0D2FBBC0" w:rsidR="005B1C1D" w:rsidRPr="00731F9B" w:rsidRDefault="005B1C1D" w:rsidP="002F0FAF">
      <w:pPr>
        <w:pStyle w:val="ListParagraph"/>
        <w:numPr>
          <w:ilvl w:val="1"/>
          <w:numId w:val="6"/>
        </w:numPr>
        <w:rPr>
          <w:lang w:val="en-AU"/>
        </w:rPr>
      </w:pPr>
      <w:r>
        <w:rPr>
          <w:lang w:val="en-AU"/>
        </w:rPr>
        <w:t>TEI:  $340.0 million</w:t>
      </w:r>
    </w:p>
    <w:p w14:paraId="6471ADED" w14:textId="6EF52D61" w:rsidR="002F0FAF" w:rsidRPr="00731F9B" w:rsidRDefault="002F0FAF" w:rsidP="002F0FAF">
      <w:pPr>
        <w:pStyle w:val="ListParagraph"/>
        <w:numPr>
          <w:ilvl w:val="0"/>
          <w:numId w:val="6"/>
        </w:numPr>
        <w:ind w:left="426" w:hanging="426"/>
        <w:rPr>
          <w:lang w:val="en-AU"/>
        </w:rPr>
      </w:pPr>
      <w:r>
        <w:rPr>
          <w:lang w:val="en-AU"/>
        </w:rPr>
        <w:t>School upgrades: growth for 2024</w:t>
      </w:r>
    </w:p>
    <w:p w14:paraId="782A4C5D" w14:textId="3C9716E6" w:rsidR="002F0FAF" w:rsidRPr="00731F9B" w:rsidRDefault="002F0FAF" w:rsidP="002F0FAF">
      <w:pPr>
        <w:pStyle w:val="ListParagraph"/>
        <w:numPr>
          <w:ilvl w:val="1"/>
          <w:numId w:val="6"/>
        </w:numPr>
        <w:rPr>
          <w:lang w:val="en-AU"/>
        </w:rPr>
      </w:pPr>
      <w:r w:rsidRPr="00731F9B">
        <w:rPr>
          <w:lang w:val="en-AU"/>
        </w:rPr>
        <w:t>2021–22:  $2</w:t>
      </w:r>
      <w:r>
        <w:rPr>
          <w:lang w:val="en-AU"/>
        </w:rPr>
        <w:t>.</w:t>
      </w:r>
      <w:r w:rsidR="005B1C1D">
        <w:rPr>
          <w:lang w:val="en-AU"/>
        </w:rPr>
        <w:t>3</w:t>
      </w:r>
      <w:r w:rsidRPr="00731F9B">
        <w:rPr>
          <w:lang w:val="en-AU"/>
        </w:rPr>
        <w:t xml:space="preserve"> million </w:t>
      </w:r>
    </w:p>
    <w:p w14:paraId="09C081E0" w14:textId="4ACCDFE8" w:rsidR="002F0FAF" w:rsidRPr="00731F9B" w:rsidRDefault="002F0FAF" w:rsidP="002F0FAF">
      <w:pPr>
        <w:pStyle w:val="ListParagraph"/>
        <w:numPr>
          <w:ilvl w:val="1"/>
          <w:numId w:val="6"/>
        </w:numPr>
        <w:rPr>
          <w:lang w:val="en-AU"/>
        </w:rPr>
      </w:pPr>
      <w:r w:rsidRPr="00731F9B">
        <w:rPr>
          <w:lang w:val="en-AU"/>
        </w:rPr>
        <w:t>2022–23:  $</w:t>
      </w:r>
      <w:r w:rsidR="005B1C1D">
        <w:rPr>
          <w:lang w:val="en-AU"/>
        </w:rPr>
        <w:t>23.2</w:t>
      </w:r>
      <w:r w:rsidRPr="00731F9B">
        <w:rPr>
          <w:lang w:val="en-AU"/>
        </w:rPr>
        <w:t xml:space="preserve"> million </w:t>
      </w:r>
    </w:p>
    <w:p w14:paraId="45C26503" w14:textId="77777777" w:rsidR="005B1C1D" w:rsidRDefault="002F0FAF" w:rsidP="002F0FAF">
      <w:pPr>
        <w:pStyle w:val="ListParagraph"/>
        <w:numPr>
          <w:ilvl w:val="1"/>
          <w:numId w:val="6"/>
        </w:numPr>
        <w:rPr>
          <w:lang w:val="en-AU"/>
        </w:rPr>
      </w:pPr>
      <w:r w:rsidRPr="00731F9B">
        <w:rPr>
          <w:lang w:val="en-AU"/>
        </w:rPr>
        <w:t>2023–24:  $</w:t>
      </w:r>
      <w:r w:rsidR="005B1C1D">
        <w:rPr>
          <w:lang w:val="en-AU"/>
        </w:rPr>
        <w:t>49.8</w:t>
      </w:r>
      <w:r w:rsidRPr="00731F9B">
        <w:rPr>
          <w:lang w:val="en-AU"/>
        </w:rPr>
        <w:t xml:space="preserve"> million</w:t>
      </w:r>
    </w:p>
    <w:p w14:paraId="4DA9FF21" w14:textId="3B26E71F" w:rsidR="005B1C1D" w:rsidRDefault="005B1C1D" w:rsidP="005B1C1D">
      <w:pPr>
        <w:pStyle w:val="ListParagraph"/>
        <w:numPr>
          <w:ilvl w:val="1"/>
          <w:numId w:val="6"/>
        </w:numPr>
        <w:rPr>
          <w:lang w:val="en-AU"/>
        </w:rPr>
      </w:pPr>
      <w:r w:rsidRPr="00731F9B">
        <w:rPr>
          <w:lang w:val="en-AU"/>
        </w:rPr>
        <w:t>2024–25:  $</w:t>
      </w:r>
      <w:r>
        <w:rPr>
          <w:lang w:val="en-AU"/>
        </w:rPr>
        <w:t>9.5</w:t>
      </w:r>
      <w:r w:rsidRPr="00731F9B">
        <w:rPr>
          <w:lang w:val="en-AU"/>
        </w:rPr>
        <w:t xml:space="preserve"> million </w:t>
      </w:r>
    </w:p>
    <w:p w14:paraId="39432C0B" w14:textId="4391A4FC" w:rsidR="002F0FAF" w:rsidRPr="005B1C1D" w:rsidRDefault="005B1C1D" w:rsidP="005B1C1D">
      <w:pPr>
        <w:pStyle w:val="ListParagraph"/>
        <w:numPr>
          <w:ilvl w:val="1"/>
          <w:numId w:val="6"/>
        </w:numPr>
        <w:rPr>
          <w:lang w:val="en-AU"/>
        </w:rPr>
      </w:pPr>
      <w:r>
        <w:rPr>
          <w:lang w:val="en-AU"/>
        </w:rPr>
        <w:t>TEI:  $85.0 million</w:t>
      </w:r>
      <w:r w:rsidR="002F0FAF" w:rsidRPr="005B1C1D">
        <w:rPr>
          <w:lang w:val="en-AU"/>
        </w:rPr>
        <w:t xml:space="preserve"> </w:t>
      </w:r>
    </w:p>
    <w:p w14:paraId="60FD6847" w14:textId="76E15B31" w:rsidR="002F0FAF" w:rsidRPr="00731F9B" w:rsidRDefault="002F0FAF" w:rsidP="002F0FAF">
      <w:pPr>
        <w:pStyle w:val="ListParagraph"/>
        <w:numPr>
          <w:ilvl w:val="0"/>
          <w:numId w:val="6"/>
        </w:numPr>
        <w:ind w:left="426" w:hanging="426"/>
        <w:rPr>
          <w:lang w:val="en-AU"/>
        </w:rPr>
      </w:pPr>
      <w:r>
        <w:rPr>
          <w:lang w:val="en-AU"/>
        </w:rPr>
        <w:t>Victorian Academy of Teaching and Leadership</w:t>
      </w:r>
    </w:p>
    <w:p w14:paraId="7496542A" w14:textId="38E8861C" w:rsidR="002F0FAF" w:rsidRPr="00731F9B" w:rsidRDefault="002F0FAF" w:rsidP="002F0FAF">
      <w:pPr>
        <w:pStyle w:val="ListParagraph"/>
        <w:numPr>
          <w:ilvl w:val="1"/>
          <w:numId w:val="6"/>
        </w:numPr>
        <w:rPr>
          <w:lang w:val="en-AU"/>
        </w:rPr>
      </w:pPr>
      <w:r w:rsidRPr="00731F9B">
        <w:rPr>
          <w:lang w:val="en-AU"/>
        </w:rPr>
        <w:t>2021–22:  $</w:t>
      </w:r>
      <w:r w:rsidR="005B1C1D">
        <w:rPr>
          <w:lang w:val="en-AU"/>
        </w:rPr>
        <w:t>11.6</w:t>
      </w:r>
      <w:r w:rsidRPr="00731F9B">
        <w:rPr>
          <w:lang w:val="en-AU"/>
        </w:rPr>
        <w:t xml:space="preserve"> million </w:t>
      </w:r>
    </w:p>
    <w:p w14:paraId="4627D06F" w14:textId="3F87806D" w:rsidR="002F0FAF" w:rsidRPr="00731F9B" w:rsidRDefault="002F0FAF" w:rsidP="002F0FAF">
      <w:pPr>
        <w:pStyle w:val="ListParagraph"/>
        <w:numPr>
          <w:ilvl w:val="1"/>
          <w:numId w:val="6"/>
        </w:numPr>
        <w:rPr>
          <w:lang w:val="en-AU"/>
        </w:rPr>
      </w:pPr>
      <w:r w:rsidRPr="00731F9B">
        <w:rPr>
          <w:lang w:val="en-AU"/>
        </w:rPr>
        <w:t>2022–23:  $</w:t>
      </w:r>
      <w:r>
        <w:rPr>
          <w:lang w:val="en-AU"/>
        </w:rPr>
        <w:t>1</w:t>
      </w:r>
      <w:r w:rsidR="005B1C1D">
        <w:rPr>
          <w:lang w:val="en-AU"/>
        </w:rPr>
        <w:t>0.2</w:t>
      </w:r>
      <w:r w:rsidRPr="00731F9B">
        <w:rPr>
          <w:lang w:val="en-AU"/>
        </w:rPr>
        <w:t xml:space="preserve"> million </w:t>
      </w:r>
    </w:p>
    <w:p w14:paraId="007411DD" w14:textId="583B658C" w:rsidR="002F0FAF" w:rsidRPr="00731F9B" w:rsidRDefault="005B1C1D" w:rsidP="002F0FAF">
      <w:pPr>
        <w:pStyle w:val="ListParagraph"/>
        <w:numPr>
          <w:ilvl w:val="1"/>
          <w:numId w:val="6"/>
        </w:numPr>
        <w:rPr>
          <w:lang w:val="en-AU"/>
        </w:rPr>
      </w:pPr>
      <w:r>
        <w:rPr>
          <w:lang w:val="en-AU"/>
        </w:rPr>
        <w:t>TEI</w:t>
      </w:r>
      <w:r w:rsidR="002F0FAF" w:rsidRPr="00731F9B">
        <w:rPr>
          <w:lang w:val="en-AU"/>
        </w:rPr>
        <w:t>:  $</w:t>
      </w:r>
      <w:r w:rsidR="002F0FAF">
        <w:rPr>
          <w:lang w:val="en-AU"/>
        </w:rPr>
        <w:t>2</w:t>
      </w:r>
      <w:r>
        <w:rPr>
          <w:lang w:val="en-AU"/>
        </w:rPr>
        <w:t>1</w:t>
      </w:r>
      <w:r w:rsidR="002F0FAF">
        <w:rPr>
          <w:lang w:val="en-AU"/>
        </w:rPr>
        <w:t>.</w:t>
      </w:r>
      <w:r>
        <w:rPr>
          <w:lang w:val="en-AU"/>
        </w:rPr>
        <w:t>8</w:t>
      </w:r>
      <w:r w:rsidR="002F0FAF" w:rsidRPr="00731F9B">
        <w:rPr>
          <w:lang w:val="en-AU"/>
        </w:rPr>
        <w:t xml:space="preserve"> million </w:t>
      </w:r>
    </w:p>
    <w:p w14:paraId="143EED50" w14:textId="4157DA15" w:rsidR="005B1C1D" w:rsidRPr="00366A33" w:rsidRDefault="005B1C1D" w:rsidP="005B1C1D">
      <w:pPr>
        <w:pStyle w:val="ESBodyText"/>
        <w:rPr>
          <w:rFonts w:eastAsiaTheme="majorEastAsia" w:cstheme="majorBidi"/>
          <w:b/>
          <w:bCs/>
          <w:color w:val="AF272F"/>
          <w:szCs w:val="20"/>
          <w:lang w:val="en-AU"/>
        </w:rPr>
      </w:pPr>
      <w:r>
        <w:rPr>
          <w:rFonts w:eastAsiaTheme="majorEastAsia" w:cstheme="majorBidi"/>
          <w:b/>
          <w:bCs/>
          <w:color w:val="AF272F"/>
          <w:szCs w:val="20"/>
          <w:lang w:val="en-AU"/>
        </w:rPr>
        <w:t>SUPPORT FOR STUDENTS WITH DISABILITIES</w:t>
      </w:r>
    </w:p>
    <w:p w14:paraId="4D22E3C3" w14:textId="6F0A972A" w:rsidR="005B1C1D" w:rsidRPr="005B1C1D" w:rsidRDefault="00EA7164" w:rsidP="005B1C1D">
      <w:pPr>
        <w:pStyle w:val="ListParagraph"/>
        <w:numPr>
          <w:ilvl w:val="0"/>
          <w:numId w:val="6"/>
        </w:numPr>
        <w:ind w:left="426" w:hanging="426"/>
        <w:rPr>
          <w:lang w:val="en-AU"/>
        </w:rPr>
      </w:pPr>
      <w:r>
        <w:rPr>
          <w:lang w:val="en-AU"/>
        </w:rPr>
        <w:t xml:space="preserve">Accessible </w:t>
      </w:r>
      <w:r w:rsidR="00D2387A">
        <w:rPr>
          <w:lang w:val="en-AU"/>
        </w:rPr>
        <w:t>B</w:t>
      </w:r>
      <w:r>
        <w:rPr>
          <w:lang w:val="en-AU"/>
        </w:rPr>
        <w:t xml:space="preserve">uildings </w:t>
      </w:r>
      <w:r w:rsidR="00D2387A">
        <w:rPr>
          <w:lang w:val="en-AU"/>
        </w:rPr>
        <w:t>P</w:t>
      </w:r>
      <w:r>
        <w:rPr>
          <w:lang w:val="en-AU"/>
        </w:rPr>
        <w:t>rogram</w:t>
      </w:r>
    </w:p>
    <w:p w14:paraId="4E88978A" w14:textId="79FDB7CB" w:rsidR="005B1C1D" w:rsidRPr="005B1C1D" w:rsidRDefault="005B1C1D" w:rsidP="005B1C1D">
      <w:pPr>
        <w:pStyle w:val="ListParagraph"/>
        <w:numPr>
          <w:ilvl w:val="1"/>
          <w:numId w:val="6"/>
        </w:numPr>
        <w:rPr>
          <w:lang w:val="en-AU"/>
        </w:rPr>
      </w:pPr>
      <w:r w:rsidRPr="005B1C1D">
        <w:rPr>
          <w:lang w:val="en-AU"/>
        </w:rPr>
        <w:t>2021–22:  $</w:t>
      </w:r>
      <w:r w:rsidR="00EA7164">
        <w:rPr>
          <w:lang w:val="en-AU"/>
        </w:rPr>
        <w:t>10.0</w:t>
      </w:r>
      <w:r w:rsidRPr="005B1C1D">
        <w:rPr>
          <w:lang w:val="en-AU"/>
        </w:rPr>
        <w:t xml:space="preserve"> million </w:t>
      </w:r>
    </w:p>
    <w:p w14:paraId="3DAF09AF" w14:textId="2401E9B2" w:rsidR="00EA7164" w:rsidRPr="005B1C1D" w:rsidRDefault="00EA7164" w:rsidP="00EA7164">
      <w:pPr>
        <w:pStyle w:val="ListParagraph"/>
        <w:numPr>
          <w:ilvl w:val="1"/>
          <w:numId w:val="6"/>
        </w:numPr>
        <w:rPr>
          <w:lang w:val="en-AU"/>
        </w:rPr>
      </w:pPr>
      <w:r w:rsidRPr="005B1C1D">
        <w:rPr>
          <w:lang w:val="en-AU"/>
        </w:rPr>
        <w:t>2022–23:  $5.</w:t>
      </w:r>
      <w:r>
        <w:rPr>
          <w:lang w:val="en-AU"/>
        </w:rPr>
        <w:t>0</w:t>
      </w:r>
      <w:r w:rsidRPr="005B1C1D">
        <w:rPr>
          <w:lang w:val="en-AU"/>
        </w:rPr>
        <w:t xml:space="preserve"> million </w:t>
      </w:r>
    </w:p>
    <w:p w14:paraId="692A71F5" w14:textId="1B5E8E02" w:rsidR="005B1C1D" w:rsidRPr="005B1C1D" w:rsidRDefault="005B1C1D" w:rsidP="005B1C1D">
      <w:pPr>
        <w:pStyle w:val="ListParagraph"/>
        <w:numPr>
          <w:ilvl w:val="1"/>
          <w:numId w:val="6"/>
        </w:numPr>
        <w:rPr>
          <w:lang w:val="en-AU"/>
        </w:rPr>
      </w:pPr>
      <w:r w:rsidRPr="005B1C1D">
        <w:rPr>
          <w:lang w:val="en-AU"/>
        </w:rPr>
        <w:t>TEI:  $</w:t>
      </w:r>
      <w:r w:rsidR="00EA7164">
        <w:rPr>
          <w:lang w:val="en-AU"/>
        </w:rPr>
        <w:t>15.0</w:t>
      </w:r>
      <w:r w:rsidRPr="005B1C1D">
        <w:rPr>
          <w:lang w:val="en-AU"/>
        </w:rPr>
        <w:t xml:space="preserve"> million </w:t>
      </w:r>
    </w:p>
    <w:p w14:paraId="1C62A244" w14:textId="64DC3E6C" w:rsidR="005B1C1D" w:rsidRPr="005B1C1D" w:rsidRDefault="00EA7164" w:rsidP="005B1C1D">
      <w:pPr>
        <w:pStyle w:val="ListParagraph"/>
        <w:numPr>
          <w:ilvl w:val="0"/>
          <w:numId w:val="6"/>
        </w:numPr>
        <w:ind w:left="426" w:hanging="426"/>
        <w:rPr>
          <w:lang w:val="en-AU"/>
        </w:rPr>
      </w:pPr>
      <w:r>
        <w:rPr>
          <w:lang w:val="en-AU"/>
        </w:rPr>
        <w:t xml:space="preserve">Inclusive </w:t>
      </w:r>
      <w:r w:rsidR="00D2387A">
        <w:rPr>
          <w:lang w:val="en-AU"/>
        </w:rPr>
        <w:t>S</w:t>
      </w:r>
      <w:r>
        <w:rPr>
          <w:lang w:val="en-AU"/>
        </w:rPr>
        <w:t xml:space="preserve">chools </w:t>
      </w:r>
      <w:r w:rsidR="00D2387A">
        <w:rPr>
          <w:lang w:val="en-AU"/>
        </w:rPr>
        <w:t>F</w:t>
      </w:r>
      <w:r>
        <w:rPr>
          <w:lang w:val="en-AU"/>
        </w:rPr>
        <w:t>und</w:t>
      </w:r>
    </w:p>
    <w:p w14:paraId="0EF7D184" w14:textId="1DE657C7" w:rsidR="005B1C1D" w:rsidRPr="005B1C1D" w:rsidRDefault="005B1C1D" w:rsidP="005B1C1D">
      <w:pPr>
        <w:pStyle w:val="ListParagraph"/>
        <w:numPr>
          <w:ilvl w:val="1"/>
          <w:numId w:val="6"/>
        </w:numPr>
        <w:rPr>
          <w:lang w:val="en-AU"/>
        </w:rPr>
      </w:pPr>
      <w:r w:rsidRPr="005B1C1D">
        <w:rPr>
          <w:lang w:val="en-AU"/>
        </w:rPr>
        <w:t>2021–22:  $1.</w:t>
      </w:r>
      <w:r w:rsidR="00EA7164">
        <w:rPr>
          <w:lang w:val="en-AU"/>
        </w:rPr>
        <w:t>0</w:t>
      </w:r>
      <w:r w:rsidRPr="005B1C1D">
        <w:rPr>
          <w:lang w:val="en-AU"/>
        </w:rPr>
        <w:t xml:space="preserve"> million </w:t>
      </w:r>
    </w:p>
    <w:p w14:paraId="542D5B04" w14:textId="2CA7DCE0" w:rsidR="005B1C1D" w:rsidRPr="005B1C1D" w:rsidRDefault="005B1C1D" w:rsidP="005B1C1D">
      <w:pPr>
        <w:pStyle w:val="ListParagraph"/>
        <w:numPr>
          <w:ilvl w:val="1"/>
          <w:numId w:val="6"/>
        </w:numPr>
        <w:rPr>
          <w:lang w:val="en-AU"/>
        </w:rPr>
      </w:pPr>
      <w:r w:rsidRPr="005B1C1D">
        <w:rPr>
          <w:lang w:val="en-AU"/>
        </w:rPr>
        <w:t>2022–23:  $</w:t>
      </w:r>
      <w:r w:rsidR="00EA7164">
        <w:rPr>
          <w:lang w:val="en-AU"/>
        </w:rPr>
        <w:t>9</w:t>
      </w:r>
      <w:r w:rsidRPr="005B1C1D">
        <w:rPr>
          <w:lang w:val="en-AU"/>
        </w:rPr>
        <w:t>.</w:t>
      </w:r>
      <w:r w:rsidR="00EA7164">
        <w:rPr>
          <w:lang w:val="en-AU"/>
        </w:rPr>
        <w:t>0</w:t>
      </w:r>
      <w:r w:rsidRPr="005B1C1D">
        <w:rPr>
          <w:lang w:val="en-AU"/>
        </w:rPr>
        <w:t xml:space="preserve"> million </w:t>
      </w:r>
    </w:p>
    <w:p w14:paraId="60F4219A" w14:textId="7C9092BD" w:rsidR="005B1C1D" w:rsidRPr="005B1C1D" w:rsidRDefault="005B1C1D" w:rsidP="005B1C1D">
      <w:pPr>
        <w:pStyle w:val="ListParagraph"/>
        <w:numPr>
          <w:ilvl w:val="1"/>
          <w:numId w:val="6"/>
        </w:numPr>
        <w:rPr>
          <w:lang w:val="en-AU"/>
        </w:rPr>
      </w:pPr>
      <w:r w:rsidRPr="005B1C1D">
        <w:rPr>
          <w:lang w:val="en-AU"/>
        </w:rPr>
        <w:t>TEI:  $</w:t>
      </w:r>
      <w:r w:rsidR="00EA7164">
        <w:rPr>
          <w:lang w:val="en-AU"/>
        </w:rPr>
        <w:t>1</w:t>
      </w:r>
      <w:r w:rsidRPr="005B1C1D">
        <w:rPr>
          <w:lang w:val="en-AU"/>
        </w:rPr>
        <w:t>0.0 million</w:t>
      </w:r>
    </w:p>
    <w:p w14:paraId="10B9FB32" w14:textId="2A598D68" w:rsidR="005B1C1D" w:rsidRPr="005B1C1D" w:rsidRDefault="00EA7164" w:rsidP="005B1C1D">
      <w:pPr>
        <w:pStyle w:val="ListParagraph"/>
        <w:numPr>
          <w:ilvl w:val="0"/>
          <w:numId w:val="6"/>
        </w:numPr>
        <w:ind w:left="426" w:hanging="426"/>
        <w:rPr>
          <w:lang w:val="en-AU"/>
        </w:rPr>
      </w:pPr>
      <w:r>
        <w:rPr>
          <w:lang w:val="en-AU"/>
        </w:rPr>
        <w:lastRenderedPageBreak/>
        <w:t>Planning for schools</w:t>
      </w:r>
    </w:p>
    <w:p w14:paraId="49E6765E" w14:textId="00DFDCF1" w:rsidR="005B1C1D" w:rsidRPr="005B1C1D" w:rsidRDefault="005B1C1D" w:rsidP="005B1C1D">
      <w:pPr>
        <w:pStyle w:val="ListParagraph"/>
        <w:numPr>
          <w:ilvl w:val="1"/>
          <w:numId w:val="6"/>
        </w:numPr>
        <w:rPr>
          <w:lang w:val="en-AU"/>
        </w:rPr>
      </w:pPr>
      <w:r w:rsidRPr="005B1C1D">
        <w:rPr>
          <w:lang w:val="en-AU"/>
        </w:rPr>
        <w:t>2021–22:  $</w:t>
      </w:r>
      <w:r w:rsidR="00EA7164">
        <w:rPr>
          <w:lang w:val="en-AU"/>
        </w:rPr>
        <w:t>0</w:t>
      </w:r>
      <w:r w:rsidRPr="005B1C1D">
        <w:rPr>
          <w:lang w:val="en-AU"/>
        </w:rPr>
        <w:t>.</w:t>
      </w:r>
      <w:r w:rsidR="00EA7164">
        <w:rPr>
          <w:lang w:val="en-AU"/>
        </w:rPr>
        <w:t>5</w:t>
      </w:r>
      <w:r w:rsidRPr="005B1C1D">
        <w:rPr>
          <w:lang w:val="en-AU"/>
        </w:rPr>
        <w:t xml:space="preserve"> million </w:t>
      </w:r>
    </w:p>
    <w:p w14:paraId="2957DFBF" w14:textId="5948EEE5" w:rsidR="005B1C1D" w:rsidRPr="005B1C1D" w:rsidRDefault="005B1C1D" w:rsidP="005B1C1D">
      <w:pPr>
        <w:pStyle w:val="ListParagraph"/>
        <w:numPr>
          <w:ilvl w:val="1"/>
          <w:numId w:val="6"/>
        </w:numPr>
        <w:rPr>
          <w:lang w:val="en-AU"/>
        </w:rPr>
      </w:pPr>
      <w:r w:rsidRPr="005B1C1D">
        <w:rPr>
          <w:lang w:val="en-AU"/>
        </w:rPr>
        <w:t>2022–23:  $</w:t>
      </w:r>
      <w:r w:rsidR="00EA7164">
        <w:rPr>
          <w:lang w:val="en-AU"/>
        </w:rPr>
        <w:t>0</w:t>
      </w:r>
      <w:r w:rsidRPr="005B1C1D">
        <w:rPr>
          <w:lang w:val="en-AU"/>
        </w:rPr>
        <w:t>.</w:t>
      </w:r>
      <w:r w:rsidR="00EA7164">
        <w:rPr>
          <w:lang w:val="en-AU"/>
        </w:rPr>
        <w:t>5</w:t>
      </w:r>
      <w:r w:rsidRPr="005B1C1D">
        <w:rPr>
          <w:lang w:val="en-AU"/>
        </w:rPr>
        <w:t xml:space="preserve"> million </w:t>
      </w:r>
    </w:p>
    <w:p w14:paraId="56CC199B" w14:textId="77777777" w:rsidR="005B1C1D" w:rsidRPr="005B1C1D" w:rsidRDefault="005B1C1D" w:rsidP="005B1C1D">
      <w:pPr>
        <w:pStyle w:val="ListParagraph"/>
        <w:numPr>
          <w:ilvl w:val="1"/>
          <w:numId w:val="6"/>
        </w:numPr>
        <w:rPr>
          <w:lang w:val="en-AU"/>
        </w:rPr>
      </w:pPr>
      <w:r w:rsidRPr="005B1C1D">
        <w:rPr>
          <w:lang w:val="en-AU"/>
        </w:rPr>
        <w:t xml:space="preserve">TEI:  $276.4 million </w:t>
      </w:r>
    </w:p>
    <w:p w14:paraId="5B533463" w14:textId="24785148" w:rsidR="00EA7164" w:rsidRPr="00366A33" w:rsidRDefault="00EA7164" w:rsidP="00EA7164">
      <w:pPr>
        <w:pStyle w:val="ESBodyText"/>
        <w:rPr>
          <w:rFonts w:eastAsiaTheme="majorEastAsia" w:cstheme="majorBidi"/>
          <w:b/>
          <w:bCs/>
          <w:color w:val="AF272F"/>
          <w:szCs w:val="20"/>
          <w:lang w:val="en-AU"/>
        </w:rPr>
      </w:pPr>
      <w:r>
        <w:rPr>
          <w:rFonts w:eastAsiaTheme="majorEastAsia" w:cstheme="majorBidi"/>
          <w:b/>
          <w:bCs/>
          <w:color w:val="AF272F"/>
          <w:szCs w:val="20"/>
          <w:lang w:val="en-AU"/>
        </w:rPr>
        <w:t>TRAINING, HIGHER EDUCATION AND WORKFORCE DEVELOPMENT</w:t>
      </w:r>
    </w:p>
    <w:p w14:paraId="220DAF74" w14:textId="0DE75C13" w:rsidR="00EA7164" w:rsidRPr="005B1C1D" w:rsidRDefault="00EA7164" w:rsidP="00EA7164">
      <w:pPr>
        <w:pStyle w:val="ListParagraph"/>
        <w:numPr>
          <w:ilvl w:val="0"/>
          <w:numId w:val="6"/>
        </w:numPr>
        <w:ind w:left="426" w:hanging="426"/>
        <w:rPr>
          <w:lang w:val="en-AU"/>
        </w:rPr>
      </w:pPr>
      <w:r>
        <w:rPr>
          <w:lang w:val="en-AU"/>
        </w:rPr>
        <w:t>Building better TAFEs fund</w:t>
      </w:r>
    </w:p>
    <w:p w14:paraId="0210C7CA" w14:textId="6262A62C" w:rsidR="00EA7164" w:rsidRPr="005B1C1D" w:rsidRDefault="00EA7164" w:rsidP="00EA7164">
      <w:pPr>
        <w:pStyle w:val="ListParagraph"/>
        <w:numPr>
          <w:ilvl w:val="1"/>
          <w:numId w:val="6"/>
        </w:numPr>
        <w:rPr>
          <w:lang w:val="en-AU"/>
        </w:rPr>
      </w:pPr>
      <w:r w:rsidRPr="005B1C1D">
        <w:rPr>
          <w:lang w:val="en-AU"/>
        </w:rPr>
        <w:t>2021–22:  $</w:t>
      </w:r>
      <w:r>
        <w:rPr>
          <w:lang w:val="en-AU"/>
        </w:rPr>
        <w:t>7.5</w:t>
      </w:r>
      <w:r w:rsidRPr="005B1C1D">
        <w:rPr>
          <w:lang w:val="en-AU"/>
        </w:rPr>
        <w:t xml:space="preserve"> million </w:t>
      </w:r>
    </w:p>
    <w:p w14:paraId="58CD5145" w14:textId="440A5AD1" w:rsidR="00EA7164" w:rsidRPr="005B1C1D" w:rsidRDefault="00EA7164" w:rsidP="00EA7164">
      <w:pPr>
        <w:pStyle w:val="ListParagraph"/>
        <w:numPr>
          <w:ilvl w:val="1"/>
          <w:numId w:val="6"/>
        </w:numPr>
        <w:rPr>
          <w:lang w:val="en-AU"/>
        </w:rPr>
      </w:pPr>
      <w:r w:rsidRPr="005B1C1D">
        <w:rPr>
          <w:lang w:val="en-AU"/>
        </w:rPr>
        <w:t>2022–23:  $</w:t>
      </w:r>
      <w:r>
        <w:rPr>
          <w:lang w:val="en-AU"/>
        </w:rPr>
        <w:t>33.7</w:t>
      </w:r>
      <w:r w:rsidRPr="005B1C1D">
        <w:rPr>
          <w:lang w:val="en-AU"/>
        </w:rPr>
        <w:t xml:space="preserve"> million </w:t>
      </w:r>
    </w:p>
    <w:p w14:paraId="3307C17B" w14:textId="22449344" w:rsidR="00EA7164" w:rsidRDefault="00EA7164" w:rsidP="00EA7164">
      <w:pPr>
        <w:pStyle w:val="ListParagraph"/>
        <w:numPr>
          <w:ilvl w:val="1"/>
          <w:numId w:val="6"/>
        </w:numPr>
        <w:rPr>
          <w:lang w:val="en-AU"/>
        </w:rPr>
      </w:pPr>
      <w:r w:rsidRPr="00731F9B">
        <w:rPr>
          <w:lang w:val="en-AU"/>
        </w:rPr>
        <w:t>2023–24:  $</w:t>
      </w:r>
      <w:r>
        <w:rPr>
          <w:lang w:val="en-AU"/>
        </w:rPr>
        <w:t>29.4</w:t>
      </w:r>
      <w:r w:rsidRPr="00731F9B">
        <w:rPr>
          <w:lang w:val="en-AU"/>
        </w:rPr>
        <w:t xml:space="preserve"> million</w:t>
      </w:r>
    </w:p>
    <w:p w14:paraId="4B9658DC" w14:textId="388B0FE7" w:rsidR="00EA7164" w:rsidRDefault="00EA7164" w:rsidP="00EA7164">
      <w:pPr>
        <w:pStyle w:val="ListParagraph"/>
        <w:numPr>
          <w:ilvl w:val="1"/>
          <w:numId w:val="6"/>
        </w:numPr>
        <w:rPr>
          <w:lang w:val="en-AU"/>
        </w:rPr>
      </w:pPr>
      <w:r w:rsidRPr="00731F9B">
        <w:rPr>
          <w:lang w:val="en-AU"/>
        </w:rPr>
        <w:t>2024–25:  $</w:t>
      </w:r>
      <w:r>
        <w:rPr>
          <w:lang w:val="en-AU"/>
        </w:rPr>
        <w:t>1.9</w:t>
      </w:r>
      <w:r w:rsidRPr="00731F9B">
        <w:rPr>
          <w:lang w:val="en-AU"/>
        </w:rPr>
        <w:t xml:space="preserve"> million </w:t>
      </w:r>
    </w:p>
    <w:p w14:paraId="61DBCD35" w14:textId="319F6B10" w:rsidR="00EA7164" w:rsidRPr="005B1C1D" w:rsidRDefault="00EA7164" w:rsidP="00EA7164">
      <w:pPr>
        <w:pStyle w:val="ListParagraph"/>
        <w:numPr>
          <w:ilvl w:val="1"/>
          <w:numId w:val="6"/>
        </w:numPr>
        <w:rPr>
          <w:lang w:val="en-AU"/>
        </w:rPr>
      </w:pPr>
      <w:r>
        <w:rPr>
          <w:lang w:val="en-AU"/>
        </w:rPr>
        <w:t>TEI:  $72.4 million</w:t>
      </w:r>
      <w:r w:rsidRPr="005B1C1D">
        <w:rPr>
          <w:lang w:val="en-AU"/>
        </w:rPr>
        <w:t xml:space="preserve"> </w:t>
      </w:r>
    </w:p>
    <w:p w14:paraId="2278620B" w14:textId="11BA573E" w:rsidR="00EA7164" w:rsidRPr="005B1C1D" w:rsidRDefault="00EA7164" w:rsidP="00EA7164">
      <w:pPr>
        <w:pStyle w:val="ListParagraph"/>
        <w:numPr>
          <w:ilvl w:val="0"/>
          <w:numId w:val="6"/>
        </w:numPr>
        <w:ind w:left="426" w:hanging="426"/>
        <w:rPr>
          <w:lang w:val="en-AU"/>
        </w:rPr>
      </w:pPr>
      <w:r>
        <w:rPr>
          <w:lang w:val="en-AU"/>
        </w:rPr>
        <w:t>TAFE equipment and facilities fund for apprentices and trainees</w:t>
      </w:r>
    </w:p>
    <w:p w14:paraId="209DCCCB" w14:textId="47BC2307" w:rsidR="00EA7164" w:rsidRPr="00EA7164" w:rsidRDefault="00EA7164" w:rsidP="00EA7164">
      <w:pPr>
        <w:pStyle w:val="ListParagraph"/>
        <w:numPr>
          <w:ilvl w:val="1"/>
          <w:numId w:val="6"/>
        </w:numPr>
        <w:rPr>
          <w:lang w:val="en-AU"/>
        </w:rPr>
      </w:pPr>
      <w:r w:rsidRPr="005B1C1D">
        <w:rPr>
          <w:lang w:val="en-AU"/>
        </w:rPr>
        <w:t>2021–22:  $</w:t>
      </w:r>
      <w:r>
        <w:rPr>
          <w:lang w:val="en-AU"/>
        </w:rPr>
        <w:t>12</w:t>
      </w:r>
      <w:r w:rsidRPr="005B1C1D">
        <w:rPr>
          <w:lang w:val="en-AU"/>
        </w:rPr>
        <w:t>.</w:t>
      </w:r>
      <w:r>
        <w:rPr>
          <w:lang w:val="en-AU"/>
        </w:rPr>
        <w:t>0</w:t>
      </w:r>
      <w:r w:rsidRPr="005B1C1D">
        <w:rPr>
          <w:lang w:val="en-AU"/>
        </w:rPr>
        <w:t xml:space="preserve"> million </w:t>
      </w:r>
    </w:p>
    <w:p w14:paraId="60C64E40" w14:textId="55088834" w:rsidR="00EA7164" w:rsidRPr="005B1C1D" w:rsidRDefault="00EA7164" w:rsidP="00EA7164">
      <w:pPr>
        <w:pStyle w:val="ListParagraph"/>
        <w:numPr>
          <w:ilvl w:val="1"/>
          <w:numId w:val="6"/>
        </w:numPr>
        <w:rPr>
          <w:lang w:val="en-AU"/>
        </w:rPr>
      </w:pPr>
      <w:r w:rsidRPr="005B1C1D">
        <w:rPr>
          <w:lang w:val="en-AU"/>
        </w:rPr>
        <w:t>TEI:  $</w:t>
      </w:r>
      <w:r>
        <w:rPr>
          <w:lang w:val="en-AU"/>
        </w:rPr>
        <w:t>12</w:t>
      </w:r>
      <w:r w:rsidRPr="005B1C1D">
        <w:rPr>
          <w:lang w:val="en-AU"/>
        </w:rPr>
        <w:t>.0 million</w:t>
      </w:r>
    </w:p>
    <w:p w14:paraId="76012336" w14:textId="53CAF3FF" w:rsidR="00EA7164" w:rsidRDefault="00EA7164" w:rsidP="00EA7164">
      <w:pPr>
        <w:pStyle w:val="ESBodyText"/>
        <w:rPr>
          <w:rFonts w:eastAsiaTheme="majorEastAsia" w:cstheme="majorBidi"/>
          <w:b/>
          <w:bCs/>
          <w:color w:val="AF272F"/>
          <w:szCs w:val="20"/>
          <w:lang w:val="en-AU"/>
        </w:rPr>
      </w:pPr>
      <w:r>
        <w:rPr>
          <w:rFonts w:eastAsiaTheme="majorEastAsia" w:cstheme="majorBidi"/>
          <w:b/>
          <w:bCs/>
          <w:color w:val="AF272F"/>
          <w:szCs w:val="20"/>
          <w:lang w:val="en-AU"/>
        </w:rPr>
        <w:t>TOTAL ASSET INITIATIVES</w:t>
      </w:r>
    </w:p>
    <w:p w14:paraId="24B0CBD3" w14:textId="71838D03" w:rsidR="00EA7164" w:rsidRPr="00731F9B" w:rsidRDefault="00EA7164" w:rsidP="00EA7164">
      <w:pPr>
        <w:pStyle w:val="ListParagraph"/>
        <w:numPr>
          <w:ilvl w:val="1"/>
          <w:numId w:val="6"/>
        </w:numPr>
        <w:rPr>
          <w:lang w:val="en-AU"/>
        </w:rPr>
      </w:pPr>
      <w:r w:rsidRPr="00731F9B">
        <w:rPr>
          <w:lang w:val="en-AU"/>
        </w:rPr>
        <w:t>2021–22:  $</w:t>
      </w:r>
      <w:r>
        <w:rPr>
          <w:lang w:val="en-AU"/>
        </w:rPr>
        <w:t>440.7</w:t>
      </w:r>
      <w:r w:rsidRPr="00731F9B">
        <w:rPr>
          <w:lang w:val="en-AU"/>
        </w:rPr>
        <w:t xml:space="preserve"> million </w:t>
      </w:r>
    </w:p>
    <w:p w14:paraId="2D882536" w14:textId="580F7EA2" w:rsidR="00EA7164" w:rsidRPr="00731F9B" w:rsidRDefault="00EA7164" w:rsidP="00EA7164">
      <w:pPr>
        <w:pStyle w:val="ListParagraph"/>
        <w:numPr>
          <w:ilvl w:val="1"/>
          <w:numId w:val="6"/>
        </w:numPr>
        <w:rPr>
          <w:lang w:val="en-AU"/>
        </w:rPr>
      </w:pPr>
      <w:r w:rsidRPr="00731F9B">
        <w:rPr>
          <w:lang w:val="en-AU"/>
        </w:rPr>
        <w:t>2022–23:  $</w:t>
      </w:r>
      <w:r>
        <w:rPr>
          <w:lang w:val="en-AU"/>
        </w:rPr>
        <w:t>582.5</w:t>
      </w:r>
      <w:r w:rsidRPr="00731F9B">
        <w:rPr>
          <w:lang w:val="en-AU"/>
        </w:rPr>
        <w:t xml:space="preserve"> million</w:t>
      </w:r>
    </w:p>
    <w:p w14:paraId="5B084E00" w14:textId="57F4C014" w:rsidR="00EA7164" w:rsidRPr="00731F9B" w:rsidRDefault="00EA7164" w:rsidP="00EA7164">
      <w:pPr>
        <w:pStyle w:val="ListParagraph"/>
        <w:numPr>
          <w:ilvl w:val="1"/>
          <w:numId w:val="6"/>
        </w:numPr>
        <w:rPr>
          <w:lang w:val="en-AU"/>
        </w:rPr>
      </w:pPr>
      <w:r w:rsidRPr="00731F9B">
        <w:rPr>
          <w:lang w:val="en-AU"/>
        </w:rPr>
        <w:t>2023–24:  $</w:t>
      </w:r>
      <w:r>
        <w:rPr>
          <w:lang w:val="en-AU"/>
        </w:rPr>
        <w:t>479.8</w:t>
      </w:r>
      <w:r w:rsidRPr="00731F9B">
        <w:rPr>
          <w:lang w:val="en-AU"/>
        </w:rPr>
        <w:t xml:space="preserve"> million</w:t>
      </w:r>
    </w:p>
    <w:p w14:paraId="68A5377B" w14:textId="2C32CA71" w:rsidR="00EA7164" w:rsidRDefault="00EA7164" w:rsidP="00EA7164">
      <w:pPr>
        <w:pStyle w:val="ListParagraph"/>
        <w:numPr>
          <w:ilvl w:val="1"/>
          <w:numId w:val="6"/>
        </w:numPr>
        <w:rPr>
          <w:lang w:val="en-AU"/>
        </w:rPr>
      </w:pPr>
      <w:r w:rsidRPr="00731F9B">
        <w:rPr>
          <w:lang w:val="en-AU"/>
        </w:rPr>
        <w:t>2024–25:  $</w:t>
      </w:r>
      <w:r>
        <w:rPr>
          <w:lang w:val="en-AU"/>
        </w:rPr>
        <w:t>77.4</w:t>
      </w:r>
      <w:r w:rsidRPr="00731F9B">
        <w:rPr>
          <w:lang w:val="en-AU"/>
        </w:rPr>
        <w:t xml:space="preserve"> million</w:t>
      </w:r>
    </w:p>
    <w:p w14:paraId="338D0906" w14:textId="57BEBBFD" w:rsidR="00EA7164" w:rsidRPr="00731F9B" w:rsidRDefault="00EA7164" w:rsidP="00EA7164">
      <w:pPr>
        <w:pStyle w:val="ListParagraph"/>
        <w:numPr>
          <w:ilvl w:val="1"/>
          <w:numId w:val="6"/>
        </w:numPr>
        <w:rPr>
          <w:lang w:val="en-AU"/>
        </w:rPr>
      </w:pPr>
      <w:r>
        <w:rPr>
          <w:lang w:val="en-AU"/>
        </w:rPr>
        <w:t>TEI:  $1,581.2 million</w:t>
      </w:r>
    </w:p>
    <w:p w14:paraId="67C95186" w14:textId="77777777" w:rsidR="00980196" w:rsidRPr="00980196" w:rsidRDefault="00980196" w:rsidP="00980196">
      <w:pPr>
        <w:rPr>
          <w:lang w:val="en-AU"/>
        </w:rPr>
      </w:pPr>
    </w:p>
    <w:p w14:paraId="066AECCF" w14:textId="77777777" w:rsidR="006E799F" w:rsidRDefault="006E799F">
      <w:pPr>
        <w:spacing w:after="0" w:line="240" w:lineRule="auto"/>
        <w:rPr>
          <w:rFonts w:eastAsiaTheme="majorEastAsia" w:cstheme="majorBidi"/>
          <w:b/>
          <w:color w:val="AF272F"/>
          <w:spacing w:val="5"/>
          <w:kern w:val="28"/>
          <w:sz w:val="44"/>
          <w:szCs w:val="52"/>
          <w:highlight w:val="yellow"/>
        </w:rPr>
      </w:pPr>
      <w:r>
        <w:rPr>
          <w:highlight w:val="yellow"/>
        </w:rPr>
        <w:br w:type="page"/>
      </w:r>
    </w:p>
    <w:p w14:paraId="128264A1" w14:textId="77777777" w:rsidR="00D75CAB" w:rsidRPr="00D119F0" w:rsidRDefault="00D75CAB" w:rsidP="00D75CAB">
      <w:pPr>
        <w:pStyle w:val="ESHeading1"/>
      </w:pPr>
      <w:bookmarkStart w:id="10" w:name="_Toc81990946"/>
      <w:r w:rsidRPr="00D119F0">
        <w:lastRenderedPageBreak/>
        <w:t>HOW WE MEASURE OUR SUCCESS</w:t>
      </w:r>
      <w:bookmarkEnd w:id="10"/>
    </w:p>
    <w:p w14:paraId="2F5B324E" w14:textId="77777777" w:rsidR="00D75CAB" w:rsidRPr="00D119F0" w:rsidRDefault="00D75CAB" w:rsidP="00D75CAB">
      <w:pPr>
        <w:pStyle w:val="ESHeading3"/>
        <w:rPr>
          <w:rFonts w:eastAsiaTheme="majorEastAsia" w:cstheme="majorBidi"/>
          <w:bCs/>
          <w:caps/>
          <w:color w:val="AF272F"/>
          <w:sz w:val="18"/>
          <w:szCs w:val="20"/>
        </w:rPr>
      </w:pPr>
      <w:r w:rsidRPr="00D119F0">
        <w:rPr>
          <w:rFonts w:eastAsiaTheme="majorEastAsia" w:cstheme="majorBidi"/>
          <w:bCs/>
          <w:caps/>
          <w:color w:val="AF272F"/>
          <w:sz w:val="18"/>
          <w:szCs w:val="20"/>
        </w:rPr>
        <w:t>REPORTING PROGRESS</w:t>
      </w:r>
    </w:p>
    <w:p w14:paraId="50058AE7" w14:textId="7A570584" w:rsidR="00D75CAB" w:rsidRPr="00D75CAB" w:rsidRDefault="00D75CAB" w:rsidP="00D75CAB">
      <w:pPr>
        <w:pStyle w:val="ESBodyText"/>
        <w:rPr>
          <w:color w:val="000000"/>
          <w:lang w:val="en-AU"/>
        </w:rPr>
      </w:pPr>
      <w:r w:rsidRPr="00D119F0">
        <w:rPr>
          <w:color w:val="000000"/>
          <w:lang w:val="en-AU"/>
        </w:rPr>
        <w:t>The Department uses a set of indicators and measures to evaluate outcomes and assess how well we are meeting our objectives. Through monitoring and measuring our performance, we are better able to understand and demonstrate the impact we are having on the educational outcomes in the Victorian community.</w:t>
      </w:r>
    </w:p>
    <w:p w14:paraId="67265DB8" w14:textId="544801C5" w:rsidR="00D75CAB" w:rsidRPr="00D75CAB" w:rsidRDefault="00D75CAB" w:rsidP="00D75CAB">
      <w:pPr>
        <w:pStyle w:val="ESBodyText"/>
        <w:rPr>
          <w:color w:val="000000"/>
          <w:lang w:val="en-AU"/>
        </w:rPr>
      </w:pPr>
      <w:r w:rsidRPr="00D75CAB">
        <w:rPr>
          <w:color w:val="000000"/>
          <w:lang w:val="en-AU"/>
        </w:rPr>
        <w:t>The Department’s indicators are published in the 2021–22 Victorian State BP3</w:t>
      </w:r>
      <w:r>
        <w:rPr>
          <w:rStyle w:val="FootnoteReference"/>
          <w:lang w:val="en-AU"/>
        </w:rPr>
        <w:footnoteReference w:id="2"/>
      </w:r>
      <w:r w:rsidRPr="00D75CAB">
        <w:rPr>
          <w:color w:val="000000"/>
          <w:lang w:val="en-AU"/>
        </w:rPr>
        <w:t>. The Department reports progress across our outcome performance measures in the Annual Report, available on the Department’s website</w:t>
      </w:r>
      <w:r>
        <w:rPr>
          <w:rStyle w:val="FootnoteReference"/>
          <w:lang w:val="en-AU"/>
        </w:rPr>
        <w:footnoteReference w:id="3"/>
      </w:r>
      <w:r w:rsidRPr="00D75CAB">
        <w:rPr>
          <w:color w:val="000000"/>
          <w:lang w:val="en-AU"/>
        </w:rPr>
        <w:t>. The Annual Report also provides a summary of the progress in implementing each of the initiatives outlined in this strategic plan.</w:t>
      </w:r>
    </w:p>
    <w:p w14:paraId="66E47198" w14:textId="77777777" w:rsidR="00D75CAB" w:rsidRPr="00D75CAB" w:rsidRDefault="00D75CAB" w:rsidP="00D75CAB">
      <w:pPr>
        <w:pStyle w:val="ESHeading3"/>
        <w:rPr>
          <w:rFonts w:eastAsiaTheme="majorEastAsia" w:cstheme="majorBidi"/>
          <w:bCs/>
          <w:caps/>
          <w:color w:val="AF272F"/>
          <w:sz w:val="18"/>
          <w:szCs w:val="20"/>
        </w:rPr>
      </w:pPr>
      <w:r w:rsidRPr="00D75CAB">
        <w:rPr>
          <w:rFonts w:eastAsiaTheme="majorEastAsia" w:cstheme="majorBidi"/>
          <w:bCs/>
          <w:caps/>
          <w:color w:val="AF272F"/>
          <w:sz w:val="18"/>
          <w:szCs w:val="20"/>
        </w:rPr>
        <w:t>EVALUATION</w:t>
      </w:r>
    </w:p>
    <w:p w14:paraId="47DEFA8E" w14:textId="4C7D1FDF" w:rsidR="00D75CAB" w:rsidRPr="00861FEC" w:rsidRDefault="00D75CAB" w:rsidP="00861FEC">
      <w:pPr>
        <w:pStyle w:val="ESBodyText"/>
        <w:rPr>
          <w:color w:val="000000"/>
          <w:lang w:val="en-AU"/>
        </w:rPr>
      </w:pPr>
      <w:r w:rsidRPr="00D75CAB">
        <w:rPr>
          <w:color w:val="000000"/>
          <w:lang w:val="en-AU"/>
        </w:rPr>
        <w:t xml:space="preserve">Evaluation is fundamental to </w:t>
      </w:r>
      <w:r w:rsidR="004879B8" w:rsidRPr="00D75CAB">
        <w:rPr>
          <w:color w:val="000000"/>
          <w:lang w:val="en-AU"/>
        </w:rPr>
        <w:t>continuous improvement</w:t>
      </w:r>
      <w:r w:rsidRPr="00D75CAB">
        <w:rPr>
          <w:color w:val="000000"/>
          <w:lang w:val="en-AU"/>
        </w:rPr>
        <w:t xml:space="preserve"> and for building a solid evidence base that enables policies and programs to meet the needs of all Victorians. The Department continues to strengthen its evaluation culture by undertaking regular reviews that inform policy, program and service improvements.</w:t>
      </w:r>
    </w:p>
    <w:p w14:paraId="024287D1" w14:textId="77777777" w:rsidR="00980196" w:rsidRDefault="0057070E" w:rsidP="00980196">
      <w:pPr>
        <w:pStyle w:val="ESHeading1"/>
      </w:pPr>
      <w:bookmarkStart w:id="11" w:name="_Toc81990947"/>
      <w:r w:rsidRPr="00D119F0">
        <w:t>OUR DEPARTMENT</w:t>
      </w:r>
      <w:bookmarkStart w:id="12" w:name="_Toc455151890"/>
      <w:bookmarkStart w:id="13" w:name="_Toc455156870"/>
      <w:bookmarkEnd w:id="11"/>
    </w:p>
    <w:p w14:paraId="598CD052" w14:textId="48B9280E" w:rsidR="005E7225" w:rsidRPr="00980196" w:rsidRDefault="004853F4" w:rsidP="00980196">
      <w:pPr>
        <w:pStyle w:val="ESHeading3"/>
        <w:rPr>
          <w:rFonts w:eastAsiaTheme="majorEastAsia" w:cstheme="majorBidi"/>
          <w:bCs/>
          <w:caps/>
          <w:color w:val="AF272F"/>
          <w:sz w:val="18"/>
          <w:szCs w:val="20"/>
        </w:rPr>
      </w:pPr>
      <w:r w:rsidRPr="00980196">
        <w:rPr>
          <w:rFonts w:eastAsiaTheme="majorEastAsia" w:cstheme="majorBidi"/>
          <w:bCs/>
          <w:caps/>
          <w:color w:val="AF272F"/>
          <w:sz w:val="18"/>
          <w:szCs w:val="20"/>
        </w:rPr>
        <w:t>THE DEPARTMENT’S SERVICES</w:t>
      </w:r>
      <w:r w:rsidR="000B79B8" w:rsidRPr="00980196">
        <w:rPr>
          <w:rFonts w:eastAsiaTheme="majorEastAsia" w:cstheme="majorBidi"/>
          <w:bCs/>
          <w:caps/>
          <w:color w:val="AF272F"/>
          <w:sz w:val="18"/>
          <w:szCs w:val="20"/>
        </w:rPr>
        <w:t xml:space="preserve"> </w:t>
      </w:r>
    </w:p>
    <w:p w14:paraId="56F8C019" w14:textId="5BADE22C" w:rsidR="00195F90" w:rsidRPr="00366A33" w:rsidRDefault="004853F4" w:rsidP="00194DAB">
      <w:pPr>
        <w:pStyle w:val="ESBodyText"/>
        <w:numPr>
          <w:ilvl w:val="0"/>
          <w:numId w:val="10"/>
        </w:numPr>
        <w:rPr>
          <w:rFonts w:eastAsiaTheme="majorEastAsia" w:cstheme="majorBidi"/>
          <w:b/>
          <w:bCs/>
          <w:color w:val="AF272F"/>
          <w:szCs w:val="20"/>
          <w:lang w:val="en-AU"/>
        </w:rPr>
      </w:pPr>
      <w:r w:rsidRPr="00366A33">
        <w:rPr>
          <w:rFonts w:eastAsiaTheme="majorEastAsia" w:cstheme="majorBidi"/>
          <w:b/>
          <w:bCs/>
          <w:color w:val="AF272F"/>
          <w:szCs w:val="20"/>
          <w:lang w:val="en-AU"/>
        </w:rPr>
        <w:t>EARLY CHILDHOOD</w:t>
      </w:r>
      <w:r w:rsidRPr="00366A33">
        <w:t xml:space="preserve"> </w:t>
      </w:r>
      <w:r w:rsidRPr="00366A33">
        <w:rPr>
          <w:rFonts w:eastAsiaTheme="majorEastAsia" w:cstheme="majorBidi"/>
          <w:b/>
          <w:bCs/>
          <w:color w:val="AF272F"/>
          <w:szCs w:val="20"/>
          <w:lang w:val="en-AU"/>
        </w:rPr>
        <w:t>- Birth to 8</w:t>
      </w:r>
    </w:p>
    <w:p w14:paraId="36771A82" w14:textId="5C0F901E" w:rsidR="004853F4" w:rsidRPr="00366A33" w:rsidRDefault="004853F4" w:rsidP="00194DAB">
      <w:pPr>
        <w:pStyle w:val="ESBodyText"/>
        <w:numPr>
          <w:ilvl w:val="0"/>
          <w:numId w:val="11"/>
        </w:numPr>
        <w:rPr>
          <w:lang w:val="en-AU"/>
        </w:rPr>
      </w:pPr>
      <w:r w:rsidRPr="00366A33">
        <w:t>More than 400,000 children</w:t>
      </w:r>
      <w:r w:rsidRPr="00366A33">
        <w:rPr>
          <w:rFonts w:ascii="Calibri" w:eastAsia="Calibri" w:hAnsi="Calibri" w:cs="Calibri"/>
          <w:color w:val="000000"/>
          <w:w w:val="123"/>
          <w:sz w:val="19"/>
          <w:szCs w:val="22"/>
          <w:lang w:val="en-AU" w:eastAsia="en-AU"/>
        </w:rPr>
        <w:t xml:space="preserve"> </w:t>
      </w:r>
      <w:r w:rsidRPr="00366A33">
        <w:rPr>
          <w:lang w:val="en-AU"/>
        </w:rPr>
        <w:t>and families</w:t>
      </w:r>
    </w:p>
    <w:p w14:paraId="5E4AEA77" w14:textId="55F1C09D" w:rsidR="004853F4" w:rsidRPr="00366A33" w:rsidRDefault="004853F4" w:rsidP="00194DAB">
      <w:pPr>
        <w:pStyle w:val="ESBodyText"/>
        <w:numPr>
          <w:ilvl w:val="0"/>
          <w:numId w:val="11"/>
        </w:numPr>
        <w:rPr>
          <w:lang w:val="en-AU"/>
        </w:rPr>
      </w:pPr>
      <w:r w:rsidRPr="00366A33">
        <w:rPr>
          <w:lang w:val="en-AU"/>
        </w:rPr>
        <w:t>Early years learning and</w:t>
      </w:r>
      <w:r w:rsidRPr="00366A33">
        <w:rPr>
          <w:rFonts w:ascii="Calibri" w:eastAsia="Calibri" w:hAnsi="Calibri" w:cs="Calibri"/>
          <w:color w:val="000000"/>
          <w:w w:val="121"/>
          <w:sz w:val="19"/>
          <w:szCs w:val="22"/>
          <w:lang w:val="en-AU" w:eastAsia="en-AU"/>
        </w:rPr>
        <w:t xml:space="preserve"> </w:t>
      </w:r>
      <w:r w:rsidRPr="00366A33">
        <w:rPr>
          <w:lang w:val="en-AU"/>
        </w:rPr>
        <w:t>development including early</w:t>
      </w:r>
      <w:r w:rsidRPr="00366A33">
        <w:rPr>
          <w:rFonts w:ascii="Calibri" w:eastAsia="Calibri" w:hAnsi="Calibri" w:cs="Calibri"/>
          <w:color w:val="000000"/>
          <w:w w:val="122"/>
          <w:sz w:val="19"/>
          <w:szCs w:val="22"/>
          <w:lang w:val="en-AU" w:eastAsia="en-AU"/>
        </w:rPr>
        <w:t xml:space="preserve"> </w:t>
      </w:r>
      <w:r w:rsidRPr="00366A33">
        <w:rPr>
          <w:lang w:val="en-AU"/>
        </w:rPr>
        <w:t>childhood education and care services</w:t>
      </w:r>
    </w:p>
    <w:p w14:paraId="10A79244" w14:textId="77777777" w:rsidR="00366A33" w:rsidRPr="00366A33" w:rsidRDefault="00366A33" w:rsidP="00366A33">
      <w:pPr>
        <w:pStyle w:val="ESBodyText"/>
        <w:numPr>
          <w:ilvl w:val="0"/>
          <w:numId w:val="11"/>
        </w:numPr>
        <w:rPr>
          <w:lang w:val="en-AU"/>
        </w:rPr>
      </w:pPr>
      <w:r w:rsidRPr="00366A33">
        <w:rPr>
          <w:lang w:val="en-AU"/>
        </w:rPr>
        <w:t>We have a diverse range of public, private and not-for-profit providers serving Victorians and international students of all ages:</w:t>
      </w:r>
    </w:p>
    <w:p w14:paraId="3ED75CB9" w14:textId="77777777" w:rsidR="00366A33" w:rsidRPr="00366A33" w:rsidRDefault="004853F4" w:rsidP="00194DAB">
      <w:pPr>
        <w:pStyle w:val="ESBodyText"/>
        <w:numPr>
          <w:ilvl w:val="1"/>
          <w:numId w:val="13"/>
        </w:numPr>
        <w:ind w:left="1701" w:hanging="141"/>
        <w:rPr>
          <w:lang w:val="en-AU"/>
        </w:rPr>
      </w:pPr>
      <w:r w:rsidRPr="00366A33">
        <w:rPr>
          <w:lang w:val="en-AU"/>
        </w:rPr>
        <w:t>More than 4,</w:t>
      </w:r>
      <w:r w:rsidR="00366A33" w:rsidRPr="00366A33">
        <w:rPr>
          <w:lang w:val="en-AU"/>
        </w:rPr>
        <w:t>327</w:t>
      </w:r>
      <w:r w:rsidRPr="00366A33">
        <w:rPr>
          <w:lang w:val="en-AU"/>
        </w:rPr>
        <w:t xml:space="preserve"> approved education and care services provid</w:t>
      </w:r>
      <w:r w:rsidR="00366A33" w:rsidRPr="00366A33">
        <w:rPr>
          <w:lang w:val="en-AU"/>
        </w:rPr>
        <w:t>ing</w:t>
      </w:r>
      <w:r w:rsidRPr="00366A33">
        <w:rPr>
          <w:lang w:val="en-AU"/>
        </w:rPr>
        <w:t xml:space="preserve"> long day care, kindergarten, outside</w:t>
      </w:r>
      <w:r w:rsidR="00366A33" w:rsidRPr="00366A33">
        <w:rPr>
          <w:lang w:val="en-AU"/>
        </w:rPr>
        <w:noBreakHyphen/>
      </w:r>
      <w:r w:rsidRPr="00366A33">
        <w:rPr>
          <w:lang w:val="en-AU"/>
        </w:rPr>
        <w:t>school</w:t>
      </w:r>
      <w:r w:rsidR="00366A33" w:rsidRPr="00366A33">
        <w:rPr>
          <w:lang w:val="en-AU"/>
        </w:rPr>
        <w:noBreakHyphen/>
      </w:r>
      <w:r w:rsidRPr="00366A33">
        <w:rPr>
          <w:lang w:val="en-AU"/>
        </w:rPr>
        <w:t>hours</w:t>
      </w:r>
      <w:r w:rsidR="00366A33" w:rsidRPr="00366A33">
        <w:rPr>
          <w:lang w:val="en-AU"/>
        </w:rPr>
        <w:t> </w:t>
      </w:r>
      <w:r w:rsidRPr="00366A33">
        <w:rPr>
          <w:lang w:val="en-AU"/>
        </w:rPr>
        <w:t>care, and family day care</w:t>
      </w:r>
    </w:p>
    <w:p w14:paraId="50EC850D" w14:textId="71B97132" w:rsidR="004853F4" w:rsidRPr="00366A33" w:rsidRDefault="00366A33" w:rsidP="00194DAB">
      <w:pPr>
        <w:pStyle w:val="ESBodyText"/>
        <w:numPr>
          <w:ilvl w:val="1"/>
          <w:numId w:val="13"/>
        </w:numPr>
        <w:ind w:left="1701" w:hanging="141"/>
        <w:rPr>
          <w:lang w:val="en-AU"/>
        </w:rPr>
      </w:pPr>
      <w:r w:rsidRPr="00366A33">
        <w:rPr>
          <w:lang w:val="en-AU"/>
        </w:rPr>
        <w:t>A</w:t>
      </w:r>
      <w:r w:rsidR="004853F4" w:rsidRPr="00366A33">
        <w:rPr>
          <w:lang w:val="en-AU"/>
        </w:rPr>
        <w:t xml:space="preserve">pproximately </w:t>
      </w:r>
      <w:r w:rsidRPr="00366A33">
        <w:rPr>
          <w:lang w:val="en-AU"/>
        </w:rPr>
        <w:t>279</w:t>
      </w:r>
      <w:r w:rsidR="004853F4" w:rsidRPr="00366A33">
        <w:rPr>
          <w:lang w:val="en-AU"/>
        </w:rPr>
        <w:t xml:space="preserve"> licensed children’s services provid</w:t>
      </w:r>
      <w:r w:rsidRPr="00366A33">
        <w:rPr>
          <w:lang w:val="en-AU"/>
        </w:rPr>
        <w:t>ing</w:t>
      </w:r>
      <w:r w:rsidR="004853F4" w:rsidRPr="00366A33">
        <w:rPr>
          <w:lang w:val="en-AU"/>
        </w:rPr>
        <w:t xml:space="preserve"> limited</w:t>
      </w:r>
      <w:r w:rsidRPr="00366A33">
        <w:rPr>
          <w:lang w:val="en-AU"/>
        </w:rPr>
        <w:noBreakHyphen/>
      </w:r>
      <w:r w:rsidR="004853F4" w:rsidRPr="00366A33">
        <w:rPr>
          <w:lang w:val="en-AU"/>
        </w:rPr>
        <w:t>hour services such as occasional care</w:t>
      </w:r>
      <w:r w:rsidR="000157E3" w:rsidRPr="00366A33">
        <w:rPr>
          <w:lang w:val="en-AU"/>
        </w:rPr>
        <w:t>.</w:t>
      </w:r>
    </w:p>
    <w:p w14:paraId="64CAAD60" w14:textId="266557B6" w:rsidR="00195F90" w:rsidRPr="00366A33" w:rsidRDefault="004853F4" w:rsidP="00194DAB">
      <w:pPr>
        <w:pStyle w:val="ESBodyText"/>
        <w:numPr>
          <w:ilvl w:val="0"/>
          <w:numId w:val="10"/>
        </w:numPr>
        <w:rPr>
          <w:rFonts w:eastAsiaTheme="majorEastAsia" w:cstheme="majorBidi"/>
          <w:b/>
          <w:bCs/>
          <w:color w:val="AF272F"/>
          <w:szCs w:val="20"/>
          <w:lang w:val="en-AU"/>
        </w:rPr>
      </w:pPr>
      <w:r w:rsidRPr="00366A33">
        <w:rPr>
          <w:lang w:val="en-AU"/>
        </w:rPr>
        <w:t xml:space="preserve"> </w:t>
      </w:r>
      <w:r w:rsidRPr="00366A33">
        <w:rPr>
          <w:rFonts w:eastAsiaTheme="majorEastAsia" w:cstheme="majorBidi"/>
          <w:b/>
          <w:bCs/>
          <w:color w:val="AF272F"/>
          <w:szCs w:val="20"/>
          <w:lang w:val="en-AU"/>
        </w:rPr>
        <w:t>SCHOOL EDUCATION – 5 to 18</w:t>
      </w:r>
    </w:p>
    <w:p w14:paraId="7F2B2F3D" w14:textId="18C8BCD9" w:rsidR="009C390F" w:rsidRPr="00366A33" w:rsidRDefault="009C390F" w:rsidP="00194DAB">
      <w:pPr>
        <w:pStyle w:val="ESBodyText"/>
        <w:numPr>
          <w:ilvl w:val="0"/>
          <w:numId w:val="12"/>
        </w:numPr>
        <w:rPr>
          <w:lang w:val="en-AU"/>
        </w:rPr>
      </w:pPr>
      <w:r w:rsidRPr="00366A33">
        <w:rPr>
          <w:lang w:val="en-AU"/>
        </w:rPr>
        <w:t xml:space="preserve">More than </w:t>
      </w:r>
      <w:r w:rsidR="00366A33" w:rsidRPr="00366A33">
        <w:rPr>
          <w:lang w:val="en-AU"/>
        </w:rPr>
        <w:t>1,009,400</w:t>
      </w:r>
      <w:r w:rsidRPr="00366A33">
        <w:rPr>
          <w:lang w:val="en-AU"/>
        </w:rPr>
        <w:t xml:space="preserve"> students</w:t>
      </w:r>
    </w:p>
    <w:p w14:paraId="4E6A30EA" w14:textId="72F29504" w:rsidR="00195F90" w:rsidRPr="00366A33" w:rsidRDefault="009C390F" w:rsidP="00194DAB">
      <w:pPr>
        <w:pStyle w:val="ESBodyText"/>
        <w:numPr>
          <w:ilvl w:val="0"/>
          <w:numId w:val="12"/>
        </w:numPr>
        <w:rPr>
          <w:lang w:val="en-AU"/>
        </w:rPr>
      </w:pPr>
      <w:r w:rsidRPr="00366A33">
        <w:rPr>
          <w:lang w:val="en-AU"/>
        </w:rPr>
        <w:t>Primary education</w:t>
      </w:r>
    </w:p>
    <w:p w14:paraId="743C01AE" w14:textId="77777777" w:rsidR="009C390F" w:rsidRPr="00366A33" w:rsidRDefault="009C390F" w:rsidP="00194DAB">
      <w:pPr>
        <w:pStyle w:val="ESBodyText"/>
        <w:numPr>
          <w:ilvl w:val="0"/>
          <w:numId w:val="12"/>
        </w:numPr>
        <w:rPr>
          <w:lang w:val="en-AU"/>
        </w:rPr>
      </w:pPr>
      <w:r w:rsidRPr="00366A33">
        <w:rPr>
          <w:lang w:val="en-AU"/>
        </w:rPr>
        <w:t>Secondary education</w:t>
      </w:r>
    </w:p>
    <w:p w14:paraId="2E205D7D" w14:textId="35B4467E" w:rsidR="00195F90" w:rsidRPr="00366A33" w:rsidRDefault="009C390F" w:rsidP="00194DAB">
      <w:pPr>
        <w:pStyle w:val="ESBodyText"/>
        <w:numPr>
          <w:ilvl w:val="0"/>
          <w:numId w:val="12"/>
        </w:numPr>
        <w:rPr>
          <w:lang w:val="en-AU"/>
        </w:rPr>
      </w:pPr>
      <w:r w:rsidRPr="00366A33">
        <w:rPr>
          <w:lang w:val="en-AU"/>
        </w:rPr>
        <w:t>Special education</w:t>
      </w:r>
    </w:p>
    <w:p w14:paraId="600129D6" w14:textId="56A99123" w:rsidR="009C390F" w:rsidRPr="00366A33" w:rsidRDefault="00366A33" w:rsidP="00194DAB">
      <w:pPr>
        <w:pStyle w:val="ESBodyText"/>
        <w:numPr>
          <w:ilvl w:val="0"/>
          <w:numId w:val="12"/>
        </w:numPr>
        <w:rPr>
          <w:lang w:val="en-AU"/>
        </w:rPr>
      </w:pPr>
      <w:r w:rsidRPr="00366A33">
        <w:rPr>
          <w:lang w:val="en-AU"/>
        </w:rPr>
        <w:t>Language</w:t>
      </w:r>
    </w:p>
    <w:p w14:paraId="3219B7D3" w14:textId="496C67DB" w:rsidR="009C390F" w:rsidRPr="00366A33" w:rsidRDefault="009C390F" w:rsidP="00194DAB">
      <w:pPr>
        <w:pStyle w:val="ESBodyText"/>
        <w:numPr>
          <w:ilvl w:val="0"/>
          <w:numId w:val="12"/>
        </w:numPr>
        <w:rPr>
          <w:lang w:val="en-AU"/>
        </w:rPr>
      </w:pPr>
      <w:r w:rsidRPr="00366A33">
        <w:rPr>
          <w:lang w:val="en-AU"/>
        </w:rPr>
        <w:t xml:space="preserve">We have a diverse range of public, private and not-for-profit providers serving Victorians </w:t>
      </w:r>
      <w:r w:rsidR="00366A33" w:rsidRPr="00366A33">
        <w:rPr>
          <w:lang w:val="en-AU"/>
        </w:rPr>
        <w:t>and international students of all</w:t>
      </w:r>
      <w:r w:rsidRPr="00366A33">
        <w:rPr>
          <w:lang w:val="en-AU"/>
        </w:rPr>
        <w:t xml:space="preserve"> ages:</w:t>
      </w:r>
    </w:p>
    <w:p w14:paraId="53D38E09" w14:textId="54A4DA90" w:rsidR="009C390F" w:rsidRPr="00366A33" w:rsidRDefault="009C390F" w:rsidP="00194DAB">
      <w:pPr>
        <w:pStyle w:val="ESBodyText"/>
        <w:numPr>
          <w:ilvl w:val="1"/>
          <w:numId w:val="13"/>
        </w:numPr>
        <w:ind w:left="1701" w:hanging="141"/>
        <w:rPr>
          <w:lang w:val="en-AU"/>
        </w:rPr>
      </w:pPr>
      <w:r w:rsidRPr="00366A33">
        <w:rPr>
          <w:lang w:val="en-AU"/>
        </w:rPr>
        <w:t>1,5</w:t>
      </w:r>
      <w:r w:rsidR="00366A33" w:rsidRPr="00366A33">
        <w:rPr>
          <w:lang w:val="en-AU"/>
        </w:rPr>
        <w:t>53</w:t>
      </w:r>
      <w:r w:rsidRPr="00366A33">
        <w:rPr>
          <w:lang w:val="en-AU"/>
        </w:rPr>
        <w:t xml:space="preserve"> government schools</w:t>
      </w:r>
    </w:p>
    <w:p w14:paraId="1A1FCBDC" w14:textId="20D66561" w:rsidR="009C390F" w:rsidRPr="00366A33" w:rsidRDefault="009C390F" w:rsidP="00194DAB">
      <w:pPr>
        <w:pStyle w:val="ESBodyText"/>
        <w:numPr>
          <w:ilvl w:val="1"/>
          <w:numId w:val="13"/>
        </w:numPr>
        <w:ind w:left="1701" w:hanging="141"/>
        <w:rPr>
          <w:lang w:val="en-AU"/>
        </w:rPr>
      </w:pPr>
      <w:r w:rsidRPr="00366A33">
        <w:rPr>
          <w:lang w:val="en-AU"/>
        </w:rPr>
        <w:t>7</w:t>
      </w:r>
      <w:r w:rsidR="00366A33" w:rsidRPr="00366A33">
        <w:rPr>
          <w:lang w:val="en-AU"/>
        </w:rPr>
        <w:t>2</w:t>
      </w:r>
      <w:r w:rsidRPr="00366A33">
        <w:rPr>
          <w:lang w:val="en-AU"/>
        </w:rPr>
        <w:t>3 non-government schools (497 Catholic schools and 22</w:t>
      </w:r>
      <w:r w:rsidR="00366A33" w:rsidRPr="00366A33">
        <w:rPr>
          <w:lang w:val="en-AU"/>
        </w:rPr>
        <w:t>6</w:t>
      </w:r>
      <w:r w:rsidRPr="00366A33">
        <w:rPr>
          <w:lang w:val="en-AU"/>
        </w:rPr>
        <w:t xml:space="preserve"> independent schools)</w:t>
      </w:r>
      <w:r w:rsidR="000157E3" w:rsidRPr="00366A33">
        <w:rPr>
          <w:lang w:val="en-AU"/>
        </w:rPr>
        <w:t>.</w:t>
      </w:r>
    </w:p>
    <w:p w14:paraId="6C967AC1" w14:textId="464BACFE" w:rsidR="009C390F" w:rsidRPr="00366A33" w:rsidRDefault="009C390F" w:rsidP="00194DAB">
      <w:pPr>
        <w:pStyle w:val="ESBodyText"/>
        <w:numPr>
          <w:ilvl w:val="0"/>
          <w:numId w:val="10"/>
        </w:numPr>
        <w:rPr>
          <w:rFonts w:eastAsiaTheme="majorEastAsia" w:cstheme="majorBidi"/>
          <w:b/>
          <w:bCs/>
          <w:color w:val="AF272F"/>
          <w:szCs w:val="20"/>
          <w:lang w:val="en-AU"/>
        </w:rPr>
      </w:pPr>
      <w:r w:rsidRPr="00366A33">
        <w:rPr>
          <w:rFonts w:eastAsiaTheme="majorEastAsia" w:cstheme="majorBidi"/>
          <w:b/>
          <w:bCs/>
          <w:color w:val="AF272F"/>
          <w:szCs w:val="20"/>
          <w:lang w:val="en-AU"/>
        </w:rPr>
        <w:t>TRAINING AND SKILLS AND HIGHER EDUCATION - 15 to 65+</w:t>
      </w:r>
    </w:p>
    <w:p w14:paraId="63F03FAA" w14:textId="59F98599" w:rsidR="009C390F" w:rsidRPr="00366A33" w:rsidRDefault="009C390F" w:rsidP="000157E3">
      <w:pPr>
        <w:pStyle w:val="ESBodyText"/>
        <w:numPr>
          <w:ilvl w:val="0"/>
          <w:numId w:val="19"/>
        </w:numPr>
        <w:rPr>
          <w:lang w:val="en-AU"/>
        </w:rPr>
      </w:pPr>
      <w:r w:rsidRPr="00366A33">
        <w:rPr>
          <w:lang w:val="en-AU"/>
        </w:rPr>
        <w:t xml:space="preserve">More than </w:t>
      </w:r>
      <w:r w:rsidR="00366A33" w:rsidRPr="00366A33">
        <w:rPr>
          <w:lang w:val="en-AU"/>
        </w:rPr>
        <w:t>297</w:t>
      </w:r>
      <w:r w:rsidRPr="00366A33">
        <w:rPr>
          <w:lang w:val="en-AU"/>
        </w:rPr>
        <w:t>,000 government</w:t>
      </w:r>
      <w:r w:rsidR="00366A33" w:rsidRPr="00366A33">
        <w:rPr>
          <w:lang w:val="en-AU"/>
        </w:rPr>
        <w:noBreakHyphen/>
      </w:r>
      <w:r w:rsidRPr="00366A33">
        <w:rPr>
          <w:lang w:val="en-AU"/>
        </w:rPr>
        <w:t xml:space="preserve">subsidised enrolments in </w:t>
      </w:r>
      <w:r w:rsidR="00366A33" w:rsidRPr="00366A33">
        <w:rPr>
          <w:lang w:val="en-AU"/>
        </w:rPr>
        <w:t>VET</w:t>
      </w:r>
    </w:p>
    <w:p w14:paraId="7C816698" w14:textId="36ACD744" w:rsidR="009C390F" w:rsidRPr="00366A33" w:rsidRDefault="009C390F" w:rsidP="000157E3">
      <w:pPr>
        <w:pStyle w:val="ESBodyText"/>
        <w:numPr>
          <w:ilvl w:val="0"/>
          <w:numId w:val="19"/>
        </w:numPr>
        <w:rPr>
          <w:lang w:val="en-AU"/>
        </w:rPr>
      </w:pPr>
      <w:r w:rsidRPr="00366A33">
        <w:rPr>
          <w:lang w:val="en-AU"/>
        </w:rPr>
        <w:t>TAFE</w:t>
      </w:r>
    </w:p>
    <w:p w14:paraId="0B49DF77" w14:textId="4AAA1577" w:rsidR="009C390F" w:rsidRPr="00366A33" w:rsidRDefault="00366A33" w:rsidP="000157E3">
      <w:pPr>
        <w:pStyle w:val="ESBodyText"/>
        <w:numPr>
          <w:ilvl w:val="0"/>
          <w:numId w:val="19"/>
        </w:numPr>
        <w:rPr>
          <w:lang w:val="en-AU"/>
        </w:rPr>
      </w:pPr>
      <w:r w:rsidRPr="00366A33">
        <w:rPr>
          <w:lang w:val="en-AU"/>
        </w:rPr>
        <w:lastRenderedPageBreak/>
        <w:t>Dual</w:t>
      </w:r>
      <w:r w:rsidRPr="00366A33">
        <w:rPr>
          <w:lang w:val="en-AU"/>
        </w:rPr>
        <w:noBreakHyphen/>
        <w:t>sector u</w:t>
      </w:r>
      <w:r w:rsidR="009C390F" w:rsidRPr="00366A33">
        <w:rPr>
          <w:lang w:val="en-AU"/>
        </w:rPr>
        <w:t>niversities</w:t>
      </w:r>
    </w:p>
    <w:p w14:paraId="45D027E4" w14:textId="38B56A61" w:rsidR="009C390F" w:rsidRPr="00366A33" w:rsidRDefault="009C390F" w:rsidP="000157E3">
      <w:pPr>
        <w:pStyle w:val="ESBodyText"/>
        <w:numPr>
          <w:ilvl w:val="0"/>
          <w:numId w:val="19"/>
        </w:numPr>
        <w:rPr>
          <w:lang w:val="en-AU"/>
        </w:rPr>
      </w:pPr>
      <w:r w:rsidRPr="00366A33">
        <w:rPr>
          <w:lang w:val="en-AU"/>
        </w:rPr>
        <w:t>Private registered training providers</w:t>
      </w:r>
    </w:p>
    <w:p w14:paraId="630F93C7" w14:textId="77777777" w:rsidR="009C390F" w:rsidRPr="00366A33" w:rsidRDefault="009C390F" w:rsidP="000157E3">
      <w:pPr>
        <w:pStyle w:val="ESBodyText"/>
        <w:numPr>
          <w:ilvl w:val="0"/>
          <w:numId w:val="19"/>
        </w:numPr>
        <w:rPr>
          <w:lang w:val="en-AU"/>
        </w:rPr>
      </w:pPr>
      <w:r w:rsidRPr="00366A33">
        <w:rPr>
          <w:lang w:val="en-AU"/>
        </w:rPr>
        <w:t>Learn Locals</w:t>
      </w:r>
    </w:p>
    <w:p w14:paraId="07A2ED6F" w14:textId="77777777" w:rsidR="00366A33" w:rsidRPr="00366A33" w:rsidRDefault="00366A33" w:rsidP="00366A33">
      <w:pPr>
        <w:pStyle w:val="ESBodyText"/>
        <w:numPr>
          <w:ilvl w:val="0"/>
          <w:numId w:val="19"/>
        </w:numPr>
        <w:rPr>
          <w:lang w:val="en-AU"/>
        </w:rPr>
      </w:pPr>
      <w:r w:rsidRPr="00366A33">
        <w:rPr>
          <w:lang w:val="en-AU"/>
        </w:rPr>
        <w:t>We have a diverse range of public, private and not-for-profit providers serving Victorians and international students of all ages:</w:t>
      </w:r>
    </w:p>
    <w:p w14:paraId="274ED522" w14:textId="3263F0CF" w:rsidR="009C390F" w:rsidRPr="00366A33" w:rsidRDefault="009C390F" w:rsidP="00194DAB">
      <w:pPr>
        <w:pStyle w:val="ESBodyText"/>
        <w:numPr>
          <w:ilvl w:val="1"/>
          <w:numId w:val="13"/>
        </w:numPr>
        <w:ind w:left="1701" w:hanging="141"/>
        <w:rPr>
          <w:lang w:val="en-AU"/>
        </w:rPr>
      </w:pPr>
      <w:r w:rsidRPr="00366A33">
        <w:rPr>
          <w:lang w:val="en-AU"/>
        </w:rPr>
        <w:t>12 TAFE institutes</w:t>
      </w:r>
    </w:p>
    <w:p w14:paraId="57EAAB51" w14:textId="5C2514BD" w:rsidR="009C390F" w:rsidRPr="00366A33" w:rsidRDefault="00366A33" w:rsidP="00194DAB">
      <w:pPr>
        <w:pStyle w:val="ESBodyText"/>
        <w:numPr>
          <w:ilvl w:val="1"/>
          <w:numId w:val="13"/>
        </w:numPr>
        <w:ind w:left="1701" w:hanging="141"/>
        <w:rPr>
          <w:lang w:val="en-AU"/>
        </w:rPr>
      </w:pPr>
      <w:r w:rsidRPr="00366A33">
        <w:rPr>
          <w:lang w:val="en-AU"/>
        </w:rPr>
        <w:t>10</w:t>
      </w:r>
      <w:r w:rsidR="009C390F" w:rsidRPr="00366A33">
        <w:rPr>
          <w:lang w:val="en-AU"/>
        </w:rPr>
        <w:t xml:space="preserve"> universities</w:t>
      </w:r>
      <w:r w:rsidRPr="00366A33">
        <w:rPr>
          <w:lang w:val="en-AU"/>
        </w:rPr>
        <w:t xml:space="preserve"> operating under State legislation</w:t>
      </w:r>
      <w:r w:rsidR="009C390F" w:rsidRPr="00366A33">
        <w:rPr>
          <w:lang w:val="en-AU"/>
        </w:rPr>
        <w:t xml:space="preserve"> (four of which are dual-sector universities that also provide </w:t>
      </w:r>
      <w:r w:rsidRPr="00366A33">
        <w:rPr>
          <w:lang w:val="en-AU"/>
        </w:rPr>
        <w:t>VET)</w:t>
      </w:r>
    </w:p>
    <w:p w14:paraId="7FF19E45" w14:textId="0E8D1645" w:rsidR="009C390F" w:rsidRPr="00366A33" w:rsidRDefault="00366A33" w:rsidP="00194DAB">
      <w:pPr>
        <w:pStyle w:val="ESBodyText"/>
        <w:numPr>
          <w:ilvl w:val="1"/>
          <w:numId w:val="13"/>
        </w:numPr>
        <w:ind w:left="1701" w:hanging="141"/>
        <w:rPr>
          <w:lang w:val="en-AU"/>
        </w:rPr>
      </w:pPr>
      <w:r w:rsidRPr="00366A33">
        <w:rPr>
          <w:lang w:val="en-AU"/>
        </w:rPr>
        <w:t>274</w:t>
      </w:r>
      <w:r w:rsidR="009C390F" w:rsidRPr="00366A33">
        <w:rPr>
          <w:lang w:val="en-AU"/>
        </w:rPr>
        <w:t xml:space="preserve"> Learn Local organisations</w:t>
      </w:r>
      <w:r w:rsidRPr="00366A33">
        <w:rPr>
          <w:lang w:val="en-AU"/>
        </w:rPr>
        <w:t xml:space="preserve">, including community owned not-for-profit organisations and </w:t>
      </w:r>
      <w:r w:rsidR="009C390F" w:rsidRPr="00366A33">
        <w:rPr>
          <w:lang w:val="en-AU"/>
        </w:rPr>
        <w:t>Adult Education Institutions</w:t>
      </w:r>
      <w:r w:rsidRPr="00366A33">
        <w:rPr>
          <w:lang w:val="en-AU"/>
        </w:rPr>
        <w:t>, registered with the</w:t>
      </w:r>
      <w:r w:rsidR="009C390F" w:rsidRPr="00366A33">
        <w:rPr>
          <w:lang w:val="en-AU"/>
        </w:rPr>
        <w:t xml:space="preserve"> </w:t>
      </w:r>
      <w:r w:rsidRPr="00366A33">
        <w:rPr>
          <w:lang w:val="en-AU"/>
        </w:rPr>
        <w:t xml:space="preserve">ACFE Board </w:t>
      </w:r>
      <w:r w:rsidR="009C390F" w:rsidRPr="00366A33">
        <w:rPr>
          <w:lang w:val="en-AU"/>
        </w:rPr>
        <w:t>to deliver pre-accredited training</w:t>
      </w:r>
    </w:p>
    <w:p w14:paraId="6906D1EF" w14:textId="56E005A0" w:rsidR="009C390F" w:rsidRPr="00366A33" w:rsidRDefault="00366A33" w:rsidP="00194DAB">
      <w:pPr>
        <w:pStyle w:val="ESBodyText"/>
        <w:numPr>
          <w:ilvl w:val="1"/>
          <w:numId w:val="13"/>
        </w:numPr>
        <w:ind w:left="1701" w:hanging="141"/>
        <w:rPr>
          <w:lang w:val="en-AU"/>
        </w:rPr>
      </w:pPr>
      <w:r w:rsidRPr="00366A33">
        <w:rPr>
          <w:lang w:val="en-AU"/>
        </w:rPr>
        <w:t>197</w:t>
      </w:r>
      <w:r w:rsidR="009C390F" w:rsidRPr="00366A33">
        <w:rPr>
          <w:lang w:val="en-AU"/>
        </w:rPr>
        <w:t xml:space="preserve"> government</w:t>
      </w:r>
      <w:r w:rsidRPr="00366A33">
        <w:rPr>
          <w:lang w:val="en-AU"/>
        </w:rPr>
        <w:noBreakHyphen/>
      </w:r>
      <w:r w:rsidR="009C390F" w:rsidRPr="00366A33">
        <w:rPr>
          <w:lang w:val="en-AU"/>
        </w:rPr>
        <w:t>contracted private registered training organisations</w:t>
      </w:r>
      <w:r w:rsidR="000157E3" w:rsidRPr="00366A33">
        <w:rPr>
          <w:lang w:val="en-AU"/>
        </w:rPr>
        <w:t>.</w:t>
      </w:r>
    </w:p>
    <w:p w14:paraId="5615D5F6" w14:textId="0840344E" w:rsidR="005E7225" w:rsidRPr="00341632" w:rsidRDefault="005E7225">
      <w:pPr>
        <w:spacing w:after="0" w:line="240" w:lineRule="auto"/>
        <w:rPr>
          <w:rFonts w:eastAsiaTheme="majorEastAsia" w:cstheme="majorBidi"/>
          <w:b/>
          <w:bCs/>
          <w:caps/>
          <w:color w:val="AF272F"/>
          <w:sz w:val="20"/>
          <w:szCs w:val="20"/>
          <w:highlight w:val="yellow"/>
        </w:rPr>
      </w:pPr>
    </w:p>
    <w:p w14:paraId="6FCE344A" w14:textId="1FC5EE47" w:rsidR="002375DF" w:rsidRPr="00861FEC" w:rsidRDefault="00366A33" w:rsidP="002507D1">
      <w:pPr>
        <w:pStyle w:val="ESBodyText"/>
        <w:spacing w:line="240" w:lineRule="auto"/>
        <w:rPr>
          <w:rFonts w:eastAsiaTheme="majorEastAsia" w:cstheme="majorBidi"/>
          <w:b/>
          <w:bCs/>
          <w:caps/>
          <w:color w:val="AF272F"/>
          <w:szCs w:val="20"/>
        </w:rPr>
      </w:pPr>
      <w:r w:rsidRPr="00861FEC">
        <w:rPr>
          <w:rFonts w:eastAsiaTheme="majorEastAsia" w:cstheme="majorBidi"/>
          <w:b/>
          <w:bCs/>
          <w:caps/>
          <w:color w:val="AF272F"/>
          <w:szCs w:val="20"/>
        </w:rPr>
        <w:t>CURRENT ENVIRONMENT</w:t>
      </w:r>
    </w:p>
    <w:p w14:paraId="71165AFC" w14:textId="4F4A8E4C" w:rsidR="00366A33" w:rsidRPr="00861FEC" w:rsidRDefault="00366A33" w:rsidP="00861FEC">
      <w:pPr>
        <w:ind w:right="179"/>
      </w:pPr>
      <w:r w:rsidRPr="00861FEC">
        <w:t>The Department is operating in a challenging and complex environment as it seeks to support Victoria’s economic and social recovery from the joint effects of Australia’s worst bushfires, and the COVID-19 pandemic.</w:t>
      </w:r>
    </w:p>
    <w:p w14:paraId="272A1575" w14:textId="492B29DE" w:rsidR="00366A33" w:rsidRPr="00861FEC" w:rsidRDefault="00366A33" w:rsidP="00861FEC">
      <w:pPr>
        <w:ind w:right="179"/>
      </w:pPr>
      <w:r w:rsidRPr="00861FEC">
        <w:t>Over the last two years the Victorian education</w:t>
      </w:r>
      <w:r w:rsidR="00861FEC" w:rsidRPr="00861FEC">
        <w:t xml:space="preserve"> </w:t>
      </w:r>
      <w:r w:rsidRPr="00861FEC">
        <w:t>system rapidly adapted enabling learners to</w:t>
      </w:r>
      <w:r w:rsidR="00861FEC" w:rsidRPr="00861FEC">
        <w:t xml:space="preserve"> </w:t>
      </w:r>
      <w:r w:rsidRPr="00861FEC">
        <w:t>undertake remote and flexible learning. There</w:t>
      </w:r>
      <w:r w:rsidR="00861FEC" w:rsidRPr="00861FEC">
        <w:t xml:space="preserve"> </w:t>
      </w:r>
      <w:r w:rsidRPr="00861FEC">
        <w:t>were significant efforts made to adapt everything</w:t>
      </w:r>
      <w:r w:rsidR="00861FEC" w:rsidRPr="00861FEC">
        <w:t xml:space="preserve"> </w:t>
      </w:r>
      <w:r w:rsidRPr="00861FEC">
        <w:t xml:space="preserve">for the online environment, </w:t>
      </w:r>
      <w:proofErr w:type="gramStart"/>
      <w:r w:rsidRPr="00861FEC">
        <w:t>from curriculum,</w:t>
      </w:r>
      <w:r w:rsidR="00861FEC" w:rsidRPr="00861FEC">
        <w:t xml:space="preserve"> </w:t>
      </w:r>
      <w:r w:rsidRPr="00861FEC">
        <w:t>assessment and teaching practices,</w:t>
      </w:r>
      <w:proofErr w:type="gramEnd"/>
      <w:r w:rsidRPr="00861FEC">
        <w:t xml:space="preserve"> to wellbeing</w:t>
      </w:r>
      <w:r w:rsidR="00861FEC" w:rsidRPr="00861FEC">
        <w:t xml:space="preserve"> </w:t>
      </w:r>
      <w:r w:rsidRPr="00861FEC">
        <w:t>supports and school operations.</w:t>
      </w:r>
    </w:p>
    <w:p w14:paraId="7848F4A2" w14:textId="2D77B0B7" w:rsidR="00366A33" w:rsidRPr="00861FEC" w:rsidRDefault="00366A33" w:rsidP="00861FEC">
      <w:pPr>
        <w:ind w:right="179"/>
      </w:pPr>
      <w:r w:rsidRPr="00861FEC">
        <w:t>The Department undertook considerable work to</w:t>
      </w:r>
      <w:r w:rsidR="00861FEC" w:rsidRPr="00861FEC">
        <w:t xml:space="preserve"> </w:t>
      </w:r>
      <w:r w:rsidRPr="00861FEC">
        <w:t>understand the experiences of schools, students</w:t>
      </w:r>
      <w:r w:rsidR="00861FEC" w:rsidRPr="00861FEC">
        <w:t xml:space="preserve"> </w:t>
      </w:r>
      <w:r w:rsidRPr="00861FEC">
        <w:t>and families in the first phase of remote learning,</w:t>
      </w:r>
      <w:r w:rsidR="00861FEC" w:rsidRPr="00861FEC">
        <w:t xml:space="preserve"> </w:t>
      </w:r>
      <w:r w:rsidRPr="00861FEC">
        <w:t>which enabled us to respond quickly and improve</w:t>
      </w:r>
      <w:r w:rsidR="00861FEC" w:rsidRPr="00861FEC">
        <w:t xml:space="preserve"> </w:t>
      </w:r>
      <w:r w:rsidRPr="00861FEC">
        <w:t>our delivery over the course of 2021 and beyond.</w:t>
      </w:r>
      <w:r w:rsidR="00861FEC" w:rsidRPr="00861FEC">
        <w:t xml:space="preserve"> </w:t>
      </w:r>
      <w:r w:rsidRPr="00861FEC">
        <w:t>The Department is now embedding the best</w:t>
      </w:r>
      <w:r w:rsidR="00861FEC" w:rsidRPr="00861FEC">
        <w:t xml:space="preserve"> </w:t>
      </w:r>
      <w:r w:rsidRPr="00861FEC">
        <w:t>elements of remote learning and innovative</w:t>
      </w:r>
      <w:r w:rsidR="00861FEC" w:rsidRPr="00861FEC">
        <w:t xml:space="preserve"> </w:t>
      </w:r>
      <w:r w:rsidRPr="00861FEC">
        <w:t>technology to enhance learning and teacher</w:t>
      </w:r>
      <w:r w:rsidR="00861FEC" w:rsidRPr="00861FEC">
        <w:t xml:space="preserve"> </w:t>
      </w:r>
      <w:r w:rsidRPr="00861FEC">
        <w:t>practice.</w:t>
      </w:r>
    </w:p>
    <w:p w14:paraId="2AA582AA" w14:textId="4289E89A" w:rsidR="003A5289" w:rsidRDefault="00366A33" w:rsidP="00861FEC">
      <w:pPr>
        <w:ind w:right="179"/>
      </w:pPr>
      <w:r w:rsidRPr="00861FEC">
        <w:t>In the early childhood sector, the success of</w:t>
      </w:r>
      <w:r w:rsidR="00861FEC" w:rsidRPr="00861FEC">
        <w:t xml:space="preserve"> </w:t>
      </w:r>
      <w:r w:rsidRPr="00861FEC">
        <w:t xml:space="preserve">learning from home </w:t>
      </w:r>
      <w:proofErr w:type="spellStart"/>
      <w:r w:rsidRPr="00861FEC">
        <w:t>centres</w:t>
      </w:r>
      <w:proofErr w:type="spellEnd"/>
      <w:r w:rsidRPr="00861FEC">
        <w:t xml:space="preserve"> on the importance of</w:t>
      </w:r>
      <w:r w:rsidR="00861FEC" w:rsidRPr="00861FEC">
        <w:t xml:space="preserve"> </w:t>
      </w:r>
      <w:r w:rsidRPr="00861FEC">
        <w:t>partnerships with families. The Department</w:t>
      </w:r>
      <w:r w:rsidR="00861FEC" w:rsidRPr="00861FEC">
        <w:t xml:space="preserve"> </w:t>
      </w:r>
      <w:r w:rsidRPr="00861FEC">
        <w:t>supports the sector with guidance and resources</w:t>
      </w:r>
      <w:r w:rsidR="00861FEC" w:rsidRPr="00861FEC">
        <w:t xml:space="preserve"> </w:t>
      </w:r>
      <w:proofErr w:type="spellStart"/>
      <w:r w:rsidRPr="00861FEC">
        <w:t>recognising</w:t>
      </w:r>
      <w:proofErr w:type="spellEnd"/>
      <w:r w:rsidRPr="00861FEC">
        <w:t xml:space="preserve"> that early childhood educators know</w:t>
      </w:r>
      <w:r w:rsidR="00861FEC" w:rsidRPr="00861FEC">
        <w:t xml:space="preserve"> </w:t>
      </w:r>
      <w:r w:rsidRPr="00861FEC">
        <w:t>their communities, families and children best.</w:t>
      </w:r>
    </w:p>
    <w:p w14:paraId="371689C4" w14:textId="77777777" w:rsidR="00861FEC" w:rsidRDefault="00861FEC" w:rsidP="00861FEC">
      <w:pPr>
        <w:ind w:right="179"/>
      </w:pPr>
      <w:r>
        <w:t xml:space="preserve">Early childhood teachers and educators have successfully supported age-appropriate learning at home by working with parents, while offering services to children attending on-site. The Department is using the lessons learnt from this period to embed agility into its services and </w:t>
      </w:r>
      <w:proofErr w:type="spellStart"/>
      <w:r>
        <w:t>modernise</w:t>
      </w:r>
      <w:proofErr w:type="spellEnd"/>
      <w:r>
        <w:t xml:space="preserve"> the way it works. With the potential for other disruptions including extreme weather and emergency situations, our services need to be more responsive, adaptable and flexible.</w:t>
      </w:r>
    </w:p>
    <w:p w14:paraId="3FAD2719" w14:textId="3EEBE0A4" w:rsidR="00861FEC" w:rsidRPr="00861FEC" w:rsidRDefault="00861FEC" w:rsidP="00861FEC">
      <w:pPr>
        <w:ind w:right="179"/>
      </w:pPr>
      <w:r>
        <w:t xml:space="preserve">The Department is developing an Adaptation Action Plan to reflect the Victorian Government’s priorities, as outlined in </w:t>
      </w:r>
      <w:r w:rsidRPr="00861FEC">
        <w:rPr>
          <w:i/>
          <w:iCs/>
        </w:rPr>
        <w:t>The Climate Change Act 2017</w:t>
      </w:r>
      <w:r>
        <w:t xml:space="preserve"> and the Victorian Climate Change Strategy. The plan, to be released in October 2021, will translate the broader goals for climate change adaptation in Victoria's education and training system. Implementation of the plan commences in 2022, with targets set for 2025 and 2030.</w:t>
      </w:r>
    </w:p>
    <w:p w14:paraId="258FD847" w14:textId="4572153E" w:rsidR="00861FEC" w:rsidRPr="00861FEC" w:rsidRDefault="00861FEC" w:rsidP="00861FEC">
      <w:pPr>
        <w:pStyle w:val="ESBodyText"/>
        <w:spacing w:line="240" w:lineRule="auto"/>
        <w:rPr>
          <w:rFonts w:eastAsiaTheme="majorEastAsia" w:cstheme="majorBidi"/>
          <w:b/>
          <w:bCs/>
          <w:caps/>
          <w:color w:val="AF272F"/>
          <w:szCs w:val="20"/>
        </w:rPr>
      </w:pPr>
      <w:r w:rsidRPr="00861FEC">
        <w:rPr>
          <w:rFonts w:eastAsiaTheme="majorEastAsia" w:cstheme="majorBidi"/>
          <w:b/>
          <w:bCs/>
          <w:caps/>
          <w:color w:val="AF272F"/>
          <w:szCs w:val="20"/>
        </w:rPr>
        <w:t>FUTURE DEMAND</w:t>
      </w:r>
    </w:p>
    <w:p w14:paraId="12352A20" w14:textId="77777777" w:rsidR="00861FEC" w:rsidRPr="00861FEC" w:rsidRDefault="00861FEC" w:rsidP="00861FEC">
      <w:pPr>
        <w:ind w:right="179"/>
      </w:pPr>
      <w:r w:rsidRPr="00861FEC">
        <w:t>Victoria’s population growth has slowed in the context of the COVID-19 pandemic. However, long</w:t>
      </w:r>
      <w:r w:rsidRPr="00861FEC">
        <w:noBreakHyphen/>
        <w:t>term population growth will likely remain a significant challenge for the Department when travel restrictions ease. The easing of travel restrictions brings opportunities as the flow of international students return to our schools, TAFEs and universities. The Department is carefully monitoring changes in population forecasts and government sector market share to inform its strategic planning.</w:t>
      </w:r>
    </w:p>
    <w:p w14:paraId="1A68DEB5" w14:textId="7F8ED229" w:rsidR="00861FEC" w:rsidRDefault="00861FEC" w:rsidP="00861FEC">
      <w:pPr>
        <w:ind w:right="179"/>
      </w:pPr>
      <w:r w:rsidRPr="00861FEC">
        <w:t xml:space="preserve">Our Education State reforms are expanding the services the Department is offering, while also supporting a greater proportion of Victoria’s population. The initiatives and programs outlined in this plan require </w:t>
      </w:r>
      <w:proofErr w:type="spellStart"/>
      <w:r w:rsidRPr="00861FEC">
        <w:t>localised</w:t>
      </w:r>
      <w:proofErr w:type="spellEnd"/>
      <w:r w:rsidRPr="00861FEC">
        <w:t xml:space="preserve"> and tailored approaches. Changes in the movement and spread of learners affects demand at a local level. The Department continues to tailor our response to ensure every Victorian has access to high-quality education services.</w:t>
      </w:r>
    </w:p>
    <w:p w14:paraId="14BA2415" w14:textId="751A3280" w:rsidR="00861FEC" w:rsidRPr="00861FEC" w:rsidRDefault="00861FEC" w:rsidP="00861FEC">
      <w:pPr>
        <w:pStyle w:val="ESHeading3"/>
        <w:rPr>
          <w:rFonts w:eastAsiaTheme="majorEastAsia" w:cstheme="majorBidi"/>
          <w:bCs/>
          <w:caps/>
          <w:color w:val="AF272F"/>
          <w:szCs w:val="20"/>
        </w:rPr>
      </w:pPr>
      <w:r w:rsidRPr="00861FEC">
        <w:rPr>
          <w:rFonts w:eastAsiaTheme="majorEastAsia" w:cstheme="majorBidi"/>
          <w:caps/>
          <w:color w:val="AF272F"/>
          <w:sz w:val="18"/>
          <w:szCs w:val="20"/>
        </w:rPr>
        <w:t>OUR STORIES: TUTOR LEARNING INITIATIVE</w:t>
      </w:r>
      <w:r w:rsidR="00E50481">
        <w:rPr>
          <w:rFonts w:eastAsiaTheme="majorEastAsia" w:cstheme="majorBidi"/>
          <w:bCs/>
          <w:caps/>
          <w:color w:val="AF272F"/>
          <w:szCs w:val="20"/>
        </w:rPr>
        <w:pict w14:anchorId="0E1D4A5A">
          <v:rect id="_x0000_i1025" style="width:0;height:1.5pt" o:hralign="center" o:hrstd="t" o:hr="t" fillcolor="#a0a0a0" stroked="f"/>
        </w:pict>
      </w:r>
    </w:p>
    <w:p w14:paraId="251E0FB2" w14:textId="6BC248C9" w:rsidR="00861FEC" w:rsidRPr="00861FEC" w:rsidRDefault="00861FEC" w:rsidP="00861FEC">
      <w:pPr>
        <w:pStyle w:val="ESBulletsinTable"/>
        <w:numPr>
          <w:ilvl w:val="0"/>
          <w:numId w:val="0"/>
        </w:numPr>
        <w:rPr>
          <w:rFonts w:cs="Arial"/>
          <w:szCs w:val="18"/>
          <w:lang w:val="en-US"/>
        </w:rPr>
      </w:pPr>
      <w:r w:rsidRPr="00861FEC">
        <w:rPr>
          <w:rFonts w:cs="Arial"/>
          <w:szCs w:val="18"/>
          <w:lang w:val="en-US"/>
        </w:rPr>
        <w:t xml:space="preserve">In 2020, the Victorian Government announced the Tutor Learning Initiative to provide students whose learning was disrupted </w:t>
      </w:r>
      <w:proofErr w:type="gramStart"/>
      <w:r w:rsidRPr="00861FEC">
        <w:rPr>
          <w:rFonts w:cs="Arial"/>
          <w:szCs w:val="18"/>
          <w:lang w:val="en-US"/>
        </w:rPr>
        <w:t>as a result of</w:t>
      </w:r>
      <w:proofErr w:type="gramEnd"/>
      <w:r w:rsidRPr="00861FEC">
        <w:rPr>
          <w:rFonts w:cs="Arial"/>
          <w:szCs w:val="18"/>
          <w:lang w:val="en-US"/>
        </w:rPr>
        <w:t xml:space="preserve"> the COVID-19 pandemic with additional small group learning support. The initiative employs </w:t>
      </w:r>
      <w:r w:rsidRPr="00861FEC">
        <w:rPr>
          <w:rFonts w:cs="Arial"/>
          <w:szCs w:val="18"/>
          <w:lang w:val="en-US"/>
        </w:rPr>
        <w:lastRenderedPageBreak/>
        <w:t xml:space="preserve">over </w:t>
      </w:r>
      <w:r w:rsidR="0064095D">
        <w:rPr>
          <w:rFonts w:cs="Arial"/>
          <w:szCs w:val="18"/>
          <w:lang w:val="en-US"/>
        </w:rPr>
        <w:t>5</w:t>
      </w:r>
      <w:r w:rsidRPr="00861FEC">
        <w:rPr>
          <w:rFonts w:cs="Arial"/>
          <w:szCs w:val="18"/>
          <w:lang w:val="en-US"/>
        </w:rPr>
        <w:t>,</w:t>
      </w:r>
      <w:r w:rsidR="0064095D">
        <w:rPr>
          <w:rFonts w:cs="Arial"/>
          <w:szCs w:val="18"/>
          <w:lang w:val="en-US"/>
        </w:rPr>
        <w:t>6</w:t>
      </w:r>
      <w:r w:rsidRPr="00861FEC">
        <w:rPr>
          <w:rFonts w:cs="Arial"/>
          <w:szCs w:val="18"/>
          <w:lang w:val="en-US"/>
        </w:rPr>
        <w:t>00 teachers as tutors across Victoria’s government and non-government schools. Tutors have been working across primary, secondary and specialist settings since Term 1, 2021.</w:t>
      </w:r>
    </w:p>
    <w:p w14:paraId="3A84D6EC" w14:textId="2E79B385" w:rsidR="00861FEC" w:rsidRPr="00903DF5" w:rsidRDefault="00861FEC" w:rsidP="00861FEC">
      <w:pPr>
        <w:pStyle w:val="ESBulletsinTable"/>
        <w:numPr>
          <w:ilvl w:val="0"/>
          <w:numId w:val="0"/>
        </w:numPr>
        <w:rPr>
          <w:rFonts w:cs="Arial"/>
          <w:szCs w:val="18"/>
          <w:lang w:val="en-US"/>
        </w:rPr>
      </w:pPr>
      <w:r w:rsidRPr="00861FEC">
        <w:rPr>
          <w:rFonts w:cs="Arial"/>
          <w:szCs w:val="18"/>
          <w:lang w:val="en-US"/>
        </w:rPr>
        <w:t>The Department has conducted extensive research to develop resources and professional learning that supports schools to implement the most appropriate model of tutoring for their students. Schools have used existing student assessment data and individual education plans to monitor the progress of students participating in the Tutor Learning Initiative.</w:t>
      </w:r>
    </w:p>
    <w:p w14:paraId="25216B47" w14:textId="77777777" w:rsidR="00861FEC" w:rsidRPr="00861FEC" w:rsidRDefault="00861FEC" w:rsidP="00861FEC">
      <w:pPr>
        <w:ind w:right="179"/>
      </w:pPr>
    </w:p>
    <w:p w14:paraId="407CF013" w14:textId="13FA6BB8" w:rsidR="002375DF" w:rsidRPr="00861FEC" w:rsidRDefault="009E5FB2" w:rsidP="002507D1">
      <w:pPr>
        <w:pStyle w:val="ESBodyText"/>
        <w:spacing w:line="240" w:lineRule="auto"/>
        <w:rPr>
          <w:rFonts w:eastAsiaTheme="majorEastAsia" w:cstheme="majorBidi"/>
          <w:b/>
          <w:bCs/>
          <w:caps/>
          <w:color w:val="AF272F"/>
          <w:szCs w:val="20"/>
        </w:rPr>
      </w:pPr>
      <w:r w:rsidRPr="00861FEC">
        <w:rPr>
          <w:rFonts w:eastAsiaTheme="majorEastAsia" w:cstheme="majorBidi"/>
          <w:b/>
          <w:bCs/>
          <w:caps/>
          <w:color w:val="AF272F"/>
          <w:szCs w:val="20"/>
        </w:rPr>
        <w:t>WORKFORCE</w:t>
      </w:r>
    </w:p>
    <w:p w14:paraId="1D4A3632" w14:textId="77777777" w:rsidR="00861FEC" w:rsidRDefault="00861FEC" w:rsidP="00861FEC">
      <w:pPr>
        <w:ind w:right="50"/>
      </w:pPr>
      <w:r>
        <w:t>Building our workforce capability and supporting teacher and educator supply is essential to improving the quality of early childhood, school education and vocational education and training. Victoria’s changing population is placing additional demands on our services and workforces, with specific planning and support required for staff across different education settings and locations.</w:t>
      </w:r>
    </w:p>
    <w:p w14:paraId="13A4B75C" w14:textId="77777777" w:rsidR="00E66D13" w:rsidRDefault="00861FEC" w:rsidP="00E66D13">
      <w:pPr>
        <w:ind w:right="50"/>
      </w:pPr>
      <w:r>
        <w:t>At a system level, registered teachers are available to meet projected demand in schools and early childhood education. However, government schools in some locations continue to experience recruitment challenges for specific teaching roles, such as science, technology, engineering and mathematics, languages and special education. The roll-out of Three-Year-Old Kindergarten is likely to impact spare capacity in</w:t>
      </w:r>
      <w:r w:rsidR="00E66D13">
        <w:t xml:space="preserve"> </w:t>
      </w:r>
      <w:r>
        <w:t>the early childhood workforce, particularly in</w:t>
      </w:r>
      <w:r w:rsidR="00E66D13">
        <w:t xml:space="preserve"> </w:t>
      </w:r>
      <w:r>
        <w:t>some regional locations. The Department</w:t>
      </w:r>
      <w:r w:rsidR="00E66D13">
        <w:t xml:space="preserve"> </w:t>
      </w:r>
      <w:r>
        <w:t>continues monitoring the impact of COVID-19 on</w:t>
      </w:r>
      <w:r w:rsidR="00E66D13">
        <w:t xml:space="preserve"> </w:t>
      </w:r>
      <w:r>
        <w:t>migration and the implications for both workforce</w:t>
      </w:r>
      <w:r w:rsidR="00E66D13">
        <w:t xml:space="preserve"> </w:t>
      </w:r>
      <w:r>
        <w:t>supply and demand across schools, TAFEs and</w:t>
      </w:r>
      <w:r w:rsidR="00E66D13">
        <w:t xml:space="preserve"> </w:t>
      </w:r>
      <w:r>
        <w:t>early childhood education.</w:t>
      </w:r>
    </w:p>
    <w:p w14:paraId="224BF696" w14:textId="77777777" w:rsidR="00E66D13" w:rsidRDefault="00861FEC" w:rsidP="00E66D13">
      <w:pPr>
        <w:ind w:right="50"/>
      </w:pPr>
      <w:r>
        <w:t>To ensure Victoria is ready for the expansion in</w:t>
      </w:r>
      <w:r w:rsidR="00E66D13">
        <w:t xml:space="preserve"> </w:t>
      </w:r>
      <w:r>
        <w:t>Three-Year-Old Kindergarten, the Department is</w:t>
      </w:r>
      <w:r w:rsidR="00E66D13">
        <w:t xml:space="preserve"> </w:t>
      </w:r>
      <w:r>
        <w:t>investing in a range of workforce attraction,</w:t>
      </w:r>
      <w:r w:rsidR="00E66D13">
        <w:t xml:space="preserve"> </w:t>
      </w:r>
      <w:r>
        <w:t>retention and quality initiatives, including</w:t>
      </w:r>
      <w:r w:rsidR="00E66D13">
        <w:t xml:space="preserve"> </w:t>
      </w:r>
      <w:r>
        <w:t>scholarships for aspiring kindergarten teachers,</w:t>
      </w:r>
      <w:r w:rsidR="00E66D13">
        <w:t xml:space="preserve"> </w:t>
      </w:r>
      <w:r>
        <w:t>accelerated initial teacher education, employment</w:t>
      </w:r>
      <w:r w:rsidR="00E66D13">
        <w:t xml:space="preserve"> </w:t>
      </w:r>
      <w:r>
        <w:t>incentives and professional development support.</w:t>
      </w:r>
      <w:r w:rsidR="00E66D13">
        <w:t xml:space="preserve"> </w:t>
      </w:r>
      <w:r>
        <w:t>The Department is working with key stakeholders</w:t>
      </w:r>
      <w:r w:rsidR="00E66D13">
        <w:t xml:space="preserve"> </w:t>
      </w:r>
      <w:r>
        <w:t>on the next steps in the early childhood workforce</w:t>
      </w:r>
      <w:r w:rsidR="00E66D13">
        <w:t xml:space="preserve"> </w:t>
      </w:r>
      <w:r>
        <w:t>strategy (focused on kindergarten program staff),</w:t>
      </w:r>
      <w:r w:rsidR="00E66D13">
        <w:t xml:space="preserve"> </w:t>
      </w:r>
      <w:r>
        <w:t>to take advantage of existing initiatives and</w:t>
      </w:r>
      <w:r w:rsidR="00E66D13">
        <w:t xml:space="preserve"> </w:t>
      </w:r>
      <w:r>
        <w:t>identify new actions and partnerships across the</w:t>
      </w:r>
      <w:r w:rsidR="00E66D13">
        <w:t xml:space="preserve"> </w:t>
      </w:r>
      <w:r>
        <w:t>sector. The strategy aims to increase workforce</w:t>
      </w:r>
      <w:r w:rsidR="00E66D13">
        <w:t xml:space="preserve"> </w:t>
      </w:r>
      <w:r>
        <w:t>supply while also maintaining teaching quality.</w:t>
      </w:r>
    </w:p>
    <w:p w14:paraId="71BDC2D0" w14:textId="77777777" w:rsidR="00E66D13" w:rsidRDefault="00861FEC" w:rsidP="00E66D13">
      <w:pPr>
        <w:ind w:right="50"/>
      </w:pPr>
      <w:r>
        <w:t>The Department continues to invest in a highly</w:t>
      </w:r>
      <w:r w:rsidR="00E66D13">
        <w:t xml:space="preserve"> </w:t>
      </w:r>
      <w:r>
        <w:t>skilled teaching workforce to ensure high-quality</w:t>
      </w:r>
      <w:r w:rsidR="00E66D13">
        <w:t xml:space="preserve"> </w:t>
      </w:r>
      <w:r>
        <w:t>education across Victorian schools. The Excellence</w:t>
      </w:r>
      <w:r w:rsidR="00E66D13">
        <w:t xml:space="preserve"> </w:t>
      </w:r>
      <w:r>
        <w:t>in Teacher Education Reforms are attracting</w:t>
      </w:r>
      <w:r w:rsidR="00E66D13">
        <w:t xml:space="preserve"> </w:t>
      </w:r>
      <w:r>
        <w:t xml:space="preserve">additional high </w:t>
      </w:r>
      <w:proofErr w:type="spellStart"/>
      <w:r>
        <w:t>calibre</w:t>
      </w:r>
      <w:proofErr w:type="spellEnd"/>
      <w:r>
        <w:t xml:space="preserve"> teachers, raising the status</w:t>
      </w:r>
      <w:r w:rsidR="00E66D13">
        <w:t xml:space="preserve"> </w:t>
      </w:r>
      <w:r>
        <w:t>and entry standards and ensuring high-quality</w:t>
      </w:r>
      <w:r w:rsidR="00E66D13">
        <w:t xml:space="preserve"> </w:t>
      </w:r>
      <w:r>
        <w:t>pathways into the teaching profession are in place.</w:t>
      </w:r>
      <w:r w:rsidR="00E66D13">
        <w:t xml:space="preserve"> </w:t>
      </w:r>
      <w:r>
        <w:t>Additional supports for graduate teachers have</w:t>
      </w:r>
      <w:r w:rsidR="00E66D13">
        <w:t xml:space="preserve"> </w:t>
      </w:r>
      <w:r>
        <w:t>been introduced, with induction and mentoring</w:t>
      </w:r>
      <w:r w:rsidR="00E66D13">
        <w:t xml:space="preserve"> </w:t>
      </w:r>
      <w:r>
        <w:t>through Graduate Teacher Conferences, the</w:t>
      </w:r>
      <w:r w:rsidR="00E66D13">
        <w:t xml:space="preserve"> </w:t>
      </w:r>
      <w:r>
        <w:t>Graduate Learning Series, the Effective Mentoring</w:t>
      </w:r>
      <w:r w:rsidR="00E66D13">
        <w:t xml:space="preserve"> </w:t>
      </w:r>
      <w:r>
        <w:t>Program, and Employment Based Programs.</w:t>
      </w:r>
    </w:p>
    <w:p w14:paraId="723E05BD" w14:textId="6A2011C0" w:rsidR="009E5FB2" w:rsidRDefault="00861FEC" w:rsidP="00E66D13">
      <w:pPr>
        <w:ind w:right="50"/>
      </w:pPr>
      <w:r>
        <w:t xml:space="preserve">The Department is </w:t>
      </w:r>
      <w:r w:rsidR="004879B8">
        <w:t>trialing</w:t>
      </w:r>
      <w:r>
        <w:t xml:space="preserve"> a new pilot initiative in</w:t>
      </w:r>
      <w:r w:rsidR="00E66D13">
        <w:t xml:space="preserve"> </w:t>
      </w:r>
      <w:proofErr w:type="gramStart"/>
      <w:r>
        <w:t>North Eastern</w:t>
      </w:r>
      <w:proofErr w:type="gramEnd"/>
      <w:r>
        <w:t xml:space="preserve"> Melbourne, Western Melbourne and</w:t>
      </w:r>
      <w:r w:rsidR="00E66D13">
        <w:t xml:space="preserve"> </w:t>
      </w:r>
      <w:r>
        <w:t>Inner Gippsland to Transform the First Years of the</w:t>
      </w:r>
      <w:r w:rsidR="00E66D13">
        <w:t xml:space="preserve"> </w:t>
      </w:r>
      <w:r>
        <w:t>Teaching Career. The pilot seeks to improve the</w:t>
      </w:r>
      <w:r w:rsidR="00E66D13">
        <w:t xml:space="preserve"> </w:t>
      </w:r>
      <w:r>
        <w:t>quality and experience of graduate teachers.</w:t>
      </w:r>
      <w:r w:rsidR="00E66D13">
        <w:t xml:space="preserve"> </w:t>
      </w:r>
      <w:r>
        <w:t>Focused on their first two years of professional</w:t>
      </w:r>
      <w:r w:rsidR="00E66D13">
        <w:t xml:space="preserve"> </w:t>
      </w:r>
      <w:r>
        <w:t>practice, the initiative fosters collaboration by</w:t>
      </w:r>
      <w:r w:rsidR="00E66D13">
        <w:t xml:space="preserve"> </w:t>
      </w:r>
      <w:r>
        <w:t>establishing networks for graduate teachers in</w:t>
      </w:r>
      <w:r w:rsidR="00E66D13">
        <w:t xml:space="preserve"> </w:t>
      </w:r>
      <w:r>
        <w:t xml:space="preserve">government primary </w:t>
      </w:r>
      <w:r w:rsidRPr="00861FEC">
        <w:t>school</w:t>
      </w:r>
      <w:r w:rsidR="00E66D13">
        <w:t>s.</w:t>
      </w:r>
    </w:p>
    <w:p w14:paraId="44FAEAA5" w14:textId="77777777" w:rsidR="00E66D13" w:rsidRDefault="00E66D13" w:rsidP="00E66D13">
      <w:pPr>
        <w:ind w:right="50"/>
      </w:pPr>
      <w:r>
        <w:t>The Learning Specialist Leading Excellence in Teaching and Learning initiatives are focused on recruiting, training, supporting and deepening the expertise of learning specialists for every Victorian school. These initiatives harness national and international experts and evidence to inform the Coaching for Influence program, Learning Specialist Communities of Practice and a Learning Specialist Professional Learning Suite.</w:t>
      </w:r>
    </w:p>
    <w:p w14:paraId="1FF1F167" w14:textId="77777777" w:rsidR="00E66D13" w:rsidRDefault="00E66D13" w:rsidP="00E66D13">
      <w:pPr>
        <w:ind w:right="50"/>
      </w:pPr>
      <w:r>
        <w:t>The Victorian Professional Learning Communities (PLCs) initiative is based on the principle that students learn more when teachers work together. Through the Victorian PLCs, government schools are building a collaborative culture of continuous improvement in teaching and learning to improve outcomes for every student. By the end of 2024, all government schools will be receiving intensive implementation support, including a comprehensive program of professional learning and expert advice from regionally based teams. These teams include experienced educators, a dedicated PLC regional manager and practice instructors, who will advise, coach and train school leaders in all aspects of PLC implementation.</w:t>
      </w:r>
    </w:p>
    <w:p w14:paraId="6DB3F5B2" w14:textId="06B67570" w:rsidR="00E66D13" w:rsidRPr="00417FA8" w:rsidRDefault="00E66D13" w:rsidP="00E66D13">
      <w:pPr>
        <w:ind w:right="50"/>
      </w:pPr>
      <w:r>
        <w:t>A key priority within the Department’s senior secondary pathways reforms, is increasing the supply and quality of teachers delivering VET to school students and applied learning, including the Victorian Certificate of Applied Learning (VCAL). The VET and VCAL workforce initiatives include an employment-based pathway to retrain industry professionals to become VET teachers, scholarships, and a professional learning program for VCAL teachers. This is complemented with an</w:t>
      </w:r>
      <w:r w:rsidR="00417FA8">
        <w:t xml:space="preserve"> </w:t>
      </w:r>
      <w:r>
        <w:t>industry placement scheme for VET teachers. The</w:t>
      </w:r>
      <w:r w:rsidR="00417FA8">
        <w:t xml:space="preserve"> </w:t>
      </w:r>
      <w:r>
        <w:t>scheme ensures teachers maintain up-to-date</w:t>
      </w:r>
      <w:r w:rsidR="00417FA8">
        <w:t xml:space="preserve"> </w:t>
      </w:r>
      <w:r>
        <w:t>industry knowledge, provides grants for schools to</w:t>
      </w:r>
      <w:r w:rsidR="00417FA8">
        <w:t xml:space="preserve"> </w:t>
      </w:r>
      <w:r>
        <w:t>collaborate and share VET teachers, and fosters</w:t>
      </w:r>
      <w:r w:rsidR="00417FA8">
        <w:t xml:space="preserve"> </w:t>
      </w:r>
      <w:r w:rsidRPr="00417FA8">
        <w:t>innovation in the delivery and design of VET and</w:t>
      </w:r>
      <w:r w:rsidR="00417FA8" w:rsidRPr="00417FA8">
        <w:t xml:space="preserve"> </w:t>
      </w:r>
      <w:r w:rsidRPr="00417FA8">
        <w:t>VCAL.</w:t>
      </w:r>
    </w:p>
    <w:p w14:paraId="7D935DE8" w14:textId="57AA7EAE" w:rsidR="002D6A1C" w:rsidRPr="00417FA8" w:rsidRDefault="008526F9" w:rsidP="00903DF5">
      <w:pPr>
        <w:pStyle w:val="ESBodyText"/>
        <w:spacing w:before="240" w:line="240" w:lineRule="auto"/>
        <w:rPr>
          <w:rFonts w:eastAsiaTheme="majorEastAsia" w:cstheme="majorBidi"/>
          <w:b/>
          <w:bCs/>
          <w:caps/>
          <w:color w:val="AF272F"/>
          <w:szCs w:val="20"/>
        </w:rPr>
      </w:pPr>
      <w:r w:rsidRPr="00417FA8">
        <w:rPr>
          <w:rFonts w:eastAsiaTheme="majorEastAsia" w:cstheme="majorBidi"/>
          <w:b/>
          <w:bCs/>
          <w:caps/>
          <w:color w:val="AF272F"/>
          <w:szCs w:val="20"/>
        </w:rPr>
        <w:lastRenderedPageBreak/>
        <w:t xml:space="preserve">Our Stories: </w:t>
      </w:r>
      <w:r w:rsidR="00417FA8" w:rsidRPr="00417FA8">
        <w:rPr>
          <w:rFonts w:eastAsiaTheme="majorEastAsia" w:cstheme="majorBidi"/>
          <w:b/>
          <w:bCs/>
          <w:caps/>
          <w:color w:val="AF272F"/>
          <w:szCs w:val="20"/>
        </w:rPr>
        <w:t>VICTORIAN ACADEMY OF TEACHING AND LEADERSHIP</w:t>
      </w:r>
      <w:r w:rsidR="00E50481">
        <w:rPr>
          <w:rFonts w:eastAsiaTheme="majorEastAsia" w:cstheme="majorBidi"/>
          <w:b/>
          <w:bCs/>
          <w:caps/>
          <w:color w:val="AF272F"/>
          <w:szCs w:val="20"/>
        </w:rPr>
        <w:pict w14:anchorId="41EBA34B">
          <v:rect id="_x0000_i1026" style="width:0;height:1.5pt" o:hralign="center" o:hrstd="t" o:hr="t" fillcolor="#a0a0a0" stroked="f"/>
        </w:pict>
      </w:r>
    </w:p>
    <w:p w14:paraId="44B82853" w14:textId="77777777" w:rsidR="00417FA8" w:rsidRPr="00417FA8" w:rsidRDefault="00417FA8" w:rsidP="00417FA8">
      <w:pPr>
        <w:pStyle w:val="ESBodyText"/>
        <w:rPr>
          <w:lang w:val="en-AU"/>
        </w:rPr>
      </w:pPr>
      <w:r w:rsidRPr="00417FA8">
        <w:rPr>
          <w:lang w:val="en-AU"/>
        </w:rPr>
        <w:t>The Victorian Government is investing in further improving the quality of teachers and school leaders through the creation of a new Victorian Academy of Teaching and Leadership. The new specialist academy will provide advanced professional learning for Victorian teachers and educational leaders in both metropolitan Melbourne and regional Victoria.</w:t>
      </w:r>
    </w:p>
    <w:p w14:paraId="5A32D5D2" w14:textId="77777777" w:rsidR="00417FA8" w:rsidRPr="00417FA8" w:rsidRDefault="00417FA8" w:rsidP="00417FA8">
      <w:pPr>
        <w:pStyle w:val="ESBodyText"/>
        <w:rPr>
          <w:lang w:val="en-AU"/>
        </w:rPr>
      </w:pPr>
      <w:r w:rsidRPr="00417FA8">
        <w:rPr>
          <w:lang w:val="en-AU"/>
        </w:rPr>
        <w:t>The Teaching Excellence Program, the flagship of the academy, will be a one-year program supporting up to 500 teachers per year across all sectors. This program deepens teaching excellence for Victoria’s highly skilled teachers, advancing their professional expertise through access to the latest research in the science of learning and discipline-based pedagogical content knowledge.</w:t>
      </w:r>
    </w:p>
    <w:p w14:paraId="55D1003F" w14:textId="6B55E46A" w:rsidR="0071620B" w:rsidRPr="00341632" w:rsidRDefault="00787D50" w:rsidP="00787D50">
      <w:pPr>
        <w:pStyle w:val="ESBodyText"/>
        <w:rPr>
          <w:highlight w:val="yellow"/>
        </w:rPr>
      </w:pPr>
      <w:r w:rsidRPr="00787D50">
        <w:rPr>
          <w:lang w:val="en-AU"/>
        </w:rPr>
        <w:t>In addition, seven new regional centres at</w:t>
      </w:r>
      <w:r>
        <w:rPr>
          <w:lang w:val="en-AU"/>
        </w:rPr>
        <w:t xml:space="preserve"> </w:t>
      </w:r>
      <w:r w:rsidRPr="00787D50">
        <w:rPr>
          <w:lang w:val="en-AU"/>
        </w:rPr>
        <w:t>Bairnsdale, Ballarat, Bendigo, Geelong, Mildura,</w:t>
      </w:r>
      <w:r>
        <w:rPr>
          <w:lang w:val="en-AU"/>
        </w:rPr>
        <w:t xml:space="preserve"> </w:t>
      </w:r>
      <w:r w:rsidRPr="00787D50">
        <w:rPr>
          <w:lang w:val="en-AU"/>
        </w:rPr>
        <w:t>Moe and Shepparton will provide regional and</w:t>
      </w:r>
      <w:r>
        <w:rPr>
          <w:lang w:val="en-AU"/>
        </w:rPr>
        <w:t xml:space="preserve"> </w:t>
      </w:r>
      <w:r w:rsidRPr="00787D50">
        <w:rPr>
          <w:lang w:val="en-AU"/>
        </w:rPr>
        <w:t xml:space="preserve">rural teachers with local access to </w:t>
      </w:r>
      <w:proofErr w:type="spellStart"/>
      <w:r w:rsidRPr="00787D50">
        <w:rPr>
          <w:lang w:val="en-AU"/>
        </w:rPr>
        <w:t>highquality</w:t>
      </w:r>
      <w:proofErr w:type="spellEnd"/>
      <w:r>
        <w:rPr>
          <w:lang w:val="en-AU"/>
        </w:rPr>
        <w:t xml:space="preserve"> </w:t>
      </w:r>
      <w:r w:rsidRPr="00787D50">
        <w:rPr>
          <w:lang w:val="en-AU"/>
        </w:rPr>
        <w:t>professional development.</w:t>
      </w:r>
      <w:r>
        <w:rPr>
          <w:lang w:val="en-AU"/>
        </w:rPr>
        <w:t xml:space="preserve"> </w:t>
      </w:r>
      <w:r w:rsidRPr="00787D50">
        <w:rPr>
          <w:lang w:val="en-AU"/>
        </w:rPr>
        <w:t>Responsiveness to regional needs and</w:t>
      </w:r>
      <w:r>
        <w:rPr>
          <w:lang w:val="en-AU"/>
        </w:rPr>
        <w:t xml:space="preserve"> </w:t>
      </w:r>
      <w:r w:rsidRPr="00787D50">
        <w:rPr>
          <w:lang w:val="en-AU"/>
        </w:rPr>
        <w:t>circumstances, and co-design with regional</w:t>
      </w:r>
      <w:r>
        <w:rPr>
          <w:lang w:val="en-AU"/>
        </w:rPr>
        <w:t xml:space="preserve"> </w:t>
      </w:r>
      <w:r w:rsidRPr="00787D50">
        <w:rPr>
          <w:lang w:val="en-AU"/>
        </w:rPr>
        <w:t>communities ensures each program is</w:t>
      </w:r>
      <w:r>
        <w:rPr>
          <w:lang w:val="en-AU"/>
        </w:rPr>
        <w:t xml:space="preserve"> </w:t>
      </w:r>
      <w:r w:rsidRPr="00787D50">
        <w:rPr>
          <w:lang w:val="en-AU"/>
        </w:rPr>
        <w:t>fit-for-purpose.</w:t>
      </w:r>
    </w:p>
    <w:bookmarkEnd w:id="12"/>
    <w:bookmarkEnd w:id="13"/>
    <w:p w14:paraId="47F8C5E7" w14:textId="00320879" w:rsidR="00A52440" w:rsidRPr="00D119F0" w:rsidRDefault="00A0311F" w:rsidP="00D119F0">
      <w:pPr>
        <w:pStyle w:val="ESHeading1"/>
        <w:rPr>
          <w:b w:val="0"/>
          <w:bCs/>
          <w:caps/>
          <w:sz w:val="20"/>
          <w:szCs w:val="20"/>
        </w:rPr>
      </w:pPr>
      <w:r w:rsidRPr="00341632">
        <w:rPr>
          <w:highlight w:val="yellow"/>
        </w:rPr>
        <w:br w:type="page"/>
      </w:r>
      <w:bookmarkStart w:id="14" w:name="_Toc81990948"/>
      <w:r w:rsidR="003D344D" w:rsidRPr="00D119F0">
        <w:lastRenderedPageBreak/>
        <w:t xml:space="preserve">HOW WE </w:t>
      </w:r>
      <w:r w:rsidR="00A52440" w:rsidRPr="00D119F0">
        <w:t xml:space="preserve">ACHIEVE OUR </w:t>
      </w:r>
      <w:bookmarkEnd w:id="14"/>
      <w:r w:rsidR="00572469">
        <w:t>OBJECTIVES</w:t>
      </w:r>
    </w:p>
    <w:p w14:paraId="045D768C" w14:textId="66B9EE0D" w:rsidR="003D344D" w:rsidRPr="00572469" w:rsidRDefault="003D344D" w:rsidP="00E91FC9">
      <w:pPr>
        <w:pStyle w:val="ESBodyText"/>
        <w:rPr>
          <w:iCs/>
          <w:color w:val="C00000"/>
          <w:sz w:val="22"/>
        </w:rPr>
      </w:pPr>
      <w:r w:rsidRPr="00572469">
        <w:rPr>
          <w:iCs/>
          <w:color w:val="C00000"/>
          <w:sz w:val="22"/>
          <w:lang w:val="en-AU"/>
        </w:rPr>
        <w:t xml:space="preserve">Our structure, processes and leadership support us to </w:t>
      </w:r>
      <w:r w:rsidR="00D119F0" w:rsidRPr="00572469">
        <w:rPr>
          <w:iCs/>
          <w:color w:val="C00000"/>
          <w:sz w:val="22"/>
          <w:lang w:val="en-AU"/>
        </w:rPr>
        <w:t>deliver</w:t>
      </w:r>
      <w:r w:rsidRPr="00572469">
        <w:rPr>
          <w:iCs/>
          <w:color w:val="C00000"/>
          <w:sz w:val="22"/>
          <w:lang w:val="en-AU"/>
        </w:rPr>
        <w:t xml:space="preserve"> the best possible outcomes for Victorians</w:t>
      </w:r>
      <w:r w:rsidR="00D119F0" w:rsidRPr="00572469">
        <w:rPr>
          <w:iCs/>
          <w:color w:val="C00000"/>
          <w:sz w:val="22"/>
          <w:lang w:val="en-AU"/>
        </w:rPr>
        <w:t>.</w:t>
      </w:r>
      <w:r w:rsidRPr="00572469">
        <w:rPr>
          <w:iCs/>
          <w:color w:val="C00000"/>
          <w:sz w:val="22"/>
          <w:lang w:val="en-AU"/>
        </w:rPr>
        <w:t xml:space="preserve"> </w:t>
      </w:r>
      <w:r w:rsidR="00D119F0" w:rsidRPr="00572469">
        <w:rPr>
          <w:iCs/>
          <w:color w:val="C00000"/>
          <w:sz w:val="22"/>
          <w:lang w:val="en-AU"/>
        </w:rPr>
        <w:t>T</w:t>
      </w:r>
      <w:r w:rsidRPr="00572469">
        <w:rPr>
          <w:iCs/>
          <w:color w:val="C00000"/>
          <w:sz w:val="22"/>
          <w:lang w:val="en-AU"/>
        </w:rPr>
        <w:t xml:space="preserve">o achieve our </w:t>
      </w:r>
      <w:r w:rsidR="00D119F0" w:rsidRPr="00572469">
        <w:rPr>
          <w:iCs/>
          <w:color w:val="C00000"/>
          <w:sz w:val="22"/>
          <w:lang w:val="en-AU"/>
        </w:rPr>
        <w:t>objectives</w:t>
      </w:r>
      <w:r w:rsidRPr="00572469">
        <w:rPr>
          <w:iCs/>
          <w:color w:val="C00000"/>
          <w:sz w:val="22"/>
          <w:lang w:val="en-AU"/>
        </w:rPr>
        <w:t xml:space="preserve"> in early</w:t>
      </w:r>
      <w:r w:rsidR="00BC2868" w:rsidRPr="00572469">
        <w:rPr>
          <w:iCs/>
          <w:color w:val="C00000"/>
          <w:sz w:val="22"/>
          <w:lang w:val="en-AU"/>
        </w:rPr>
        <w:t xml:space="preserve"> </w:t>
      </w:r>
      <w:r w:rsidRPr="00572469">
        <w:rPr>
          <w:iCs/>
          <w:color w:val="C00000"/>
          <w:sz w:val="22"/>
          <w:lang w:val="en-AU"/>
        </w:rPr>
        <w:t>childhood, schools, higher education</w:t>
      </w:r>
      <w:r w:rsidR="00BC2868" w:rsidRPr="00572469">
        <w:rPr>
          <w:iCs/>
          <w:color w:val="C00000"/>
          <w:sz w:val="22"/>
          <w:lang w:val="en-AU"/>
        </w:rPr>
        <w:t xml:space="preserve"> </w:t>
      </w:r>
      <w:r w:rsidRPr="00572469">
        <w:rPr>
          <w:iCs/>
          <w:color w:val="C00000"/>
          <w:sz w:val="22"/>
          <w:lang w:val="en-AU"/>
        </w:rPr>
        <w:t>and skills</w:t>
      </w:r>
      <w:r w:rsidR="00D119F0" w:rsidRPr="00572469">
        <w:rPr>
          <w:iCs/>
          <w:color w:val="C00000"/>
          <w:sz w:val="22"/>
          <w:lang w:val="en-AU"/>
        </w:rPr>
        <w:t xml:space="preserve"> sectors</w:t>
      </w:r>
      <w:r w:rsidRPr="00572469">
        <w:rPr>
          <w:iCs/>
          <w:color w:val="C00000"/>
          <w:sz w:val="22"/>
          <w:lang w:val="en-AU"/>
        </w:rPr>
        <w:t xml:space="preserve"> we are maintaining our focus</w:t>
      </w:r>
      <w:r w:rsidR="00BC2868" w:rsidRPr="00572469">
        <w:rPr>
          <w:iCs/>
          <w:color w:val="C00000"/>
          <w:sz w:val="22"/>
          <w:lang w:val="en-AU"/>
        </w:rPr>
        <w:t xml:space="preserve"> </w:t>
      </w:r>
      <w:r w:rsidRPr="00572469">
        <w:rPr>
          <w:iCs/>
          <w:color w:val="C00000"/>
          <w:sz w:val="22"/>
          <w:lang w:val="en-AU"/>
        </w:rPr>
        <w:t>on a high-performance culture, strong</w:t>
      </w:r>
      <w:r w:rsidR="00BC2868" w:rsidRPr="00572469">
        <w:rPr>
          <w:iCs/>
          <w:color w:val="C00000"/>
          <w:sz w:val="22"/>
          <w:lang w:val="en-AU"/>
        </w:rPr>
        <w:t xml:space="preserve"> </w:t>
      </w:r>
      <w:r w:rsidRPr="00572469">
        <w:rPr>
          <w:iCs/>
          <w:color w:val="C00000"/>
          <w:sz w:val="22"/>
        </w:rPr>
        <w:t>accountability and leadership.</w:t>
      </w:r>
      <w:bookmarkStart w:id="15" w:name="_Toc455151893"/>
      <w:bookmarkStart w:id="16" w:name="_Toc455156873"/>
    </w:p>
    <w:p w14:paraId="30C40A65" w14:textId="21CF90BA" w:rsidR="00A52440" w:rsidRPr="00D119F0" w:rsidRDefault="00BC2868" w:rsidP="00BC2868">
      <w:pPr>
        <w:pStyle w:val="ESHeading2"/>
        <w:rPr>
          <w:sz w:val="24"/>
        </w:rPr>
      </w:pPr>
      <w:bookmarkStart w:id="17" w:name="_Toc81990949"/>
      <w:bookmarkEnd w:id="15"/>
      <w:bookmarkEnd w:id="16"/>
      <w:r w:rsidRPr="00D119F0">
        <w:rPr>
          <w:sz w:val="24"/>
        </w:rPr>
        <w:t>EARLY CHILDHOOD</w:t>
      </w:r>
      <w:bookmarkEnd w:id="17"/>
    </w:p>
    <w:p w14:paraId="0FB4F34D" w14:textId="77777777" w:rsidR="00D119F0" w:rsidRDefault="00D119F0" w:rsidP="00D119F0">
      <w:pPr>
        <w:pStyle w:val="ESBodyText"/>
      </w:pPr>
      <w:r>
        <w:t>There is strong evidence that the period from birth to five years of age is vital for children’s development and has a positive impact on their future outcomes. Access to high-quality early childhood services is central to giving every Victorian child the best start in life.</w:t>
      </w:r>
    </w:p>
    <w:p w14:paraId="6A1FF826" w14:textId="77777777" w:rsidR="00D119F0" w:rsidRDefault="00D119F0" w:rsidP="00D119F0">
      <w:pPr>
        <w:pStyle w:val="ESBodyText"/>
      </w:pPr>
      <w:r>
        <w:t>In an Australian first, Victoria is investing almost $5.0 billion to fund kindergarten programs for three-year-</w:t>
      </w:r>
      <w:proofErr w:type="spellStart"/>
      <w:r>
        <w:t>olds</w:t>
      </w:r>
      <w:proofErr w:type="spellEnd"/>
      <w:r>
        <w:t xml:space="preserve">. This gives children access to two years of play-based early learning before school. The reform is being implemented through a staged roll-out and has expanded to 21 local government areas delivering up to 15 hours per week of funded Three-Year-Old Kindergarten in 2021. From 2022, three-year-old children across the rest of Victoria will have access to five hours of funded kindergarten. The hours will then progressively scale up to reach the full 15-hour </w:t>
      </w:r>
      <w:proofErr w:type="spellStart"/>
      <w:r>
        <w:t>subsidised</w:t>
      </w:r>
      <w:proofErr w:type="spellEnd"/>
      <w:r>
        <w:t xml:space="preserve"> program by 2029.</w:t>
      </w:r>
    </w:p>
    <w:p w14:paraId="378CBDAC" w14:textId="7BE9047F" w:rsidR="00D119F0" w:rsidRDefault="00D119F0" w:rsidP="00D119F0">
      <w:pPr>
        <w:pStyle w:val="ESBodyText"/>
      </w:pPr>
      <w:r>
        <w:t>By 2029, $1.68 billion will be invested to support the construction of new and expanded kindergarten facilities across the State to meet these reforms. This will be facilitated through the overarching Building Blocks investment program that includes funding to support the development of kindergartens on school sites, grants for new and existing providers, and a new, relocatable modular kindergarten grants program.</w:t>
      </w:r>
    </w:p>
    <w:p w14:paraId="22A35626" w14:textId="2A9763E1" w:rsidR="00D119F0" w:rsidRDefault="00D119F0" w:rsidP="00D119F0">
      <w:pPr>
        <w:pStyle w:val="ESBodyText"/>
      </w:pPr>
      <w:r>
        <w:t>Supporting the continued development of the kindergarten sector is critical to the rollout of Three-Year-Old Kindergarten. This includes growing the provision of high-quality integrated kindergarten programs in long day care services.</w:t>
      </w:r>
    </w:p>
    <w:p w14:paraId="4470A648" w14:textId="2997148A" w:rsidR="00D119F0" w:rsidRDefault="00D119F0" w:rsidP="00D119F0">
      <w:pPr>
        <w:pStyle w:val="ESBodyText"/>
      </w:pPr>
      <w:r>
        <w:t>Work also continues with our local government and community-based Early Years Managers to drive reform and support access and quality across Victoria. As the early childhood sector continues to expand, it is critical the regulatory functions remain responsive, to both enforce minimum standards and drive quality improvement.</w:t>
      </w:r>
    </w:p>
    <w:p w14:paraId="091C72D1" w14:textId="77777777" w:rsidR="00D119F0" w:rsidRDefault="00D119F0" w:rsidP="00D119F0">
      <w:pPr>
        <w:pStyle w:val="ESBodyText"/>
      </w:pPr>
      <w:r>
        <w:t xml:space="preserve">The Department is also continuing the implementation of the Child Information Sharing (CIS) scheme. Led by the Department, the CIS scheme is a Whole of Victorian Government (WOVG) initiative, enabling authorized </w:t>
      </w:r>
      <w:proofErr w:type="spellStart"/>
      <w:r>
        <w:t>organisations</w:t>
      </w:r>
      <w:proofErr w:type="spellEnd"/>
      <w:r>
        <w:t xml:space="preserve"> to share information to improve the wellbeing and safety of children. In 2021, an independent review was tabled in Parliament, and implementation of the recommendations is continuing to be supported with training, a helpline, resources, and change management activities. A second review will take place in 2023. The CIS scheme is underpinned by Child Link, a digital register that integrates key information, drawn from existing government and children’s service systems. Through Child Link, professionals working with children have the consolidated information they need to identify risks early and collaborate with other professionals working with the child and family. The system will be delivered by the end of 2021 with pilot users on-board in 2022.</w:t>
      </w:r>
    </w:p>
    <w:p w14:paraId="121E17DE" w14:textId="73973774" w:rsidR="00BC2868" w:rsidRDefault="00D119F0" w:rsidP="00D119F0">
      <w:pPr>
        <w:pStyle w:val="ESBodyText"/>
      </w:pPr>
      <w:r>
        <w:t xml:space="preserve">The Department is committed to increasing kindergarten participation and engagement for vulnerable and disadvantaged children across the State. This includes supporting the transition to school for vulnerable and disadvantaged children known to Child Protection, children in out of home care and refugee and asylum seeker children. Key initiatives supporting vulnerable and disadvantaged children include School Readiness Funding, Early Start Kindergarten, expanded Early Childhood LOOKOUT and Access to Early Learning programs. The Department also provides a range of supports for Culturally and Linguistically Diverse families. This includes the Early Years Program delivered by Foundation House for children from a refugee background and </w:t>
      </w:r>
      <w:proofErr w:type="spellStart"/>
      <w:r>
        <w:t>timelimited</w:t>
      </w:r>
      <w:proofErr w:type="spellEnd"/>
      <w:r>
        <w:t xml:space="preserve"> outreach worker programs.</w:t>
      </w:r>
      <w:bookmarkStart w:id="18" w:name="_Toc460341159"/>
    </w:p>
    <w:p w14:paraId="69C83470" w14:textId="77777777" w:rsidR="00D87706" w:rsidRDefault="00D87706">
      <w:pPr>
        <w:spacing w:after="0" w:line="240" w:lineRule="auto"/>
        <w:rPr>
          <w:rFonts w:eastAsiaTheme="majorEastAsia" w:cstheme="majorBidi"/>
          <w:b/>
          <w:bCs/>
          <w:caps/>
          <w:color w:val="AF272F"/>
          <w:szCs w:val="20"/>
          <w:highlight w:val="yellow"/>
        </w:rPr>
      </w:pPr>
      <w:r>
        <w:rPr>
          <w:rFonts w:eastAsiaTheme="majorEastAsia" w:cstheme="majorBidi"/>
          <w:b/>
          <w:bCs/>
          <w:caps/>
          <w:color w:val="AF272F"/>
          <w:szCs w:val="20"/>
          <w:highlight w:val="yellow"/>
        </w:rPr>
        <w:br w:type="page"/>
      </w:r>
    </w:p>
    <w:p w14:paraId="5B770667" w14:textId="4EA34CDA" w:rsidR="002D6A1C" w:rsidRPr="0018618E" w:rsidRDefault="000909DA" w:rsidP="00903DF5">
      <w:pPr>
        <w:pStyle w:val="ESBodyText"/>
        <w:spacing w:before="240" w:line="240" w:lineRule="auto"/>
        <w:rPr>
          <w:rFonts w:eastAsiaTheme="majorEastAsia" w:cstheme="majorBidi"/>
          <w:b/>
          <w:bCs/>
          <w:caps/>
          <w:color w:val="AF272F"/>
          <w:szCs w:val="20"/>
        </w:rPr>
      </w:pPr>
      <w:r w:rsidRPr="0018618E">
        <w:rPr>
          <w:rFonts w:eastAsiaTheme="majorEastAsia" w:cstheme="majorBidi"/>
          <w:b/>
          <w:bCs/>
          <w:caps/>
          <w:color w:val="AF272F"/>
          <w:szCs w:val="20"/>
        </w:rPr>
        <w:lastRenderedPageBreak/>
        <w:t xml:space="preserve">OUR STORIES: </w:t>
      </w:r>
      <w:r w:rsidR="00D119F0" w:rsidRPr="0018618E">
        <w:rPr>
          <w:rFonts w:eastAsiaTheme="majorEastAsia" w:cstheme="majorBidi"/>
          <w:b/>
          <w:bCs/>
          <w:caps/>
          <w:color w:val="AF272F"/>
          <w:szCs w:val="20"/>
        </w:rPr>
        <w:t>FRANKSTON NORTH’S NEWEST CHILD AND FAMILY CENTRE</w:t>
      </w:r>
      <w:r w:rsidR="00E50481">
        <w:rPr>
          <w:rFonts w:eastAsiaTheme="majorEastAsia" w:cstheme="majorBidi"/>
          <w:bCs/>
          <w:caps/>
          <w:color w:val="AF272F"/>
          <w:szCs w:val="20"/>
        </w:rPr>
        <w:pict w14:anchorId="413BE46B">
          <v:rect id="_x0000_i1027" style="width:0;height:1.5pt" o:hralign="center" o:hrstd="t" o:hr="t" fillcolor="#a0a0a0" stroked="f"/>
        </w:pict>
      </w:r>
    </w:p>
    <w:p w14:paraId="407DD978" w14:textId="77777777" w:rsidR="00D87706" w:rsidRPr="0018618E" w:rsidRDefault="00D119F0" w:rsidP="00D119F0">
      <w:pPr>
        <w:pStyle w:val="ESBodyText"/>
      </w:pPr>
      <w:r w:rsidRPr="0018618E">
        <w:t xml:space="preserve">As part of the Frankston North Education Plan, the </w:t>
      </w:r>
      <w:proofErr w:type="spellStart"/>
      <w:r w:rsidRPr="0018618E">
        <w:t>Aldercourt</w:t>
      </w:r>
      <w:proofErr w:type="spellEnd"/>
      <w:r w:rsidRPr="0018618E">
        <w:t xml:space="preserve"> Child and Family Centre will become Frankston North’s newest integrated early learning </w:t>
      </w:r>
      <w:proofErr w:type="spellStart"/>
      <w:r w:rsidRPr="0018618E">
        <w:t>centre</w:t>
      </w:r>
      <w:proofErr w:type="spellEnd"/>
      <w:r w:rsidRPr="0018618E">
        <w:t xml:space="preserve">. The </w:t>
      </w:r>
      <w:proofErr w:type="spellStart"/>
      <w:r w:rsidRPr="0018618E">
        <w:t>centre</w:t>
      </w:r>
      <w:proofErr w:type="spellEnd"/>
      <w:r w:rsidRPr="0018618E">
        <w:t xml:space="preserve"> is running the Our Place model, a one-stop-shop for the community, which aims to promote positive education outcomes for families and children.</w:t>
      </w:r>
    </w:p>
    <w:p w14:paraId="7B1EC2CF" w14:textId="06BE72BE" w:rsidR="00D119F0" w:rsidRPr="0018618E" w:rsidRDefault="00D119F0" w:rsidP="00D119F0">
      <w:pPr>
        <w:pStyle w:val="ESBodyText"/>
      </w:pPr>
      <w:r w:rsidRPr="0018618E">
        <w:t>The Our Place model was developed through</w:t>
      </w:r>
      <w:r w:rsidR="00D87706" w:rsidRPr="0018618E">
        <w:t xml:space="preserve"> </w:t>
      </w:r>
      <w:r w:rsidRPr="0018618E">
        <w:t>a partnership between the Department and</w:t>
      </w:r>
      <w:r w:rsidR="00D87706" w:rsidRPr="0018618E">
        <w:t xml:space="preserve"> </w:t>
      </w:r>
      <w:r w:rsidRPr="0018618E">
        <w:t>the Colman Foundation, providing parents and</w:t>
      </w:r>
      <w:r w:rsidR="00D87706" w:rsidRPr="0018618E">
        <w:t xml:space="preserve"> </w:t>
      </w:r>
      <w:r w:rsidRPr="0018618E">
        <w:t>families access to a range of services from one</w:t>
      </w:r>
      <w:r w:rsidR="00D87706" w:rsidRPr="0018618E">
        <w:t xml:space="preserve"> </w:t>
      </w:r>
      <w:r w:rsidRPr="0018618E">
        <w:t>location. Services include:</w:t>
      </w:r>
    </w:p>
    <w:p w14:paraId="1FD9B3F2" w14:textId="395EBEB3" w:rsidR="00D119F0" w:rsidRPr="0018618E" w:rsidRDefault="00D119F0" w:rsidP="00D87706">
      <w:pPr>
        <w:pStyle w:val="ListParagraph"/>
        <w:numPr>
          <w:ilvl w:val="0"/>
          <w:numId w:val="6"/>
        </w:numPr>
        <w:ind w:left="426" w:hanging="426"/>
        <w:rPr>
          <w:lang w:val="en-AU"/>
        </w:rPr>
      </w:pPr>
      <w:r w:rsidRPr="0018618E">
        <w:rPr>
          <w:lang w:val="en-AU"/>
        </w:rPr>
        <w:t>funded Three-Year-Old and Four-Year-Old</w:t>
      </w:r>
      <w:r w:rsidR="00D87706" w:rsidRPr="0018618E">
        <w:rPr>
          <w:lang w:val="en-AU"/>
        </w:rPr>
        <w:t xml:space="preserve"> </w:t>
      </w:r>
      <w:r w:rsidRPr="0018618E">
        <w:rPr>
          <w:lang w:val="en-AU"/>
        </w:rPr>
        <w:t>kindergarten</w:t>
      </w:r>
    </w:p>
    <w:p w14:paraId="7DD908F4" w14:textId="1B756413" w:rsidR="00D119F0" w:rsidRPr="0018618E" w:rsidRDefault="00D119F0" w:rsidP="00D87706">
      <w:pPr>
        <w:pStyle w:val="ListParagraph"/>
        <w:numPr>
          <w:ilvl w:val="0"/>
          <w:numId w:val="6"/>
        </w:numPr>
        <w:ind w:left="426" w:hanging="426"/>
        <w:rPr>
          <w:lang w:val="en-AU"/>
        </w:rPr>
      </w:pPr>
      <w:r w:rsidRPr="0018618E">
        <w:rPr>
          <w:lang w:val="en-AU"/>
        </w:rPr>
        <w:t>primary, secondary and adult education</w:t>
      </w:r>
    </w:p>
    <w:p w14:paraId="0A3961C5" w14:textId="15212B10" w:rsidR="00D119F0" w:rsidRPr="0018618E" w:rsidRDefault="00D119F0" w:rsidP="00D87706">
      <w:pPr>
        <w:pStyle w:val="ListParagraph"/>
        <w:numPr>
          <w:ilvl w:val="0"/>
          <w:numId w:val="6"/>
        </w:numPr>
        <w:ind w:left="426" w:hanging="426"/>
        <w:rPr>
          <w:lang w:val="en-AU"/>
        </w:rPr>
      </w:pPr>
      <w:r w:rsidRPr="0018618E">
        <w:rPr>
          <w:lang w:val="en-AU"/>
        </w:rPr>
        <w:t>maternal and child health services</w:t>
      </w:r>
    </w:p>
    <w:p w14:paraId="5668700C" w14:textId="566A082D" w:rsidR="00D119F0" w:rsidRPr="0018618E" w:rsidRDefault="00D119F0" w:rsidP="00D87706">
      <w:pPr>
        <w:pStyle w:val="ListParagraph"/>
        <w:numPr>
          <w:ilvl w:val="0"/>
          <w:numId w:val="6"/>
        </w:numPr>
        <w:ind w:left="426" w:hanging="426"/>
        <w:rPr>
          <w:lang w:val="en-AU"/>
        </w:rPr>
      </w:pPr>
      <w:r w:rsidRPr="0018618E">
        <w:rPr>
          <w:lang w:val="en-AU"/>
        </w:rPr>
        <w:t>health and wellbeing support</w:t>
      </w:r>
    </w:p>
    <w:p w14:paraId="7F9F6003" w14:textId="73C38961" w:rsidR="00D119F0" w:rsidRPr="0018618E" w:rsidRDefault="00D119F0" w:rsidP="00D87706">
      <w:pPr>
        <w:pStyle w:val="ListParagraph"/>
        <w:numPr>
          <w:ilvl w:val="0"/>
          <w:numId w:val="6"/>
        </w:numPr>
        <w:ind w:left="426" w:hanging="426"/>
        <w:rPr>
          <w:lang w:val="en-AU"/>
        </w:rPr>
      </w:pPr>
      <w:r w:rsidRPr="0018618E">
        <w:rPr>
          <w:lang w:val="en-AU"/>
        </w:rPr>
        <w:t>training and job seeking services.</w:t>
      </w:r>
    </w:p>
    <w:p w14:paraId="3CA0AA5F" w14:textId="23150B15" w:rsidR="00D119F0" w:rsidRPr="0018618E" w:rsidRDefault="00D119F0" w:rsidP="00D119F0">
      <w:pPr>
        <w:pStyle w:val="ESBodyText"/>
      </w:pPr>
      <w:proofErr w:type="spellStart"/>
      <w:r w:rsidRPr="0018618E">
        <w:t>Aldercourt</w:t>
      </w:r>
      <w:proofErr w:type="spellEnd"/>
      <w:r w:rsidRPr="0018618E">
        <w:t xml:space="preserve"> Child and Family Centre will provide</w:t>
      </w:r>
      <w:r w:rsidR="00D87706" w:rsidRPr="0018618E">
        <w:t xml:space="preserve"> </w:t>
      </w:r>
      <w:r w:rsidRPr="0018618E">
        <w:t>innovative, flexible spaces that support modern</w:t>
      </w:r>
      <w:r w:rsidR="00D87706" w:rsidRPr="0018618E">
        <w:t xml:space="preserve"> </w:t>
      </w:r>
      <w:r w:rsidRPr="0018618E">
        <w:t>teaching practices and a welcoming community</w:t>
      </w:r>
      <w:r w:rsidR="00D87706" w:rsidRPr="0018618E">
        <w:t xml:space="preserve"> </w:t>
      </w:r>
      <w:r w:rsidRPr="0018618E">
        <w:t xml:space="preserve">area. The principal of </w:t>
      </w:r>
      <w:proofErr w:type="spellStart"/>
      <w:r w:rsidRPr="0018618E">
        <w:t>Aldercourt</w:t>
      </w:r>
      <w:proofErr w:type="spellEnd"/>
      <w:r w:rsidRPr="0018618E">
        <w:t xml:space="preserve"> Primary</w:t>
      </w:r>
      <w:r w:rsidR="00D87706" w:rsidRPr="0018618E">
        <w:t xml:space="preserve"> </w:t>
      </w:r>
      <w:r w:rsidRPr="0018618E">
        <w:t>School,</w:t>
      </w:r>
      <w:r w:rsidR="00D87706" w:rsidRPr="0018618E">
        <w:t xml:space="preserve"> </w:t>
      </w:r>
      <w:r w:rsidRPr="0018618E">
        <w:t xml:space="preserve">Kathie Arnold, said the </w:t>
      </w:r>
      <w:proofErr w:type="spellStart"/>
      <w:r w:rsidRPr="0018618E">
        <w:t>centre</w:t>
      </w:r>
      <w:proofErr w:type="spellEnd"/>
      <w:r w:rsidRPr="0018618E">
        <w:t xml:space="preserve"> would invite</w:t>
      </w:r>
      <w:r w:rsidR="00D87706" w:rsidRPr="0018618E">
        <w:t xml:space="preserve"> </w:t>
      </w:r>
      <w:r w:rsidRPr="0018618E">
        <w:t>parents and the wider community to share</w:t>
      </w:r>
      <w:r w:rsidR="00D87706" w:rsidRPr="0018618E">
        <w:t xml:space="preserve"> </w:t>
      </w:r>
      <w:r w:rsidRPr="0018618E">
        <w:t>school resources.</w:t>
      </w:r>
    </w:p>
    <w:p w14:paraId="3775B96E" w14:textId="77777777" w:rsidR="00D87706" w:rsidRPr="0018618E" w:rsidRDefault="00D119F0" w:rsidP="00D119F0">
      <w:pPr>
        <w:pStyle w:val="ESBodyText"/>
      </w:pPr>
      <w:r w:rsidRPr="0018618E">
        <w:t>“</w:t>
      </w:r>
      <w:r w:rsidRPr="0018618E">
        <w:rPr>
          <w:i/>
          <w:iCs/>
        </w:rPr>
        <w:t>These new facilities and the partnership with</w:t>
      </w:r>
      <w:r w:rsidR="00D87706" w:rsidRPr="0018618E">
        <w:rPr>
          <w:i/>
          <w:iCs/>
        </w:rPr>
        <w:t xml:space="preserve"> </w:t>
      </w:r>
      <w:r w:rsidRPr="0018618E">
        <w:rPr>
          <w:i/>
          <w:iCs/>
        </w:rPr>
        <w:t>Our Place will mean even more Frankston North</w:t>
      </w:r>
      <w:r w:rsidR="00D87706" w:rsidRPr="0018618E">
        <w:rPr>
          <w:i/>
          <w:iCs/>
        </w:rPr>
        <w:t xml:space="preserve"> </w:t>
      </w:r>
      <w:r w:rsidRPr="0018618E">
        <w:rPr>
          <w:i/>
          <w:iCs/>
        </w:rPr>
        <w:t>families will have access to the facilities they</w:t>
      </w:r>
      <w:r w:rsidR="00D87706" w:rsidRPr="0018618E">
        <w:rPr>
          <w:i/>
          <w:iCs/>
        </w:rPr>
        <w:t xml:space="preserve"> </w:t>
      </w:r>
      <w:r w:rsidRPr="0018618E">
        <w:rPr>
          <w:i/>
          <w:iCs/>
        </w:rPr>
        <w:t>need, when they need them</w:t>
      </w:r>
      <w:r w:rsidRPr="0018618E">
        <w:t>” she said.</w:t>
      </w:r>
      <w:r w:rsidR="00D87706" w:rsidRPr="0018618E">
        <w:t xml:space="preserve"> </w:t>
      </w:r>
    </w:p>
    <w:p w14:paraId="04660A3A" w14:textId="0940C3DD" w:rsidR="00D119F0" w:rsidRPr="0018618E" w:rsidRDefault="00D119F0" w:rsidP="00D119F0">
      <w:pPr>
        <w:pStyle w:val="ESBodyText"/>
      </w:pPr>
      <w:r w:rsidRPr="0018618E">
        <w:t xml:space="preserve">The </w:t>
      </w:r>
      <w:proofErr w:type="spellStart"/>
      <w:r w:rsidRPr="0018618E">
        <w:t>centre</w:t>
      </w:r>
      <w:proofErr w:type="spellEnd"/>
      <w:r w:rsidRPr="0018618E">
        <w:t xml:space="preserve"> will provide a more seamless</w:t>
      </w:r>
      <w:r w:rsidR="00D87706" w:rsidRPr="0018618E">
        <w:t xml:space="preserve"> </w:t>
      </w:r>
      <w:r w:rsidRPr="0018618E">
        <w:t>transition from kindergarten to primary school</w:t>
      </w:r>
      <w:r w:rsidR="00D87706" w:rsidRPr="0018618E">
        <w:t xml:space="preserve"> </w:t>
      </w:r>
      <w:r w:rsidRPr="0018618E">
        <w:t>by strengthening transition programs between</w:t>
      </w:r>
      <w:r w:rsidR="00D87706" w:rsidRPr="0018618E">
        <w:t xml:space="preserve"> </w:t>
      </w:r>
      <w:proofErr w:type="spellStart"/>
      <w:r w:rsidRPr="0018618E">
        <w:t>Aldercourt</w:t>
      </w:r>
      <w:proofErr w:type="spellEnd"/>
      <w:r w:rsidRPr="0018618E">
        <w:t xml:space="preserve"> Primary School and the onsite child</w:t>
      </w:r>
      <w:r w:rsidR="00D87706" w:rsidRPr="0018618E">
        <w:t xml:space="preserve"> </w:t>
      </w:r>
      <w:r w:rsidRPr="0018618E">
        <w:t xml:space="preserve">and family </w:t>
      </w:r>
      <w:proofErr w:type="spellStart"/>
      <w:r w:rsidRPr="0018618E">
        <w:t>centre</w:t>
      </w:r>
      <w:proofErr w:type="spellEnd"/>
      <w:r w:rsidRPr="0018618E">
        <w:t>. This space will integrate the</w:t>
      </w:r>
      <w:r w:rsidR="00D87706" w:rsidRPr="0018618E">
        <w:t xml:space="preserve"> </w:t>
      </w:r>
      <w:proofErr w:type="spellStart"/>
      <w:r w:rsidRPr="0018618E">
        <w:t>centre</w:t>
      </w:r>
      <w:proofErr w:type="spellEnd"/>
      <w:r w:rsidRPr="0018618E">
        <w:t xml:space="preserve"> with the primary school through a</w:t>
      </w:r>
      <w:r w:rsidR="00D87706" w:rsidRPr="0018618E">
        <w:t xml:space="preserve"> </w:t>
      </w:r>
      <w:r w:rsidRPr="0018618E">
        <w:t>shared entrance, enabling a common drop-off</w:t>
      </w:r>
      <w:r w:rsidR="00D87706" w:rsidRPr="0018618E">
        <w:t xml:space="preserve"> </w:t>
      </w:r>
      <w:r w:rsidRPr="0018618E">
        <w:t>spot for parents.</w:t>
      </w:r>
    </w:p>
    <w:p w14:paraId="730B5A71" w14:textId="6469BEE7" w:rsidR="000909DA" w:rsidRPr="00D87706" w:rsidRDefault="00D119F0" w:rsidP="00D119F0">
      <w:pPr>
        <w:pStyle w:val="ESBodyText"/>
      </w:pPr>
      <w:r w:rsidRPr="0018618E">
        <w:t xml:space="preserve">Community </w:t>
      </w:r>
      <w:proofErr w:type="spellStart"/>
      <w:r w:rsidRPr="0018618E">
        <w:t>Kinders</w:t>
      </w:r>
      <w:proofErr w:type="spellEnd"/>
      <w:r w:rsidRPr="0018618E">
        <w:t xml:space="preserve"> Plus will run funded Three-Year-Old and Four-Year-Old Kindergarten to</w:t>
      </w:r>
      <w:r w:rsidR="00D87706" w:rsidRPr="0018618E">
        <w:t xml:space="preserve"> </w:t>
      </w:r>
      <w:r w:rsidRPr="0018618E">
        <w:t>remove the financial barriers facing some</w:t>
      </w:r>
      <w:r w:rsidR="00D87706" w:rsidRPr="0018618E">
        <w:t xml:space="preserve"> </w:t>
      </w:r>
      <w:r w:rsidRPr="0018618E">
        <w:t>families.</w:t>
      </w:r>
    </w:p>
    <w:p w14:paraId="18AA872B" w14:textId="46F2F034" w:rsidR="00A52440" w:rsidRPr="00D87706" w:rsidRDefault="00A52440" w:rsidP="00EE4FA1">
      <w:pPr>
        <w:pStyle w:val="ESHeading2"/>
        <w:rPr>
          <w:sz w:val="24"/>
        </w:rPr>
      </w:pPr>
      <w:bookmarkStart w:id="19" w:name="_Toc81990950"/>
      <w:r w:rsidRPr="00D87706">
        <w:rPr>
          <w:sz w:val="24"/>
        </w:rPr>
        <w:t>School</w:t>
      </w:r>
      <w:bookmarkEnd w:id="18"/>
      <w:r w:rsidR="004F266F" w:rsidRPr="00D87706">
        <w:rPr>
          <w:sz w:val="24"/>
        </w:rPr>
        <w:t>s</w:t>
      </w:r>
      <w:bookmarkEnd w:id="19"/>
      <w:r w:rsidRPr="00D87706">
        <w:rPr>
          <w:sz w:val="24"/>
        </w:rPr>
        <w:t xml:space="preserve">  </w:t>
      </w:r>
    </w:p>
    <w:p w14:paraId="32BA20CE" w14:textId="46C37147" w:rsidR="00D87706" w:rsidRPr="00D87706" w:rsidRDefault="00D87706" w:rsidP="00D87706">
      <w:pPr>
        <w:pStyle w:val="ESBodyText"/>
      </w:pPr>
      <w:bookmarkStart w:id="20" w:name="_Toc460341160"/>
      <w:r w:rsidRPr="00D87706">
        <w:t xml:space="preserve">The Department is focused on delivering a </w:t>
      </w:r>
      <w:proofErr w:type="spellStart"/>
      <w:r w:rsidRPr="00D87706">
        <w:t>highquality</w:t>
      </w:r>
      <w:proofErr w:type="spellEnd"/>
      <w:r w:rsidRPr="00D87706">
        <w:t>,</w:t>
      </w:r>
      <w:r>
        <w:t xml:space="preserve"> </w:t>
      </w:r>
      <w:r w:rsidRPr="00D87706">
        <w:t>contemporary school system that</w:t>
      </w:r>
      <w:r>
        <w:t xml:space="preserve"> </w:t>
      </w:r>
      <w:r w:rsidRPr="00D87706">
        <w:t>improves outcomes for every student across</w:t>
      </w:r>
      <w:r>
        <w:t xml:space="preserve"> </w:t>
      </w:r>
      <w:r w:rsidRPr="00D87706">
        <w:t>Victoria, preparing them for the opportunities</w:t>
      </w:r>
      <w:r>
        <w:t xml:space="preserve"> </w:t>
      </w:r>
      <w:r w:rsidRPr="00D87706">
        <w:t>and challenges of the modern world. Our work is</w:t>
      </w:r>
      <w:r>
        <w:t xml:space="preserve"> </w:t>
      </w:r>
      <w:proofErr w:type="spellStart"/>
      <w:r w:rsidRPr="00D87706">
        <w:t>centred</w:t>
      </w:r>
      <w:proofErr w:type="spellEnd"/>
      <w:r w:rsidRPr="00D87706">
        <w:t xml:space="preserve"> around three key pillars:</w:t>
      </w:r>
    </w:p>
    <w:p w14:paraId="08ED90F9" w14:textId="5BA989E8" w:rsidR="00D87706" w:rsidRPr="00D87706" w:rsidRDefault="00D87706" w:rsidP="00D87706">
      <w:pPr>
        <w:pStyle w:val="ListParagraph"/>
        <w:numPr>
          <w:ilvl w:val="0"/>
          <w:numId w:val="6"/>
        </w:numPr>
        <w:ind w:left="426" w:hanging="426"/>
        <w:rPr>
          <w:lang w:val="en-AU"/>
        </w:rPr>
      </w:pPr>
      <w:r w:rsidRPr="00D87706">
        <w:rPr>
          <w:b/>
          <w:bCs/>
          <w:lang w:val="en-AU"/>
        </w:rPr>
        <w:t>Evidence-based teaching and learning</w:t>
      </w:r>
      <w:r w:rsidRPr="00D87706">
        <w:rPr>
          <w:lang w:val="en-AU"/>
        </w:rPr>
        <w:t xml:space="preserve"> –</w:t>
      </w:r>
      <w:r>
        <w:rPr>
          <w:lang w:val="en-AU"/>
        </w:rPr>
        <w:t xml:space="preserve"> </w:t>
      </w:r>
      <w:r w:rsidRPr="00D87706">
        <w:rPr>
          <w:lang w:val="en-AU"/>
        </w:rPr>
        <w:t>delivering an evidence-based approach to</w:t>
      </w:r>
      <w:r>
        <w:rPr>
          <w:lang w:val="en-AU"/>
        </w:rPr>
        <w:t xml:space="preserve"> </w:t>
      </w:r>
      <w:r w:rsidRPr="00D87706">
        <w:rPr>
          <w:lang w:val="en-AU"/>
        </w:rPr>
        <w:t>school improvement, data-driven professional</w:t>
      </w:r>
      <w:r>
        <w:rPr>
          <w:lang w:val="en-AU"/>
        </w:rPr>
        <w:t xml:space="preserve"> </w:t>
      </w:r>
      <w:r w:rsidRPr="00D87706">
        <w:rPr>
          <w:lang w:val="en-AU"/>
        </w:rPr>
        <w:t>collaboration for teachers and needs-based</w:t>
      </w:r>
      <w:r>
        <w:rPr>
          <w:lang w:val="en-AU"/>
        </w:rPr>
        <w:t xml:space="preserve"> </w:t>
      </w:r>
      <w:r w:rsidRPr="00D87706">
        <w:rPr>
          <w:lang w:val="en-AU"/>
        </w:rPr>
        <w:t>resources to support students to achieve</w:t>
      </w:r>
      <w:r>
        <w:rPr>
          <w:lang w:val="en-AU"/>
        </w:rPr>
        <w:t xml:space="preserve"> </w:t>
      </w:r>
      <w:r w:rsidRPr="00D87706">
        <w:rPr>
          <w:lang w:val="en-AU"/>
        </w:rPr>
        <w:t>excellence and equity.</w:t>
      </w:r>
    </w:p>
    <w:p w14:paraId="3170CD98" w14:textId="368F0DA2" w:rsidR="00D87706" w:rsidRPr="00D87706" w:rsidRDefault="00D87706" w:rsidP="00D87706">
      <w:pPr>
        <w:pStyle w:val="ListParagraph"/>
        <w:numPr>
          <w:ilvl w:val="0"/>
          <w:numId w:val="6"/>
        </w:numPr>
        <w:ind w:left="426" w:hanging="426"/>
        <w:rPr>
          <w:lang w:val="en-AU"/>
        </w:rPr>
      </w:pPr>
      <w:r w:rsidRPr="00D87706">
        <w:rPr>
          <w:b/>
          <w:bCs/>
          <w:lang w:val="en-AU"/>
        </w:rPr>
        <w:t>Student inclusion and wellbeing</w:t>
      </w:r>
      <w:r w:rsidRPr="00D87706">
        <w:rPr>
          <w:lang w:val="en-AU"/>
        </w:rPr>
        <w:t xml:space="preserve"> – providing</w:t>
      </w:r>
      <w:r>
        <w:rPr>
          <w:lang w:val="en-AU"/>
        </w:rPr>
        <w:t xml:space="preserve"> </w:t>
      </w:r>
      <w:r w:rsidRPr="00D87706">
        <w:rPr>
          <w:lang w:val="en-AU"/>
        </w:rPr>
        <w:t>schools with the right support and structures</w:t>
      </w:r>
      <w:r>
        <w:rPr>
          <w:lang w:val="en-AU"/>
        </w:rPr>
        <w:t xml:space="preserve"> </w:t>
      </w:r>
      <w:r w:rsidRPr="00D87706">
        <w:rPr>
          <w:lang w:val="en-AU"/>
        </w:rPr>
        <w:t xml:space="preserve">to focus on </w:t>
      </w:r>
      <w:proofErr w:type="gramStart"/>
      <w:r w:rsidRPr="00D87706">
        <w:rPr>
          <w:lang w:val="en-AU"/>
        </w:rPr>
        <w:t>each and every</w:t>
      </w:r>
      <w:proofErr w:type="gramEnd"/>
      <w:r w:rsidRPr="00D87706">
        <w:rPr>
          <w:lang w:val="en-AU"/>
        </w:rPr>
        <w:t xml:space="preserve"> student, including</w:t>
      </w:r>
      <w:r>
        <w:rPr>
          <w:lang w:val="en-AU"/>
        </w:rPr>
        <w:t xml:space="preserve"> </w:t>
      </w:r>
      <w:r w:rsidRPr="00D87706">
        <w:rPr>
          <w:lang w:val="en-AU"/>
        </w:rPr>
        <w:t>their health and wellbeing.</w:t>
      </w:r>
    </w:p>
    <w:p w14:paraId="7425FCDF" w14:textId="5460903D" w:rsidR="004F266F" w:rsidRPr="00D87706" w:rsidRDefault="00D87706" w:rsidP="00D87706">
      <w:pPr>
        <w:pStyle w:val="ListParagraph"/>
        <w:numPr>
          <w:ilvl w:val="0"/>
          <w:numId w:val="6"/>
        </w:numPr>
        <w:ind w:left="426" w:hanging="426"/>
        <w:rPr>
          <w:lang w:val="en-AU"/>
        </w:rPr>
      </w:pPr>
      <w:r w:rsidRPr="00D87706">
        <w:rPr>
          <w:b/>
          <w:bCs/>
          <w:lang w:val="en-AU"/>
        </w:rPr>
        <w:t>Modern, vibrant school facilities</w:t>
      </w:r>
      <w:r w:rsidRPr="00D87706">
        <w:rPr>
          <w:lang w:val="en-AU"/>
        </w:rPr>
        <w:t xml:space="preserve"> – working to</w:t>
      </w:r>
      <w:r>
        <w:rPr>
          <w:lang w:val="en-AU"/>
        </w:rPr>
        <w:t xml:space="preserve"> </w:t>
      </w:r>
      <w:r w:rsidRPr="00D87706">
        <w:rPr>
          <w:lang w:val="en-AU"/>
        </w:rPr>
        <w:t>ensure every school community has access to</w:t>
      </w:r>
      <w:r>
        <w:rPr>
          <w:lang w:val="en-AU"/>
        </w:rPr>
        <w:t xml:space="preserve"> </w:t>
      </w:r>
      <w:r w:rsidRPr="00D87706">
        <w:rPr>
          <w:lang w:val="en-AU"/>
        </w:rPr>
        <w:t>high-quality infrastructure and equipment to</w:t>
      </w:r>
      <w:r>
        <w:rPr>
          <w:lang w:val="en-AU"/>
        </w:rPr>
        <w:t xml:space="preserve"> </w:t>
      </w:r>
      <w:r w:rsidRPr="00D87706">
        <w:rPr>
          <w:lang w:val="en-AU"/>
        </w:rPr>
        <w:t>support best practice teaching and a great</w:t>
      </w:r>
      <w:r>
        <w:rPr>
          <w:lang w:val="en-AU"/>
        </w:rPr>
        <w:t xml:space="preserve"> </w:t>
      </w:r>
      <w:r w:rsidRPr="00D87706">
        <w:rPr>
          <w:lang w:val="en-AU"/>
        </w:rPr>
        <w:t>learning experience for students.</w:t>
      </w:r>
    </w:p>
    <w:p w14:paraId="02372CDD" w14:textId="70B1098C" w:rsidR="004F266F" w:rsidRPr="00D87706" w:rsidRDefault="00D87706" w:rsidP="004F266F">
      <w:pPr>
        <w:pStyle w:val="ESHeading3"/>
        <w:rPr>
          <w:rFonts w:eastAsiaTheme="majorEastAsia" w:cstheme="majorBidi"/>
          <w:bCs/>
          <w:caps/>
          <w:color w:val="AF272F"/>
          <w:sz w:val="18"/>
          <w:szCs w:val="20"/>
          <w:lang w:val="en-AU"/>
        </w:rPr>
      </w:pPr>
      <w:r w:rsidRPr="00D87706">
        <w:rPr>
          <w:rFonts w:eastAsiaTheme="majorEastAsia" w:cstheme="majorBidi"/>
          <w:bCs/>
          <w:caps/>
          <w:color w:val="AF272F"/>
          <w:sz w:val="18"/>
          <w:szCs w:val="20"/>
          <w:lang w:val="en-AU"/>
        </w:rPr>
        <w:t>EVIDENCE-BASED TEACHING AND LEARNING</w:t>
      </w:r>
    </w:p>
    <w:p w14:paraId="77DE2A6E" w14:textId="25268B01" w:rsidR="004F266F" w:rsidRDefault="00D87706" w:rsidP="00D87706">
      <w:pPr>
        <w:pStyle w:val="ESBodyText"/>
      </w:pPr>
      <w:r w:rsidRPr="00D87706">
        <w:t>The Department’s continuous improvement</w:t>
      </w:r>
      <w:r>
        <w:t xml:space="preserve"> </w:t>
      </w:r>
      <w:r w:rsidRPr="00D87706">
        <w:t>framework for all Victorian government schools</w:t>
      </w:r>
      <w:r>
        <w:t xml:space="preserve"> </w:t>
      </w:r>
      <w:r w:rsidRPr="00D87706">
        <w:t>focuses our efforts on practices that are proven to</w:t>
      </w:r>
      <w:r>
        <w:t xml:space="preserve"> </w:t>
      </w:r>
      <w:r w:rsidRPr="00D87706">
        <w:t>have the greatest impact on student outcomes.</w:t>
      </w:r>
      <w:r>
        <w:t xml:space="preserve"> </w:t>
      </w:r>
      <w:r w:rsidRPr="00D87706">
        <w:t>Professional learning communities are driving a</w:t>
      </w:r>
      <w:r>
        <w:t xml:space="preserve"> </w:t>
      </w:r>
      <w:r w:rsidRPr="00D87706">
        <w:t>collaborative and rigorous focus on student data</w:t>
      </w:r>
      <w:r>
        <w:t xml:space="preserve"> </w:t>
      </w:r>
      <w:r w:rsidRPr="00D87706">
        <w:t>and the implementation of high-impact teaching</w:t>
      </w:r>
      <w:r>
        <w:t xml:space="preserve"> </w:t>
      </w:r>
      <w:r w:rsidRPr="00D87706">
        <w:t>practices</w:t>
      </w:r>
      <w:r>
        <w:t>.</w:t>
      </w:r>
    </w:p>
    <w:p w14:paraId="265D5345" w14:textId="77777777" w:rsidR="00646252" w:rsidRDefault="00D87706" w:rsidP="00D87706">
      <w:pPr>
        <w:pStyle w:val="ESBodyText"/>
      </w:pPr>
      <w:r>
        <w:t>The Literacy and Numeracy Strategy works to lift these skills across Victoria, in every government school, in every classroom, and for every student. As part of this strategy, the Department will implement the Excellence and Equity in Literacy and Numeracy and the Middle Years Literacy and Numeracy Support (MYLNS) initiatives. MYLNS provides</w:t>
      </w:r>
      <w:r w:rsidR="00646252">
        <w:t xml:space="preserve"> </w:t>
      </w:r>
      <w:r>
        <w:t xml:space="preserve">significant investments into </w:t>
      </w:r>
      <w:proofErr w:type="spellStart"/>
      <w:r>
        <w:t>individualised</w:t>
      </w:r>
      <w:proofErr w:type="spellEnd"/>
      <w:r>
        <w:t xml:space="preserve"> student</w:t>
      </w:r>
      <w:r w:rsidR="00646252">
        <w:t xml:space="preserve"> </w:t>
      </w:r>
      <w:r>
        <w:t>support in Victoria. It provides direct teaching</w:t>
      </w:r>
      <w:r w:rsidR="00646252">
        <w:t xml:space="preserve"> </w:t>
      </w:r>
      <w:r>
        <w:t>support to students in Years 8 to 10 who are at risk</w:t>
      </w:r>
      <w:r w:rsidR="00646252">
        <w:t xml:space="preserve"> </w:t>
      </w:r>
      <w:r>
        <w:t>of finishing school without the literacy and</w:t>
      </w:r>
      <w:r w:rsidR="00646252">
        <w:t xml:space="preserve"> </w:t>
      </w:r>
      <w:r>
        <w:t>numeracy skills they need for work or further</w:t>
      </w:r>
      <w:r w:rsidR="00646252">
        <w:t xml:space="preserve"> </w:t>
      </w:r>
      <w:r>
        <w:t>education and training. MYLNS also lifts the</w:t>
      </w:r>
      <w:r w:rsidR="00646252">
        <w:t xml:space="preserve"> </w:t>
      </w:r>
      <w:r>
        <w:t>capability of secondary school educators teaching</w:t>
      </w:r>
      <w:r w:rsidR="00646252">
        <w:t xml:space="preserve"> </w:t>
      </w:r>
      <w:r>
        <w:t>literacy and numeracy.</w:t>
      </w:r>
    </w:p>
    <w:p w14:paraId="52AF62F4" w14:textId="0937A3C7" w:rsidR="00D87706" w:rsidRDefault="00D87706" w:rsidP="00D87706">
      <w:pPr>
        <w:pStyle w:val="ESBodyText"/>
      </w:pPr>
      <w:r>
        <w:t>The Differentiated Support for School Improvement</w:t>
      </w:r>
      <w:r w:rsidR="00646252">
        <w:t xml:space="preserve"> </w:t>
      </w:r>
      <w:r>
        <w:t>initiative is targeted at schools with complex</w:t>
      </w:r>
      <w:r w:rsidR="00646252">
        <w:t xml:space="preserve"> </w:t>
      </w:r>
      <w:r>
        <w:t xml:space="preserve">challenges. The initiative </w:t>
      </w:r>
      <w:proofErr w:type="gramStart"/>
      <w:r>
        <w:t>tailors</w:t>
      </w:r>
      <w:proofErr w:type="gramEnd"/>
      <w:r>
        <w:t xml:space="preserve"> specific supports</w:t>
      </w:r>
      <w:r w:rsidR="00646252">
        <w:t xml:space="preserve"> </w:t>
      </w:r>
      <w:r>
        <w:t>include building teacher and leadership capacity,</w:t>
      </w:r>
      <w:r w:rsidR="00646252">
        <w:t xml:space="preserve"> </w:t>
      </w:r>
      <w:r>
        <w:t>establishing partnerships between schools to drive</w:t>
      </w:r>
      <w:r w:rsidR="00646252">
        <w:t xml:space="preserve"> </w:t>
      </w:r>
      <w:r>
        <w:t>improvement and providing 16 executive class</w:t>
      </w:r>
      <w:r w:rsidR="00646252">
        <w:t xml:space="preserve"> </w:t>
      </w:r>
      <w:r>
        <w:t>principals. This work enables schools to progress on</w:t>
      </w:r>
      <w:r w:rsidR="00646252">
        <w:t xml:space="preserve"> </w:t>
      </w:r>
      <w:r>
        <w:t>their improvement journey, regardless of where they</w:t>
      </w:r>
      <w:r w:rsidR="00646252">
        <w:t xml:space="preserve"> </w:t>
      </w:r>
      <w:r>
        <w:t>might start from.</w:t>
      </w:r>
    </w:p>
    <w:p w14:paraId="38324E4A" w14:textId="5ED04926" w:rsidR="00646252" w:rsidRPr="00D87706" w:rsidRDefault="00646252" w:rsidP="00646252">
      <w:pPr>
        <w:pStyle w:val="ESHeading3"/>
        <w:rPr>
          <w:rFonts w:eastAsiaTheme="majorEastAsia" w:cstheme="majorBidi"/>
          <w:bCs/>
          <w:caps/>
          <w:color w:val="AF272F"/>
          <w:sz w:val="18"/>
          <w:szCs w:val="20"/>
          <w:lang w:val="en-AU"/>
        </w:rPr>
      </w:pPr>
      <w:r>
        <w:rPr>
          <w:rFonts w:eastAsiaTheme="majorEastAsia" w:cstheme="majorBidi"/>
          <w:bCs/>
          <w:caps/>
          <w:color w:val="AF272F"/>
          <w:sz w:val="18"/>
          <w:szCs w:val="20"/>
          <w:lang w:val="en-AU"/>
        </w:rPr>
        <w:lastRenderedPageBreak/>
        <w:t>student inclusion and wellbeing</w:t>
      </w:r>
    </w:p>
    <w:p w14:paraId="456678FE" w14:textId="34E000A9" w:rsidR="00646252" w:rsidRDefault="00646252" w:rsidP="00646252">
      <w:pPr>
        <w:pStyle w:val="ESBodyText"/>
      </w:pPr>
      <w:r>
        <w:t>Schools in Victoria are focusing on the attainment of critical knowledge and skills, and on broader capabilities that set our students up for success. This includes supporting the social and emotional development of students and their health and wellbeing. This was reinforced during 2020, when there was a renewed appreciation of schools as a place of community, social connection and stability in the face of the unprecedented challenges presented by the COVID</w:t>
      </w:r>
      <w:r>
        <w:noBreakHyphen/>
        <w:t>19 pandemic.</w:t>
      </w:r>
    </w:p>
    <w:p w14:paraId="12D1BA80" w14:textId="77777777" w:rsidR="00646252" w:rsidRDefault="00646252" w:rsidP="00646252">
      <w:pPr>
        <w:pStyle w:val="ESBodyText"/>
      </w:pPr>
      <w:r>
        <w:t>The Royal Commission into Victoria’s Mental Health System made 65 recommendations in its final report delivered in March 2021. The recommendations create a system-wide approach to mental health and wellbeing treatment, care and support, including a focus on early intervention. The Department is supporting the implementation of the recommendations by developing a new fund for schools. Through this schools will be able to select the most appropriate suite of initiatives to support students' mental health and wellbeing, guided by an evidence-based menu. The investment will also expand the Mental Health in Primary Schools pilot to 100 schools in 2022. The Department will continue to support broader mental health reform through WOVG initiatives across early childhood, schools and higher education settings.</w:t>
      </w:r>
    </w:p>
    <w:p w14:paraId="44795530" w14:textId="77777777" w:rsidR="00646252" w:rsidRDefault="00646252" w:rsidP="00646252">
      <w:pPr>
        <w:pStyle w:val="ESBodyText"/>
      </w:pPr>
      <w:r>
        <w:t>The Mental Health Practitioners initiative provides funding to enable every government secondary school campus to recruit a suitably qualified, school-based mental health practitioner by 2022. The initiative includes direct counselling support for students and other early intervention services, coordination of supports for students with critical and complex needs, and the provision of professional support for mental health practitioners, including clinical supervision.</w:t>
      </w:r>
    </w:p>
    <w:p w14:paraId="71A3304C" w14:textId="3076D33B" w:rsidR="00646252" w:rsidRDefault="00646252" w:rsidP="00646252">
      <w:pPr>
        <w:pStyle w:val="ESBodyText"/>
      </w:pPr>
      <w:r>
        <w:t xml:space="preserve">A new funding and support model for students with disability is being introduced to government schools over five years from mid-2021. Funding for </w:t>
      </w:r>
      <w:proofErr w:type="spellStart"/>
      <w:r>
        <w:t>personalised</w:t>
      </w:r>
      <w:proofErr w:type="spellEnd"/>
      <w:r>
        <w:t xml:space="preserve"> educational adjustments for students with disability with </w:t>
      </w:r>
      <w:proofErr w:type="gramStart"/>
      <w:r>
        <w:t>high-needs</w:t>
      </w:r>
      <w:proofErr w:type="gramEnd"/>
      <w:r>
        <w:t xml:space="preserve"> will remain a core part of the new funding and support model. The reform introduces a new inclusive and strengths-based approach to identifying both student need and adjustments required in their educational setting. The model introduces a new school-level funding allocation to deliver classroom and school-wide adjustments. The aim is to build capability in inclusive education across government schools making this part of everyday practice in all schools and classrooms. This improves the achievement, participation, and wellbeing outcomes for students with a disability.</w:t>
      </w:r>
    </w:p>
    <w:p w14:paraId="7CF236D5" w14:textId="5928A567" w:rsidR="00646252" w:rsidRDefault="00646252" w:rsidP="00646252">
      <w:pPr>
        <w:pStyle w:val="ESBodyText"/>
      </w:pPr>
      <w:r>
        <w:t xml:space="preserve">The </w:t>
      </w:r>
      <w:proofErr w:type="spellStart"/>
      <w:r>
        <w:t>Marrung</w:t>
      </w:r>
      <w:proofErr w:type="spellEnd"/>
      <w:r>
        <w:t xml:space="preserve">: Aboriginal Education Plan 2016–26 supports further opportunities for </w:t>
      </w:r>
      <w:proofErr w:type="spellStart"/>
      <w:r>
        <w:t>Koorie</w:t>
      </w:r>
      <w:proofErr w:type="spellEnd"/>
      <w:r>
        <w:t xml:space="preserve"> Victorians to secure the full benefits of the Education State reforms. This work underpins Victoria’s strong and steadfast commitment to close the gap in educational outcomes between </w:t>
      </w:r>
      <w:proofErr w:type="spellStart"/>
      <w:r>
        <w:t>Koorie</w:t>
      </w:r>
      <w:proofErr w:type="spellEnd"/>
      <w:r>
        <w:t xml:space="preserve"> and non-</w:t>
      </w:r>
      <w:proofErr w:type="spellStart"/>
      <w:r>
        <w:t>Koorie</w:t>
      </w:r>
      <w:proofErr w:type="spellEnd"/>
      <w:r>
        <w:t xml:space="preserve"> Victorians. The plan will achieve this by continuing the </w:t>
      </w:r>
      <w:proofErr w:type="spellStart"/>
      <w:r>
        <w:t>Koorie</w:t>
      </w:r>
      <w:proofErr w:type="spellEnd"/>
      <w:r>
        <w:t xml:space="preserve"> Literacy and Numeracy program, expanding the </w:t>
      </w:r>
      <w:proofErr w:type="spellStart"/>
      <w:r>
        <w:t>Koorie</w:t>
      </w:r>
      <w:proofErr w:type="spellEnd"/>
      <w:r>
        <w:t xml:space="preserve"> Pre</w:t>
      </w:r>
      <w:r>
        <w:noBreakHyphen/>
        <w:t xml:space="preserve">School Assistants program to four new locations, and continuing the </w:t>
      </w:r>
      <w:proofErr w:type="spellStart"/>
      <w:r>
        <w:t>Koorie</w:t>
      </w:r>
      <w:proofErr w:type="spellEnd"/>
      <w:r>
        <w:t xml:space="preserve"> Families as First Educators and </w:t>
      </w:r>
      <w:proofErr w:type="spellStart"/>
      <w:r>
        <w:t>Koorie</w:t>
      </w:r>
      <w:proofErr w:type="spellEnd"/>
      <w:r>
        <w:t xml:space="preserve"> Engagement Support Officer programs. To progress Aboriginal self</w:t>
      </w:r>
      <w:r w:rsidR="004879B8">
        <w:t>-</w:t>
      </w:r>
      <w:r>
        <w:t>determination in education, additional funding has been allocated to support a two-year statewide consultation and co-design process.</w:t>
      </w:r>
    </w:p>
    <w:p w14:paraId="26A1B502" w14:textId="77777777" w:rsidR="00646252" w:rsidRDefault="00646252" w:rsidP="00646252">
      <w:pPr>
        <w:pStyle w:val="ESBodyText"/>
      </w:pPr>
      <w:r>
        <w:t xml:space="preserve">The Department is working closely with the Departments of Families, Fairness and Housing, Justice and Community Safety and Premier and Cabinet on WOVG implementation of the Royal Commission into Family Violence recommendations. This includes continuing to deliver the Respectful Relationships initiative in early childhood and schools which promotes respect, positive attitudes and </w:t>
      </w:r>
      <w:proofErr w:type="spellStart"/>
      <w:r>
        <w:t>behaviours</w:t>
      </w:r>
      <w:proofErr w:type="spellEnd"/>
      <w:r>
        <w:t>, and teaches children how to build healthy relationships. Respectful Relationships supports the mandatory teaching of consent, introduced in Term 2, 2021.</w:t>
      </w:r>
    </w:p>
    <w:p w14:paraId="4BE25B43" w14:textId="1BC0E093" w:rsidR="00646252" w:rsidRDefault="00646252" w:rsidP="00646252">
      <w:pPr>
        <w:pStyle w:val="ESBodyText"/>
      </w:pPr>
      <w:r>
        <w:t>As part of the 2020–21 State Budget, funding was provided to increase the availability of before and after school care and school holiday programs. The Outside School Hours Care (OSHC) Establishment initiative supports increased workforce participation, particularly amongst women, by</w:t>
      </w:r>
      <w:r w:rsidR="00D161E5">
        <w:t xml:space="preserve"> </w:t>
      </w:r>
      <w:r>
        <w:t>providing up to $75,000 to 400 government schools</w:t>
      </w:r>
      <w:r w:rsidR="00D161E5">
        <w:t xml:space="preserve"> </w:t>
      </w:r>
      <w:r>
        <w:t>or clusters of schools that deliver primary aged</w:t>
      </w:r>
      <w:r w:rsidR="00D161E5">
        <w:t xml:space="preserve"> </w:t>
      </w:r>
      <w:r>
        <w:t>education without an existing OSHC service. This</w:t>
      </w:r>
      <w:r w:rsidR="00D161E5">
        <w:t xml:space="preserve"> </w:t>
      </w:r>
      <w:r>
        <w:t>funding will be used by schools for program</w:t>
      </w:r>
      <w:r w:rsidR="00D161E5">
        <w:t xml:space="preserve"> </w:t>
      </w:r>
      <w:r>
        <w:t>management, educators, resources/equipment,</w:t>
      </w:r>
      <w:r w:rsidR="00D161E5">
        <w:t xml:space="preserve"> </w:t>
      </w:r>
      <w:r>
        <w:t>transport, administration, facility upgrades, staff</w:t>
      </w:r>
      <w:r w:rsidR="00D161E5">
        <w:t xml:space="preserve"> </w:t>
      </w:r>
      <w:r>
        <w:t>training and salaries.</w:t>
      </w:r>
    </w:p>
    <w:p w14:paraId="453BC078" w14:textId="64579C33" w:rsidR="00D161E5" w:rsidRPr="00D87706" w:rsidRDefault="00D161E5" w:rsidP="00D161E5">
      <w:pPr>
        <w:pStyle w:val="ESHeading3"/>
        <w:rPr>
          <w:rFonts w:eastAsiaTheme="majorEastAsia" w:cstheme="majorBidi"/>
          <w:bCs/>
          <w:caps/>
          <w:color w:val="AF272F"/>
          <w:sz w:val="18"/>
          <w:szCs w:val="20"/>
          <w:lang w:val="en-AU"/>
        </w:rPr>
      </w:pPr>
      <w:r>
        <w:rPr>
          <w:rFonts w:eastAsiaTheme="majorEastAsia" w:cstheme="majorBidi"/>
          <w:bCs/>
          <w:caps/>
          <w:color w:val="AF272F"/>
          <w:sz w:val="18"/>
          <w:szCs w:val="20"/>
          <w:lang w:val="en-AU"/>
        </w:rPr>
        <w:t>MODERN, VIBRANT SCHOOL FACILITIES</w:t>
      </w:r>
    </w:p>
    <w:p w14:paraId="2AB23CE6" w14:textId="17E59C16" w:rsidR="00D161E5" w:rsidRDefault="00D161E5" w:rsidP="00D161E5">
      <w:pPr>
        <w:pStyle w:val="ESBodyText"/>
      </w:pPr>
      <w:r>
        <w:t xml:space="preserve">The Department continues to deliver its substantial school infrastructure program through investments in new schools, upgrades and </w:t>
      </w:r>
      <w:proofErr w:type="spellStart"/>
      <w:r>
        <w:t>modernisations</w:t>
      </w:r>
      <w:proofErr w:type="spellEnd"/>
      <w:r>
        <w:t xml:space="preserve"> and Building Works package. This builds on the Victorian Government’s commitments to open 100 schools by 2026, with 4</w:t>
      </w:r>
      <w:r w:rsidR="00D2387A">
        <w:t>9</w:t>
      </w:r>
      <w:r>
        <w:t xml:space="preserve"> schools to open between 2019 and 202</w:t>
      </w:r>
      <w:r w:rsidR="00D2387A">
        <w:t>3.</w:t>
      </w:r>
    </w:p>
    <w:p w14:paraId="205387DF" w14:textId="5EA1BD00" w:rsidR="00D161E5" w:rsidRDefault="00D161E5" w:rsidP="00D161E5">
      <w:pPr>
        <w:pStyle w:val="ESBodyText"/>
      </w:pPr>
      <w:r>
        <w:t xml:space="preserve">Place-based Education Plans bring together a range of investments in a community. The plans enable the integration of service planning across early childhood, school and post-compulsory education. The plans are designed to accelerate the impact of improvement initiatives and leverage collective responsibility for transforming education in a community. The process of developing plans builds strong, ongoing local connections between education providers, </w:t>
      </w:r>
      <w:r>
        <w:lastRenderedPageBreak/>
        <w:t xml:space="preserve">parents, community, industry, government and support services. There are eight Education Plans in </w:t>
      </w:r>
      <w:proofErr w:type="spellStart"/>
      <w:r>
        <w:t>Bayswater</w:t>
      </w:r>
      <w:proofErr w:type="spellEnd"/>
      <w:r>
        <w:t xml:space="preserve">, Bendigo, Flemington, </w:t>
      </w:r>
      <w:proofErr w:type="spellStart"/>
      <w:r>
        <w:t>Footscray</w:t>
      </w:r>
      <w:proofErr w:type="spellEnd"/>
      <w:r>
        <w:t xml:space="preserve">, Frankston North, Lilydale/Upper </w:t>
      </w:r>
      <w:proofErr w:type="spellStart"/>
      <w:r>
        <w:t>Yarra</w:t>
      </w:r>
      <w:proofErr w:type="spellEnd"/>
      <w:r>
        <w:t xml:space="preserve">, Oakleigh and </w:t>
      </w:r>
      <w:proofErr w:type="spellStart"/>
      <w:r>
        <w:t>Shepparton</w:t>
      </w:r>
      <w:proofErr w:type="spellEnd"/>
      <w:r>
        <w:t>.</w:t>
      </w:r>
    </w:p>
    <w:p w14:paraId="14595D0C" w14:textId="26A61152" w:rsidR="004F266F" w:rsidRPr="00D161E5" w:rsidRDefault="004F266F" w:rsidP="00D46471">
      <w:pPr>
        <w:pStyle w:val="ESHeading3"/>
        <w:spacing w:after="0" w:line="240" w:lineRule="auto"/>
        <w:rPr>
          <w:rFonts w:eastAsiaTheme="majorEastAsia" w:cstheme="majorBidi"/>
          <w:caps/>
          <w:color w:val="AF272F"/>
          <w:szCs w:val="20"/>
          <w:lang w:val="en-AU"/>
        </w:rPr>
      </w:pPr>
      <w:r w:rsidRPr="00D161E5">
        <w:rPr>
          <w:rFonts w:eastAsiaTheme="majorEastAsia" w:cstheme="majorBidi"/>
          <w:caps/>
          <w:color w:val="AF272F"/>
          <w:sz w:val="18"/>
          <w:szCs w:val="20"/>
        </w:rPr>
        <w:t xml:space="preserve">OUR STORIES: </w:t>
      </w:r>
      <w:r w:rsidR="00D161E5" w:rsidRPr="00D161E5">
        <w:rPr>
          <w:rFonts w:eastAsiaTheme="majorEastAsia" w:cstheme="majorBidi"/>
          <w:color w:val="AF272F"/>
          <w:sz w:val="18"/>
          <w:szCs w:val="20"/>
        </w:rPr>
        <w:t>SENIOR SECONDARY PATHWAYS REFORMS</w:t>
      </w:r>
      <w:r w:rsidR="00E50481">
        <w:rPr>
          <w:rFonts w:eastAsiaTheme="majorEastAsia" w:cstheme="majorBidi"/>
          <w:bCs/>
          <w:caps/>
          <w:color w:val="AF272F"/>
          <w:szCs w:val="20"/>
        </w:rPr>
        <w:pict w14:anchorId="14086188">
          <v:rect id="_x0000_i1028" style="width:467.7pt;height:1pt" o:hralign="center" o:hrstd="t" o:hr="t" fillcolor="#a0a0a0" stroked="f"/>
        </w:pict>
      </w:r>
    </w:p>
    <w:p w14:paraId="78E13BEA" w14:textId="2750D986" w:rsidR="00D161E5" w:rsidRPr="00D161E5" w:rsidRDefault="00D161E5" w:rsidP="00D161E5">
      <w:pPr>
        <w:pStyle w:val="ESBodyText"/>
      </w:pPr>
      <w:r w:rsidRPr="00D161E5">
        <w:t>In 2019, the Victorian Government</w:t>
      </w:r>
      <w:r>
        <w:t xml:space="preserve"> </w:t>
      </w:r>
      <w:r w:rsidRPr="00D161E5">
        <w:t>commissioned John Firth to conduct a</w:t>
      </w:r>
      <w:r>
        <w:t xml:space="preserve"> </w:t>
      </w:r>
      <w:r w:rsidRPr="00D161E5">
        <w:t>review into vocational and applied learning</w:t>
      </w:r>
      <w:r>
        <w:t xml:space="preserve"> </w:t>
      </w:r>
      <w:r w:rsidRPr="00D161E5">
        <w:t>pathways in senior secondary schooling</w:t>
      </w:r>
      <w:r>
        <w:t xml:space="preserve"> </w:t>
      </w:r>
      <w:r w:rsidRPr="00D161E5">
        <w:t>(the Firth Review). The Firth Review found</w:t>
      </w:r>
      <w:r>
        <w:t xml:space="preserve"> </w:t>
      </w:r>
      <w:r w:rsidRPr="00D161E5">
        <w:t>that we need to do more to make vocational</w:t>
      </w:r>
      <w:r>
        <w:t xml:space="preserve"> </w:t>
      </w:r>
      <w:r w:rsidRPr="00D161E5">
        <w:t>and applied learning in schools high-quality,</w:t>
      </w:r>
      <w:r>
        <w:t xml:space="preserve"> </w:t>
      </w:r>
      <w:r w:rsidRPr="00D161E5">
        <w:t>relevant to the needs of employers, and</w:t>
      </w:r>
      <w:r>
        <w:t xml:space="preserve"> </w:t>
      </w:r>
      <w:r w:rsidRPr="00D161E5">
        <w:t>available to all students. The review’s 38</w:t>
      </w:r>
      <w:r>
        <w:t xml:space="preserve"> </w:t>
      </w:r>
      <w:r w:rsidRPr="00D161E5">
        <w:t>recommendations have been accepted</w:t>
      </w:r>
      <w:r>
        <w:t xml:space="preserve"> </w:t>
      </w:r>
      <w:r w:rsidRPr="00D161E5">
        <w:t>in principle by the Government, and the</w:t>
      </w:r>
      <w:r>
        <w:t xml:space="preserve"> </w:t>
      </w:r>
      <w:r w:rsidRPr="00D161E5">
        <w:t>Department has established a Senior</w:t>
      </w:r>
      <w:r>
        <w:t xml:space="preserve"> </w:t>
      </w:r>
      <w:r w:rsidRPr="00D161E5">
        <w:t>Secondary Pathways Reform Taskforce to</w:t>
      </w:r>
      <w:r>
        <w:t xml:space="preserve"> </w:t>
      </w:r>
      <w:r w:rsidRPr="00D161E5">
        <w:t>lead this program.</w:t>
      </w:r>
    </w:p>
    <w:p w14:paraId="6036FDE1" w14:textId="0A558D24" w:rsidR="00D161E5" w:rsidRPr="00D161E5" w:rsidRDefault="00D161E5" w:rsidP="00D161E5">
      <w:pPr>
        <w:pStyle w:val="ESBodyText"/>
      </w:pPr>
      <w:r w:rsidRPr="00D161E5">
        <w:t>The Firth Review recommendations provide</w:t>
      </w:r>
      <w:r>
        <w:t xml:space="preserve"> </w:t>
      </w:r>
      <w:r w:rsidRPr="00D161E5">
        <w:t>a roadmap to reform, building on the</w:t>
      </w:r>
      <w:r>
        <w:t xml:space="preserve"> </w:t>
      </w:r>
      <w:r w:rsidRPr="00D161E5">
        <w:t>Victorian Government’s continued</w:t>
      </w:r>
      <w:r>
        <w:t xml:space="preserve"> </w:t>
      </w:r>
      <w:r w:rsidRPr="00D161E5">
        <w:t>investment in senior secondary schooling</w:t>
      </w:r>
      <w:r>
        <w:t xml:space="preserve"> </w:t>
      </w:r>
      <w:r w:rsidRPr="00D161E5">
        <w:t>reforms since 2018. This includes funding to</w:t>
      </w:r>
      <w:r>
        <w:t xml:space="preserve"> </w:t>
      </w:r>
      <w:r w:rsidRPr="00D161E5">
        <w:t>transform career education in Victorian</w:t>
      </w:r>
      <w:r>
        <w:t xml:space="preserve"> </w:t>
      </w:r>
      <w:r w:rsidRPr="00D161E5">
        <w:t>government schools, ensuring students</w:t>
      </w:r>
      <w:r>
        <w:t xml:space="preserve"> </w:t>
      </w:r>
      <w:r w:rsidRPr="00D161E5">
        <w:t>make more informed career and pathway</w:t>
      </w:r>
      <w:r>
        <w:t xml:space="preserve"> </w:t>
      </w:r>
      <w:r w:rsidRPr="00D161E5">
        <w:t>decisions, and meet the demands of a</w:t>
      </w:r>
      <w:r>
        <w:t xml:space="preserve"> </w:t>
      </w:r>
      <w:r w:rsidRPr="00D161E5">
        <w:t xml:space="preserve">rapidly changing, </w:t>
      </w:r>
      <w:proofErr w:type="spellStart"/>
      <w:r w:rsidRPr="00D161E5">
        <w:t>globalised</w:t>
      </w:r>
      <w:proofErr w:type="spellEnd"/>
      <w:r w:rsidRPr="00D161E5">
        <w:t xml:space="preserve"> job market. It</w:t>
      </w:r>
      <w:r>
        <w:t xml:space="preserve"> </w:t>
      </w:r>
      <w:r w:rsidRPr="00D161E5">
        <w:t>also includes investments to establish Head</w:t>
      </w:r>
      <w:r>
        <w:t xml:space="preserve"> </w:t>
      </w:r>
      <w:r w:rsidRPr="00D161E5">
        <w:t>Start Apprenticeships and Traineeships in</w:t>
      </w:r>
      <w:r>
        <w:t xml:space="preserve"> </w:t>
      </w:r>
      <w:r w:rsidRPr="00D161E5">
        <w:t>over 100 Victorian schools. Head Start</w:t>
      </w:r>
      <w:r>
        <w:t xml:space="preserve"> </w:t>
      </w:r>
      <w:r w:rsidRPr="00D161E5">
        <w:t>supports students to start a trade at school</w:t>
      </w:r>
      <w:r>
        <w:t xml:space="preserve"> </w:t>
      </w:r>
      <w:r w:rsidRPr="00D161E5">
        <w:t>and receive better quality and on the job</w:t>
      </w:r>
      <w:r>
        <w:t xml:space="preserve"> </w:t>
      </w:r>
      <w:r w:rsidRPr="00D161E5">
        <w:t>training, while completing their senior</w:t>
      </w:r>
      <w:r>
        <w:t xml:space="preserve"> </w:t>
      </w:r>
      <w:r w:rsidRPr="00D161E5">
        <w:t>secondary certificate.</w:t>
      </w:r>
    </w:p>
    <w:p w14:paraId="51472268" w14:textId="73097889" w:rsidR="004F266F" w:rsidRPr="00D161E5" w:rsidRDefault="00D161E5" w:rsidP="00D161E5">
      <w:pPr>
        <w:pStyle w:val="ESBodyText"/>
      </w:pPr>
      <w:r w:rsidRPr="00D161E5">
        <w:t>These reforms will support students to</w:t>
      </w:r>
      <w:r>
        <w:t xml:space="preserve"> </w:t>
      </w:r>
      <w:r w:rsidRPr="00D161E5">
        <w:t>receive a great education, learn more about</w:t>
      </w:r>
      <w:r>
        <w:t xml:space="preserve"> </w:t>
      </w:r>
      <w:r w:rsidRPr="00D161E5">
        <w:t>the world of work and develop strong life</w:t>
      </w:r>
      <w:r>
        <w:t xml:space="preserve"> </w:t>
      </w:r>
      <w:r w:rsidRPr="00D161E5">
        <w:t>skills, to make informed choices about</w:t>
      </w:r>
      <w:r>
        <w:t xml:space="preserve"> </w:t>
      </w:r>
      <w:r w:rsidRPr="00D161E5">
        <w:t>further study and their future careers. This</w:t>
      </w:r>
      <w:r>
        <w:t xml:space="preserve"> </w:t>
      </w:r>
      <w:r w:rsidRPr="00D161E5">
        <w:t>benefits our economy in Victoria as a whole,</w:t>
      </w:r>
      <w:r>
        <w:t xml:space="preserve"> </w:t>
      </w:r>
      <w:r w:rsidRPr="00D161E5">
        <w:t>and most importantly, impacts the success</w:t>
      </w:r>
      <w:r>
        <w:t xml:space="preserve"> </w:t>
      </w:r>
      <w:r w:rsidRPr="00D161E5">
        <w:t>and happiness of young people in our</w:t>
      </w:r>
      <w:r>
        <w:t xml:space="preserve"> </w:t>
      </w:r>
      <w:r w:rsidRPr="00D161E5">
        <w:t>communities.</w:t>
      </w:r>
      <w:r w:rsidR="004F266F" w:rsidRPr="00D161E5">
        <w:t xml:space="preserve"> </w:t>
      </w:r>
    </w:p>
    <w:p w14:paraId="419D3A6C" w14:textId="4208AD5A" w:rsidR="006F10F1" w:rsidRPr="00D161E5" w:rsidRDefault="006F10F1" w:rsidP="00EE4FA1">
      <w:pPr>
        <w:pStyle w:val="ESHeading2"/>
        <w:rPr>
          <w:sz w:val="24"/>
          <w:lang w:val="en-AU"/>
        </w:rPr>
      </w:pPr>
      <w:bookmarkStart w:id="21" w:name="_Toc81990951"/>
      <w:r w:rsidRPr="00D161E5">
        <w:rPr>
          <w:sz w:val="24"/>
          <w:lang w:val="en-AU"/>
        </w:rPr>
        <w:t>HIGHER EDUCATION AND SKILLS</w:t>
      </w:r>
      <w:bookmarkEnd w:id="21"/>
    </w:p>
    <w:p w14:paraId="7E1E6133" w14:textId="1B686DE0" w:rsidR="00D161E5" w:rsidRPr="00D161E5" w:rsidRDefault="00D161E5" w:rsidP="00D161E5">
      <w:pPr>
        <w:pStyle w:val="ESBodyText"/>
      </w:pPr>
      <w:r w:rsidRPr="00D161E5">
        <w:t>Following the COVID-19 pandemic, higher education,</w:t>
      </w:r>
      <w:r>
        <w:t xml:space="preserve"> </w:t>
      </w:r>
      <w:r w:rsidRPr="00D161E5">
        <w:t>skills and training are key to the State’s economic,</w:t>
      </w:r>
      <w:r>
        <w:t xml:space="preserve"> </w:t>
      </w:r>
      <w:r w:rsidRPr="00D161E5">
        <w:t>social and health recovery. Employers are looking</w:t>
      </w:r>
      <w:r>
        <w:t xml:space="preserve"> </w:t>
      </w:r>
      <w:r w:rsidRPr="00D161E5">
        <w:t>for people with the right skills and government</w:t>
      </w:r>
      <w:r>
        <w:t xml:space="preserve"> </w:t>
      </w:r>
      <w:proofErr w:type="spellStart"/>
      <w:r w:rsidRPr="00D161E5">
        <w:t>organisations</w:t>
      </w:r>
      <w:proofErr w:type="spellEnd"/>
      <w:r w:rsidRPr="00D161E5">
        <w:t xml:space="preserve"> need workers to support major</w:t>
      </w:r>
      <w:r>
        <w:t xml:space="preserve"> </w:t>
      </w:r>
      <w:r w:rsidRPr="00D161E5">
        <w:t>infrastructure projects and expansions in social</w:t>
      </w:r>
      <w:r>
        <w:t xml:space="preserve"> </w:t>
      </w:r>
      <w:r w:rsidRPr="00D161E5">
        <w:t>services to deliver benefits for all Victorians. These</w:t>
      </w:r>
      <w:r>
        <w:t xml:space="preserve"> </w:t>
      </w:r>
      <w:r w:rsidRPr="00D161E5">
        <w:t>challenges require a skills and training landscape</w:t>
      </w:r>
      <w:r>
        <w:t xml:space="preserve"> </w:t>
      </w:r>
      <w:r w:rsidRPr="00D161E5">
        <w:t xml:space="preserve">that </w:t>
      </w:r>
      <w:proofErr w:type="gramStart"/>
      <w:r w:rsidRPr="00D161E5">
        <w:t>is able to</w:t>
      </w:r>
      <w:proofErr w:type="gramEnd"/>
      <w:r w:rsidRPr="00D161E5">
        <w:t xml:space="preserve"> adapt to the changing needs of</w:t>
      </w:r>
      <w:r>
        <w:t xml:space="preserve"> </w:t>
      </w:r>
      <w:r w:rsidRPr="00D161E5">
        <w:t>students, employers and the Victorian community.</w:t>
      </w:r>
    </w:p>
    <w:p w14:paraId="2F9F0B7D" w14:textId="568E3851" w:rsidR="00D161E5" w:rsidRPr="00D161E5" w:rsidRDefault="00D161E5" w:rsidP="00D161E5">
      <w:pPr>
        <w:pStyle w:val="ESBodyText"/>
      </w:pPr>
      <w:r w:rsidRPr="00D161E5">
        <w:t>To meet these challenges, the Department is</w:t>
      </w:r>
      <w:r>
        <w:t xml:space="preserve"> </w:t>
      </w:r>
      <w:r w:rsidRPr="00D161E5">
        <w:t>changing the way VET providers, industry groups,</w:t>
      </w:r>
      <w:r>
        <w:t xml:space="preserve"> </w:t>
      </w:r>
      <w:r w:rsidRPr="00D161E5">
        <w:t xml:space="preserve">unions, local community </w:t>
      </w:r>
      <w:proofErr w:type="spellStart"/>
      <w:r w:rsidRPr="00D161E5">
        <w:t>organisations</w:t>
      </w:r>
      <w:proofErr w:type="spellEnd"/>
      <w:r w:rsidRPr="00D161E5">
        <w:t>, Learn Locals,</w:t>
      </w:r>
      <w:r>
        <w:t xml:space="preserve"> </w:t>
      </w:r>
      <w:r w:rsidRPr="00D161E5">
        <w:t>universities and government connect to create a</w:t>
      </w:r>
      <w:r>
        <w:t xml:space="preserve"> </w:t>
      </w:r>
      <w:r w:rsidRPr="00D161E5">
        <w:t>landscape that is easier to navigate for employers,</w:t>
      </w:r>
      <w:r>
        <w:t xml:space="preserve"> </w:t>
      </w:r>
      <w:r w:rsidRPr="00D161E5">
        <w:t>workers and local communities.</w:t>
      </w:r>
    </w:p>
    <w:p w14:paraId="67E9E1CE" w14:textId="21B0BCE5" w:rsidR="00D161E5" w:rsidRPr="00D161E5" w:rsidRDefault="00D161E5" w:rsidP="00D161E5">
      <w:pPr>
        <w:pStyle w:val="ESBodyText"/>
      </w:pPr>
      <w:r w:rsidRPr="00D161E5">
        <w:t>The Skills for Victoria’s Growing Economy Review</w:t>
      </w:r>
      <w:r>
        <w:t xml:space="preserve"> </w:t>
      </w:r>
      <w:r w:rsidRPr="00D161E5">
        <w:t>was presented to the Victorian Government in</w:t>
      </w:r>
      <w:r>
        <w:t xml:space="preserve"> </w:t>
      </w:r>
      <w:r w:rsidRPr="00D161E5">
        <w:t>October 2020. The review made 30</w:t>
      </w:r>
      <w:r>
        <w:t xml:space="preserve"> </w:t>
      </w:r>
      <w:r w:rsidRPr="00D161E5">
        <w:t>recommendations for improving our training and</w:t>
      </w:r>
      <w:r>
        <w:t xml:space="preserve"> </w:t>
      </w:r>
      <w:r w:rsidRPr="00D161E5">
        <w:t>skills system so it can deliver the skills Victoria</w:t>
      </w:r>
      <w:r>
        <w:t xml:space="preserve"> </w:t>
      </w:r>
      <w:r w:rsidRPr="00D161E5">
        <w:t>needs now and into the future. In response, the</w:t>
      </w:r>
      <w:r>
        <w:t xml:space="preserve"> </w:t>
      </w:r>
      <w:r w:rsidRPr="00D161E5">
        <w:t>Department is establishing the Victorian Skills</w:t>
      </w:r>
      <w:r>
        <w:t xml:space="preserve"> </w:t>
      </w:r>
      <w:r w:rsidRPr="00D161E5">
        <w:t>Authority (VSA) to deliver a range of initiatives to</w:t>
      </w:r>
      <w:r>
        <w:t xml:space="preserve"> </w:t>
      </w:r>
      <w:r w:rsidRPr="00D161E5">
        <w:t xml:space="preserve">strengthen the quality of teaching and </w:t>
      </w:r>
      <w:proofErr w:type="gramStart"/>
      <w:r w:rsidRPr="00D161E5">
        <w:t>training, and</w:t>
      </w:r>
      <w:proofErr w:type="gramEnd"/>
      <w:r>
        <w:t xml:space="preserve"> </w:t>
      </w:r>
      <w:r w:rsidRPr="00D161E5">
        <w:t>improve pathways for skilled workers. The VSA will</w:t>
      </w:r>
      <w:r>
        <w:t xml:space="preserve"> </w:t>
      </w:r>
      <w:r w:rsidRPr="00D161E5">
        <w:t xml:space="preserve">be an anchor </w:t>
      </w:r>
      <w:proofErr w:type="spellStart"/>
      <w:r w:rsidRPr="00D161E5">
        <w:t>organisation</w:t>
      </w:r>
      <w:proofErr w:type="spellEnd"/>
      <w:r w:rsidRPr="00D161E5">
        <w:t>, bringing together</w:t>
      </w:r>
      <w:r>
        <w:t xml:space="preserve"> </w:t>
      </w:r>
      <w:r w:rsidRPr="00D161E5">
        <w:t>industry, providers, and other stakeholders</w:t>
      </w:r>
      <w:r>
        <w:t xml:space="preserve"> </w:t>
      </w:r>
      <w:r w:rsidRPr="00D161E5">
        <w:t>providing data insights on priority training areas.</w:t>
      </w:r>
      <w:r>
        <w:t xml:space="preserve"> </w:t>
      </w:r>
      <w:r w:rsidRPr="00D161E5">
        <w:t>This work will culminate in an annual Victorian Skills</w:t>
      </w:r>
      <w:r>
        <w:t xml:space="preserve"> </w:t>
      </w:r>
      <w:r w:rsidRPr="00D161E5">
        <w:t>Plan to better guide training delivery.</w:t>
      </w:r>
    </w:p>
    <w:p w14:paraId="6C5DDA07" w14:textId="5B72F1ED" w:rsidR="00D161E5" w:rsidRDefault="00D161E5" w:rsidP="00D161E5">
      <w:pPr>
        <w:pStyle w:val="ESBodyText"/>
      </w:pPr>
      <w:r w:rsidRPr="00D161E5">
        <w:t>TAFEs remain critical to Victoria’s training and skills</w:t>
      </w:r>
      <w:r>
        <w:t xml:space="preserve"> </w:t>
      </w:r>
      <w:r w:rsidRPr="00D161E5">
        <w:t xml:space="preserve">sector. These </w:t>
      </w:r>
      <w:proofErr w:type="spellStart"/>
      <w:r w:rsidRPr="00D161E5">
        <w:t>organisations</w:t>
      </w:r>
      <w:proofErr w:type="spellEnd"/>
      <w:r w:rsidRPr="00D161E5">
        <w:t xml:space="preserve"> have been underpinning</w:t>
      </w:r>
      <w:r>
        <w:t xml:space="preserve"> </w:t>
      </w:r>
      <w:r w:rsidRPr="00D161E5">
        <w:t>the economy through education and training for</w:t>
      </w:r>
      <w:r>
        <w:t xml:space="preserve"> </w:t>
      </w:r>
      <w:r w:rsidRPr="00D161E5">
        <w:t>decades, helping individuals contribute to their local</w:t>
      </w:r>
      <w:r>
        <w:t xml:space="preserve"> </w:t>
      </w:r>
      <w:r w:rsidRPr="00D161E5">
        <w:t>communities. A new Office of TAFE Coordination and</w:t>
      </w:r>
      <w:r>
        <w:t xml:space="preserve"> </w:t>
      </w:r>
      <w:r w:rsidRPr="00D161E5">
        <w:t>Delivery, together with the VSA will make our skills</w:t>
      </w:r>
      <w:r>
        <w:t xml:space="preserve"> </w:t>
      </w:r>
      <w:r w:rsidRPr="00D161E5">
        <w:t>system easier to navigate and create clear, effective</w:t>
      </w:r>
      <w:r>
        <w:t xml:space="preserve"> </w:t>
      </w:r>
      <w:r w:rsidRPr="00D161E5">
        <w:t>structures for working together to plan for and</w:t>
      </w:r>
      <w:r>
        <w:t xml:space="preserve"> </w:t>
      </w:r>
      <w:r w:rsidRPr="00D161E5">
        <w:t xml:space="preserve">respond to skill </w:t>
      </w:r>
      <w:proofErr w:type="spellStart"/>
      <w:proofErr w:type="gramStart"/>
      <w:r w:rsidRPr="00D161E5">
        <w:t>demand.</w:t>
      </w:r>
      <w:r>
        <w:t>The</w:t>
      </w:r>
      <w:proofErr w:type="spellEnd"/>
      <w:proofErr w:type="gramEnd"/>
      <w:r>
        <w:t xml:space="preserve"> Office of TAFE Coordination and Delivery will foster collaboration across the TAFE network and help TAFEs share services, enhance quality, and better meet the training needs of students, employers and communities. </w:t>
      </w:r>
    </w:p>
    <w:p w14:paraId="68C3D6BD" w14:textId="03BAA1DD" w:rsidR="00D161E5" w:rsidRDefault="00D161E5" w:rsidP="00D161E5">
      <w:pPr>
        <w:pStyle w:val="ESBodyText"/>
      </w:pPr>
      <w:r>
        <w:t xml:space="preserve">TAFEs will also be supported through the Department’s Building Better TAFEs initiative. This enables the progressive building and </w:t>
      </w:r>
      <w:proofErr w:type="spellStart"/>
      <w:r>
        <w:t>modernising</w:t>
      </w:r>
      <w:proofErr w:type="spellEnd"/>
      <w:r>
        <w:t xml:space="preserve"> of TAFE facilities to reach optimum functionality, meet industry standards and compliance requirements, and meet students’ expectations.</w:t>
      </w:r>
    </w:p>
    <w:p w14:paraId="6795A78F" w14:textId="6B7FDDC7" w:rsidR="00D161E5" w:rsidRDefault="00D161E5" w:rsidP="00D161E5">
      <w:pPr>
        <w:pStyle w:val="ESBodyText"/>
      </w:pPr>
      <w:r>
        <w:t xml:space="preserve">In addition to rolling out the Building Better TAFEs Fund, the Department will develop a TAFE asset strategy and an assessment and prioritisation approach to provide a pipeline of refurbishment and development projects. Investment will be </w:t>
      </w:r>
      <w:proofErr w:type="spellStart"/>
      <w:r>
        <w:t>prioritised</w:t>
      </w:r>
      <w:proofErr w:type="spellEnd"/>
      <w:r>
        <w:t xml:space="preserve"> in TAFE facilities that target training and skill shortages, upgrading these to be modern and fit</w:t>
      </w:r>
      <w:r w:rsidR="00591444">
        <w:noBreakHyphen/>
      </w:r>
      <w:r>
        <w:t>for</w:t>
      </w:r>
      <w:r w:rsidR="00637709">
        <w:noBreakHyphen/>
      </w:r>
      <w:r>
        <w:t>purpose facilities ensuring that TAFEs remain</w:t>
      </w:r>
      <w:r w:rsidR="00637709">
        <w:t xml:space="preserve"> </w:t>
      </w:r>
      <w:r>
        <w:t>relevant and competitive.</w:t>
      </w:r>
    </w:p>
    <w:p w14:paraId="222AD985" w14:textId="148B6A8C" w:rsidR="00D161E5" w:rsidRDefault="00D161E5" w:rsidP="00D161E5">
      <w:pPr>
        <w:pStyle w:val="ESBodyText"/>
      </w:pPr>
      <w:r>
        <w:t>Through the Big Build Apprenticeships program,</w:t>
      </w:r>
      <w:r w:rsidR="00637709">
        <w:t xml:space="preserve"> </w:t>
      </w:r>
      <w:r>
        <w:t>the Department oversees and coordinates the</w:t>
      </w:r>
      <w:r w:rsidR="00637709">
        <w:t xml:space="preserve"> </w:t>
      </w:r>
      <w:r>
        <w:t>employment and training of apprentices and</w:t>
      </w:r>
      <w:r w:rsidR="00637709">
        <w:t xml:space="preserve"> </w:t>
      </w:r>
      <w:r>
        <w:t>trainees on Victoria’s Big Build infrastructure</w:t>
      </w:r>
      <w:r w:rsidR="00637709">
        <w:t xml:space="preserve"> </w:t>
      </w:r>
      <w:r>
        <w:t>projects. This transformative new approach</w:t>
      </w:r>
      <w:r w:rsidR="00637709">
        <w:t xml:space="preserve"> </w:t>
      </w:r>
      <w:r>
        <w:t xml:space="preserve">leverages group training </w:t>
      </w:r>
      <w:proofErr w:type="spellStart"/>
      <w:r>
        <w:t>organisations</w:t>
      </w:r>
      <w:proofErr w:type="spellEnd"/>
      <w:r>
        <w:t xml:space="preserve"> and</w:t>
      </w:r>
      <w:r w:rsidR="00637709">
        <w:t xml:space="preserve"> </w:t>
      </w:r>
      <w:r>
        <w:t xml:space="preserve">Victoria’s infrastructure program to create </w:t>
      </w:r>
      <w:proofErr w:type="spellStart"/>
      <w:r>
        <w:t>highquality</w:t>
      </w:r>
      <w:proofErr w:type="spellEnd"/>
      <w:r w:rsidR="00637709">
        <w:t xml:space="preserve"> </w:t>
      </w:r>
      <w:r>
        <w:t>skills pathways for apprentices and</w:t>
      </w:r>
      <w:r w:rsidR="00637709">
        <w:t xml:space="preserve"> </w:t>
      </w:r>
      <w:r>
        <w:t>trainees. It helps support Victorians to access</w:t>
      </w:r>
      <w:r w:rsidR="00637709">
        <w:t xml:space="preserve"> </w:t>
      </w:r>
      <w:r>
        <w:t>these opportunities, including women and the</w:t>
      </w:r>
      <w:r w:rsidR="00637709">
        <w:t xml:space="preserve"> </w:t>
      </w:r>
      <w:r>
        <w:lastRenderedPageBreak/>
        <w:t>disadvantaged. The Big Build Apprenticeships</w:t>
      </w:r>
      <w:r w:rsidR="00637709">
        <w:t xml:space="preserve"> </w:t>
      </w:r>
      <w:r>
        <w:t>program will enhance the impact of the Major</w:t>
      </w:r>
      <w:r w:rsidR="00637709">
        <w:t xml:space="preserve"> </w:t>
      </w:r>
      <w:r>
        <w:t>Projects Skills Guarantee, support the</w:t>
      </w:r>
      <w:r w:rsidR="00637709">
        <w:t xml:space="preserve"> </w:t>
      </w:r>
      <w:r>
        <w:t>employment and training of up to 1,500</w:t>
      </w:r>
      <w:r w:rsidR="00637709">
        <w:t xml:space="preserve"> </w:t>
      </w:r>
      <w:r>
        <w:t>apprentices and trainees each year and secure a</w:t>
      </w:r>
      <w:r w:rsidR="00637709">
        <w:t xml:space="preserve"> </w:t>
      </w:r>
      <w:r>
        <w:t>pipeline of skilled workers in critical areas.</w:t>
      </w:r>
    </w:p>
    <w:p w14:paraId="26F24BA6" w14:textId="0031E4E5" w:rsidR="0018618E" w:rsidRDefault="00D161E5" w:rsidP="0018618E">
      <w:pPr>
        <w:pStyle w:val="ESBodyText"/>
      </w:pPr>
      <w:r>
        <w:t>Similarly, the Department is addressing skills and</w:t>
      </w:r>
      <w:r w:rsidR="00637709">
        <w:t xml:space="preserve"> </w:t>
      </w:r>
      <w:r>
        <w:t>job needs for major infrastructure projects in</w:t>
      </w:r>
      <w:r w:rsidR="00637709">
        <w:t xml:space="preserve"> </w:t>
      </w:r>
      <w:r>
        <w:t>Victoria through policy coordination, information</w:t>
      </w:r>
      <w:r w:rsidR="00637709">
        <w:t xml:space="preserve"> </w:t>
      </w:r>
      <w:r>
        <w:t>sharing and real-world demonstration projects</w:t>
      </w:r>
      <w:r w:rsidR="00637709">
        <w:t xml:space="preserve"> </w:t>
      </w:r>
      <w:r>
        <w:t xml:space="preserve">such as </w:t>
      </w:r>
      <w:proofErr w:type="gramStart"/>
      <w:r>
        <w:t>North East</w:t>
      </w:r>
      <w:proofErr w:type="gramEnd"/>
      <w:r>
        <w:t xml:space="preserve"> Link and the New </w:t>
      </w:r>
      <w:proofErr w:type="spellStart"/>
      <w:r>
        <w:t>Footscray</w:t>
      </w:r>
      <w:proofErr w:type="spellEnd"/>
      <w:r w:rsidR="00637709">
        <w:t xml:space="preserve"> </w:t>
      </w:r>
      <w:r>
        <w:t>Hospital. The Department is including additional</w:t>
      </w:r>
      <w:r w:rsidR="00637709">
        <w:t xml:space="preserve"> </w:t>
      </w:r>
      <w:r>
        <w:t>demonstration projects such as the Warrnambool</w:t>
      </w:r>
      <w:r w:rsidR="00637709">
        <w:t xml:space="preserve"> </w:t>
      </w:r>
      <w:r>
        <w:t>Learning and Library Hub.</w:t>
      </w:r>
      <w:r w:rsidR="00591444">
        <w:t xml:space="preserve"> </w:t>
      </w:r>
      <w:r w:rsidR="0018618E">
        <w:t xml:space="preserve">Through the Big Build Apprenticeships program, TAFE is placed at the </w:t>
      </w:r>
      <w:proofErr w:type="spellStart"/>
      <w:r w:rsidR="0018618E">
        <w:t>centre</w:t>
      </w:r>
      <w:proofErr w:type="spellEnd"/>
      <w:r w:rsidR="0018618E">
        <w:t xml:space="preserve"> of these projects. This includes new skills and jobs </w:t>
      </w:r>
      <w:proofErr w:type="spellStart"/>
      <w:r w:rsidR="0018618E">
        <w:t>centres</w:t>
      </w:r>
      <w:proofErr w:type="spellEnd"/>
      <w:r w:rsidR="0018618E">
        <w:t xml:space="preserve"> and on-site support to provide workers with skills advice and address project-specific training needs.</w:t>
      </w:r>
    </w:p>
    <w:p w14:paraId="52479A81" w14:textId="25316DA2" w:rsidR="0018618E" w:rsidRDefault="0018618E" w:rsidP="0018618E">
      <w:pPr>
        <w:pStyle w:val="ESBodyText"/>
      </w:pPr>
      <w:r>
        <w:t>The Department continues to monitor and support the delivery of Free TAFE for Priority Courses which provides free training for TAFE students in priority skill areas and key apprenticeship pathway courses. Free TAFE builds on recent VET reforms aimed at lifting quality and aligning training to the jobs of the Victorian economy. This supports students to train in courses that provide occupations in high-demand industries and important areas like preventing family violence and the National Disability Insurance Scheme.</w:t>
      </w:r>
    </w:p>
    <w:p w14:paraId="5A0D07F7" w14:textId="0A1AB9D2" w:rsidR="0018618E" w:rsidRDefault="0018618E" w:rsidP="0018618E">
      <w:pPr>
        <w:pStyle w:val="ESBodyText"/>
      </w:pPr>
      <w:r>
        <w:t>Working with the ACFE Board, the Department supports the largest, most diverse adult community education sector in Australia. The Learn Local sector has a strong record in engaging adults with low prior education. Additional places for pre-accredited digital literacy and employability training courses have been funded through the 2021–22 State Budget, supporting more Victorians progress to further education, training, and jobs.</w:t>
      </w:r>
    </w:p>
    <w:p w14:paraId="3E185D79" w14:textId="122B1629" w:rsidR="0018618E" w:rsidRPr="00D161E5" w:rsidRDefault="0018618E" w:rsidP="0018618E">
      <w:pPr>
        <w:pStyle w:val="ESBodyText"/>
      </w:pPr>
      <w:r>
        <w:t>The Victorian Higher Education State Investment Fund supports Victorian universities by contributing to capital works, applied research and research infrastructure projects. This reflects a new partnership model between the Victorian Government and universities, that also supports economic recovery following the COVID-19 pandemic. To enshrine this new partnership model, the Victorian Government established partnership agreements with the 10 universities operating under State legislation. These agreements set out shared objectives and principles for how universities and the Government work together to benefit Victoria. This includes achieving a stronger alignment between education pathways and industry demand, where the Victorian Government is a significant employer. This means the Department is focused on delivering a skilled workforce that meets the needs of employers.</w:t>
      </w:r>
    </w:p>
    <w:p w14:paraId="4715A2DE" w14:textId="2BA54A54" w:rsidR="00882080" w:rsidRPr="0018618E" w:rsidRDefault="00882080" w:rsidP="00903DF5">
      <w:pPr>
        <w:pStyle w:val="ESHeading3"/>
        <w:spacing w:line="240" w:lineRule="auto"/>
        <w:rPr>
          <w:rFonts w:eastAsiaTheme="majorEastAsia" w:cstheme="majorBidi"/>
          <w:bCs/>
          <w:caps/>
          <w:color w:val="AF272F"/>
          <w:szCs w:val="20"/>
          <w:lang w:val="en-AU"/>
        </w:rPr>
      </w:pPr>
      <w:r w:rsidRPr="0018618E">
        <w:rPr>
          <w:rFonts w:eastAsiaTheme="majorEastAsia" w:cstheme="majorBidi"/>
          <w:caps/>
          <w:color w:val="AF272F"/>
          <w:sz w:val="18"/>
          <w:szCs w:val="20"/>
          <w:lang w:val="en-AU"/>
        </w:rPr>
        <w:t xml:space="preserve">OUR STORIES: </w:t>
      </w:r>
      <w:r w:rsidR="0018618E" w:rsidRPr="0018618E">
        <w:rPr>
          <w:rFonts w:eastAsiaTheme="majorEastAsia" w:cstheme="majorBidi"/>
          <w:caps/>
          <w:color w:val="AF272F"/>
          <w:sz w:val="18"/>
          <w:szCs w:val="20"/>
          <w:lang w:val="en-AU"/>
        </w:rPr>
        <w:t>SUPPORTING COVID-19 RESPONSE AND RECOVERY</w:t>
      </w:r>
      <w:r w:rsidR="00E50481">
        <w:rPr>
          <w:rFonts w:eastAsiaTheme="majorEastAsia" w:cstheme="majorBidi"/>
          <w:bCs/>
          <w:caps/>
          <w:color w:val="AF272F"/>
          <w:szCs w:val="20"/>
        </w:rPr>
        <w:pict w14:anchorId="1362DA9E">
          <v:rect id="_x0000_i1029" style="width:0;height:1.5pt" o:hralign="center" o:hrstd="t" o:hr="t" fillcolor="#a0a0a0" stroked="f"/>
        </w:pict>
      </w:r>
    </w:p>
    <w:p w14:paraId="04EF0A60" w14:textId="6393CE8B" w:rsidR="0018618E" w:rsidRPr="0018618E" w:rsidRDefault="0018618E" w:rsidP="0018618E">
      <w:pPr>
        <w:pStyle w:val="ESBodyText"/>
      </w:pPr>
      <w:r w:rsidRPr="0018618E">
        <w:t>The Free TAFE program is playing an important</w:t>
      </w:r>
      <w:r>
        <w:t xml:space="preserve"> </w:t>
      </w:r>
      <w:r w:rsidRPr="0018618E">
        <w:t>role in providing a pipeline of essential</w:t>
      </w:r>
      <w:r>
        <w:t xml:space="preserve"> </w:t>
      </w:r>
      <w:r w:rsidRPr="0018618E">
        <w:t>healthcare workers, such as nurses. Free TAFE</w:t>
      </w:r>
      <w:r>
        <w:t xml:space="preserve"> </w:t>
      </w:r>
      <w:r w:rsidRPr="0018618E">
        <w:t>plays a crucial role in helping retrain those</w:t>
      </w:r>
      <w:r>
        <w:t xml:space="preserve"> </w:t>
      </w:r>
      <w:r w:rsidRPr="0018618E">
        <w:t>facing unemployment and underemployment.</w:t>
      </w:r>
      <w:r>
        <w:t xml:space="preserve"> </w:t>
      </w:r>
      <w:r w:rsidRPr="0018618E">
        <w:t>In 2020 the Free TAFE initiative continued to</w:t>
      </w:r>
      <w:r>
        <w:t xml:space="preserve"> </w:t>
      </w:r>
      <w:r w:rsidRPr="0018618E">
        <w:t>play a critical role in providing a pipeline of</w:t>
      </w:r>
      <w:r>
        <w:t xml:space="preserve"> </w:t>
      </w:r>
      <w:r w:rsidRPr="0018618E">
        <w:t>workers for jobs in demand. Over 30,000 Free</w:t>
      </w:r>
      <w:r>
        <w:t xml:space="preserve"> </w:t>
      </w:r>
      <w:r w:rsidRPr="0018618E">
        <w:t>TAFE students started the training they need</w:t>
      </w:r>
      <w:r>
        <w:t xml:space="preserve"> </w:t>
      </w:r>
      <w:r w:rsidRPr="0018618E">
        <w:t>for in-demand jobs, such as bolstering the</w:t>
      </w:r>
      <w:r>
        <w:t xml:space="preserve"> </w:t>
      </w:r>
      <w:r w:rsidRPr="0018618E">
        <w:t>NDIS, Family Violence and Infrastructure</w:t>
      </w:r>
      <w:r>
        <w:t xml:space="preserve"> </w:t>
      </w:r>
      <w:r w:rsidRPr="0018618E">
        <w:t>workforces. Over 47,000 students were enrolled</w:t>
      </w:r>
      <w:r>
        <w:t xml:space="preserve"> </w:t>
      </w:r>
      <w:r w:rsidRPr="0018618E">
        <w:t>in a Free TAFE course at the end of 2020, an</w:t>
      </w:r>
      <w:r>
        <w:t xml:space="preserve"> </w:t>
      </w:r>
      <w:r w:rsidRPr="0018618E">
        <w:t>increase of 21 per cent on those at the end of</w:t>
      </w:r>
      <w:r>
        <w:t xml:space="preserve"> </w:t>
      </w:r>
      <w:r w:rsidRPr="0018618E">
        <w:t>2019. After being added to the Free TAFE course</w:t>
      </w:r>
      <w:r>
        <w:t xml:space="preserve"> </w:t>
      </w:r>
      <w:r w:rsidRPr="0018618E">
        <w:t>list for 2020, commencements in Early</w:t>
      </w:r>
      <w:r>
        <w:t xml:space="preserve"> </w:t>
      </w:r>
      <w:r w:rsidRPr="0018618E">
        <w:t>Childhood Education and Care courses grew by</w:t>
      </w:r>
      <w:r>
        <w:t xml:space="preserve"> </w:t>
      </w:r>
      <w:r w:rsidRPr="0018618E">
        <w:t>113 per cent. This will provide pathways into the</w:t>
      </w:r>
      <w:r>
        <w:t xml:space="preserve"> </w:t>
      </w:r>
      <w:r w:rsidRPr="0018618E">
        <w:t>jobs Victoria needs to build and look after our</w:t>
      </w:r>
      <w:r>
        <w:t xml:space="preserve"> </w:t>
      </w:r>
      <w:r w:rsidRPr="0018618E">
        <w:t>growing state.</w:t>
      </w:r>
    </w:p>
    <w:p w14:paraId="17C9EB7D" w14:textId="3D2BFB6C" w:rsidR="002D6A1C" w:rsidRPr="0018618E" w:rsidRDefault="0018618E" w:rsidP="0018618E">
      <w:pPr>
        <w:pStyle w:val="ESBodyText"/>
      </w:pPr>
      <w:r w:rsidRPr="0018618E">
        <w:t>The Victorian Higher Education State</w:t>
      </w:r>
      <w:r>
        <w:t xml:space="preserve"> </w:t>
      </w:r>
      <w:r w:rsidRPr="0018618E">
        <w:t>Investment Fund provides significant</w:t>
      </w:r>
      <w:r>
        <w:t xml:space="preserve"> </w:t>
      </w:r>
      <w:r w:rsidRPr="0018618E">
        <w:t>investment in Victoria’s universities</w:t>
      </w:r>
      <w:r>
        <w:t xml:space="preserve"> </w:t>
      </w:r>
      <w:r w:rsidRPr="0018618E">
        <w:t>acknowledging their critical role in the State’s</w:t>
      </w:r>
      <w:r>
        <w:t xml:space="preserve"> </w:t>
      </w:r>
      <w:r w:rsidRPr="0018618E">
        <w:t>economic recovery from the COVID-19</w:t>
      </w:r>
      <w:r>
        <w:t xml:space="preserve"> </w:t>
      </w:r>
      <w:r w:rsidRPr="0018618E">
        <w:t>pandemic. This fund supports university</w:t>
      </w:r>
      <w:r>
        <w:t xml:space="preserve"> </w:t>
      </w:r>
      <w:r w:rsidRPr="0018618E">
        <w:t>projects that boost productivity and drive</w:t>
      </w:r>
      <w:r>
        <w:t xml:space="preserve"> </w:t>
      </w:r>
      <w:r w:rsidRPr="0018618E">
        <w:t>innovation in areas of State priority. The first</w:t>
      </w:r>
      <w:r>
        <w:t xml:space="preserve"> </w:t>
      </w:r>
      <w:r w:rsidRPr="0018618E">
        <w:t>project to be funded was a partnership</w:t>
      </w:r>
      <w:r>
        <w:t xml:space="preserve"> </w:t>
      </w:r>
      <w:r w:rsidRPr="0018618E">
        <w:t>between the University of Melbourne and</w:t>
      </w:r>
      <w:r>
        <w:t xml:space="preserve"> </w:t>
      </w:r>
      <w:r w:rsidRPr="0018618E">
        <w:t>Illumina, a global biotech company, to establish</w:t>
      </w:r>
      <w:r>
        <w:t xml:space="preserve"> </w:t>
      </w:r>
      <w:r w:rsidRPr="0018618E">
        <w:t>a genomics hub in Victoria’s Parkville precinct.</w:t>
      </w:r>
      <w:r>
        <w:t xml:space="preserve"> </w:t>
      </w:r>
      <w:r w:rsidRPr="0018618E">
        <w:t>This is a first of its kind in the Asia Pacific and</w:t>
      </w:r>
      <w:r>
        <w:t xml:space="preserve"> </w:t>
      </w:r>
      <w:r w:rsidRPr="0018618E">
        <w:t>brings together the best of genomic expertise</w:t>
      </w:r>
      <w:r>
        <w:t xml:space="preserve"> </w:t>
      </w:r>
      <w:r w:rsidRPr="0018618E">
        <w:t>and technology in Australia. This is just one</w:t>
      </w:r>
      <w:r>
        <w:t xml:space="preserve"> </w:t>
      </w:r>
      <w:r w:rsidRPr="0018618E">
        <w:t>example of the exciting projects arising from</w:t>
      </w:r>
      <w:r>
        <w:t xml:space="preserve"> </w:t>
      </w:r>
      <w:r w:rsidRPr="0018618E">
        <w:t>this fund. Other projects announced cover</w:t>
      </w:r>
      <w:r>
        <w:t xml:space="preserve"> </w:t>
      </w:r>
      <w:r w:rsidRPr="0018618E">
        <w:t>priorities such as clean energy, manufacturing,</w:t>
      </w:r>
      <w:r>
        <w:t xml:space="preserve"> </w:t>
      </w:r>
      <w:r w:rsidRPr="0018618E">
        <w:t>agriculture, circular economic, digital</w:t>
      </w:r>
      <w:r>
        <w:t xml:space="preserve"> </w:t>
      </w:r>
      <w:r w:rsidRPr="0018618E">
        <w:t>transformation, education and family violence.</w:t>
      </w:r>
      <w:r>
        <w:t xml:space="preserve"> </w:t>
      </w:r>
      <w:r w:rsidRPr="0018618E">
        <w:t>The Department has worked closely with</w:t>
      </w:r>
      <w:r>
        <w:t xml:space="preserve"> </w:t>
      </w:r>
      <w:r w:rsidRPr="0018618E">
        <w:t xml:space="preserve">universities to ensure these projects </w:t>
      </w:r>
      <w:proofErr w:type="spellStart"/>
      <w:r w:rsidRPr="0018618E">
        <w:t>maximise</w:t>
      </w:r>
      <w:proofErr w:type="spellEnd"/>
      <w:r>
        <w:t xml:space="preserve"> </w:t>
      </w:r>
      <w:r w:rsidRPr="0018618E">
        <w:t>the benefits for Victoria by creating jobs and</w:t>
      </w:r>
      <w:r>
        <w:t xml:space="preserve"> </w:t>
      </w:r>
      <w:r w:rsidRPr="0018618E">
        <w:t>supporting innovative sectors.</w:t>
      </w:r>
      <w:r w:rsidR="002D6A1C" w:rsidRPr="00341632">
        <w:rPr>
          <w:color w:val="000000"/>
          <w:highlight w:val="yellow"/>
          <w:lang w:val="en-AU"/>
        </w:rPr>
        <w:br w:type="page"/>
      </w:r>
    </w:p>
    <w:p w14:paraId="5C3AFA02" w14:textId="2F40DEE0" w:rsidR="0071620B" w:rsidRPr="0018618E" w:rsidRDefault="0018618E" w:rsidP="00EE4FA1">
      <w:pPr>
        <w:pStyle w:val="ESHeading1"/>
      </w:pPr>
      <w:bookmarkStart w:id="22" w:name="_Toc81990952"/>
      <w:bookmarkStart w:id="23" w:name="_Toc453849651"/>
      <w:bookmarkStart w:id="24" w:name="_Toc453855597"/>
      <w:bookmarkStart w:id="25" w:name="_Toc453856731"/>
      <w:bookmarkStart w:id="26" w:name="_Toc460341172"/>
      <w:bookmarkStart w:id="27" w:name="_Toc484621910"/>
      <w:bookmarkStart w:id="28" w:name="_Toc514058239"/>
      <w:bookmarkStart w:id="29" w:name="_Toc514058361"/>
      <w:bookmarkStart w:id="30" w:name="_Toc514070484"/>
      <w:bookmarkEnd w:id="20"/>
      <w:r w:rsidRPr="0018618E">
        <w:lastRenderedPageBreak/>
        <w:t xml:space="preserve">OUR </w:t>
      </w:r>
      <w:r w:rsidR="008159D1" w:rsidRPr="0018618E">
        <w:t xml:space="preserve">ORGANISATIONAL </w:t>
      </w:r>
      <w:r w:rsidRPr="0018618E">
        <w:t>APPROACH</w:t>
      </w:r>
      <w:bookmarkEnd w:id="22"/>
    </w:p>
    <w:p w14:paraId="39D3BCE3" w14:textId="2AED9BCB" w:rsidR="0018618E" w:rsidRPr="0018618E" w:rsidRDefault="0018618E" w:rsidP="0018618E">
      <w:pPr>
        <w:pStyle w:val="ESBodyText"/>
      </w:pPr>
      <w:r w:rsidRPr="0018618E">
        <w:t xml:space="preserve">The Department has a clear focus on delivery. To ensure that investment in our education and training reforms achieve the desired outcomes, the Department is targeting resources and funding to areas and learners that need them most. We are also embedding greater oversight, reporting and monitoring of the delivery of major initiatives and key strategies. This </w:t>
      </w:r>
      <w:proofErr w:type="spellStart"/>
      <w:r w:rsidRPr="0018618E">
        <w:t>maximises</w:t>
      </w:r>
      <w:proofErr w:type="spellEnd"/>
      <w:r w:rsidRPr="0018618E">
        <w:t xml:space="preserve"> our ability to implement reforms and deliver improved outcomes for all learners.</w:t>
      </w:r>
    </w:p>
    <w:p w14:paraId="2D9EC8EE" w14:textId="3A83774E" w:rsidR="0018618E" w:rsidRPr="0018618E" w:rsidRDefault="0018618E" w:rsidP="0018618E">
      <w:pPr>
        <w:pStyle w:val="ESBodyText"/>
      </w:pPr>
      <w:r w:rsidRPr="0018618E">
        <w:t>Through this approach, the Department is</w:t>
      </w:r>
      <w:r>
        <w:t xml:space="preserve"> </w:t>
      </w:r>
      <w:r w:rsidRPr="0018618E">
        <w:t>reforming its funding models and asset</w:t>
      </w:r>
      <w:r>
        <w:t xml:space="preserve"> </w:t>
      </w:r>
      <w:r w:rsidRPr="0018618E">
        <w:t>management. These reforms aim to provide</w:t>
      </w:r>
      <w:r>
        <w:t xml:space="preserve"> </w:t>
      </w:r>
      <w:r w:rsidRPr="0018618E">
        <w:t>communities with high-quality, modern</w:t>
      </w:r>
      <w:r>
        <w:t xml:space="preserve"> </w:t>
      </w:r>
      <w:r w:rsidRPr="0018618E">
        <w:t>infrastructure and equipment that supports new</w:t>
      </w:r>
      <w:r>
        <w:t xml:space="preserve"> </w:t>
      </w:r>
      <w:r w:rsidRPr="0018618E">
        <w:t>ways of learning. This requires targeting funding</w:t>
      </w:r>
      <w:r>
        <w:t xml:space="preserve"> </w:t>
      </w:r>
      <w:r w:rsidRPr="0018618E">
        <w:t>and resources for students in need and providing</w:t>
      </w:r>
      <w:r>
        <w:t xml:space="preserve"> </w:t>
      </w:r>
      <w:r w:rsidRPr="0018618E">
        <w:t>better information about school funding,</w:t>
      </w:r>
      <w:r>
        <w:t xml:space="preserve"> </w:t>
      </w:r>
      <w:r w:rsidRPr="0018618E">
        <w:t>performance and student outcomes. This work</w:t>
      </w:r>
      <w:r>
        <w:t xml:space="preserve"> </w:t>
      </w:r>
      <w:r w:rsidRPr="0018618E">
        <w:t>encourages collaboration, drives improvement</w:t>
      </w:r>
      <w:r>
        <w:t xml:space="preserve"> </w:t>
      </w:r>
      <w:r w:rsidRPr="0018618E">
        <w:t>and strengthens accountability.</w:t>
      </w:r>
    </w:p>
    <w:p w14:paraId="24F60175" w14:textId="5B20E210" w:rsidR="0018618E" w:rsidRPr="0018618E" w:rsidRDefault="0018618E" w:rsidP="0018618E">
      <w:pPr>
        <w:pStyle w:val="ESBodyText"/>
      </w:pPr>
      <w:r w:rsidRPr="0018618E">
        <w:t>In addition, the Department’s Asset Strategy</w:t>
      </w:r>
      <w:r>
        <w:t xml:space="preserve"> </w:t>
      </w:r>
      <w:r w:rsidRPr="0018618E">
        <w:t>2021–31 seeks to develop and maintain a high</w:t>
      </w:r>
      <w:r>
        <w:t xml:space="preserve"> </w:t>
      </w:r>
      <w:r w:rsidRPr="0018618E">
        <w:t>performing asset base that supports improved</w:t>
      </w:r>
      <w:r>
        <w:t xml:space="preserve"> </w:t>
      </w:r>
      <w:r w:rsidRPr="0018618E">
        <w:t>and world leading education and development</w:t>
      </w:r>
      <w:r>
        <w:t xml:space="preserve"> </w:t>
      </w:r>
      <w:r w:rsidRPr="0018618E">
        <w:t>outcomes. By targeting our investment, we</w:t>
      </w:r>
      <w:r>
        <w:t xml:space="preserve"> </w:t>
      </w:r>
      <w:r w:rsidRPr="0018618E">
        <w:t>improve asset planning, acquisition, operation</w:t>
      </w:r>
      <w:r>
        <w:t xml:space="preserve"> </w:t>
      </w:r>
      <w:r w:rsidRPr="0018618E">
        <w:t>and maintenance and disposal across the early</w:t>
      </w:r>
      <w:r>
        <w:t xml:space="preserve"> </w:t>
      </w:r>
      <w:r w:rsidRPr="0018618E">
        <w:t>childhood, schools and higher education and</w:t>
      </w:r>
      <w:r>
        <w:t xml:space="preserve"> </w:t>
      </w:r>
      <w:r w:rsidRPr="0018618E">
        <w:t>training and skills sectors. The strategy is</w:t>
      </w:r>
      <w:r>
        <w:t xml:space="preserve"> </w:t>
      </w:r>
      <w:r w:rsidRPr="0018618E">
        <w:t>consistent with better practice and the Victorian</w:t>
      </w:r>
      <w:r>
        <w:t xml:space="preserve"> </w:t>
      </w:r>
      <w:r w:rsidRPr="0018618E">
        <w:t>Government’s Asset Management Accountability</w:t>
      </w:r>
      <w:r>
        <w:t xml:space="preserve"> </w:t>
      </w:r>
      <w:r w:rsidRPr="0018618E">
        <w:t>Framework.</w:t>
      </w:r>
    </w:p>
    <w:p w14:paraId="1107A170" w14:textId="6A249283" w:rsidR="00A52440" w:rsidRDefault="0018618E" w:rsidP="0018618E">
      <w:pPr>
        <w:pStyle w:val="ESBodyText"/>
      </w:pPr>
      <w:r w:rsidRPr="0018618E">
        <w:t>The Department is using the innovations and</w:t>
      </w:r>
      <w:r>
        <w:t xml:space="preserve"> </w:t>
      </w:r>
      <w:r w:rsidRPr="0018618E">
        <w:t>lessons learnt during the COVID-19 pandemic to</w:t>
      </w:r>
      <w:r>
        <w:t xml:space="preserve"> </w:t>
      </w:r>
      <w:r w:rsidRPr="0018618E">
        <w:t>improve corporate service delivery, including</w:t>
      </w:r>
      <w:r>
        <w:t xml:space="preserve"> </w:t>
      </w:r>
      <w:r w:rsidRPr="0018618E">
        <w:t>introducing paperless operations and electronic</w:t>
      </w:r>
      <w:r>
        <w:t xml:space="preserve"> </w:t>
      </w:r>
      <w:r w:rsidRPr="0018618E">
        <w:t>workflows. This will drive the automation of</w:t>
      </w:r>
      <w:r>
        <w:t xml:space="preserve"> </w:t>
      </w:r>
      <w:r w:rsidRPr="0018618E">
        <w:t>record keeping, improve efficiency, productivity</w:t>
      </w:r>
      <w:r>
        <w:t xml:space="preserve"> </w:t>
      </w:r>
      <w:r w:rsidRPr="0018618E">
        <w:t>and transparency, while reducing costs and</w:t>
      </w:r>
      <w:r>
        <w:t xml:space="preserve"> </w:t>
      </w:r>
      <w:r w:rsidRPr="0018618E">
        <w:t>environmental impacts.</w:t>
      </w:r>
      <w:bookmarkEnd w:id="4"/>
      <w:bookmarkEnd w:id="5"/>
      <w:bookmarkEnd w:id="6"/>
      <w:bookmarkEnd w:id="23"/>
      <w:bookmarkEnd w:id="24"/>
      <w:bookmarkEnd w:id="25"/>
      <w:bookmarkEnd w:id="26"/>
      <w:bookmarkEnd w:id="27"/>
      <w:bookmarkEnd w:id="28"/>
      <w:bookmarkEnd w:id="29"/>
      <w:bookmarkEnd w:id="30"/>
    </w:p>
    <w:p w14:paraId="5C57435F" w14:textId="477B136E" w:rsidR="0018618E" w:rsidRPr="0018618E" w:rsidRDefault="0018618E" w:rsidP="0018618E">
      <w:pPr>
        <w:pStyle w:val="ESHeading1"/>
      </w:pPr>
      <w:bookmarkStart w:id="31" w:name="_Toc81990953"/>
      <w:r w:rsidRPr="0018618E">
        <w:t xml:space="preserve">OUR </w:t>
      </w:r>
      <w:r w:rsidR="00591444">
        <w:t>PEOPLE</w:t>
      </w:r>
      <w:bookmarkEnd w:id="31"/>
    </w:p>
    <w:p w14:paraId="439B74F8" w14:textId="5F4D80B6" w:rsidR="00591444" w:rsidRDefault="00591444" w:rsidP="00591444">
      <w:pPr>
        <w:pStyle w:val="ESBodyText"/>
      </w:pPr>
      <w:r>
        <w:t xml:space="preserve">Over the coming years the Department will implement a new Victorian Public Service (VPS) People Strategy. The strategy focuses on four areas that have the most impact on our delivery and performance, these are Connected Culture, Purposeful Leadership, Enabled and Capable, and Inclusive </w:t>
      </w:r>
      <w:proofErr w:type="spellStart"/>
      <w:r>
        <w:t>Organisation</w:t>
      </w:r>
      <w:proofErr w:type="spellEnd"/>
      <w:r>
        <w:t>. These focus areas guide our actions to build on our existing workforce capabilities and support staff to do high-quality work in an inclusive and safe workplace.</w:t>
      </w:r>
    </w:p>
    <w:p w14:paraId="53D19FC5" w14:textId="17C60416" w:rsidR="00591444" w:rsidRDefault="00591444" w:rsidP="00591444">
      <w:pPr>
        <w:pStyle w:val="ESBodyText"/>
      </w:pPr>
      <w:r>
        <w:t xml:space="preserve">Embedding the benefits of flexible working in the VPS supports teams to work effectively in a hybrid way. Flexible working arrangement support professionalism and </w:t>
      </w:r>
      <w:proofErr w:type="gramStart"/>
      <w:r>
        <w:t>autonomy, and</w:t>
      </w:r>
      <w:proofErr w:type="gramEnd"/>
      <w:r>
        <w:t xml:space="preserve"> improve the ability of individuals to manage personal responsibilities and interests.</w:t>
      </w:r>
    </w:p>
    <w:p w14:paraId="4B0AEEB7" w14:textId="4A3B710B" w:rsidR="00591444" w:rsidRDefault="00591444" w:rsidP="00591444">
      <w:pPr>
        <w:pStyle w:val="ESBodyText"/>
      </w:pPr>
      <w:r>
        <w:t xml:space="preserve">Similarly, the Department’s Aboriginal Inclusion Plan–Wirnalung </w:t>
      </w:r>
      <w:proofErr w:type="spellStart"/>
      <w:r>
        <w:t>Ganai</w:t>
      </w:r>
      <w:proofErr w:type="spellEnd"/>
      <w:r>
        <w:t xml:space="preserve"> 2019–21 is aligned to the </w:t>
      </w:r>
      <w:proofErr w:type="spellStart"/>
      <w:r>
        <w:t>Marrung</w:t>
      </w:r>
      <w:proofErr w:type="spellEnd"/>
      <w:r>
        <w:t>: Aboriginal Education Plan 2016–2026 and aims to create a culturally safe place for employees, partners, learners and families. The plan reflects the Department values, respects Aboriginal voice and expertise and demonstrates a commitment to Aboriginal self-determination.</w:t>
      </w:r>
    </w:p>
    <w:p w14:paraId="1AC08B2D" w14:textId="6D3DEE9C" w:rsidR="0018618E" w:rsidRPr="0018618E" w:rsidRDefault="00591444" w:rsidP="00591444">
      <w:pPr>
        <w:pStyle w:val="ESBodyText"/>
      </w:pPr>
      <w:r>
        <w:t>We are committed to staff wellbeing under the Safe and Well in Education Strategy. The Strategy assists everyone at the Department to understand their health, safety and wellbeing accountabilities, responsibilities and the supports available to acquit these. It works to build stronger mental health and wellbeing by creating a shared culture of responsibility and support. The Strategy aims to simplify the management of health and safety compliance, provide more expert advice and hands-on support to prevent and respond to emerging risks. By implementing the Strategy, the Department will create and maintain an environment where safety and wellbeing are central to how we learn and work.</w:t>
      </w:r>
    </w:p>
    <w:p w14:paraId="1815929E" w14:textId="77777777" w:rsidR="0018618E" w:rsidRPr="00903DF5" w:rsidRDefault="0018618E" w:rsidP="0018618E">
      <w:pPr>
        <w:pStyle w:val="ESBodyText"/>
      </w:pPr>
    </w:p>
    <w:sectPr w:rsidR="0018618E" w:rsidRPr="00903DF5" w:rsidSect="00045DFB">
      <w:headerReference w:type="default" r:id="rId22"/>
      <w:pgSz w:w="11900" w:h="16840" w:code="9"/>
      <w:pgMar w:top="1701" w:right="1242" w:bottom="1276" w:left="1304" w:header="624" w:footer="420" w:gutter="0"/>
      <w:cols w:space="39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6C9735" w14:textId="77777777" w:rsidR="009D3653" w:rsidRDefault="009D3653" w:rsidP="008766A4">
      <w:r>
        <w:separator/>
      </w:r>
    </w:p>
  </w:endnote>
  <w:endnote w:type="continuationSeparator" w:id="0">
    <w:p w14:paraId="36C000ED" w14:textId="77777777" w:rsidR="009D3653" w:rsidRDefault="009D3653" w:rsidP="008766A4">
      <w:r>
        <w:continuationSeparator/>
      </w:r>
    </w:p>
  </w:endnote>
  <w:endnote w:type="continuationNotice" w:id="1">
    <w:p w14:paraId="66C38CAF" w14:textId="77777777" w:rsidR="009D3653" w:rsidRDefault="009D36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03E7D" w14:textId="77777777" w:rsidR="006C678F" w:rsidRDefault="006C67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45331" w14:textId="712F8068" w:rsidR="00097882" w:rsidRDefault="00097882" w:rsidP="008C2397">
    <w:pPr>
      <w:pStyle w:val="Footer"/>
      <w:tabs>
        <w:tab w:val="clear" w:pos="4320"/>
        <w:tab w:val="clear" w:pos="8640"/>
        <w:tab w:val="left" w:pos="7200"/>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A3E4E" w14:textId="77777777" w:rsidR="006C678F" w:rsidRDefault="006C678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3B0CB" w14:textId="77777777" w:rsidR="00341632" w:rsidRPr="00341632" w:rsidRDefault="00341632" w:rsidP="00341632">
    <w:pPr>
      <w:autoSpaceDE w:val="0"/>
      <w:autoSpaceDN w:val="0"/>
      <w:adjustRightInd w:val="0"/>
      <w:spacing w:after="60" w:line="240" w:lineRule="auto"/>
      <w:rPr>
        <w:rFonts w:cstheme="minorHAnsi"/>
        <w:sz w:val="13"/>
        <w:szCs w:val="13"/>
      </w:rPr>
    </w:pPr>
    <w:r w:rsidRPr="00341632">
      <w:rPr>
        <w:rFonts w:cstheme="minorHAnsi"/>
        <w:sz w:val="13"/>
        <w:szCs w:val="13"/>
      </w:rPr>
      <w:t>© State of Victoria (Department of Education and Training) 2021</w:t>
    </w:r>
  </w:p>
  <w:p w14:paraId="468EF203" w14:textId="4A4CB726" w:rsidR="00341632" w:rsidRPr="00341632" w:rsidRDefault="00341632" w:rsidP="00341632">
    <w:pPr>
      <w:autoSpaceDE w:val="0"/>
      <w:autoSpaceDN w:val="0"/>
      <w:adjustRightInd w:val="0"/>
      <w:spacing w:after="60" w:line="240" w:lineRule="auto"/>
      <w:rPr>
        <w:rFonts w:cstheme="minorHAnsi"/>
        <w:sz w:val="13"/>
        <w:szCs w:val="13"/>
      </w:rPr>
    </w:pPr>
    <w:r w:rsidRPr="00341632">
      <w:rPr>
        <w:rFonts w:cstheme="minorHAnsi"/>
        <w:sz w:val="13"/>
        <w:szCs w:val="13"/>
      </w:rPr>
      <w:t>The Department of Education and Training Strategic Plan 2021–25 is provided under a</w:t>
    </w:r>
    <w:r>
      <w:rPr>
        <w:rFonts w:cstheme="minorHAnsi"/>
        <w:sz w:val="13"/>
        <w:szCs w:val="13"/>
      </w:rPr>
      <w:t xml:space="preserve"> </w:t>
    </w:r>
    <w:r w:rsidRPr="00341632">
      <w:rPr>
        <w:rFonts w:cstheme="minorHAnsi"/>
        <w:sz w:val="13"/>
        <w:szCs w:val="13"/>
      </w:rPr>
      <w:t xml:space="preserve">Creative Commons Attribution 4.0 International </w:t>
    </w:r>
    <w:proofErr w:type="spellStart"/>
    <w:r w:rsidRPr="00341632">
      <w:rPr>
        <w:rFonts w:cstheme="minorHAnsi"/>
        <w:sz w:val="13"/>
        <w:szCs w:val="13"/>
      </w:rPr>
      <w:t>licence</w:t>
    </w:r>
    <w:proofErr w:type="spellEnd"/>
    <w:r w:rsidRPr="00341632">
      <w:rPr>
        <w:rFonts w:cstheme="minorHAnsi"/>
        <w:sz w:val="13"/>
        <w:szCs w:val="13"/>
      </w:rPr>
      <w:t xml:space="preserve">. You are free to re-use the work under that </w:t>
    </w:r>
    <w:proofErr w:type="spellStart"/>
    <w:r w:rsidRPr="00341632">
      <w:rPr>
        <w:rFonts w:cstheme="minorHAnsi"/>
        <w:sz w:val="13"/>
        <w:szCs w:val="13"/>
      </w:rPr>
      <w:t>licence</w:t>
    </w:r>
    <w:proofErr w:type="spellEnd"/>
    <w:r w:rsidRPr="00341632">
      <w:rPr>
        <w:rFonts w:cstheme="minorHAnsi"/>
        <w:sz w:val="13"/>
        <w:szCs w:val="13"/>
      </w:rPr>
      <w:t xml:space="preserve">, on the condition that you credit the State of Victoria (Department of Education and Training), indicate if changes were made and comply with the other </w:t>
    </w:r>
    <w:proofErr w:type="spellStart"/>
    <w:r w:rsidRPr="00341632">
      <w:rPr>
        <w:rFonts w:cstheme="minorHAnsi"/>
        <w:sz w:val="13"/>
        <w:szCs w:val="13"/>
      </w:rPr>
      <w:t>licence</w:t>
    </w:r>
    <w:proofErr w:type="spellEnd"/>
    <w:r w:rsidRPr="00341632">
      <w:rPr>
        <w:rFonts w:cstheme="minorHAnsi"/>
        <w:sz w:val="13"/>
        <w:szCs w:val="13"/>
      </w:rPr>
      <w:t xml:space="preserve"> terms, see: Creative Commons Attribution 4.0 International </w:t>
    </w:r>
  </w:p>
  <w:p w14:paraId="74E72A41" w14:textId="77777777" w:rsidR="00341632" w:rsidRPr="00341632" w:rsidRDefault="00341632" w:rsidP="00341632">
    <w:pPr>
      <w:autoSpaceDE w:val="0"/>
      <w:autoSpaceDN w:val="0"/>
      <w:adjustRightInd w:val="0"/>
      <w:spacing w:after="60" w:line="240" w:lineRule="auto"/>
      <w:rPr>
        <w:rFonts w:cstheme="minorHAnsi"/>
        <w:sz w:val="13"/>
        <w:szCs w:val="13"/>
      </w:rPr>
    </w:pPr>
    <w:r w:rsidRPr="00341632">
      <w:rPr>
        <w:rFonts w:cstheme="minorHAnsi"/>
        <w:sz w:val="13"/>
        <w:szCs w:val="13"/>
      </w:rPr>
      <w:t xml:space="preserve">The </w:t>
    </w:r>
    <w:proofErr w:type="spellStart"/>
    <w:r w:rsidRPr="00341632">
      <w:rPr>
        <w:rFonts w:cstheme="minorHAnsi"/>
        <w:sz w:val="13"/>
        <w:szCs w:val="13"/>
      </w:rPr>
      <w:t>licence</w:t>
    </w:r>
    <w:proofErr w:type="spellEnd"/>
    <w:r w:rsidRPr="00341632">
      <w:rPr>
        <w:rFonts w:cstheme="minorHAnsi"/>
        <w:sz w:val="13"/>
        <w:szCs w:val="13"/>
      </w:rPr>
      <w:t xml:space="preserve"> does not apply to:</w:t>
    </w:r>
  </w:p>
  <w:p w14:paraId="1A389B1C" w14:textId="657D4DDD" w:rsidR="00341632" w:rsidRPr="00341632" w:rsidRDefault="00341632" w:rsidP="00341632">
    <w:pPr>
      <w:pStyle w:val="ListParagraph"/>
      <w:numPr>
        <w:ilvl w:val="0"/>
        <w:numId w:val="21"/>
      </w:numPr>
      <w:autoSpaceDE w:val="0"/>
      <w:autoSpaceDN w:val="0"/>
      <w:adjustRightInd w:val="0"/>
      <w:spacing w:after="60" w:line="240" w:lineRule="auto"/>
      <w:rPr>
        <w:rFonts w:cstheme="minorHAnsi"/>
        <w:sz w:val="13"/>
        <w:szCs w:val="13"/>
      </w:rPr>
    </w:pPr>
    <w:r w:rsidRPr="00341632">
      <w:rPr>
        <w:rFonts w:cstheme="minorHAnsi"/>
        <w:sz w:val="13"/>
        <w:szCs w:val="13"/>
      </w:rPr>
      <w:t>any images, photographs, trademarks or branding, including the Victorian Government</w:t>
    </w:r>
    <w:r>
      <w:rPr>
        <w:rFonts w:cstheme="minorHAnsi"/>
        <w:sz w:val="13"/>
        <w:szCs w:val="13"/>
      </w:rPr>
      <w:t xml:space="preserve"> </w:t>
    </w:r>
    <w:r w:rsidRPr="00341632">
      <w:rPr>
        <w:rFonts w:cstheme="minorHAnsi"/>
        <w:sz w:val="13"/>
        <w:szCs w:val="13"/>
      </w:rPr>
      <w:t>logo and the DET logo; and</w:t>
    </w:r>
  </w:p>
  <w:p w14:paraId="08A33A1F" w14:textId="45334DBD" w:rsidR="00341632" w:rsidRPr="00341632" w:rsidRDefault="00341632" w:rsidP="00341632">
    <w:pPr>
      <w:pStyle w:val="ListParagraph"/>
      <w:numPr>
        <w:ilvl w:val="0"/>
        <w:numId w:val="21"/>
      </w:numPr>
      <w:autoSpaceDE w:val="0"/>
      <w:autoSpaceDN w:val="0"/>
      <w:adjustRightInd w:val="0"/>
      <w:spacing w:after="60" w:line="240" w:lineRule="auto"/>
      <w:rPr>
        <w:rFonts w:cstheme="minorHAnsi"/>
        <w:sz w:val="13"/>
        <w:szCs w:val="13"/>
      </w:rPr>
    </w:pPr>
    <w:r w:rsidRPr="00341632">
      <w:rPr>
        <w:rFonts w:cstheme="minorHAnsi"/>
        <w:sz w:val="13"/>
        <w:szCs w:val="13"/>
      </w:rPr>
      <w:t>content supplied by third parties.</w:t>
    </w:r>
  </w:p>
  <w:p w14:paraId="61E2BB8F" w14:textId="78F96C88" w:rsidR="00097882" w:rsidRPr="0079365B" w:rsidRDefault="00341632" w:rsidP="00341632">
    <w:pPr>
      <w:autoSpaceDE w:val="0"/>
      <w:autoSpaceDN w:val="0"/>
      <w:adjustRightInd w:val="0"/>
      <w:spacing w:after="60" w:line="240" w:lineRule="auto"/>
      <w:rPr>
        <w:rFonts w:cstheme="minorHAnsi"/>
        <w:sz w:val="13"/>
        <w:szCs w:val="13"/>
      </w:rPr>
    </w:pPr>
    <w:r w:rsidRPr="00341632">
      <w:rPr>
        <w:rFonts w:cstheme="minorHAnsi"/>
        <w:sz w:val="13"/>
        <w:szCs w:val="13"/>
      </w:rPr>
      <w:t>Copyright queries may be directed to copyright@education.vic.gov.au</w:t>
    </w:r>
  </w:p>
  <w:p w14:paraId="52424ADE" w14:textId="450F950B" w:rsidR="00097882" w:rsidRDefault="00097882" w:rsidP="00DF4B18">
    <w:pPr>
      <w:pStyle w:val="Footer"/>
      <w:tabs>
        <w:tab w:val="clear" w:pos="4320"/>
        <w:tab w:val="clear" w:pos="8640"/>
        <w:tab w:val="left" w:pos="8098"/>
      </w:tabs>
    </w:pPr>
    <w:r>
      <w:rPr>
        <w:rFonts w:eastAsia="Arial" w:cs="Times New Roman"/>
        <w:noProof/>
        <w:color w:val="C00000"/>
        <w:sz w:val="15"/>
        <w:szCs w:val="15"/>
        <w:lang w:val="en-AU"/>
      </w:rP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46875" w14:textId="77777777" w:rsidR="00097882" w:rsidRPr="0079365B" w:rsidRDefault="00097882" w:rsidP="008A23B7">
    <w:pPr>
      <w:autoSpaceDE w:val="0"/>
      <w:autoSpaceDN w:val="0"/>
      <w:adjustRightInd w:val="0"/>
      <w:spacing w:after="0" w:line="240" w:lineRule="auto"/>
      <w:rPr>
        <w:rFonts w:cstheme="minorHAnsi"/>
        <w:sz w:val="13"/>
        <w:szCs w:val="13"/>
      </w:rPr>
    </w:pPr>
  </w:p>
  <w:p w14:paraId="58484D69" w14:textId="4BAB9DAE" w:rsidR="00097882" w:rsidRDefault="00097882" w:rsidP="00DF4B18">
    <w:pPr>
      <w:pStyle w:val="Footer"/>
      <w:tabs>
        <w:tab w:val="clear" w:pos="4320"/>
        <w:tab w:val="clear" w:pos="8640"/>
        <w:tab w:val="left" w:pos="8098"/>
      </w:tabs>
    </w:pPr>
    <w:r w:rsidRPr="009F77B4">
      <w:rPr>
        <w:noProof/>
        <w:color w:val="C00000"/>
        <w:sz w:val="15"/>
        <w:szCs w:val="15"/>
      </w:rPr>
      <w:fldChar w:fldCharType="begin"/>
    </w:r>
    <w:r w:rsidRPr="009F77B4">
      <w:rPr>
        <w:noProof/>
        <w:color w:val="C00000"/>
        <w:sz w:val="15"/>
        <w:szCs w:val="15"/>
      </w:rPr>
      <w:instrText xml:space="preserve"> FILENAME  \* MERGEFORMAT </w:instrText>
    </w:r>
    <w:r w:rsidRPr="009F77B4">
      <w:rPr>
        <w:noProof/>
        <w:color w:val="C00000"/>
        <w:sz w:val="15"/>
        <w:szCs w:val="15"/>
      </w:rPr>
      <w:fldChar w:fldCharType="separate"/>
    </w:r>
    <w:r w:rsidR="00045DFB">
      <w:rPr>
        <w:noProof/>
        <w:color w:val="C00000"/>
        <w:sz w:val="15"/>
        <w:szCs w:val="15"/>
      </w:rPr>
      <w:t>Strategic Plan 20</w:t>
    </w:r>
    <w:r w:rsidR="006C678F">
      <w:rPr>
        <w:noProof/>
        <w:color w:val="C00000"/>
        <w:sz w:val="15"/>
        <w:szCs w:val="15"/>
      </w:rPr>
      <w:t>21-25</w:t>
    </w:r>
    <w:r w:rsidR="00045DFB">
      <w:rPr>
        <w:noProof/>
        <w:color w:val="C00000"/>
        <w:sz w:val="15"/>
        <w:szCs w:val="15"/>
      </w:rPr>
      <w:t xml:space="preserve"> accessible version</w:t>
    </w:r>
    <w:r w:rsidRPr="009F77B4">
      <w:rPr>
        <w:noProof/>
        <w:color w:val="C00000"/>
        <w:sz w:val="15"/>
        <w:szCs w:val="15"/>
      </w:rPr>
      <w:fldChar w:fldCharType="end"/>
    </w:r>
    <w:sdt>
      <w:sdtPr>
        <w:rPr>
          <w:rFonts w:eastAsia="Arial" w:cs="Times New Roman"/>
          <w:color w:val="C00000"/>
          <w:sz w:val="15"/>
          <w:szCs w:val="15"/>
          <w:lang w:val="en-AU"/>
        </w:rPr>
        <w:id w:val="371966515"/>
        <w:docPartObj>
          <w:docPartGallery w:val="Page Numbers (Bottom of Page)"/>
          <w:docPartUnique/>
        </w:docPartObj>
      </w:sdtPr>
      <w:sdtEndPr>
        <w:rPr>
          <w:noProof/>
        </w:rPr>
      </w:sdtEndPr>
      <w:sdtContent>
        <w:r w:rsidRPr="009F77B4">
          <w:rPr>
            <w:rFonts w:eastAsia="Arial" w:cs="Times New Roman"/>
            <w:color w:val="C00000"/>
            <w:sz w:val="15"/>
            <w:szCs w:val="15"/>
            <w:lang w:val="en-AU"/>
          </w:rPr>
          <w:t xml:space="preserve"> – Page </w:t>
        </w:r>
        <w:r w:rsidRPr="009F77B4">
          <w:rPr>
            <w:rFonts w:eastAsia="Arial" w:cs="Times New Roman"/>
            <w:color w:val="C00000"/>
            <w:sz w:val="15"/>
            <w:szCs w:val="15"/>
            <w:lang w:val="en-AU"/>
          </w:rPr>
          <w:fldChar w:fldCharType="begin"/>
        </w:r>
        <w:r w:rsidRPr="009F77B4">
          <w:rPr>
            <w:rFonts w:eastAsia="Arial" w:cs="Times New Roman"/>
            <w:color w:val="C00000"/>
            <w:sz w:val="15"/>
            <w:szCs w:val="15"/>
            <w:lang w:val="en-AU"/>
          </w:rPr>
          <w:instrText xml:space="preserve"> TITLE  \* MERGEFORMAT </w:instrText>
        </w:r>
        <w:r w:rsidRPr="009F77B4">
          <w:rPr>
            <w:rFonts w:eastAsia="Arial" w:cs="Times New Roman"/>
            <w:color w:val="C00000"/>
            <w:sz w:val="15"/>
            <w:szCs w:val="15"/>
            <w:lang w:val="en-AU"/>
          </w:rPr>
          <w:fldChar w:fldCharType="end"/>
        </w:r>
        <w:r w:rsidRPr="009F77B4">
          <w:rPr>
            <w:rFonts w:eastAsia="Arial" w:cs="Times New Roman"/>
            <w:color w:val="C00000"/>
            <w:sz w:val="15"/>
            <w:szCs w:val="15"/>
            <w:lang w:val="en-AU"/>
          </w:rPr>
          <w:fldChar w:fldCharType="begin"/>
        </w:r>
        <w:r w:rsidRPr="009F77B4">
          <w:rPr>
            <w:rFonts w:eastAsia="Arial" w:cs="Times New Roman"/>
            <w:color w:val="C00000"/>
            <w:sz w:val="15"/>
            <w:szCs w:val="15"/>
            <w:lang w:val="en-AU"/>
          </w:rPr>
          <w:instrText xml:space="preserve"> PAGE   \* MERGEFORMAT </w:instrText>
        </w:r>
        <w:r w:rsidRPr="009F77B4">
          <w:rPr>
            <w:rFonts w:eastAsia="Arial" w:cs="Times New Roman"/>
            <w:color w:val="C00000"/>
            <w:sz w:val="15"/>
            <w:szCs w:val="15"/>
            <w:lang w:val="en-AU"/>
          </w:rPr>
          <w:fldChar w:fldCharType="separate"/>
        </w:r>
        <w:r w:rsidR="00645064">
          <w:rPr>
            <w:rFonts w:eastAsia="Arial" w:cs="Times New Roman"/>
            <w:noProof/>
            <w:color w:val="C00000"/>
            <w:sz w:val="15"/>
            <w:szCs w:val="15"/>
            <w:lang w:val="en-AU"/>
          </w:rPr>
          <w:t>16</w:t>
        </w:r>
        <w:r w:rsidRPr="009F77B4">
          <w:rPr>
            <w:rFonts w:eastAsia="Arial" w:cs="Times New Roman"/>
            <w:noProof/>
            <w:color w:val="C00000"/>
            <w:sz w:val="15"/>
            <w:szCs w:val="15"/>
            <w:lang w:val="en-AU"/>
          </w:rPr>
          <w:fldChar w:fldCharType="end"/>
        </w:r>
      </w:sdtContent>
    </w:sdt>
    <w:r>
      <w:rPr>
        <w:rFonts w:eastAsia="Arial" w:cs="Times New Roman"/>
        <w:noProof/>
        <w:color w:val="C00000"/>
        <w:sz w:val="15"/>
        <w:szCs w:val="15"/>
        <w:lang w:val="en-AU"/>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8CE8C4" w14:textId="77777777" w:rsidR="009D3653" w:rsidRDefault="009D3653" w:rsidP="008766A4">
      <w:r>
        <w:separator/>
      </w:r>
    </w:p>
  </w:footnote>
  <w:footnote w:type="continuationSeparator" w:id="0">
    <w:p w14:paraId="54D94840" w14:textId="77777777" w:rsidR="009D3653" w:rsidRDefault="009D3653" w:rsidP="008766A4">
      <w:r>
        <w:continuationSeparator/>
      </w:r>
    </w:p>
  </w:footnote>
  <w:footnote w:type="continuationNotice" w:id="1">
    <w:p w14:paraId="0BA16C49" w14:textId="77777777" w:rsidR="009D3653" w:rsidRDefault="009D3653">
      <w:pPr>
        <w:spacing w:after="0" w:line="240" w:lineRule="auto"/>
      </w:pPr>
    </w:p>
  </w:footnote>
  <w:footnote w:id="2">
    <w:p w14:paraId="56BCF845" w14:textId="2AF0E055" w:rsidR="00D75CAB" w:rsidRPr="008E0D4D" w:rsidRDefault="00D75CAB">
      <w:pPr>
        <w:pStyle w:val="FootnoteText"/>
        <w:rPr>
          <w:color w:val="C00000"/>
          <w:sz w:val="16"/>
          <w:szCs w:val="16"/>
          <w:lang w:val="en-AU"/>
        </w:rPr>
      </w:pPr>
      <w:r w:rsidRPr="008E0D4D">
        <w:rPr>
          <w:rStyle w:val="FootnoteReference"/>
          <w:color w:val="C00000"/>
          <w:sz w:val="16"/>
          <w:szCs w:val="16"/>
        </w:rPr>
        <w:footnoteRef/>
      </w:r>
      <w:r w:rsidRPr="008E0D4D">
        <w:rPr>
          <w:color w:val="C00000"/>
          <w:sz w:val="16"/>
          <w:szCs w:val="16"/>
        </w:rPr>
        <w:t xml:space="preserve"> </w:t>
      </w:r>
      <w:hyperlink r:id="rId1" w:history="1">
        <w:r w:rsidRPr="008E0D4D">
          <w:rPr>
            <w:rStyle w:val="Hyperlink"/>
            <w:color w:val="C00000"/>
            <w:sz w:val="16"/>
            <w:szCs w:val="16"/>
          </w:rPr>
          <w:t>https://www.dtf.vic.gov.au/2021-22-state-budget/2021-22-service-delivery</w:t>
        </w:r>
      </w:hyperlink>
      <w:r w:rsidRPr="008E0D4D">
        <w:rPr>
          <w:color w:val="C00000"/>
          <w:sz w:val="16"/>
          <w:szCs w:val="16"/>
        </w:rPr>
        <w:t xml:space="preserve"> </w:t>
      </w:r>
    </w:p>
  </w:footnote>
  <w:footnote w:id="3">
    <w:p w14:paraId="6978C159" w14:textId="63D68DA5" w:rsidR="00D75CAB" w:rsidRPr="00D75CAB" w:rsidRDefault="00D75CAB">
      <w:pPr>
        <w:pStyle w:val="FootnoteText"/>
        <w:rPr>
          <w:lang w:val="en-AU"/>
        </w:rPr>
      </w:pPr>
      <w:r w:rsidRPr="008E0D4D">
        <w:rPr>
          <w:rStyle w:val="FootnoteReference"/>
          <w:color w:val="C00000"/>
          <w:sz w:val="16"/>
          <w:szCs w:val="16"/>
        </w:rPr>
        <w:footnoteRef/>
      </w:r>
      <w:r w:rsidRPr="008E0D4D">
        <w:rPr>
          <w:color w:val="C00000"/>
          <w:sz w:val="16"/>
          <w:szCs w:val="16"/>
        </w:rPr>
        <w:t xml:space="preserve"> </w:t>
      </w:r>
      <w:hyperlink r:id="rId2" w:history="1">
        <w:r w:rsidRPr="008E0D4D">
          <w:rPr>
            <w:rStyle w:val="Hyperlink"/>
            <w:color w:val="C00000"/>
            <w:sz w:val="16"/>
            <w:szCs w:val="16"/>
          </w:rPr>
          <w:t>http://www.education.vic.gov.au/about/department/Pages/annualreports.aspx</w:t>
        </w:r>
      </w:hyperlink>
      <w:r w:rsidRPr="008E0D4D">
        <w:rPr>
          <w:color w:val="C0000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F485F" w14:textId="77777777" w:rsidR="006C678F" w:rsidRDefault="006C67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B8056" w14:textId="77777777" w:rsidR="006C678F" w:rsidRDefault="006C67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95407" w14:textId="77777777" w:rsidR="006C678F" w:rsidRDefault="006C678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7E984" w14:textId="3FC2E3E6" w:rsidR="00097882" w:rsidRPr="00FB40AD" w:rsidRDefault="00097882" w:rsidP="007747E5">
    <w:pPr>
      <w:spacing w:after="60"/>
      <w:rPr>
        <w:color w:val="808080" w:themeColor="background1" w:themeShade="80"/>
        <w:sz w:val="22"/>
        <w:szCs w:val="2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3682A" w14:textId="77777777" w:rsidR="00097882" w:rsidRPr="00FB40AD" w:rsidRDefault="00097882" w:rsidP="008766A4">
    <w:pPr>
      <w:rPr>
        <w:sz w:val="16"/>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F971C" w14:textId="5C3FDCC0" w:rsidR="00097882" w:rsidRPr="00FB40AD" w:rsidRDefault="00097882" w:rsidP="008766A4">
    <w:pPr>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4FE6ADFC"/>
    <w:lvl w:ilvl="0">
      <w:start w:val="1"/>
      <w:numFmt w:val="bullet"/>
      <w:pStyle w:val="NoteLevel1"/>
      <w:lvlText w:val=""/>
      <w:lvlJc w:val="left"/>
      <w:pPr>
        <w:ind w:left="-600" w:hanging="360"/>
      </w:pPr>
      <w:rPr>
        <w:rFonts w:ascii="Symbol" w:hAnsi="Symbol" w:hint="default"/>
        <w:color w:val="AF272F"/>
      </w:rPr>
    </w:lvl>
    <w:lvl w:ilvl="1">
      <w:start w:val="1"/>
      <w:numFmt w:val="bullet"/>
      <w:pStyle w:val="NoteLevel2"/>
      <w:lvlText w:val=""/>
      <w:lvlJc w:val="left"/>
      <w:pPr>
        <w:tabs>
          <w:tab w:val="num" w:pos="-240"/>
        </w:tabs>
        <w:ind w:left="120" w:hanging="360"/>
      </w:pPr>
      <w:rPr>
        <w:rFonts w:ascii="Symbol" w:hAnsi="Symbol" w:hint="default"/>
      </w:rPr>
    </w:lvl>
    <w:lvl w:ilvl="2">
      <w:start w:val="1"/>
      <w:numFmt w:val="bullet"/>
      <w:pStyle w:val="NoteLevel3"/>
      <w:lvlText w:val="o"/>
      <w:lvlJc w:val="left"/>
      <w:pPr>
        <w:tabs>
          <w:tab w:val="num" w:pos="480"/>
        </w:tabs>
        <w:ind w:left="840" w:hanging="360"/>
      </w:pPr>
      <w:rPr>
        <w:rFonts w:ascii="Courier New" w:hAnsi="Courier New" w:cs="Courier New" w:hint="default"/>
      </w:rPr>
    </w:lvl>
    <w:lvl w:ilvl="3">
      <w:start w:val="1"/>
      <w:numFmt w:val="bullet"/>
      <w:pStyle w:val="NoteLevel4"/>
      <w:lvlText w:val=""/>
      <w:lvlJc w:val="left"/>
      <w:pPr>
        <w:tabs>
          <w:tab w:val="num" w:pos="1200"/>
        </w:tabs>
        <w:ind w:left="1560" w:hanging="360"/>
      </w:pPr>
      <w:rPr>
        <w:rFonts w:ascii="Wingdings" w:hAnsi="Wingdings" w:hint="default"/>
        <w:color w:val="AF272F"/>
      </w:rPr>
    </w:lvl>
    <w:lvl w:ilvl="4">
      <w:start w:val="1"/>
      <w:numFmt w:val="bullet"/>
      <w:pStyle w:val="NoteLevel5"/>
      <w:lvlText w:val=""/>
      <w:lvlJc w:val="left"/>
      <w:pPr>
        <w:tabs>
          <w:tab w:val="num" w:pos="1920"/>
        </w:tabs>
        <w:ind w:left="2280" w:hanging="360"/>
      </w:pPr>
      <w:rPr>
        <w:rFonts w:ascii="Wingdings" w:hAnsi="Wingdings" w:hint="default"/>
      </w:rPr>
    </w:lvl>
    <w:lvl w:ilvl="5">
      <w:start w:val="1"/>
      <w:numFmt w:val="bullet"/>
      <w:pStyle w:val="NoteLevel6"/>
      <w:lvlText w:val=""/>
      <w:lvlJc w:val="left"/>
      <w:pPr>
        <w:tabs>
          <w:tab w:val="num" w:pos="2640"/>
        </w:tabs>
        <w:ind w:left="3000" w:hanging="360"/>
      </w:pPr>
      <w:rPr>
        <w:rFonts w:ascii="Symbol" w:hAnsi="Symbol" w:hint="default"/>
        <w:sz w:val="15"/>
      </w:rPr>
    </w:lvl>
    <w:lvl w:ilvl="6">
      <w:start w:val="1"/>
      <w:numFmt w:val="bullet"/>
      <w:lvlText w:val="o"/>
      <w:lvlJc w:val="left"/>
      <w:pPr>
        <w:tabs>
          <w:tab w:val="num" w:pos="3360"/>
        </w:tabs>
        <w:ind w:left="3720" w:hanging="360"/>
      </w:pPr>
      <w:rPr>
        <w:rFonts w:ascii="Courier New" w:hAnsi="Courier New" w:cs="Courier New" w:hint="default"/>
      </w:rPr>
    </w:lvl>
    <w:lvl w:ilvl="7">
      <w:start w:val="1"/>
      <w:numFmt w:val="bullet"/>
      <w:pStyle w:val="NoteLevel8"/>
      <w:lvlText w:val=""/>
      <w:lvlJc w:val="left"/>
      <w:pPr>
        <w:tabs>
          <w:tab w:val="num" w:pos="4080"/>
        </w:tabs>
        <w:ind w:left="4440" w:hanging="360"/>
      </w:pPr>
      <w:rPr>
        <w:rFonts w:ascii="Wingdings" w:hAnsi="Wingdings" w:hint="default"/>
      </w:rPr>
    </w:lvl>
    <w:lvl w:ilvl="8">
      <w:start w:val="1"/>
      <w:numFmt w:val="bullet"/>
      <w:pStyle w:val="NoteLevel9"/>
      <w:lvlText w:val=""/>
      <w:lvlJc w:val="left"/>
      <w:pPr>
        <w:tabs>
          <w:tab w:val="num" w:pos="4800"/>
        </w:tabs>
        <w:ind w:left="5160" w:hanging="360"/>
      </w:pPr>
      <w:rPr>
        <w:rFonts w:ascii="Wingdings" w:hAnsi="Wingdings" w:hint="default"/>
      </w:rPr>
    </w:lvl>
  </w:abstractNum>
  <w:abstractNum w:abstractNumId="1" w15:restartNumberingAfterBreak="0">
    <w:nsid w:val="00817F2E"/>
    <w:multiLevelType w:val="hybridMultilevel"/>
    <w:tmpl w:val="AE0A5126"/>
    <w:lvl w:ilvl="0" w:tplc="5F327D9A">
      <w:numFmt w:val="bullet"/>
      <w:lvlText w:val="•"/>
      <w:lvlJc w:val="left"/>
      <w:pPr>
        <w:ind w:left="720" w:hanging="36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47821C8"/>
    <w:multiLevelType w:val="hybridMultilevel"/>
    <w:tmpl w:val="4E405F7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96C245E"/>
    <w:multiLevelType w:val="hybridMultilevel"/>
    <w:tmpl w:val="E78201B6"/>
    <w:lvl w:ilvl="0" w:tplc="0C090017">
      <w:start w:val="1"/>
      <w:numFmt w:val="lowerLetter"/>
      <w:lvlText w:val="%1)"/>
      <w:lvlJc w:val="left"/>
      <w:pPr>
        <w:ind w:left="1440" w:hanging="360"/>
      </w:pPr>
    </w:lvl>
    <w:lvl w:ilvl="1" w:tplc="0C090005">
      <w:start w:val="1"/>
      <w:numFmt w:val="bullet"/>
      <w:lvlText w:val=""/>
      <w:lvlJc w:val="left"/>
      <w:pPr>
        <w:ind w:left="2160" w:hanging="360"/>
      </w:pPr>
      <w:rPr>
        <w:rFonts w:ascii="Wingdings" w:hAnsi="Wingdings" w:hint="default"/>
      </w:r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 w15:restartNumberingAfterBreak="0">
    <w:nsid w:val="1C687D30"/>
    <w:multiLevelType w:val="hybridMultilevel"/>
    <w:tmpl w:val="B8D411D2"/>
    <w:lvl w:ilvl="0" w:tplc="0C090017">
      <w:start w:val="1"/>
      <w:numFmt w:val="lowerLetter"/>
      <w:lvlText w:val="%1)"/>
      <w:lvlJc w:val="left"/>
      <w:pPr>
        <w:ind w:left="1440" w:hanging="360"/>
      </w:pPr>
    </w:lvl>
    <w:lvl w:ilvl="1" w:tplc="0C090019">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 w15:restartNumberingAfterBreak="0">
    <w:nsid w:val="1CD71A69"/>
    <w:multiLevelType w:val="hybridMultilevel"/>
    <w:tmpl w:val="178CD1AA"/>
    <w:lvl w:ilvl="0" w:tplc="0C090019">
      <w:start w:val="1"/>
      <w:numFmt w:val="lowerLetter"/>
      <w:lvlText w:val="%1."/>
      <w:lvlJc w:val="left"/>
      <w:pPr>
        <w:ind w:left="720" w:hanging="360"/>
      </w:pPr>
    </w:lvl>
    <w:lvl w:ilvl="1" w:tplc="0C090005">
      <w:start w:val="1"/>
      <w:numFmt w:val="bullet"/>
      <w:lvlText w:val=""/>
      <w:lvlJc w:val="left"/>
      <w:pPr>
        <w:ind w:left="1440" w:hanging="360"/>
      </w:pPr>
      <w:rPr>
        <w:rFonts w:ascii="Wingdings" w:hAnsi="Wingding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1614896"/>
    <w:multiLevelType w:val="hybridMultilevel"/>
    <w:tmpl w:val="81AADF3E"/>
    <w:lvl w:ilvl="0" w:tplc="34F89848">
      <w:start w:val="1"/>
      <w:numFmt w:val="bullet"/>
      <w:pStyle w:val="ES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933554"/>
    <w:multiLevelType w:val="hybridMultilevel"/>
    <w:tmpl w:val="F326AB66"/>
    <w:lvl w:ilvl="0" w:tplc="0C090019">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960527E"/>
    <w:multiLevelType w:val="hybridMultilevel"/>
    <w:tmpl w:val="F8600FE6"/>
    <w:lvl w:ilvl="0" w:tplc="623C0AE0">
      <w:start w:val="1"/>
      <w:numFmt w:val="bullet"/>
      <w:pStyle w:val="ESBulletsinTable"/>
      <w:lvlText w:val=""/>
      <w:lvlJc w:val="left"/>
      <w:pPr>
        <w:ind w:left="360" w:hanging="360"/>
      </w:pPr>
      <w:rPr>
        <w:rFonts w:ascii="Symbol" w:hAnsi="Symbol" w:hint="default"/>
        <w:color w:val="auto"/>
      </w:rPr>
    </w:lvl>
    <w:lvl w:ilvl="1" w:tplc="2B14FD5E">
      <w:start w:val="1"/>
      <w:numFmt w:val="bullet"/>
      <w:pStyle w:val="ESBulletsinTableLevel2"/>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906058"/>
    <w:multiLevelType w:val="hybridMultilevel"/>
    <w:tmpl w:val="B8D411D2"/>
    <w:lvl w:ilvl="0" w:tplc="0C090017">
      <w:start w:val="1"/>
      <w:numFmt w:val="lowerLetter"/>
      <w:lvlText w:val="%1)"/>
      <w:lvlJc w:val="left"/>
      <w:pPr>
        <w:ind w:left="1440" w:hanging="360"/>
      </w:pPr>
    </w:lvl>
    <w:lvl w:ilvl="1" w:tplc="0C090019">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0" w15:restartNumberingAfterBreak="0">
    <w:nsid w:val="4B1D5D56"/>
    <w:multiLevelType w:val="hybridMultilevel"/>
    <w:tmpl w:val="1054B1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3CD3610"/>
    <w:multiLevelType w:val="hybridMultilevel"/>
    <w:tmpl w:val="38BCEBE0"/>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55F60072"/>
    <w:multiLevelType w:val="hybridMultilevel"/>
    <w:tmpl w:val="85220942"/>
    <w:lvl w:ilvl="0" w:tplc="0C090017">
      <w:start w:val="1"/>
      <w:numFmt w:val="lowerLetter"/>
      <w:lvlText w:val="%1)"/>
      <w:lvlJc w:val="left"/>
      <w:pPr>
        <w:ind w:left="1429" w:hanging="360"/>
      </w:p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13" w15:restartNumberingAfterBreak="0">
    <w:nsid w:val="568A23E7"/>
    <w:multiLevelType w:val="hybridMultilevel"/>
    <w:tmpl w:val="8FC8938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DC936E0"/>
    <w:multiLevelType w:val="hybridMultilevel"/>
    <w:tmpl w:val="CD6E8FF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643"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7376EDB"/>
    <w:multiLevelType w:val="hybridMultilevel"/>
    <w:tmpl w:val="38BCEBE0"/>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6C802DDF"/>
    <w:multiLevelType w:val="hybridMultilevel"/>
    <w:tmpl w:val="FF9EFCB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70F7792C"/>
    <w:multiLevelType w:val="hybridMultilevel"/>
    <w:tmpl w:val="D9EEF6F0"/>
    <w:lvl w:ilvl="0" w:tplc="5F327D9A">
      <w:numFmt w:val="bullet"/>
      <w:lvlText w:val="•"/>
      <w:lvlJc w:val="left"/>
      <w:pPr>
        <w:ind w:left="720" w:hanging="36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1506919"/>
    <w:multiLevelType w:val="hybridMultilevel"/>
    <w:tmpl w:val="7458C2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45120E6"/>
    <w:multiLevelType w:val="hybridMultilevel"/>
    <w:tmpl w:val="0772F1FE"/>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9B4430D"/>
    <w:multiLevelType w:val="hybridMultilevel"/>
    <w:tmpl w:val="0C76547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C1A328A"/>
    <w:multiLevelType w:val="hybridMultilevel"/>
    <w:tmpl w:val="05C228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2"/>
  </w:num>
  <w:num w:numId="4">
    <w:abstractNumId w:val="6"/>
  </w:num>
  <w:num w:numId="5">
    <w:abstractNumId w:val="20"/>
  </w:num>
  <w:num w:numId="6">
    <w:abstractNumId w:val="14"/>
  </w:num>
  <w:num w:numId="7">
    <w:abstractNumId w:val="10"/>
  </w:num>
  <w:num w:numId="8">
    <w:abstractNumId w:val="18"/>
  </w:num>
  <w:num w:numId="9">
    <w:abstractNumId w:val="16"/>
  </w:num>
  <w:num w:numId="10">
    <w:abstractNumId w:val="13"/>
  </w:num>
  <w:num w:numId="11">
    <w:abstractNumId w:val="12"/>
  </w:num>
  <w:num w:numId="12">
    <w:abstractNumId w:val="4"/>
  </w:num>
  <w:num w:numId="13">
    <w:abstractNumId w:val="3"/>
  </w:num>
  <w:num w:numId="14">
    <w:abstractNumId w:val="7"/>
  </w:num>
  <w:num w:numId="15">
    <w:abstractNumId w:val="19"/>
  </w:num>
  <w:num w:numId="16">
    <w:abstractNumId w:val="11"/>
  </w:num>
  <w:num w:numId="17">
    <w:abstractNumId w:val="15"/>
  </w:num>
  <w:num w:numId="18">
    <w:abstractNumId w:val="5"/>
  </w:num>
  <w:num w:numId="19">
    <w:abstractNumId w:val="9"/>
  </w:num>
  <w:num w:numId="20">
    <w:abstractNumId w:val="21"/>
  </w:num>
  <w:num w:numId="21">
    <w:abstractNumId w:val="17"/>
  </w:num>
  <w:num w:numId="22">
    <w:abstractNumId w:val="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ctiveWritingStyle w:appName="MSWord" w:lang="en-US" w:vendorID="64" w:dllVersion="6" w:nlCheck="1" w:checkStyle="1"/>
  <w:activeWritingStyle w:appName="MSWord" w:lang="en-AU" w:vendorID="64" w:dllVersion="6" w:nlCheck="1" w:checkStyle="1"/>
  <w:activeWritingStyle w:appName="MSWord" w:lang="en-GB" w:vendorID="64" w:dllVersion="6" w:nlCheck="1" w:checkStyle="1"/>
  <w:activeWritingStyle w:appName="MSWord" w:lang="en-US" w:vendorID="64" w:dllVersion="0" w:nlCheck="1" w:checkStyle="0"/>
  <w:activeWritingStyle w:appName="MSWord" w:lang="en-AU" w:vendorID="64" w:dllVersion="0" w:nlCheck="1" w:checkStyle="0"/>
  <w:proofState w:spelling="clean" w:grammar="clean"/>
  <w:stylePaneSortMethod w:val="0000"/>
  <w:documentProtection w:enforcement="0"/>
  <w:autoFormatOverride/>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6F48"/>
    <w:rsid w:val="00003C3C"/>
    <w:rsid w:val="00003E4D"/>
    <w:rsid w:val="00006733"/>
    <w:rsid w:val="00012077"/>
    <w:rsid w:val="00013A85"/>
    <w:rsid w:val="000157E3"/>
    <w:rsid w:val="00020353"/>
    <w:rsid w:val="000214DA"/>
    <w:rsid w:val="0002268D"/>
    <w:rsid w:val="00022AD7"/>
    <w:rsid w:val="00022ED0"/>
    <w:rsid w:val="000235E7"/>
    <w:rsid w:val="00023D1E"/>
    <w:rsid w:val="000277E6"/>
    <w:rsid w:val="00033256"/>
    <w:rsid w:val="00033B79"/>
    <w:rsid w:val="00040BF9"/>
    <w:rsid w:val="00043C3D"/>
    <w:rsid w:val="00044869"/>
    <w:rsid w:val="00045BEA"/>
    <w:rsid w:val="00045DFB"/>
    <w:rsid w:val="0005183B"/>
    <w:rsid w:val="00052EDB"/>
    <w:rsid w:val="0005488F"/>
    <w:rsid w:val="00055431"/>
    <w:rsid w:val="00055FBA"/>
    <w:rsid w:val="0005676E"/>
    <w:rsid w:val="000574FE"/>
    <w:rsid w:val="00057633"/>
    <w:rsid w:val="000601A7"/>
    <w:rsid w:val="00060E42"/>
    <w:rsid w:val="00060EC2"/>
    <w:rsid w:val="00062472"/>
    <w:rsid w:val="0006515F"/>
    <w:rsid w:val="00066310"/>
    <w:rsid w:val="0007204F"/>
    <w:rsid w:val="00073409"/>
    <w:rsid w:val="0007499C"/>
    <w:rsid w:val="00074CF0"/>
    <w:rsid w:val="00080544"/>
    <w:rsid w:val="0008123C"/>
    <w:rsid w:val="0008449B"/>
    <w:rsid w:val="00084BE2"/>
    <w:rsid w:val="000852D5"/>
    <w:rsid w:val="000857BA"/>
    <w:rsid w:val="00085815"/>
    <w:rsid w:val="00086139"/>
    <w:rsid w:val="00086346"/>
    <w:rsid w:val="00086DCD"/>
    <w:rsid w:val="000909DA"/>
    <w:rsid w:val="00091D2C"/>
    <w:rsid w:val="00093B40"/>
    <w:rsid w:val="00093F17"/>
    <w:rsid w:val="00095484"/>
    <w:rsid w:val="00096744"/>
    <w:rsid w:val="00097882"/>
    <w:rsid w:val="000A0D73"/>
    <w:rsid w:val="000A1B86"/>
    <w:rsid w:val="000A7161"/>
    <w:rsid w:val="000A7B71"/>
    <w:rsid w:val="000B0611"/>
    <w:rsid w:val="000B0FAB"/>
    <w:rsid w:val="000B2624"/>
    <w:rsid w:val="000B36CA"/>
    <w:rsid w:val="000B4D35"/>
    <w:rsid w:val="000B79B8"/>
    <w:rsid w:val="000B7C0E"/>
    <w:rsid w:val="000B7DB1"/>
    <w:rsid w:val="000C03F1"/>
    <w:rsid w:val="000C28DA"/>
    <w:rsid w:val="000C360F"/>
    <w:rsid w:val="000C383C"/>
    <w:rsid w:val="000C499D"/>
    <w:rsid w:val="000C5DBC"/>
    <w:rsid w:val="000C70BD"/>
    <w:rsid w:val="000C7F79"/>
    <w:rsid w:val="000C7F96"/>
    <w:rsid w:val="000D1B9C"/>
    <w:rsid w:val="000D1E52"/>
    <w:rsid w:val="000D4D3E"/>
    <w:rsid w:val="000D70EE"/>
    <w:rsid w:val="000E0872"/>
    <w:rsid w:val="000E204F"/>
    <w:rsid w:val="000E393D"/>
    <w:rsid w:val="000E6D68"/>
    <w:rsid w:val="000E7CB6"/>
    <w:rsid w:val="000F0B6E"/>
    <w:rsid w:val="000F155E"/>
    <w:rsid w:val="000F1A17"/>
    <w:rsid w:val="000F4C22"/>
    <w:rsid w:val="000F6D54"/>
    <w:rsid w:val="00101DD9"/>
    <w:rsid w:val="00101E70"/>
    <w:rsid w:val="00102AAA"/>
    <w:rsid w:val="0010616B"/>
    <w:rsid w:val="00107FDC"/>
    <w:rsid w:val="00110738"/>
    <w:rsid w:val="001118A8"/>
    <w:rsid w:val="00112EC7"/>
    <w:rsid w:val="001152A7"/>
    <w:rsid w:val="00116EF5"/>
    <w:rsid w:val="00122441"/>
    <w:rsid w:val="001260B3"/>
    <w:rsid w:val="001271E3"/>
    <w:rsid w:val="00127682"/>
    <w:rsid w:val="0013101B"/>
    <w:rsid w:val="00137384"/>
    <w:rsid w:val="00137CC7"/>
    <w:rsid w:val="001409E5"/>
    <w:rsid w:val="00141BC2"/>
    <w:rsid w:val="00141C8B"/>
    <w:rsid w:val="001421C0"/>
    <w:rsid w:val="001428FD"/>
    <w:rsid w:val="00142958"/>
    <w:rsid w:val="0014310A"/>
    <w:rsid w:val="001440C1"/>
    <w:rsid w:val="0014454D"/>
    <w:rsid w:val="00146CE7"/>
    <w:rsid w:val="00147CC8"/>
    <w:rsid w:val="001501F5"/>
    <w:rsid w:val="00151DCF"/>
    <w:rsid w:val="00156996"/>
    <w:rsid w:val="00157B98"/>
    <w:rsid w:val="001600B0"/>
    <w:rsid w:val="001627F6"/>
    <w:rsid w:val="00162DB6"/>
    <w:rsid w:val="00163D68"/>
    <w:rsid w:val="00164CCC"/>
    <w:rsid w:val="00164DAF"/>
    <w:rsid w:val="00165B73"/>
    <w:rsid w:val="001668B7"/>
    <w:rsid w:val="00166DA6"/>
    <w:rsid w:val="00167FF7"/>
    <w:rsid w:val="001712C0"/>
    <w:rsid w:val="00173D1F"/>
    <w:rsid w:val="00173E1F"/>
    <w:rsid w:val="001757EB"/>
    <w:rsid w:val="00176131"/>
    <w:rsid w:val="001773EA"/>
    <w:rsid w:val="0017785C"/>
    <w:rsid w:val="00184F84"/>
    <w:rsid w:val="0018618E"/>
    <w:rsid w:val="0018657D"/>
    <w:rsid w:val="001873A0"/>
    <w:rsid w:val="00190E3D"/>
    <w:rsid w:val="001917D0"/>
    <w:rsid w:val="001919C3"/>
    <w:rsid w:val="00191C5C"/>
    <w:rsid w:val="00193A4B"/>
    <w:rsid w:val="00193B7F"/>
    <w:rsid w:val="00194DAB"/>
    <w:rsid w:val="00195053"/>
    <w:rsid w:val="00195145"/>
    <w:rsid w:val="00195408"/>
    <w:rsid w:val="00195F90"/>
    <w:rsid w:val="00197AE5"/>
    <w:rsid w:val="00197DAF"/>
    <w:rsid w:val="001A16CB"/>
    <w:rsid w:val="001A2D2A"/>
    <w:rsid w:val="001A30EC"/>
    <w:rsid w:val="001A3E58"/>
    <w:rsid w:val="001A4138"/>
    <w:rsid w:val="001A7CDA"/>
    <w:rsid w:val="001B34EA"/>
    <w:rsid w:val="001B517D"/>
    <w:rsid w:val="001B6B3D"/>
    <w:rsid w:val="001B6E46"/>
    <w:rsid w:val="001C57B1"/>
    <w:rsid w:val="001C5DAA"/>
    <w:rsid w:val="001C61B5"/>
    <w:rsid w:val="001C708A"/>
    <w:rsid w:val="001C7481"/>
    <w:rsid w:val="001D3787"/>
    <w:rsid w:val="001D5DD8"/>
    <w:rsid w:val="001E0C92"/>
    <w:rsid w:val="001E2768"/>
    <w:rsid w:val="001E2F1D"/>
    <w:rsid w:val="001E2F26"/>
    <w:rsid w:val="001E4720"/>
    <w:rsid w:val="001E5523"/>
    <w:rsid w:val="001E557E"/>
    <w:rsid w:val="001E6B7E"/>
    <w:rsid w:val="001E7CC2"/>
    <w:rsid w:val="001F0B6B"/>
    <w:rsid w:val="001F2772"/>
    <w:rsid w:val="001F752A"/>
    <w:rsid w:val="00200B0F"/>
    <w:rsid w:val="00201F2C"/>
    <w:rsid w:val="00203B7E"/>
    <w:rsid w:val="00203BAE"/>
    <w:rsid w:val="0020457E"/>
    <w:rsid w:val="00205CD1"/>
    <w:rsid w:val="00206F78"/>
    <w:rsid w:val="00213D47"/>
    <w:rsid w:val="00214DD3"/>
    <w:rsid w:val="00216504"/>
    <w:rsid w:val="00217011"/>
    <w:rsid w:val="002173EE"/>
    <w:rsid w:val="00220818"/>
    <w:rsid w:val="002211B7"/>
    <w:rsid w:val="0022212D"/>
    <w:rsid w:val="002232F2"/>
    <w:rsid w:val="00224398"/>
    <w:rsid w:val="00224842"/>
    <w:rsid w:val="00226B71"/>
    <w:rsid w:val="00227F2C"/>
    <w:rsid w:val="00230EBC"/>
    <w:rsid w:val="0023118B"/>
    <w:rsid w:val="00232297"/>
    <w:rsid w:val="0023362E"/>
    <w:rsid w:val="002375DF"/>
    <w:rsid w:val="002423A1"/>
    <w:rsid w:val="00243FDD"/>
    <w:rsid w:val="00245BF1"/>
    <w:rsid w:val="0024636C"/>
    <w:rsid w:val="002507D1"/>
    <w:rsid w:val="002508E2"/>
    <w:rsid w:val="00251661"/>
    <w:rsid w:val="00253329"/>
    <w:rsid w:val="002533C1"/>
    <w:rsid w:val="002547CC"/>
    <w:rsid w:val="0025492D"/>
    <w:rsid w:val="00255584"/>
    <w:rsid w:val="00255E0C"/>
    <w:rsid w:val="00256C09"/>
    <w:rsid w:val="00257828"/>
    <w:rsid w:val="002602E8"/>
    <w:rsid w:val="00262439"/>
    <w:rsid w:val="0026543E"/>
    <w:rsid w:val="00265F97"/>
    <w:rsid w:val="00271F77"/>
    <w:rsid w:val="00273F15"/>
    <w:rsid w:val="00274660"/>
    <w:rsid w:val="00276829"/>
    <w:rsid w:val="00283354"/>
    <w:rsid w:val="00283953"/>
    <w:rsid w:val="0028472E"/>
    <w:rsid w:val="0028481B"/>
    <w:rsid w:val="00284F04"/>
    <w:rsid w:val="0028660A"/>
    <w:rsid w:val="002915AD"/>
    <w:rsid w:val="002922DD"/>
    <w:rsid w:val="002935B2"/>
    <w:rsid w:val="00293C98"/>
    <w:rsid w:val="002965B2"/>
    <w:rsid w:val="002A00A5"/>
    <w:rsid w:val="002A368B"/>
    <w:rsid w:val="002A455B"/>
    <w:rsid w:val="002A66FF"/>
    <w:rsid w:val="002A6B0B"/>
    <w:rsid w:val="002A6BD3"/>
    <w:rsid w:val="002B06F1"/>
    <w:rsid w:val="002B1C15"/>
    <w:rsid w:val="002B200E"/>
    <w:rsid w:val="002B210B"/>
    <w:rsid w:val="002B25FF"/>
    <w:rsid w:val="002B2706"/>
    <w:rsid w:val="002B4957"/>
    <w:rsid w:val="002B7E60"/>
    <w:rsid w:val="002C0166"/>
    <w:rsid w:val="002C3A1A"/>
    <w:rsid w:val="002C4581"/>
    <w:rsid w:val="002C4771"/>
    <w:rsid w:val="002C5393"/>
    <w:rsid w:val="002C6FC4"/>
    <w:rsid w:val="002C7054"/>
    <w:rsid w:val="002C73EA"/>
    <w:rsid w:val="002D325B"/>
    <w:rsid w:val="002D399F"/>
    <w:rsid w:val="002D4128"/>
    <w:rsid w:val="002D437F"/>
    <w:rsid w:val="002D5D8D"/>
    <w:rsid w:val="002D6A1C"/>
    <w:rsid w:val="002D7A99"/>
    <w:rsid w:val="002E1E59"/>
    <w:rsid w:val="002E251C"/>
    <w:rsid w:val="002E2B2F"/>
    <w:rsid w:val="002E3CFD"/>
    <w:rsid w:val="002E58E1"/>
    <w:rsid w:val="002E733F"/>
    <w:rsid w:val="002E7783"/>
    <w:rsid w:val="002F0FAF"/>
    <w:rsid w:val="002F24C5"/>
    <w:rsid w:val="002F3B09"/>
    <w:rsid w:val="002F489B"/>
    <w:rsid w:val="002F4B43"/>
    <w:rsid w:val="002F5D3D"/>
    <w:rsid w:val="002F6692"/>
    <w:rsid w:val="002F6E70"/>
    <w:rsid w:val="002F701E"/>
    <w:rsid w:val="00300616"/>
    <w:rsid w:val="00303ADE"/>
    <w:rsid w:val="00303FA7"/>
    <w:rsid w:val="00305A14"/>
    <w:rsid w:val="00306D09"/>
    <w:rsid w:val="00307E9F"/>
    <w:rsid w:val="00311C6C"/>
    <w:rsid w:val="00312931"/>
    <w:rsid w:val="00313EA4"/>
    <w:rsid w:val="00314FA2"/>
    <w:rsid w:val="003151E2"/>
    <w:rsid w:val="00316B67"/>
    <w:rsid w:val="0031712F"/>
    <w:rsid w:val="003172FA"/>
    <w:rsid w:val="003214DF"/>
    <w:rsid w:val="00322EDC"/>
    <w:rsid w:val="0032562F"/>
    <w:rsid w:val="00326F48"/>
    <w:rsid w:val="00330CDC"/>
    <w:rsid w:val="00340E67"/>
    <w:rsid w:val="00341632"/>
    <w:rsid w:val="00341E2F"/>
    <w:rsid w:val="0034209E"/>
    <w:rsid w:val="00342BF1"/>
    <w:rsid w:val="003437ED"/>
    <w:rsid w:val="00344D4C"/>
    <w:rsid w:val="00346D2C"/>
    <w:rsid w:val="00347714"/>
    <w:rsid w:val="003508B9"/>
    <w:rsid w:val="00352213"/>
    <w:rsid w:val="00352882"/>
    <w:rsid w:val="003535DB"/>
    <w:rsid w:val="00353F00"/>
    <w:rsid w:val="003575BB"/>
    <w:rsid w:val="0036034B"/>
    <w:rsid w:val="0036376A"/>
    <w:rsid w:val="00363ABD"/>
    <w:rsid w:val="0036518C"/>
    <w:rsid w:val="003667B2"/>
    <w:rsid w:val="0036688A"/>
    <w:rsid w:val="00366A33"/>
    <w:rsid w:val="00366B77"/>
    <w:rsid w:val="00370431"/>
    <w:rsid w:val="00370DCA"/>
    <w:rsid w:val="00371234"/>
    <w:rsid w:val="00371ACC"/>
    <w:rsid w:val="00374F57"/>
    <w:rsid w:val="00375287"/>
    <w:rsid w:val="00377A23"/>
    <w:rsid w:val="00380109"/>
    <w:rsid w:val="00380181"/>
    <w:rsid w:val="003811ED"/>
    <w:rsid w:val="003824ED"/>
    <w:rsid w:val="0038299F"/>
    <w:rsid w:val="00383B97"/>
    <w:rsid w:val="003842F5"/>
    <w:rsid w:val="003851D8"/>
    <w:rsid w:val="003925E1"/>
    <w:rsid w:val="00393C47"/>
    <w:rsid w:val="00394AD6"/>
    <w:rsid w:val="00394F3B"/>
    <w:rsid w:val="00397566"/>
    <w:rsid w:val="003A0359"/>
    <w:rsid w:val="003A0679"/>
    <w:rsid w:val="003A0892"/>
    <w:rsid w:val="003A160B"/>
    <w:rsid w:val="003A178D"/>
    <w:rsid w:val="003A2B8F"/>
    <w:rsid w:val="003A3DFC"/>
    <w:rsid w:val="003A4076"/>
    <w:rsid w:val="003A4B69"/>
    <w:rsid w:val="003A5289"/>
    <w:rsid w:val="003A6C0C"/>
    <w:rsid w:val="003B01B0"/>
    <w:rsid w:val="003B11E1"/>
    <w:rsid w:val="003B4118"/>
    <w:rsid w:val="003B5ADA"/>
    <w:rsid w:val="003B5CBD"/>
    <w:rsid w:val="003B661A"/>
    <w:rsid w:val="003B7A38"/>
    <w:rsid w:val="003C08D6"/>
    <w:rsid w:val="003C1B23"/>
    <w:rsid w:val="003C2E48"/>
    <w:rsid w:val="003C3497"/>
    <w:rsid w:val="003C55B0"/>
    <w:rsid w:val="003C6FE6"/>
    <w:rsid w:val="003D2567"/>
    <w:rsid w:val="003D26E9"/>
    <w:rsid w:val="003D344D"/>
    <w:rsid w:val="003D3C1E"/>
    <w:rsid w:val="003D5220"/>
    <w:rsid w:val="003D6552"/>
    <w:rsid w:val="003D72B1"/>
    <w:rsid w:val="003E03EB"/>
    <w:rsid w:val="003E29B5"/>
    <w:rsid w:val="003E42FB"/>
    <w:rsid w:val="003E4C71"/>
    <w:rsid w:val="003E6D16"/>
    <w:rsid w:val="003E712B"/>
    <w:rsid w:val="003E7156"/>
    <w:rsid w:val="003F030C"/>
    <w:rsid w:val="003F0374"/>
    <w:rsid w:val="003F1DA3"/>
    <w:rsid w:val="003F21DB"/>
    <w:rsid w:val="003F5CED"/>
    <w:rsid w:val="003F6D59"/>
    <w:rsid w:val="003F6E2A"/>
    <w:rsid w:val="00401009"/>
    <w:rsid w:val="0040383A"/>
    <w:rsid w:val="004056CA"/>
    <w:rsid w:val="00405BE0"/>
    <w:rsid w:val="00413F77"/>
    <w:rsid w:val="004159B9"/>
    <w:rsid w:val="004164A4"/>
    <w:rsid w:val="00417FA8"/>
    <w:rsid w:val="004219DE"/>
    <w:rsid w:val="0042224F"/>
    <w:rsid w:val="0042385D"/>
    <w:rsid w:val="00423FD6"/>
    <w:rsid w:val="00425DA3"/>
    <w:rsid w:val="00426A27"/>
    <w:rsid w:val="0042793A"/>
    <w:rsid w:val="00431FC0"/>
    <w:rsid w:val="00437783"/>
    <w:rsid w:val="00437FDF"/>
    <w:rsid w:val="00440A74"/>
    <w:rsid w:val="004421B1"/>
    <w:rsid w:val="00442535"/>
    <w:rsid w:val="00442C5E"/>
    <w:rsid w:val="00447808"/>
    <w:rsid w:val="004530A3"/>
    <w:rsid w:val="0045439A"/>
    <w:rsid w:val="00454984"/>
    <w:rsid w:val="00456589"/>
    <w:rsid w:val="00457F52"/>
    <w:rsid w:val="0046149F"/>
    <w:rsid w:val="004615C4"/>
    <w:rsid w:val="00464AB1"/>
    <w:rsid w:val="00464FA7"/>
    <w:rsid w:val="00480981"/>
    <w:rsid w:val="004822D0"/>
    <w:rsid w:val="004833D0"/>
    <w:rsid w:val="0048440D"/>
    <w:rsid w:val="004853F4"/>
    <w:rsid w:val="00485CF0"/>
    <w:rsid w:val="00486FFA"/>
    <w:rsid w:val="00487846"/>
    <w:rsid w:val="004879B8"/>
    <w:rsid w:val="00491729"/>
    <w:rsid w:val="00492342"/>
    <w:rsid w:val="00496153"/>
    <w:rsid w:val="00496968"/>
    <w:rsid w:val="00496D18"/>
    <w:rsid w:val="00496F82"/>
    <w:rsid w:val="004A077D"/>
    <w:rsid w:val="004A0C24"/>
    <w:rsid w:val="004A283B"/>
    <w:rsid w:val="004A60F5"/>
    <w:rsid w:val="004A7F8C"/>
    <w:rsid w:val="004B1A30"/>
    <w:rsid w:val="004B20EA"/>
    <w:rsid w:val="004B2190"/>
    <w:rsid w:val="004B3384"/>
    <w:rsid w:val="004B4585"/>
    <w:rsid w:val="004B5984"/>
    <w:rsid w:val="004B6666"/>
    <w:rsid w:val="004B733A"/>
    <w:rsid w:val="004C0266"/>
    <w:rsid w:val="004C0AA0"/>
    <w:rsid w:val="004C2513"/>
    <w:rsid w:val="004C4520"/>
    <w:rsid w:val="004C7F56"/>
    <w:rsid w:val="004D03D1"/>
    <w:rsid w:val="004D062C"/>
    <w:rsid w:val="004D1926"/>
    <w:rsid w:val="004D1C83"/>
    <w:rsid w:val="004D3967"/>
    <w:rsid w:val="004D7640"/>
    <w:rsid w:val="004E188F"/>
    <w:rsid w:val="004E262D"/>
    <w:rsid w:val="004E4752"/>
    <w:rsid w:val="004E4DBE"/>
    <w:rsid w:val="004F266F"/>
    <w:rsid w:val="004F2CC0"/>
    <w:rsid w:val="004F4349"/>
    <w:rsid w:val="004F49B7"/>
    <w:rsid w:val="004F59EF"/>
    <w:rsid w:val="004F6F85"/>
    <w:rsid w:val="004F73C0"/>
    <w:rsid w:val="00502357"/>
    <w:rsid w:val="0050241F"/>
    <w:rsid w:val="00504E4E"/>
    <w:rsid w:val="00505A64"/>
    <w:rsid w:val="00505B2A"/>
    <w:rsid w:val="00506A64"/>
    <w:rsid w:val="00507B5D"/>
    <w:rsid w:val="00510753"/>
    <w:rsid w:val="00511706"/>
    <w:rsid w:val="00511FD3"/>
    <w:rsid w:val="00516491"/>
    <w:rsid w:val="00516BA4"/>
    <w:rsid w:val="0052115E"/>
    <w:rsid w:val="0052642A"/>
    <w:rsid w:val="00526BB6"/>
    <w:rsid w:val="00527189"/>
    <w:rsid w:val="00531462"/>
    <w:rsid w:val="0053292B"/>
    <w:rsid w:val="005358F2"/>
    <w:rsid w:val="005361E0"/>
    <w:rsid w:val="00540B5B"/>
    <w:rsid w:val="00540EA4"/>
    <w:rsid w:val="0054347C"/>
    <w:rsid w:val="005443B6"/>
    <w:rsid w:val="0054464E"/>
    <w:rsid w:val="00545767"/>
    <w:rsid w:val="00545CCB"/>
    <w:rsid w:val="00550C74"/>
    <w:rsid w:val="00551B14"/>
    <w:rsid w:val="00553059"/>
    <w:rsid w:val="0055428A"/>
    <w:rsid w:val="00554504"/>
    <w:rsid w:val="00555409"/>
    <w:rsid w:val="00557DC1"/>
    <w:rsid w:val="00557DDF"/>
    <w:rsid w:val="005615A6"/>
    <w:rsid w:val="005619F0"/>
    <w:rsid w:val="0056283C"/>
    <w:rsid w:val="00562B0B"/>
    <w:rsid w:val="0057070E"/>
    <w:rsid w:val="005711D2"/>
    <w:rsid w:val="005711DB"/>
    <w:rsid w:val="00572469"/>
    <w:rsid w:val="005741A1"/>
    <w:rsid w:val="005757D0"/>
    <w:rsid w:val="00575E3B"/>
    <w:rsid w:val="0057654B"/>
    <w:rsid w:val="00577051"/>
    <w:rsid w:val="00580547"/>
    <w:rsid w:val="00580685"/>
    <w:rsid w:val="00582CAA"/>
    <w:rsid w:val="005832B7"/>
    <w:rsid w:val="00584F39"/>
    <w:rsid w:val="00587441"/>
    <w:rsid w:val="00591444"/>
    <w:rsid w:val="00592C13"/>
    <w:rsid w:val="00595CC0"/>
    <w:rsid w:val="00596923"/>
    <w:rsid w:val="005A08D2"/>
    <w:rsid w:val="005A16D3"/>
    <w:rsid w:val="005A1F58"/>
    <w:rsid w:val="005A23F9"/>
    <w:rsid w:val="005A4024"/>
    <w:rsid w:val="005A4674"/>
    <w:rsid w:val="005A49CD"/>
    <w:rsid w:val="005A7A56"/>
    <w:rsid w:val="005B1C1D"/>
    <w:rsid w:val="005B3B56"/>
    <w:rsid w:val="005B50A0"/>
    <w:rsid w:val="005B50E2"/>
    <w:rsid w:val="005B6290"/>
    <w:rsid w:val="005C0D70"/>
    <w:rsid w:val="005C0E9E"/>
    <w:rsid w:val="005C176A"/>
    <w:rsid w:val="005D3102"/>
    <w:rsid w:val="005D4766"/>
    <w:rsid w:val="005D47B4"/>
    <w:rsid w:val="005D7629"/>
    <w:rsid w:val="005E1849"/>
    <w:rsid w:val="005E4CD6"/>
    <w:rsid w:val="005E5F55"/>
    <w:rsid w:val="005E60FC"/>
    <w:rsid w:val="005E7225"/>
    <w:rsid w:val="005F4525"/>
    <w:rsid w:val="00600EB1"/>
    <w:rsid w:val="00604747"/>
    <w:rsid w:val="00607A98"/>
    <w:rsid w:val="00612EC2"/>
    <w:rsid w:val="0061410A"/>
    <w:rsid w:val="00614381"/>
    <w:rsid w:val="00614425"/>
    <w:rsid w:val="006147BF"/>
    <w:rsid w:val="00614B03"/>
    <w:rsid w:val="00614F52"/>
    <w:rsid w:val="00617387"/>
    <w:rsid w:val="00620ECB"/>
    <w:rsid w:val="0062173F"/>
    <w:rsid w:val="00623DD3"/>
    <w:rsid w:val="0062681E"/>
    <w:rsid w:val="006272FC"/>
    <w:rsid w:val="00631501"/>
    <w:rsid w:val="00632267"/>
    <w:rsid w:val="00637699"/>
    <w:rsid w:val="00637709"/>
    <w:rsid w:val="00637799"/>
    <w:rsid w:val="00637A6F"/>
    <w:rsid w:val="0064095D"/>
    <w:rsid w:val="006417DB"/>
    <w:rsid w:val="006448D5"/>
    <w:rsid w:val="00644BD4"/>
    <w:rsid w:val="00645064"/>
    <w:rsid w:val="00646252"/>
    <w:rsid w:val="00647F73"/>
    <w:rsid w:val="00652750"/>
    <w:rsid w:val="006530ED"/>
    <w:rsid w:val="006543FD"/>
    <w:rsid w:val="006549E5"/>
    <w:rsid w:val="0065515A"/>
    <w:rsid w:val="00655977"/>
    <w:rsid w:val="006563FC"/>
    <w:rsid w:val="00665078"/>
    <w:rsid w:val="00665CA5"/>
    <w:rsid w:val="00666338"/>
    <w:rsid w:val="00667BA6"/>
    <w:rsid w:val="00667E33"/>
    <w:rsid w:val="00672851"/>
    <w:rsid w:val="00674DF4"/>
    <w:rsid w:val="00675812"/>
    <w:rsid w:val="006766E6"/>
    <w:rsid w:val="006771C2"/>
    <w:rsid w:val="0067783E"/>
    <w:rsid w:val="00680258"/>
    <w:rsid w:val="006810FB"/>
    <w:rsid w:val="006812A5"/>
    <w:rsid w:val="006815A7"/>
    <w:rsid w:val="00682CD8"/>
    <w:rsid w:val="00682FB6"/>
    <w:rsid w:val="00684F51"/>
    <w:rsid w:val="0068506B"/>
    <w:rsid w:val="00685B9F"/>
    <w:rsid w:val="00685C5E"/>
    <w:rsid w:val="00686654"/>
    <w:rsid w:val="00690788"/>
    <w:rsid w:val="0069090C"/>
    <w:rsid w:val="00691142"/>
    <w:rsid w:val="006918EF"/>
    <w:rsid w:val="00691EE6"/>
    <w:rsid w:val="006935C9"/>
    <w:rsid w:val="006935D2"/>
    <w:rsid w:val="0069391C"/>
    <w:rsid w:val="00694796"/>
    <w:rsid w:val="0069488D"/>
    <w:rsid w:val="00695F61"/>
    <w:rsid w:val="0069739E"/>
    <w:rsid w:val="00697824"/>
    <w:rsid w:val="00697C27"/>
    <w:rsid w:val="006A0236"/>
    <w:rsid w:val="006A1B46"/>
    <w:rsid w:val="006A1D20"/>
    <w:rsid w:val="006A33EE"/>
    <w:rsid w:val="006A588C"/>
    <w:rsid w:val="006C48C0"/>
    <w:rsid w:val="006C678F"/>
    <w:rsid w:val="006C682C"/>
    <w:rsid w:val="006C7570"/>
    <w:rsid w:val="006D35D8"/>
    <w:rsid w:val="006D3A91"/>
    <w:rsid w:val="006D516E"/>
    <w:rsid w:val="006D689B"/>
    <w:rsid w:val="006D68C9"/>
    <w:rsid w:val="006D71A7"/>
    <w:rsid w:val="006E0737"/>
    <w:rsid w:val="006E24D7"/>
    <w:rsid w:val="006E5559"/>
    <w:rsid w:val="006E5C22"/>
    <w:rsid w:val="006E6609"/>
    <w:rsid w:val="006E660A"/>
    <w:rsid w:val="006E675D"/>
    <w:rsid w:val="006E799F"/>
    <w:rsid w:val="006F097B"/>
    <w:rsid w:val="006F10F1"/>
    <w:rsid w:val="006F41C7"/>
    <w:rsid w:val="006F5155"/>
    <w:rsid w:val="00702015"/>
    <w:rsid w:val="00703B03"/>
    <w:rsid w:val="00704EE8"/>
    <w:rsid w:val="00705C37"/>
    <w:rsid w:val="00707DF7"/>
    <w:rsid w:val="00710F7D"/>
    <w:rsid w:val="007110FC"/>
    <w:rsid w:val="00713CCD"/>
    <w:rsid w:val="00715BDA"/>
    <w:rsid w:val="0071620B"/>
    <w:rsid w:val="007200C1"/>
    <w:rsid w:val="0072150B"/>
    <w:rsid w:val="00723E1F"/>
    <w:rsid w:val="00724834"/>
    <w:rsid w:val="007254E8"/>
    <w:rsid w:val="00725BAF"/>
    <w:rsid w:val="0072620F"/>
    <w:rsid w:val="00726CEC"/>
    <w:rsid w:val="0072781E"/>
    <w:rsid w:val="00730F15"/>
    <w:rsid w:val="007310CC"/>
    <w:rsid w:val="00731F9B"/>
    <w:rsid w:val="007335ED"/>
    <w:rsid w:val="00735DB1"/>
    <w:rsid w:val="007369EF"/>
    <w:rsid w:val="00740DAD"/>
    <w:rsid w:val="007417B7"/>
    <w:rsid w:val="00745400"/>
    <w:rsid w:val="00745947"/>
    <w:rsid w:val="007507BB"/>
    <w:rsid w:val="00751081"/>
    <w:rsid w:val="00754C6D"/>
    <w:rsid w:val="0075661B"/>
    <w:rsid w:val="00756A43"/>
    <w:rsid w:val="0076019A"/>
    <w:rsid w:val="00760728"/>
    <w:rsid w:val="007640F8"/>
    <w:rsid w:val="007641B4"/>
    <w:rsid w:val="007659FB"/>
    <w:rsid w:val="00765C28"/>
    <w:rsid w:val="007661A1"/>
    <w:rsid w:val="00766650"/>
    <w:rsid w:val="00770239"/>
    <w:rsid w:val="00771462"/>
    <w:rsid w:val="007715D8"/>
    <w:rsid w:val="007747E5"/>
    <w:rsid w:val="007818DA"/>
    <w:rsid w:val="00781B3B"/>
    <w:rsid w:val="007845C2"/>
    <w:rsid w:val="00784798"/>
    <w:rsid w:val="00785250"/>
    <w:rsid w:val="00785BAF"/>
    <w:rsid w:val="007875F8"/>
    <w:rsid w:val="00787D50"/>
    <w:rsid w:val="007900AB"/>
    <w:rsid w:val="00790925"/>
    <w:rsid w:val="00791FF7"/>
    <w:rsid w:val="00794BCD"/>
    <w:rsid w:val="0079655E"/>
    <w:rsid w:val="00797802"/>
    <w:rsid w:val="00797AE0"/>
    <w:rsid w:val="007A2B14"/>
    <w:rsid w:val="007A42EA"/>
    <w:rsid w:val="007A596B"/>
    <w:rsid w:val="007A6011"/>
    <w:rsid w:val="007A753A"/>
    <w:rsid w:val="007A7D7B"/>
    <w:rsid w:val="007B0D76"/>
    <w:rsid w:val="007B10A3"/>
    <w:rsid w:val="007B1D0E"/>
    <w:rsid w:val="007B45B3"/>
    <w:rsid w:val="007B576C"/>
    <w:rsid w:val="007B69B1"/>
    <w:rsid w:val="007B6BF1"/>
    <w:rsid w:val="007B7C9C"/>
    <w:rsid w:val="007C0C55"/>
    <w:rsid w:val="007C1276"/>
    <w:rsid w:val="007C2E7B"/>
    <w:rsid w:val="007D0457"/>
    <w:rsid w:val="007D0C4C"/>
    <w:rsid w:val="007D2665"/>
    <w:rsid w:val="007D394B"/>
    <w:rsid w:val="007E28F2"/>
    <w:rsid w:val="007E4B26"/>
    <w:rsid w:val="007E6240"/>
    <w:rsid w:val="007F034A"/>
    <w:rsid w:val="007F2BB0"/>
    <w:rsid w:val="007F3794"/>
    <w:rsid w:val="007F4B58"/>
    <w:rsid w:val="007F55FC"/>
    <w:rsid w:val="007F573D"/>
    <w:rsid w:val="007F5B72"/>
    <w:rsid w:val="007F65A0"/>
    <w:rsid w:val="007F739F"/>
    <w:rsid w:val="007F7B46"/>
    <w:rsid w:val="008001FE"/>
    <w:rsid w:val="00800813"/>
    <w:rsid w:val="00800A76"/>
    <w:rsid w:val="00805D80"/>
    <w:rsid w:val="00810AF4"/>
    <w:rsid w:val="00811265"/>
    <w:rsid w:val="00812BC1"/>
    <w:rsid w:val="008159D1"/>
    <w:rsid w:val="00816019"/>
    <w:rsid w:val="00816ED5"/>
    <w:rsid w:val="008263FA"/>
    <w:rsid w:val="008265E1"/>
    <w:rsid w:val="00826981"/>
    <w:rsid w:val="008277DE"/>
    <w:rsid w:val="00827E4D"/>
    <w:rsid w:val="008306E5"/>
    <w:rsid w:val="008321DF"/>
    <w:rsid w:val="0083377D"/>
    <w:rsid w:val="00834F48"/>
    <w:rsid w:val="00835FFE"/>
    <w:rsid w:val="00836F6C"/>
    <w:rsid w:val="0083758F"/>
    <w:rsid w:val="00841589"/>
    <w:rsid w:val="00841F2A"/>
    <w:rsid w:val="00845CB0"/>
    <w:rsid w:val="008470D4"/>
    <w:rsid w:val="00851637"/>
    <w:rsid w:val="008526F9"/>
    <w:rsid w:val="00857C32"/>
    <w:rsid w:val="00860AFE"/>
    <w:rsid w:val="00861FEC"/>
    <w:rsid w:val="0086274E"/>
    <w:rsid w:val="0086284B"/>
    <w:rsid w:val="00866256"/>
    <w:rsid w:val="00866927"/>
    <w:rsid w:val="00867056"/>
    <w:rsid w:val="008674CD"/>
    <w:rsid w:val="00872EA4"/>
    <w:rsid w:val="00873FC6"/>
    <w:rsid w:val="008748FE"/>
    <w:rsid w:val="00874C07"/>
    <w:rsid w:val="008766A4"/>
    <w:rsid w:val="00877262"/>
    <w:rsid w:val="008775AB"/>
    <w:rsid w:val="0088118F"/>
    <w:rsid w:val="008814C8"/>
    <w:rsid w:val="00882080"/>
    <w:rsid w:val="00883526"/>
    <w:rsid w:val="00884699"/>
    <w:rsid w:val="00885440"/>
    <w:rsid w:val="00886346"/>
    <w:rsid w:val="008910D3"/>
    <w:rsid w:val="00894FC9"/>
    <w:rsid w:val="00895870"/>
    <w:rsid w:val="00897078"/>
    <w:rsid w:val="008978A7"/>
    <w:rsid w:val="008A0094"/>
    <w:rsid w:val="008A1D74"/>
    <w:rsid w:val="008A23B7"/>
    <w:rsid w:val="008A2730"/>
    <w:rsid w:val="008A3DC2"/>
    <w:rsid w:val="008A58DB"/>
    <w:rsid w:val="008A672D"/>
    <w:rsid w:val="008A7A28"/>
    <w:rsid w:val="008A7D25"/>
    <w:rsid w:val="008B0114"/>
    <w:rsid w:val="008B2B7A"/>
    <w:rsid w:val="008B5326"/>
    <w:rsid w:val="008B6A1C"/>
    <w:rsid w:val="008C122B"/>
    <w:rsid w:val="008C2397"/>
    <w:rsid w:val="008C2B7D"/>
    <w:rsid w:val="008C2FD5"/>
    <w:rsid w:val="008C3526"/>
    <w:rsid w:val="008C6095"/>
    <w:rsid w:val="008C6FA8"/>
    <w:rsid w:val="008C7AB3"/>
    <w:rsid w:val="008D0865"/>
    <w:rsid w:val="008D2D84"/>
    <w:rsid w:val="008D3F86"/>
    <w:rsid w:val="008D43DE"/>
    <w:rsid w:val="008D49D4"/>
    <w:rsid w:val="008E0D4D"/>
    <w:rsid w:val="008E28E3"/>
    <w:rsid w:val="008E37D4"/>
    <w:rsid w:val="008E39D8"/>
    <w:rsid w:val="008E4033"/>
    <w:rsid w:val="008E5016"/>
    <w:rsid w:val="008E53FA"/>
    <w:rsid w:val="008E5D99"/>
    <w:rsid w:val="008E7019"/>
    <w:rsid w:val="008E770A"/>
    <w:rsid w:val="008F0F12"/>
    <w:rsid w:val="008F4551"/>
    <w:rsid w:val="008F5817"/>
    <w:rsid w:val="009008BD"/>
    <w:rsid w:val="00902258"/>
    <w:rsid w:val="0090264D"/>
    <w:rsid w:val="009028A9"/>
    <w:rsid w:val="00903C21"/>
    <w:rsid w:val="00903DF5"/>
    <w:rsid w:val="00904A6F"/>
    <w:rsid w:val="00910CE2"/>
    <w:rsid w:val="00911DDE"/>
    <w:rsid w:val="0091247B"/>
    <w:rsid w:val="00914B7D"/>
    <w:rsid w:val="00917847"/>
    <w:rsid w:val="00922394"/>
    <w:rsid w:val="00923EF0"/>
    <w:rsid w:val="00924204"/>
    <w:rsid w:val="009262B3"/>
    <w:rsid w:val="00930EF4"/>
    <w:rsid w:val="00932213"/>
    <w:rsid w:val="00932473"/>
    <w:rsid w:val="00932552"/>
    <w:rsid w:val="00933910"/>
    <w:rsid w:val="00936705"/>
    <w:rsid w:val="00936ACF"/>
    <w:rsid w:val="00942306"/>
    <w:rsid w:val="0094402A"/>
    <w:rsid w:val="009443AB"/>
    <w:rsid w:val="0094589E"/>
    <w:rsid w:val="009464C9"/>
    <w:rsid w:val="009469F7"/>
    <w:rsid w:val="009546B7"/>
    <w:rsid w:val="0095570C"/>
    <w:rsid w:val="00955B65"/>
    <w:rsid w:val="009573F2"/>
    <w:rsid w:val="009619D5"/>
    <w:rsid w:val="00961D42"/>
    <w:rsid w:val="00961F27"/>
    <w:rsid w:val="00962707"/>
    <w:rsid w:val="00971D0A"/>
    <w:rsid w:val="009721A1"/>
    <w:rsid w:val="00973294"/>
    <w:rsid w:val="0097380B"/>
    <w:rsid w:val="00974CD2"/>
    <w:rsid w:val="00976974"/>
    <w:rsid w:val="00976AE9"/>
    <w:rsid w:val="0097776D"/>
    <w:rsid w:val="009779BD"/>
    <w:rsid w:val="00980015"/>
    <w:rsid w:val="00980196"/>
    <w:rsid w:val="0098078D"/>
    <w:rsid w:val="009809A2"/>
    <w:rsid w:val="00981CB0"/>
    <w:rsid w:val="00981D10"/>
    <w:rsid w:val="00985F19"/>
    <w:rsid w:val="0098711B"/>
    <w:rsid w:val="0098752B"/>
    <w:rsid w:val="00987938"/>
    <w:rsid w:val="00987E7C"/>
    <w:rsid w:val="00990972"/>
    <w:rsid w:val="00990C1C"/>
    <w:rsid w:val="0099218C"/>
    <w:rsid w:val="00992BDA"/>
    <w:rsid w:val="009939D9"/>
    <w:rsid w:val="00997ADD"/>
    <w:rsid w:val="00997D89"/>
    <w:rsid w:val="009A0096"/>
    <w:rsid w:val="009A2788"/>
    <w:rsid w:val="009A5856"/>
    <w:rsid w:val="009B4374"/>
    <w:rsid w:val="009B45A8"/>
    <w:rsid w:val="009C390F"/>
    <w:rsid w:val="009C5C92"/>
    <w:rsid w:val="009D3298"/>
    <w:rsid w:val="009D3653"/>
    <w:rsid w:val="009E2C89"/>
    <w:rsid w:val="009E3B69"/>
    <w:rsid w:val="009E49FB"/>
    <w:rsid w:val="009E52E9"/>
    <w:rsid w:val="009E5FB2"/>
    <w:rsid w:val="009F2302"/>
    <w:rsid w:val="009F511C"/>
    <w:rsid w:val="009F630D"/>
    <w:rsid w:val="009F715F"/>
    <w:rsid w:val="009F77B4"/>
    <w:rsid w:val="00A01D01"/>
    <w:rsid w:val="00A0311F"/>
    <w:rsid w:val="00A053CA"/>
    <w:rsid w:val="00A06C93"/>
    <w:rsid w:val="00A06E6E"/>
    <w:rsid w:val="00A10670"/>
    <w:rsid w:val="00A152DD"/>
    <w:rsid w:val="00A1558F"/>
    <w:rsid w:val="00A156DD"/>
    <w:rsid w:val="00A2167C"/>
    <w:rsid w:val="00A22608"/>
    <w:rsid w:val="00A22FA6"/>
    <w:rsid w:val="00A26097"/>
    <w:rsid w:val="00A26B5C"/>
    <w:rsid w:val="00A26EB0"/>
    <w:rsid w:val="00A27ABF"/>
    <w:rsid w:val="00A301E5"/>
    <w:rsid w:val="00A303F1"/>
    <w:rsid w:val="00A32098"/>
    <w:rsid w:val="00A3280B"/>
    <w:rsid w:val="00A33F1B"/>
    <w:rsid w:val="00A33F53"/>
    <w:rsid w:val="00A34727"/>
    <w:rsid w:val="00A348C5"/>
    <w:rsid w:val="00A3632A"/>
    <w:rsid w:val="00A40480"/>
    <w:rsid w:val="00A4169C"/>
    <w:rsid w:val="00A44F6F"/>
    <w:rsid w:val="00A452D0"/>
    <w:rsid w:val="00A468D4"/>
    <w:rsid w:val="00A46B76"/>
    <w:rsid w:val="00A52440"/>
    <w:rsid w:val="00A53549"/>
    <w:rsid w:val="00A535EE"/>
    <w:rsid w:val="00A553D2"/>
    <w:rsid w:val="00A55E65"/>
    <w:rsid w:val="00A61567"/>
    <w:rsid w:val="00A6176B"/>
    <w:rsid w:val="00A62FCB"/>
    <w:rsid w:val="00A62FFB"/>
    <w:rsid w:val="00A639E7"/>
    <w:rsid w:val="00A64308"/>
    <w:rsid w:val="00A643B0"/>
    <w:rsid w:val="00A64C98"/>
    <w:rsid w:val="00A703AF"/>
    <w:rsid w:val="00A71BD7"/>
    <w:rsid w:val="00A727D2"/>
    <w:rsid w:val="00A729AC"/>
    <w:rsid w:val="00A74112"/>
    <w:rsid w:val="00A7490C"/>
    <w:rsid w:val="00A75901"/>
    <w:rsid w:val="00A77203"/>
    <w:rsid w:val="00A77603"/>
    <w:rsid w:val="00A77D3F"/>
    <w:rsid w:val="00A81594"/>
    <w:rsid w:val="00A815DD"/>
    <w:rsid w:val="00A83C7A"/>
    <w:rsid w:val="00A84163"/>
    <w:rsid w:val="00A85446"/>
    <w:rsid w:val="00A85638"/>
    <w:rsid w:val="00A877A6"/>
    <w:rsid w:val="00A925C7"/>
    <w:rsid w:val="00A94FB6"/>
    <w:rsid w:val="00A9521E"/>
    <w:rsid w:val="00A9765D"/>
    <w:rsid w:val="00AA27FE"/>
    <w:rsid w:val="00AA2BA1"/>
    <w:rsid w:val="00AA2F58"/>
    <w:rsid w:val="00AA577E"/>
    <w:rsid w:val="00AA7AEF"/>
    <w:rsid w:val="00AB01DA"/>
    <w:rsid w:val="00AB19D4"/>
    <w:rsid w:val="00AB3AD7"/>
    <w:rsid w:val="00AB493B"/>
    <w:rsid w:val="00AB622C"/>
    <w:rsid w:val="00AB63B0"/>
    <w:rsid w:val="00AB780E"/>
    <w:rsid w:val="00AC0EB7"/>
    <w:rsid w:val="00AC1AF3"/>
    <w:rsid w:val="00AC47B2"/>
    <w:rsid w:val="00AC51E9"/>
    <w:rsid w:val="00AC7FB4"/>
    <w:rsid w:val="00AD0F01"/>
    <w:rsid w:val="00AD100E"/>
    <w:rsid w:val="00AD10FA"/>
    <w:rsid w:val="00AD704A"/>
    <w:rsid w:val="00AD77CB"/>
    <w:rsid w:val="00AE7034"/>
    <w:rsid w:val="00AF11DD"/>
    <w:rsid w:val="00AF18D0"/>
    <w:rsid w:val="00AF2FD7"/>
    <w:rsid w:val="00AF3097"/>
    <w:rsid w:val="00AF3A28"/>
    <w:rsid w:val="00B00794"/>
    <w:rsid w:val="00B020FE"/>
    <w:rsid w:val="00B02C0E"/>
    <w:rsid w:val="00B03B53"/>
    <w:rsid w:val="00B03EB1"/>
    <w:rsid w:val="00B040E4"/>
    <w:rsid w:val="00B0533C"/>
    <w:rsid w:val="00B07F00"/>
    <w:rsid w:val="00B105F8"/>
    <w:rsid w:val="00B10C6D"/>
    <w:rsid w:val="00B119E9"/>
    <w:rsid w:val="00B11EAE"/>
    <w:rsid w:val="00B13853"/>
    <w:rsid w:val="00B139A3"/>
    <w:rsid w:val="00B15A95"/>
    <w:rsid w:val="00B1758B"/>
    <w:rsid w:val="00B2347A"/>
    <w:rsid w:val="00B253D9"/>
    <w:rsid w:val="00B26FC2"/>
    <w:rsid w:val="00B27B65"/>
    <w:rsid w:val="00B30A62"/>
    <w:rsid w:val="00B3445B"/>
    <w:rsid w:val="00B365EF"/>
    <w:rsid w:val="00B45191"/>
    <w:rsid w:val="00B4675E"/>
    <w:rsid w:val="00B47190"/>
    <w:rsid w:val="00B47988"/>
    <w:rsid w:val="00B50BBD"/>
    <w:rsid w:val="00B51180"/>
    <w:rsid w:val="00B51861"/>
    <w:rsid w:val="00B51D3C"/>
    <w:rsid w:val="00B52044"/>
    <w:rsid w:val="00B52722"/>
    <w:rsid w:val="00B52DC9"/>
    <w:rsid w:val="00B5680B"/>
    <w:rsid w:val="00B63B69"/>
    <w:rsid w:val="00B65157"/>
    <w:rsid w:val="00B66D2C"/>
    <w:rsid w:val="00B67531"/>
    <w:rsid w:val="00B67BE1"/>
    <w:rsid w:val="00B70E3E"/>
    <w:rsid w:val="00B71FF6"/>
    <w:rsid w:val="00B72363"/>
    <w:rsid w:val="00B7306A"/>
    <w:rsid w:val="00B731FC"/>
    <w:rsid w:val="00B746C6"/>
    <w:rsid w:val="00B755EF"/>
    <w:rsid w:val="00B777AD"/>
    <w:rsid w:val="00B777DB"/>
    <w:rsid w:val="00B77E3C"/>
    <w:rsid w:val="00B80B1A"/>
    <w:rsid w:val="00B810A1"/>
    <w:rsid w:val="00B827A9"/>
    <w:rsid w:val="00B82FB4"/>
    <w:rsid w:val="00B83F33"/>
    <w:rsid w:val="00B86763"/>
    <w:rsid w:val="00B91D51"/>
    <w:rsid w:val="00B9300A"/>
    <w:rsid w:val="00B93E96"/>
    <w:rsid w:val="00B94A1B"/>
    <w:rsid w:val="00B94D6B"/>
    <w:rsid w:val="00B955B1"/>
    <w:rsid w:val="00B97B4D"/>
    <w:rsid w:val="00BA0039"/>
    <w:rsid w:val="00BA0BBA"/>
    <w:rsid w:val="00BA1377"/>
    <w:rsid w:val="00BA182F"/>
    <w:rsid w:val="00BA20A3"/>
    <w:rsid w:val="00BA3B3C"/>
    <w:rsid w:val="00BA5096"/>
    <w:rsid w:val="00BA512B"/>
    <w:rsid w:val="00BA6766"/>
    <w:rsid w:val="00BB0B6A"/>
    <w:rsid w:val="00BB0FB7"/>
    <w:rsid w:val="00BB6BB9"/>
    <w:rsid w:val="00BB7878"/>
    <w:rsid w:val="00BC0392"/>
    <w:rsid w:val="00BC21A9"/>
    <w:rsid w:val="00BC2868"/>
    <w:rsid w:val="00BC2E45"/>
    <w:rsid w:val="00BC558F"/>
    <w:rsid w:val="00BD0A9E"/>
    <w:rsid w:val="00BD1F20"/>
    <w:rsid w:val="00BD249A"/>
    <w:rsid w:val="00BD39A9"/>
    <w:rsid w:val="00BD4FE9"/>
    <w:rsid w:val="00BD5395"/>
    <w:rsid w:val="00BD55E1"/>
    <w:rsid w:val="00BD58D8"/>
    <w:rsid w:val="00BD5EB9"/>
    <w:rsid w:val="00BD613F"/>
    <w:rsid w:val="00BD68F7"/>
    <w:rsid w:val="00BD7570"/>
    <w:rsid w:val="00BD79CD"/>
    <w:rsid w:val="00BE0228"/>
    <w:rsid w:val="00BE06A6"/>
    <w:rsid w:val="00BE0A99"/>
    <w:rsid w:val="00BE19DE"/>
    <w:rsid w:val="00BE355F"/>
    <w:rsid w:val="00BE4E35"/>
    <w:rsid w:val="00BE609D"/>
    <w:rsid w:val="00BE6351"/>
    <w:rsid w:val="00BF0D36"/>
    <w:rsid w:val="00BF169A"/>
    <w:rsid w:val="00BF24CD"/>
    <w:rsid w:val="00BF28DC"/>
    <w:rsid w:val="00BF2DA7"/>
    <w:rsid w:val="00C0181D"/>
    <w:rsid w:val="00C01A3E"/>
    <w:rsid w:val="00C0342E"/>
    <w:rsid w:val="00C047FB"/>
    <w:rsid w:val="00C052CB"/>
    <w:rsid w:val="00C072AD"/>
    <w:rsid w:val="00C073D2"/>
    <w:rsid w:val="00C1188D"/>
    <w:rsid w:val="00C12009"/>
    <w:rsid w:val="00C13AB0"/>
    <w:rsid w:val="00C14973"/>
    <w:rsid w:val="00C2114D"/>
    <w:rsid w:val="00C21716"/>
    <w:rsid w:val="00C219E0"/>
    <w:rsid w:val="00C22B56"/>
    <w:rsid w:val="00C239A4"/>
    <w:rsid w:val="00C24BB3"/>
    <w:rsid w:val="00C257BF"/>
    <w:rsid w:val="00C270DE"/>
    <w:rsid w:val="00C27CAF"/>
    <w:rsid w:val="00C305C0"/>
    <w:rsid w:val="00C30A70"/>
    <w:rsid w:val="00C32785"/>
    <w:rsid w:val="00C32FD5"/>
    <w:rsid w:val="00C35FBD"/>
    <w:rsid w:val="00C36395"/>
    <w:rsid w:val="00C40636"/>
    <w:rsid w:val="00C42D7E"/>
    <w:rsid w:val="00C45281"/>
    <w:rsid w:val="00C46989"/>
    <w:rsid w:val="00C506E2"/>
    <w:rsid w:val="00C515A4"/>
    <w:rsid w:val="00C532E3"/>
    <w:rsid w:val="00C53CE5"/>
    <w:rsid w:val="00C544EA"/>
    <w:rsid w:val="00C55957"/>
    <w:rsid w:val="00C55B17"/>
    <w:rsid w:val="00C5778A"/>
    <w:rsid w:val="00C607D3"/>
    <w:rsid w:val="00C608EE"/>
    <w:rsid w:val="00C62B89"/>
    <w:rsid w:val="00C633CF"/>
    <w:rsid w:val="00C64801"/>
    <w:rsid w:val="00C66721"/>
    <w:rsid w:val="00C6714E"/>
    <w:rsid w:val="00C6792F"/>
    <w:rsid w:val="00C70A2B"/>
    <w:rsid w:val="00C7517B"/>
    <w:rsid w:val="00C75813"/>
    <w:rsid w:val="00C76F0B"/>
    <w:rsid w:val="00C8076D"/>
    <w:rsid w:val="00C81245"/>
    <w:rsid w:val="00C81262"/>
    <w:rsid w:val="00C81826"/>
    <w:rsid w:val="00C82E95"/>
    <w:rsid w:val="00C90572"/>
    <w:rsid w:val="00C91AC2"/>
    <w:rsid w:val="00C91E7A"/>
    <w:rsid w:val="00C91FF0"/>
    <w:rsid w:val="00C92CC5"/>
    <w:rsid w:val="00C93F65"/>
    <w:rsid w:val="00C96775"/>
    <w:rsid w:val="00CA005C"/>
    <w:rsid w:val="00CA00D6"/>
    <w:rsid w:val="00CA13FA"/>
    <w:rsid w:val="00CA1CAD"/>
    <w:rsid w:val="00CA637C"/>
    <w:rsid w:val="00CB080F"/>
    <w:rsid w:val="00CB099D"/>
    <w:rsid w:val="00CB0AB0"/>
    <w:rsid w:val="00CB0F90"/>
    <w:rsid w:val="00CB3BC1"/>
    <w:rsid w:val="00CB7295"/>
    <w:rsid w:val="00CC2BEB"/>
    <w:rsid w:val="00CC2E81"/>
    <w:rsid w:val="00CC32E5"/>
    <w:rsid w:val="00CC475C"/>
    <w:rsid w:val="00CC5AAC"/>
    <w:rsid w:val="00CC5B9A"/>
    <w:rsid w:val="00CC6885"/>
    <w:rsid w:val="00CC7400"/>
    <w:rsid w:val="00CD0B2D"/>
    <w:rsid w:val="00CD3499"/>
    <w:rsid w:val="00CD5009"/>
    <w:rsid w:val="00CD529A"/>
    <w:rsid w:val="00CD5533"/>
    <w:rsid w:val="00CD6688"/>
    <w:rsid w:val="00CD7B7A"/>
    <w:rsid w:val="00CE4FE7"/>
    <w:rsid w:val="00CE5D7D"/>
    <w:rsid w:val="00CE60C5"/>
    <w:rsid w:val="00CE6360"/>
    <w:rsid w:val="00CE63CB"/>
    <w:rsid w:val="00CE6413"/>
    <w:rsid w:val="00CF0C3A"/>
    <w:rsid w:val="00CF1BB0"/>
    <w:rsid w:val="00CF1D38"/>
    <w:rsid w:val="00CF2FA6"/>
    <w:rsid w:val="00CF689E"/>
    <w:rsid w:val="00CF7858"/>
    <w:rsid w:val="00D00E7A"/>
    <w:rsid w:val="00D014E8"/>
    <w:rsid w:val="00D049D0"/>
    <w:rsid w:val="00D05733"/>
    <w:rsid w:val="00D079BC"/>
    <w:rsid w:val="00D101C5"/>
    <w:rsid w:val="00D1047F"/>
    <w:rsid w:val="00D10D0D"/>
    <w:rsid w:val="00D119F0"/>
    <w:rsid w:val="00D12977"/>
    <w:rsid w:val="00D1402D"/>
    <w:rsid w:val="00D14EAF"/>
    <w:rsid w:val="00D1587E"/>
    <w:rsid w:val="00D161E5"/>
    <w:rsid w:val="00D167AD"/>
    <w:rsid w:val="00D212C5"/>
    <w:rsid w:val="00D215A9"/>
    <w:rsid w:val="00D22573"/>
    <w:rsid w:val="00D228D7"/>
    <w:rsid w:val="00D2387A"/>
    <w:rsid w:val="00D25BC5"/>
    <w:rsid w:val="00D31299"/>
    <w:rsid w:val="00D37F6A"/>
    <w:rsid w:val="00D41426"/>
    <w:rsid w:val="00D43747"/>
    <w:rsid w:val="00D46471"/>
    <w:rsid w:val="00D4746E"/>
    <w:rsid w:val="00D4775A"/>
    <w:rsid w:val="00D50432"/>
    <w:rsid w:val="00D50DC3"/>
    <w:rsid w:val="00D52EC1"/>
    <w:rsid w:val="00D53A91"/>
    <w:rsid w:val="00D549BD"/>
    <w:rsid w:val="00D56B99"/>
    <w:rsid w:val="00D5707B"/>
    <w:rsid w:val="00D63C0B"/>
    <w:rsid w:val="00D671EE"/>
    <w:rsid w:val="00D6766A"/>
    <w:rsid w:val="00D701AB"/>
    <w:rsid w:val="00D7361C"/>
    <w:rsid w:val="00D745D8"/>
    <w:rsid w:val="00D74808"/>
    <w:rsid w:val="00D74A31"/>
    <w:rsid w:val="00D75CAB"/>
    <w:rsid w:val="00D80738"/>
    <w:rsid w:val="00D82DAB"/>
    <w:rsid w:val="00D83FEF"/>
    <w:rsid w:val="00D84C0F"/>
    <w:rsid w:val="00D85F96"/>
    <w:rsid w:val="00D87706"/>
    <w:rsid w:val="00D87954"/>
    <w:rsid w:val="00D9130A"/>
    <w:rsid w:val="00D953D0"/>
    <w:rsid w:val="00D971FC"/>
    <w:rsid w:val="00DA0037"/>
    <w:rsid w:val="00DA0C80"/>
    <w:rsid w:val="00DA0CEA"/>
    <w:rsid w:val="00DA6007"/>
    <w:rsid w:val="00DA6832"/>
    <w:rsid w:val="00DA70C4"/>
    <w:rsid w:val="00DA7C85"/>
    <w:rsid w:val="00DB2335"/>
    <w:rsid w:val="00DB6824"/>
    <w:rsid w:val="00DC01C7"/>
    <w:rsid w:val="00DC22A1"/>
    <w:rsid w:val="00DC4C36"/>
    <w:rsid w:val="00DC60E9"/>
    <w:rsid w:val="00DC64A5"/>
    <w:rsid w:val="00DC77BE"/>
    <w:rsid w:val="00DC7857"/>
    <w:rsid w:val="00DD1C60"/>
    <w:rsid w:val="00DD23FB"/>
    <w:rsid w:val="00DD3796"/>
    <w:rsid w:val="00DD416B"/>
    <w:rsid w:val="00DD5F96"/>
    <w:rsid w:val="00DD6096"/>
    <w:rsid w:val="00DD60C3"/>
    <w:rsid w:val="00DD6C6C"/>
    <w:rsid w:val="00DE18A7"/>
    <w:rsid w:val="00DE2124"/>
    <w:rsid w:val="00DE2B89"/>
    <w:rsid w:val="00DE4669"/>
    <w:rsid w:val="00DE4B5A"/>
    <w:rsid w:val="00DE7799"/>
    <w:rsid w:val="00DF19EC"/>
    <w:rsid w:val="00DF1C42"/>
    <w:rsid w:val="00DF218B"/>
    <w:rsid w:val="00DF2D67"/>
    <w:rsid w:val="00DF3B00"/>
    <w:rsid w:val="00DF42E2"/>
    <w:rsid w:val="00DF4B18"/>
    <w:rsid w:val="00DF5703"/>
    <w:rsid w:val="00DF64C7"/>
    <w:rsid w:val="00E011B1"/>
    <w:rsid w:val="00E11C1A"/>
    <w:rsid w:val="00E12603"/>
    <w:rsid w:val="00E15D13"/>
    <w:rsid w:val="00E16BCF"/>
    <w:rsid w:val="00E176A2"/>
    <w:rsid w:val="00E17781"/>
    <w:rsid w:val="00E20DA2"/>
    <w:rsid w:val="00E223AC"/>
    <w:rsid w:val="00E23C67"/>
    <w:rsid w:val="00E23D71"/>
    <w:rsid w:val="00E25487"/>
    <w:rsid w:val="00E30D84"/>
    <w:rsid w:val="00E30FFE"/>
    <w:rsid w:val="00E321FE"/>
    <w:rsid w:val="00E322C1"/>
    <w:rsid w:val="00E34DAA"/>
    <w:rsid w:val="00E35E37"/>
    <w:rsid w:val="00E360A5"/>
    <w:rsid w:val="00E36BEC"/>
    <w:rsid w:val="00E377B7"/>
    <w:rsid w:val="00E37ECA"/>
    <w:rsid w:val="00E40448"/>
    <w:rsid w:val="00E426A5"/>
    <w:rsid w:val="00E42E39"/>
    <w:rsid w:val="00E43507"/>
    <w:rsid w:val="00E441C0"/>
    <w:rsid w:val="00E44545"/>
    <w:rsid w:val="00E45598"/>
    <w:rsid w:val="00E456B7"/>
    <w:rsid w:val="00E46FD9"/>
    <w:rsid w:val="00E470E9"/>
    <w:rsid w:val="00E502AC"/>
    <w:rsid w:val="00E526E3"/>
    <w:rsid w:val="00E533D9"/>
    <w:rsid w:val="00E5460A"/>
    <w:rsid w:val="00E56BD9"/>
    <w:rsid w:val="00E61A31"/>
    <w:rsid w:val="00E65AF5"/>
    <w:rsid w:val="00E6614F"/>
    <w:rsid w:val="00E66D13"/>
    <w:rsid w:val="00E67A97"/>
    <w:rsid w:val="00E70D3B"/>
    <w:rsid w:val="00E70F0B"/>
    <w:rsid w:val="00E74BAC"/>
    <w:rsid w:val="00E75078"/>
    <w:rsid w:val="00E75718"/>
    <w:rsid w:val="00E76889"/>
    <w:rsid w:val="00E76E95"/>
    <w:rsid w:val="00E84AE9"/>
    <w:rsid w:val="00E90698"/>
    <w:rsid w:val="00E91FC9"/>
    <w:rsid w:val="00E92B08"/>
    <w:rsid w:val="00E934A2"/>
    <w:rsid w:val="00E9436B"/>
    <w:rsid w:val="00E9584B"/>
    <w:rsid w:val="00EA0DD1"/>
    <w:rsid w:val="00EA58F3"/>
    <w:rsid w:val="00EA6FD8"/>
    <w:rsid w:val="00EA7164"/>
    <w:rsid w:val="00EB0019"/>
    <w:rsid w:val="00EB08C0"/>
    <w:rsid w:val="00EB1424"/>
    <w:rsid w:val="00EB1FB7"/>
    <w:rsid w:val="00EB37A1"/>
    <w:rsid w:val="00EB3DA0"/>
    <w:rsid w:val="00EB4C26"/>
    <w:rsid w:val="00EB63ED"/>
    <w:rsid w:val="00EB6E09"/>
    <w:rsid w:val="00EC15E5"/>
    <w:rsid w:val="00EC3A62"/>
    <w:rsid w:val="00EC3ECB"/>
    <w:rsid w:val="00EC4154"/>
    <w:rsid w:val="00EC48A8"/>
    <w:rsid w:val="00EC77CD"/>
    <w:rsid w:val="00ED05B8"/>
    <w:rsid w:val="00ED2CA9"/>
    <w:rsid w:val="00ED2CE1"/>
    <w:rsid w:val="00ED5109"/>
    <w:rsid w:val="00ED51C6"/>
    <w:rsid w:val="00ED53A8"/>
    <w:rsid w:val="00ED5513"/>
    <w:rsid w:val="00EE217C"/>
    <w:rsid w:val="00EE3F80"/>
    <w:rsid w:val="00EE49FF"/>
    <w:rsid w:val="00EE4FA1"/>
    <w:rsid w:val="00EE5AD7"/>
    <w:rsid w:val="00EE627A"/>
    <w:rsid w:val="00EF04D3"/>
    <w:rsid w:val="00EF17A6"/>
    <w:rsid w:val="00EF1A0B"/>
    <w:rsid w:val="00EF1A74"/>
    <w:rsid w:val="00EF2822"/>
    <w:rsid w:val="00EF3F31"/>
    <w:rsid w:val="00EF4A34"/>
    <w:rsid w:val="00EF4BED"/>
    <w:rsid w:val="00EF65DC"/>
    <w:rsid w:val="00EF7AE6"/>
    <w:rsid w:val="00F008E9"/>
    <w:rsid w:val="00F03413"/>
    <w:rsid w:val="00F0378A"/>
    <w:rsid w:val="00F03E1D"/>
    <w:rsid w:val="00F0429C"/>
    <w:rsid w:val="00F100FB"/>
    <w:rsid w:val="00F1520A"/>
    <w:rsid w:val="00F254E7"/>
    <w:rsid w:val="00F25522"/>
    <w:rsid w:val="00F27799"/>
    <w:rsid w:val="00F31D20"/>
    <w:rsid w:val="00F36897"/>
    <w:rsid w:val="00F37164"/>
    <w:rsid w:val="00F402F5"/>
    <w:rsid w:val="00F415E0"/>
    <w:rsid w:val="00F41D19"/>
    <w:rsid w:val="00F434FD"/>
    <w:rsid w:val="00F470AD"/>
    <w:rsid w:val="00F47C3A"/>
    <w:rsid w:val="00F501F8"/>
    <w:rsid w:val="00F52FC4"/>
    <w:rsid w:val="00F553CD"/>
    <w:rsid w:val="00F6289B"/>
    <w:rsid w:val="00F637B0"/>
    <w:rsid w:val="00F65AE2"/>
    <w:rsid w:val="00F66489"/>
    <w:rsid w:val="00F66B45"/>
    <w:rsid w:val="00F66EE1"/>
    <w:rsid w:val="00F671F3"/>
    <w:rsid w:val="00F7196D"/>
    <w:rsid w:val="00F7264B"/>
    <w:rsid w:val="00F728B0"/>
    <w:rsid w:val="00F74654"/>
    <w:rsid w:val="00F74FF8"/>
    <w:rsid w:val="00F80406"/>
    <w:rsid w:val="00F82393"/>
    <w:rsid w:val="00F856D8"/>
    <w:rsid w:val="00F85A04"/>
    <w:rsid w:val="00F85A39"/>
    <w:rsid w:val="00F85A90"/>
    <w:rsid w:val="00F866AB"/>
    <w:rsid w:val="00F87130"/>
    <w:rsid w:val="00F876EA"/>
    <w:rsid w:val="00F877C5"/>
    <w:rsid w:val="00F93795"/>
    <w:rsid w:val="00F9533B"/>
    <w:rsid w:val="00F95400"/>
    <w:rsid w:val="00F95464"/>
    <w:rsid w:val="00F97B56"/>
    <w:rsid w:val="00FA554F"/>
    <w:rsid w:val="00FA5991"/>
    <w:rsid w:val="00FA6325"/>
    <w:rsid w:val="00FA6B94"/>
    <w:rsid w:val="00FA7F03"/>
    <w:rsid w:val="00FB156A"/>
    <w:rsid w:val="00FB22B2"/>
    <w:rsid w:val="00FB3BBC"/>
    <w:rsid w:val="00FB40AD"/>
    <w:rsid w:val="00FB46AA"/>
    <w:rsid w:val="00FB6C3F"/>
    <w:rsid w:val="00FB7C58"/>
    <w:rsid w:val="00FC27D8"/>
    <w:rsid w:val="00FC4635"/>
    <w:rsid w:val="00FC5B14"/>
    <w:rsid w:val="00FC7BB0"/>
    <w:rsid w:val="00FC7FA3"/>
    <w:rsid w:val="00FD235E"/>
    <w:rsid w:val="00FD6157"/>
    <w:rsid w:val="00FD7258"/>
    <w:rsid w:val="00FD77FE"/>
    <w:rsid w:val="00FE2185"/>
    <w:rsid w:val="00FE2EF4"/>
    <w:rsid w:val="00FE2FCC"/>
    <w:rsid w:val="00FE3AC9"/>
    <w:rsid w:val="00FE605D"/>
    <w:rsid w:val="00FF0F4A"/>
    <w:rsid w:val="00FF132A"/>
    <w:rsid w:val="00FF69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19CA2BA"/>
  <w14:defaultImageDpi w14:val="300"/>
  <w15:docId w15:val="{3981A06A-5B1C-4754-942D-5B6F74ED3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semiHidden/>
    <w:qFormat/>
    <w:rsid w:val="00127682"/>
    <w:pPr>
      <w:spacing w:after="120" w:line="240" w:lineRule="atLeast"/>
    </w:pPr>
    <w:rPr>
      <w:rFonts w:ascii="Arial" w:hAnsi="Arial" w:cs="Arial"/>
      <w:sz w:val="18"/>
      <w:szCs w:val="18"/>
    </w:rPr>
  </w:style>
  <w:style w:type="paragraph" w:styleId="Heading1">
    <w:name w:val="heading 1"/>
    <w:basedOn w:val="Normal"/>
    <w:next w:val="Normal"/>
    <w:link w:val="Heading1Char"/>
    <w:uiPriority w:val="9"/>
    <w:qFormat/>
    <w:locked/>
    <w:rsid w:val="009F2302"/>
    <w:pPr>
      <w:keepNext/>
      <w:keepLines/>
      <w:spacing w:after="40"/>
      <w:outlineLvl w:val="0"/>
    </w:pPr>
    <w:rPr>
      <w:rFonts w:eastAsiaTheme="majorEastAsia" w:cstheme="majorBidi"/>
      <w:b/>
      <w:bCs/>
      <w:caps/>
      <w:color w:val="AF272F"/>
      <w:sz w:val="20"/>
      <w:szCs w:val="20"/>
    </w:rPr>
  </w:style>
  <w:style w:type="paragraph" w:styleId="Heading2">
    <w:name w:val="heading 2"/>
    <w:basedOn w:val="Heading1"/>
    <w:next w:val="Normal"/>
    <w:link w:val="Heading2Char"/>
    <w:uiPriority w:val="9"/>
    <w:semiHidden/>
    <w:qFormat/>
    <w:locked/>
    <w:rsid w:val="00751081"/>
    <w:pPr>
      <w:pBdr>
        <w:top w:val="single" w:sz="8" w:space="3" w:color="AF272F"/>
      </w:pBdr>
      <w:spacing w:before="300"/>
      <w:outlineLvl w:val="1"/>
    </w:pPr>
    <w:rPr>
      <w:bCs w:val="0"/>
    </w:rPr>
  </w:style>
  <w:style w:type="paragraph" w:styleId="Heading3">
    <w:name w:val="heading 3"/>
    <w:basedOn w:val="Normal"/>
    <w:next w:val="Normal"/>
    <w:link w:val="Heading3Char"/>
    <w:uiPriority w:val="9"/>
    <w:semiHidden/>
    <w:qFormat/>
    <w:locked/>
    <w:rsid w:val="00600EB1"/>
    <w:pPr>
      <w:spacing w:before="240"/>
      <w:outlineLvl w:val="2"/>
    </w:pPr>
    <w:rPr>
      <w:b/>
      <w:color w:val="000000" w:themeColor="text1"/>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SHeading1">
    <w:name w:val="ES_Heading 1"/>
    <w:basedOn w:val="Title"/>
    <w:qFormat/>
    <w:rsid w:val="00D049D0"/>
  </w:style>
  <w:style w:type="paragraph" w:styleId="Quote">
    <w:name w:val="Quote"/>
    <w:basedOn w:val="Normal"/>
    <w:next w:val="Normal"/>
    <w:link w:val="QuoteChar"/>
    <w:uiPriority w:val="29"/>
    <w:qFormat/>
    <w:locked/>
    <w:rsid w:val="00D31299"/>
    <w:pPr>
      <w:spacing w:after="60" w:line="300" w:lineRule="atLeast"/>
    </w:pPr>
    <w:rPr>
      <w:b/>
      <w:bCs/>
      <w:color w:val="5A5A59"/>
      <w:sz w:val="24"/>
      <w:szCs w:val="25"/>
    </w:rPr>
  </w:style>
  <w:style w:type="paragraph" w:styleId="Footer">
    <w:name w:val="footer"/>
    <w:basedOn w:val="Normal"/>
    <w:link w:val="FooterChar"/>
    <w:uiPriority w:val="99"/>
    <w:rsid w:val="00326F48"/>
    <w:pPr>
      <w:tabs>
        <w:tab w:val="center" w:pos="4320"/>
        <w:tab w:val="right" w:pos="8640"/>
      </w:tabs>
    </w:pPr>
  </w:style>
  <w:style w:type="character" w:customStyle="1" w:styleId="FooterChar">
    <w:name w:val="Footer Char"/>
    <w:basedOn w:val="DefaultParagraphFont"/>
    <w:link w:val="Footer"/>
    <w:uiPriority w:val="99"/>
    <w:rsid w:val="005711D2"/>
    <w:rPr>
      <w:rFonts w:ascii="Arial" w:hAnsi="Arial" w:cs="Arial"/>
      <w:sz w:val="18"/>
      <w:szCs w:val="18"/>
    </w:rPr>
  </w:style>
  <w:style w:type="paragraph" w:customStyle="1" w:styleId="ESIntroParagraph">
    <w:name w:val="ES_Intro Paragraph"/>
    <w:basedOn w:val="Subtitle"/>
    <w:link w:val="ESIntroParagraphChar"/>
    <w:qFormat/>
    <w:rsid w:val="00D049D0"/>
  </w:style>
  <w:style w:type="paragraph" w:customStyle="1" w:styleId="ESHeading2">
    <w:name w:val="ES_Heading 2"/>
    <w:basedOn w:val="Heading1"/>
    <w:qFormat/>
    <w:rsid w:val="00895870"/>
    <w:pPr>
      <w:spacing w:before="240" w:after="120"/>
    </w:pPr>
  </w:style>
  <w:style w:type="paragraph" w:styleId="Subtitle">
    <w:name w:val="Subtitle"/>
    <w:basedOn w:val="Normal"/>
    <w:next w:val="Normal"/>
    <w:link w:val="SubtitleChar"/>
    <w:uiPriority w:val="11"/>
    <w:semiHidden/>
    <w:qFormat/>
    <w:locked/>
    <w:rsid w:val="00980015"/>
    <w:pPr>
      <w:numPr>
        <w:ilvl w:val="1"/>
      </w:numPr>
      <w:spacing w:after="0"/>
    </w:pPr>
    <w:rPr>
      <w:rFonts w:eastAsiaTheme="majorEastAsia" w:cstheme="majorBidi"/>
      <w:color w:val="5A5A59"/>
      <w:sz w:val="27"/>
      <w:szCs w:val="27"/>
    </w:rPr>
  </w:style>
  <w:style w:type="character" w:customStyle="1" w:styleId="SubtitleChar">
    <w:name w:val="Subtitle Char"/>
    <w:basedOn w:val="DefaultParagraphFont"/>
    <w:link w:val="Subtitle"/>
    <w:uiPriority w:val="11"/>
    <w:semiHidden/>
    <w:rsid w:val="005711D2"/>
    <w:rPr>
      <w:rFonts w:ascii="Arial" w:eastAsiaTheme="majorEastAsia" w:hAnsi="Arial" w:cstheme="majorBidi"/>
      <w:color w:val="5A5A59"/>
      <w:sz w:val="27"/>
      <w:szCs w:val="27"/>
    </w:rPr>
  </w:style>
  <w:style w:type="character" w:styleId="SubtleEmphasis">
    <w:name w:val="Subtle Emphasis"/>
    <w:basedOn w:val="DefaultParagraphFont"/>
    <w:uiPriority w:val="19"/>
    <w:semiHidden/>
    <w:locked/>
    <w:rsid w:val="00326F48"/>
    <w:rPr>
      <w:i/>
      <w:iCs/>
      <w:color w:val="808080" w:themeColor="text1" w:themeTint="7F"/>
    </w:rPr>
  </w:style>
  <w:style w:type="character" w:styleId="IntenseEmphasis">
    <w:name w:val="Intense Emphasis"/>
    <w:basedOn w:val="DefaultParagraphFont"/>
    <w:uiPriority w:val="21"/>
    <w:semiHidden/>
    <w:locked/>
    <w:rsid w:val="00600EB1"/>
    <w:rPr>
      <w:b/>
      <w:bCs/>
      <w:i/>
      <w:iCs/>
      <w:color w:val="C00000"/>
    </w:rPr>
  </w:style>
  <w:style w:type="character" w:styleId="Emphasis">
    <w:name w:val="Emphasis"/>
    <w:basedOn w:val="DefaultParagraphFont"/>
    <w:uiPriority w:val="20"/>
    <w:semiHidden/>
    <w:locked/>
    <w:rsid w:val="00326F48"/>
    <w:rPr>
      <w:i/>
      <w:iCs/>
    </w:rPr>
  </w:style>
  <w:style w:type="character" w:customStyle="1" w:styleId="Heading1Char">
    <w:name w:val="Heading 1 Char"/>
    <w:basedOn w:val="DefaultParagraphFont"/>
    <w:link w:val="Heading1"/>
    <w:uiPriority w:val="9"/>
    <w:rsid w:val="005711D2"/>
    <w:rPr>
      <w:rFonts w:ascii="Arial" w:eastAsiaTheme="majorEastAsia" w:hAnsi="Arial" w:cstheme="majorBidi"/>
      <w:b/>
      <w:bCs/>
      <w:caps/>
      <w:color w:val="AF272F"/>
      <w:sz w:val="20"/>
      <w:szCs w:val="20"/>
    </w:rPr>
  </w:style>
  <w:style w:type="paragraph" w:styleId="Title">
    <w:name w:val="Title"/>
    <w:next w:val="Subtitle"/>
    <w:link w:val="TitleChar"/>
    <w:uiPriority w:val="10"/>
    <w:qFormat/>
    <w:locked/>
    <w:rsid w:val="009F2302"/>
    <w:pPr>
      <w:spacing w:after="120" w:line="340" w:lineRule="atLeast"/>
      <w:outlineLvl w:val="0"/>
    </w:pPr>
    <w:rPr>
      <w:rFonts w:ascii="Arial" w:eastAsiaTheme="majorEastAsia" w:hAnsi="Arial" w:cstheme="majorBidi"/>
      <w:b/>
      <w:color w:val="AF272F"/>
      <w:spacing w:val="5"/>
      <w:kern w:val="28"/>
      <w:sz w:val="44"/>
      <w:szCs w:val="52"/>
    </w:rPr>
  </w:style>
  <w:style w:type="character" w:customStyle="1" w:styleId="TitleChar">
    <w:name w:val="Title Char"/>
    <w:basedOn w:val="DefaultParagraphFont"/>
    <w:link w:val="Title"/>
    <w:uiPriority w:val="10"/>
    <w:rsid w:val="005711D2"/>
    <w:rPr>
      <w:rFonts w:ascii="Arial" w:eastAsiaTheme="majorEastAsia" w:hAnsi="Arial" w:cstheme="majorBidi"/>
      <w:b/>
      <w:color w:val="AF272F"/>
      <w:spacing w:val="5"/>
      <w:kern w:val="28"/>
      <w:sz w:val="44"/>
      <w:szCs w:val="52"/>
    </w:rPr>
  </w:style>
  <w:style w:type="character" w:customStyle="1" w:styleId="QuoteChar">
    <w:name w:val="Quote Char"/>
    <w:basedOn w:val="DefaultParagraphFont"/>
    <w:link w:val="Quote"/>
    <w:uiPriority w:val="29"/>
    <w:rsid w:val="005711D2"/>
    <w:rPr>
      <w:rFonts w:ascii="Arial" w:hAnsi="Arial" w:cs="Arial"/>
      <w:b/>
      <w:bCs/>
      <w:color w:val="5A5A59"/>
      <w:szCs w:val="25"/>
    </w:rPr>
  </w:style>
  <w:style w:type="paragraph" w:styleId="EndnoteText">
    <w:name w:val="endnote text"/>
    <w:basedOn w:val="Normal"/>
    <w:link w:val="EndnoteTextChar"/>
    <w:uiPriority w:val="99"/>
    <w:semiHidden/>
    <w:qFormat/>
    <w:locked/>
    <w:rsid w:val="00980015"/>
    <w:pPr>
      <w:spacing w:before="120" w:after="240"/>
    </w:pPr>
    <w:rPr>
      <w:b/>
      <w:color w:val="5A5A59"/>
      <w:szCs w:val="24"/>
    </w:rPr>
  </w:style>
  <w:style w:type="character" w:customStyle="1" w:styleId="EndnoteTextChar">
    <w:name w:val="Endnote Text Char"/>
    <w:basedOn w:val="DefaultParagraphFont"/>
    <w:link w:val="EndnoteText"/>
    <w:uiPriority w:val="99"/>
    <w:semiHidden/>
    <w:rsid w:val="005711D2"/>
    <w:rPr>
      <w:rFonts w:ascii="Arial" w:hAnsi="Arial" w:cs="Arial"/>
      <w:b/>
      <w:color w:val="5A5A59"/>
      <w:sz w:val="18"/>
    </w:rPr>
  </w:style>
  <w:style w:type="character" w:customStyle="1" w:styleId="Heading2Char">
    <w:name w:val="Heading 2 Char"/>
    <w:basedOn w:val="DefaultParagraphFont"/>
    <w:link w:val="Heading2"/>
    <w:uiPriority w:val="9"/>
    <w:semiHidden/>
    <w:rsid w:val="005711D2"/>
    <w:rPr>
      <w:rFonts w:ascii="Arial" w:eastAsiaTheme="majorEastAsia" w:hAnsi="Arial" w:cstheme="majorBidi"/>
      <w:b/>
      <w:caps/>
      <w:color w:val="AF272F"/>
      <w:sz w:val="20"/>
      <w:szCs w:val="20"/>
    </w:rPr>
  </w:style>
  <w:style w:type="character" w:styleId="Strong">
    <w:name w:val="Strong"/>
    <w:basedOn w:val="DefaultParagraphFont"/>
    <w:uiPriority w:val="22"/>
    <w:semiHidden/>
    <w:qFormat/>
    <w:locked/>
    <w:rsid w:val="00980015"/>
    <w:rPr>
      <w:b/>
      <w:bCs/>
    </w:rPr>
  </w:style>
  <w:style w:type="paragraph" w:styleId="Header">
    <w:name w:val="header"/>
    <w:basedOn w:val="Normal"/>
    <w:link w:val="HeaderChar"/>
    <w:uiPriority w:val="99"/>
    <w:locked/>
    <w:rsid w:val="007847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11D2"/>
    <w:rPr>
      <w:rFonts w:ascii="Arial" w:hAnsi="Arial" w:cs="Arial"/>
      <w:sz w:val="18"/>
      <w:szCs w:val="18"/>
    </w:rPr>
  </w:style>
  <w:style w:type="character" w:customStyle="1" w:styleId="Heading3Char">
    <w:name w:val="Heading 3 Char"/>
    <w:basedOn w:val="DefaultParagraphFont"/>
    <w:link w:val="Heading3"/>
    <w:uiPriority w:val="9"/>
    <w:semiHidden/>
    <w:rsid w:val="005711D2"/>
    <w:rPr>
      <w:rFonts w:ascii="Arial" w:hAnsi="Arial" w:cs="Arial"/>
      <w:b/>
      <w:color w:val="000000" w:themeColor="text1"/>
      <w:sz w:val="20"/>
      <w:szCs w:val="18"/>
    </w:rPr>
  </w:style>
  <w:style w:type="paragraph" w:styleId="TOAHeading">
    <w:name w:val="toa heading"/>
    <w:basedOn w:val="Normal"/>
    <w:next w:val="Normal"/>
    <w:uiPriority w:val="99"/>
    <w:semiHidden/>
    <w:locked/>
    <w:rsid w:val="00751081"/>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qFormat/>
    <w:locked/>
    <w:rsid w:val="000F155E"/>
    <w:pPr>
      <w:spacing w:before="240" w:after="0"/>
      <w:outlineLvl w:val="9"/>
    </w:pPr>
    <w:rPr>
      <w:rFonts w:asciiTheme="majorHAnsi" w:hAnsiTheme="majorHAnsi"/>
      <w:b w:val="0"/>
      <w:bCs w:val="0"/>
      <w:caps w:val="0"/>
      <w:color w:val="365F91" w:themeColor="accent1" w:themeShade="BF"/>
      <w:sz w:val="32"/>
      <w:szCs w:val="32"/>
    </w:rPr>
  </w:style>
  <w:style w:type="paragraph" w:customStyle="1" w:styleId="ESHeading3">
    <w:name w:val="ES_Heading 3"/>
    <w:basedOn w:val="Heading3"/>
    <w:qFormat/>
    <w:rsid w:val="00D049D0"/>
  </w:style>
  <w:style w:type="paragraph" w:customStyle="1" w:styleId="ESBodyText">
    <w:name w:val="ES_Body Text"/>
    <w:basedOn w:val="Normal"/>
    <w:qFormat/>
    <w:rsid w:val="00D049D0"/>
  </w:style>
  <w:style w:type="paragraph" w:styleId="FootnoteText">
    <w:name w:val="footnote text"/>
    <w:basedOn w:val="Normal"/>
    <w:link w:val="FootnoteTextChar"/>
    <w:uiPriority w:val="99"/>
    <w:unhideWhenUsed/>
    <w:locked/>
    <w:rsid w:val="00271F77"/>
    <w:pPr>
      <w:spacing w:after="40" w:line="240" w:lineRule="auto"/>
    </w:pPr>
    <w:rPr>
      <w:sz w:val="11"/>
      <w:szCs w:val="11"/>
    </w:rPr>
  </w:style>
  <w:style w:type="paragraph" w:customStyle="1" w:styleId="NoteLevel1">
    <w:name w:val="Note Level 1"/>
    <w:basedOn w:val="Normal"/>
    <w:uiPriority w:val="99"/>
    <w:locked/>
    <w:rsid w:val="00895870"/>
    <w:pPr>
      <w:keepNext/>
      <w:numPr>
        <w:numId w:val="1"/>
      </w:numPr>
      <w:spacing w:before="120"/>
      <w:ind w:left="284"/>
      <w:contextualSpacing/>
      <w:outlineLvl w:val="0"/>
    </w:pPr>
  </w:style>
  <w:style w:type="paragraph" w:customStyle="1" w:styleId="NoteLevel2">
    <w:name w:val="Note Level 2"/>
    <w:basedOn w:val="Normal"/>
    <w:uiPriority w:val="99"/>
    <w:locked/>
    <w:rsid w:val="00D84C0F"/>
    <w:pPr>
      <w:keepNext/>
      <w:numPr>
        <w:ilvl w:val="1"/>
        <w:numId w:val="1"/>
      </w:numPr>
      <w:spacing w:after="0"/>
      <w:ind w:firstLine="164"/>
      <w:contextualSpacing/>
      <w:outlineLvl w:val="1"/>
    </w:pPr>
  </w:style>
  <w:style w:type="paragraph" w:customStyle="1" w:styleId="NoteLevel3">
    <w:name w:val="Note Level 3"/>
    <w:basedOn w:val="Normal"/>
    <w:uiPriority w:val="99"/>
    <w:locked/>
    <w:rsid w:val="00D84C0F"/>
    <w:pPr>
      <w:keepNext/>
      <w:numPr>
        <w:ilvl w:val="2"/>
        <w:numId w:val="1"/>
      </w:numPr>
      <w:spacing w:after="0"/>
      <w:ind w:firstLine="164"/>
      <w:contextualSpacing/>
      <w:outlineLvl w:val="2"/>
    </w:pPr>
  </w:style>
  <w:style w:type="paragraph" w:customStyle="1" w:styleId="NoteLevel4">
    <w:name w:val="Note Level 4"/>
    <w:basedOn w:val="Normal"/>
    <w:uiPriority w:val="99"/>
    <w:locked/>
    <w:rsid w:val="00D84C0F"/>
    <w:pPr>
      <w:keepNext/>
      <w:numPr>
        <w:ilvl w:val="3"/>
        <w:numId w:val="1"/>
      </w:numPr>
      <w:spacing w:after="0"/>
      <w:ind w:firstLine="164"/>
      <w:contextualSpacing/>
      <w:outlineLvl w:val="3"/>
    </w:pPr>
  </w:style>
  <w:style w:type="paragraph" w:customStyle="1" w:styleId="NoteLevel5">
    <w:name w:val="Note Level 5"/>
    <w:basedOn w:val="Normal"/>
    <w:uiPriority w:val="99"/>
    <w:locked/>
    <w:rsid w:val="00D84C0F"/>
    <w:pPr>
      <w:keepNext/>
      <w:numPr>
        <w:ilvl w:val="4"/>
        <w:numId w:val="1"/>
      </w:numPr>
      <w:spacing w:after="0"/>
      <w:ind w:left="1985" w:firstLine="164"/>
      <w:contextualSpacing/>
      <w:outlineLvl w:val="4"/>
    </w:pPr>
  </w:style>
  <w:style w:type="paragraph" w:customStyle="1" w:styleId="NoteLevel6">
    <w:name w:val="Note Level 6"/>
    <w:basedOn w:val="Normal"/>
    <w:uiPriority w:val="99"/>
    <w:locked/>
    <w:rsid w:val="00D84C0F"/>
    <w:pPr>
      <w:keepNext/>
      <w:numPr>
        <w:ilvl w:val="5"/>
        <w:numId w:val="1"/>
      </w:numPr>
      <w:spacing w:after="0"/>
      <w:ind w:firstLine="164"/>
      <w:contextualSpacing/>
      <w:outlineLvl w:val="5"/>
    </w:pPr>
  </w:style>
  <w:style w:type="paragraph" w:customStyle="1" w:styleId="NoteLevel7">
    <w:name w:val="Note Level 7"/>
    <w:basedOn w:val="NoteLevel5"/>
    <w:uiPriority w:val="99"/>
    <w:locked/>
    <w:rsid w:val="00D84C0F"/>
    <w:pPr>
      <w:ind w:left="3402" w:firstLine="0"/>
    </w:pPr>
  </w:style>
  <w:style w:type="character" w:customStyle="1" w:styleId="FootnoteTextChar">
    <w:name w:val="Footnote Text Char"/>
    <w:basedOn w:val="DefaultParagraphFont"/>
    <w:link w:val="FootnoteText"/>
    <w:uiPriority w:val="99"/>
    <w:rsid w:val="00271F77"/>
    <w:rPr>
      <w:rFonts w:ascii="Arial" w:hAnsi="Arial" w:cs="Arial"/>
      <w:sz w:val="11"/>
      <w:szCs w:val="11"/>
    </w:rPr>
  </w:style>
  <w:style w:type="paragraph" w:customStyle="1" w:styleId="NoteLevel8">
    <w:name w:val="Note Level 8"/>
    <w:basedOn w:val="Normal"/>
    <w:uiPriority w:val="99"/>
    <w:locked/>
    <w:rsid w:val="00D84C0F"/>
    <w:pPr>
      <w:keepNext/>
      <w:numPr>
        <w:ilvl w:val="7"/>
        <w:numId w:val="1"/>
      </w:numPr>
      <w:spacing w:after="0"/>
      <w:contextualSpacing/>
      <w:outlineLvl w:val="7"/>
    </w:pPr>
  </w:style>
  <w:style w:type="paragraph" w:customStyle="1" w:styleId="ESImageorGraphTitle">
    <w:name w:val="ES_Image or Graph Title"/>
    <w:basedOn w:val="ESHeading2"/>
    <w:qFormat/>
    <w:rsid w:val="006935C9"/>
    <w:pPr>
      <w:spacing w:before="320" w:after="200"/>
    </w:pPr>
    <w:rPr>
      <w:caps w:val="0"/>
      <w:sz w:val="18"/>
    </w:rPr>
  </w:style>
  <w:style w:type="character" w:styleId="FootnoteReference">
    <w:name w:val="footnote reference"/>
    <w:basedOn w:val="DefaultParagraphFont"/>
    <w:uiPriority w:val="99"/>
    <w:unhideWhenUsed/>
    <w:locked/>
    <w:rsid w:val="00271F77"/>
    <w:rPr>
      <w:color w:val="AF272F"/>
      <w:sz w:val="13"/>
      <w:szCs w:val="13"/>
      <w:vertAlign w:val="superscript"/>
    </w:rPr>
  </w:style>
  <w:style w:type="paragraph" w:customStyle="1" w:styleId="ESSubheading1">
    <w:name w:val="ES_Subheading 1"/>
    <w:basedOn w:val="ESIntroParagraph"/>
    <w:link w:val="ESSubheading1Char"/>
    <w:qFormat/>
    <w:rsid w:val="00623DD3"/>
    <w:pPr>
      <w:spacing w:before="120" w:after="120"/>
      <w:ind w:left="-567"/>
    </w:pPr>
    <w:rPr>
      <w:color w:val="AF272F"/>
      <w:sz w:val="28"/>
    </w:rPr>
  </w:style>
  <w:style w:type="paragraph" w:customStyle="1" w:styleId="ESSubheading1White">
    <w:name w:val="ES_Subheading 1 (White)"/>
    <w:basedOn w:val="ESSubheading1"/>
    <w:qFormat/>
    <w:rsid w:val="00D84C0F"/>
    <w:rPr>
      <w:color w:val="FFFFFF" w:themeColor="background1"/>
    </w:rPr>
  </w:style>
  <w:style w:type="paragraph" w:customStyle="1" w:styleId="ESQuote">
    <w:name w:val="ES_Quote"/>
    <w:basedOn w:val="Quote"/>
    <w:qFormat/>
    <w:rsid w:val="0057654B"/>
    <w:pPr>
      <w:spacing w:before="320" w:after="200" w:line="320" w:lineRule="atLeast"/>
    </w:pPr>
    <w:rPr>
      <w:b w:val="0"/>
      <w:i/>
    </w:rPr>
  </w:style>
  <w:style w:type="paragraph" w:customStyle="1" w:styleId="ESQuoteAuthor">
    <w:name w:val="ES_Quote Author"/>
    <w:basedOn w:val="EndnoteText"/>
    <w:qFormat/>
    <w:rsid w:val="00D84C0F"/>
  </w:style>
  <w:style w:type="paragraph" w:customStyle="1" w:styleId="NoteLevel9">
    <w:name w:val="Note Level 9"/>
    <w:basedOn w:val="Normal"/>
    <w:uiPriority w:val="99"/>
    <w:locked/>
    <w:rsid w:val="00D84C0F"/>
    <w:pPr>
      <w:keepNext/>
      <w:numPr>
        <w:ilvl w:val="8"/>
        <w:numId w:val="1"/>
      </w:numPr>
      <w:spacing w:after="0"/>
      <w:contextualSpacing/>
      <w:outlineLvl w:val="8"/>
    </w:pPr>
  </w:style>
  <w:style w:type="character" w:customStyle="1" w:styleId="WHITE">
    <w:name w:val="WHITE"/>
    <w:basedOn w:val="DefaultParagraphFont"/>
    <w:uiPriority w:val="1"/>
    <w:qFormat/>
    <w:rsid w:val="000F4C22"/>
    <w:rPr>
      <w:color w:val="EEECE1" w:themeColor="background2"/>
    </w:rPr>
  </w:style>
  <w:style w:type="paragraph" w:styleId="TOC3">
    <w:name w:val="toc 3"/>
    <w:basedOn w:val="Normal"/>
    <w:next w:val="Normal"/>
    <w:autoRedefine/>
    <w:uiPriority w:val="39"/>
    <w:unhideWhenUsed/>
    <w:locked/>
    <w:rsid w:val="00895870"/>
    <w:pPr>
      <w:ind w:left="360"/>
    </w:pPr>
  </w:style>
  <w:style w:type="paragraph" w:styleId="TOC1">
    <w:name w:val="toc 1"/>
    <w:basedOn w:val="Normal"/>
    <w:next w:val="Normal"/>
    <w:autoRedefine/>
    <w:uiPriority w:val="39"/>
    <w:unhideWhenUsed/>
    <w:locked/>
    <w:rsid w:val="008D0865"/>
    <w:pPr>
      <w:tabs>
        <w:tab w:val="right" w:leader="dot" w:pos="9346"/>
      </w:tabs>
      <w:spacing w:after="100"/>
    </w:pPr>
    <w:rPr>
      <w:b/>
    </w:rPr>
  </w:style>
  <w:style w:type="paragraph" w:styleId="TOC2">
    <w:name w:val="toc 2"/>
    <w:basedOn w:val="Normal"/>
    <w:next w:val="Normal"/>
    <w:autoRedefine/>
    <w:uiPriority w:val="39"/>
    <w:unhideWhenUsed/>
    <w:locked/>
    <w:rsid w:val="00DD416B"/>
    <w:pPr>
      <w:tabs>
        <w:tab w:val="right" w:pos="8931"/>
        <w:tab w:val="right" w:leader="dot" w:pos="9346"/>
      </w:tabs>
      <w:spacing w:after="100"/>
    </w:pPr>
    <w:rPr>
      <w:color w:val="AF272F"/>
    </w:rPr>
  </w:style>
  <w:style w:type="paragraph" w:styleId="TOC4">
    <w:name w:val="toc 4"/>
    <w:basedOn w:val="Normal"/>
    <w:next w:val="Normal"/>
    <w:autoRedefine/>
    <w:uiPriority w:val="39"/>
    <w:unhideWhenUsed/>
    <w:locked/>
    <w:rsid w:val="00895870"/>
    <w:pPr>
      <w:ind w:left="540"/>
    </w:pPr>
  </w:style>
  <w:style w:type="paragraph" w:styleId="TOC5">
    <w:name w:val="toc 5"/>
    <w:basedOn w:val="Normal"/>
    <w:next w:val="Normal"/>
    <w:autoRedefine/>
    <w:uiPriority w:val="39"/>
    <w:unhideWhenUsed/>
    <w:locked/>
    <w:rsid w:val="00895870"/>
    <w:pPr>
      <w:ind w:left="720"/>
    </w:pPr>
  </w:style>
  <w:style w:type="paragraph" w:styleId="TOC6">
    <w:name w:val="toc 6"/>
    <w:basedOn w:val="Normal"/>
    <w:next w:val="Normal"/>
    <w:autoRedefine/>
    <w:uiPriority w:val="39"/>
    <w:unhideWhenUsed/>
    <w:locked/>
    <w:rsid w:val="00895870"/>
    <w:pPr>
      <w:ind w:left="900"/>
    </w:pPr>
  </w:style>
  <w:style w:type="paragraph" w:styleId="TOC7">
    <w:name w:val="toc 7"/>
    <w:basedOn w:val="Normal"/>
    <w:next w:val="Normal"/>
    <w:autoRedefine/>
    <w:uiPriority w:val="39"/>
    <w:unhideWhenUsed/>
    <w:locked/>
    <w:rsid w:val="00895870"/>
    <w:pPr>
      <w:ind w:left="1080"/>
    </w:pPr>
  </w:style>
  <w:style w:type="paragraph" w:styleId="TOC8">
    <w:name w:val="toc 8"/>
    <w:basedOn w:val="Normal"/>
    <w:next w:val="Normal"/>
    <w:autoRedefine/>
    <w:uiPriority w:val="39"/>
    <w:unhideWhenUsed/>
    <w:locked/>
    <w:rsid w:val="00895870"/>
    <w:pPr>
      <w:ind w:left="1260"/>
    </w:pPr>
  </w:style>
  <w:style w:type="paragraph" w:styleId="TOC9">
    <w:name w:val="toc 9"/>
    <w:basedOn w:val="Normal"/>
    <w:next w:val="Normal"/>
    <w:autoRedefine/>
    <w:uiPriority w:val="39"/>
    <w:unhideWhenUsed/>
    <w:locked/>
    <w:rsid w:val="00895870"/>
    <w:pPr>
      <w:ind w:left="1440"/>
    </w:pPr>
  </w:style>
  <w:style w:type="character" w:styleId="EndnoteReference">
    <w:name w:val="endnote reference"/>
    <w:uiPriority w:val="99"/>
    <w:unhideWhenUsed/>
    <w:locked/>
    <w:rsid w:val="00271F77"/>
    <w:rPr>
      <w:b w:val="0"/>
      <w:i w:val="0"/>
      <w:sz w:val="15"/>
      <w:szCs w:val="15"/>
      <w:lang w:val="en-AU"/>
    </w:rPr>
  </w:style>
  <w:style w:type="paragraph" w:customStyle="1" w:styleId="ESDisclaimer">
    <w:name w:val="ES_Disclaimer"/>
    <w:basedOn w:val="Normal"/>
    <w:qFormat/>
    <w:rsid w:val="00271F77"/>
    <w:pPr>
      <w:spacing w:after="40" w:line="240" w:lineRule="auto"/>
    </w:pPr>
    <w:rPr>
      <w:rFonts w:cstheme="minorHAnsi"/>
      <w:color w:val="7F7F7F" w:themeColor="text1" w:themeTint="80"/>
      <w:sz w:val="13"/>
      <w:szCs w:val="13"/>
    </w:rPr>
  </w:style>
  <w:style w:type="table" w:customStyle="1" w:styleId="TableGrid1">
    <w:name w:val="Table Grid1"/>
    <w:basedOn w:val="TableNormal"/>
    <w:next w:val="TableGrid"/>
    <w:uiPriority w:val="39"/>
    <w:rsid w:val="00F97B56"/>
    <w:rPr>
      <w:rFonts w:eastAsia="Arial"/>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locked/>
    <w:rsid w:val="00F97B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1,List Paragraph11,Bullet point,L,Recommendation,DDM Gen Text,List Paragraph - bullets,NFP GP Bulleted List,bullet point list,Bullet points,Content descriptions,Bullet Point,Dot Points,List Bullet 1,List Paragraph Number"/>
    <w:basedOn w:val="Normal"/>
    <w:link w:val="ListParagraphChar"/>
    <w:uiPriority w:val="34"/>
    <w:qFormat/>
    <w:locked/>
    <w:rsid w:val="00F97B56"/>
    <w:pPr>
      <w:ind w:left="720"/>
      <w:contextualSpacing/>
    </w:pPr>
  </w:style>
  <w:style w:type="paragraph" w:customStyle="1" w:styleId="ESBulletsinTable">
    <w:name w:val="ES_Bullets in Table"/>
    <w:basedOn w:val="ListParagraph"/>
    <w:qFormat/>
    <w:rsid w:val="007B576C"/>
    <w:pPr>
      <w:numPr>
        <w:numId w:val="2"/>
      </w:numPr>
      <w:spacing w:before="120" w:line="240" w:lineRule="auto"/>
      <w:contextualSpacing w:val="0"/>
    </w:pPr>
    <w:rPr>
      <w:rFonts w:eastAsia="Arial" w:cs="Times New Roman"/>
      <w:szCs w:val="22"/>
      <w:lang w:val="en-AU"/>
    </w:rPr>
  </w:style>
  <w:style w:type="paragraph" w:customStyle="1" w:styleId="ESBulletsinTableLevel2">
    <w:name w:val="ES_Bullets in Table Level 2"/>
    <w:basedOn w:val="ListParagraph"/>
    <w:qFormat/>
    <w:rsid w:val="00226B71"/>
    <w:pPr>
      <w:numPr>
        <w:ilvl w:val="1"/>
        <w:numId w:val="2"/>
      </w:numPr>
      <w:spacing w:after="80" w:line="240" w:lineRule="auto"/>
    </w:pPr>
    <w:rPr>
      <w:rFonts w:eastAsia="Arial" w:cs="Times New Roman"/>
      <w:szCs w:val="22"/>
      <w:lang w:val="en-AU"/>
    </w:rPr>
  </w:style>
  <w:style w:type="paragraph" w:customStyle="1" w:styleId="ESWhiteTableHeading">
    <w:name w:val="ES_White Table Heading"/>
    <w:basedOn w:val="Normal"/>
    <w:qFormat/>
    <w:rsid w:val="00F85A39"/>
    <w:rPr>
      <w:rFonts w:eastAsia="Arial"/>
      <w:b/>
      <w:color w:val="FFFFFF" w:themeColor="background1"/>
      <w:sz w:val="20"/>
      <w:szCs w:val="20"/>
      <w:lang w:val="en-AU"/>
    </w:rPr>
  </w:style>
  <w:style w:type="paragraph" w:styleId="BalloonText">
    <w:name w:val="Balloon Text"/>
    <w:basedOn w:val="Normal"/>
    <w:link w:val="BalloonTextChar"/>
    <w:uiPriority w:val="99"/>
    <w:semiHidden/>
    <w:unhideWhenUsed/>
    <w:locked/>
    <w:rsid w:val="00B527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2722"/>
    <w:rPr>
      <w:rFonts w:ascii="Tahoma" w:hAnsi="Tahoma" w:cs="Tahoma"/>
      <w:sz w:val="16"/>
      <w:szCs w:val="16"/>
    </w:rPr>
  </w:style>
  <w:style w:type="character" w:styleId="Hyperlink">
    <w:name w:val="Hyperlink"/>
    <w:basedOn w:val="DefaultParagraphFont"/>
    <w:uiPriority w:val="99"/>
    <w:unhideWhenUsed/>
    <w:locked/>
    <w:rsid w:val="00F0378A"/>
    <w:rPr>
      <w:color w:val="0000FF" w:themeColor="hyperlink"/>
      <w:u w:val="single"/>
    </w:rPr>
  </w:style>
  <w:style w:type="paragraph" w:styleId="BodyText">
    <w:name w:val="Body Text"/>
    <w:basedOn w:val="Normal"/>
    <w:link w:val="BodyTextChar"/>
    <w:uiPriority w:val="1"/>
    <w:qFormat/>
    <w:locked/>
    <w:rsid w:val="009E49FB"/>
    <w:pPr>
      <w:spacing w:after="200" w:line="276" w:lineRule="auto"/>
    </w:pPr>
    <w:rPr>
      <w:rFonts w:eastAsiaTheme="minorHAnsi"/>
      <w:lang w:val="en-AU"/>
    </w:rPr>
  </w:style>
  <w:style w:type="character" w:customStyle="1" w:styleId="BodyTextChar">
    <w:name w:val="Body Text Char"/>
    <w:basedOn w:val="DefaultParagraphFont"/>
    <w:link w:val="BodyText"/>
    <w:uiPriority w:val="1"/>
    <w:rsid w:val="009E49FB"/>
    <w:rPr>
      <w:rFonts w:ascii="Arial" w:eastAsiaTheme="minorHAnsi" w:hAnsi="Arial" w:cs="Arial"/>
      <w:sz w:val="18"/>
      <w:szCs w:val="18"/>
      <w:lang w:val="en-AU"/>
    </w:rPr>
  </w:style>
  <w:style w:type="table" w:customStyle="1" w:styleId="TableGrid11">
    <w:name w:val="Table Grid11"/>
    <w:basedOn w:val="TableNormal"/>
    <w:next w:val="TableGrid"/>
    <w:uiPriority w:val="59"/>
    <w:rsid w:val="00810AF4"/>
    <w:rPr>
      <w:rFonts w:eastAsia="Arial"/>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s">
    <w:name w:val="Notes"/>
    <w:basedOn w:val="Normal"/>
    <w:link w:val="NotesChar"/>
    <w:uiPriority w:val="2"/>
    <w:qFormat/>
    <w:rsid w:val="00810AF4"/>
    <w:pPr>
      <w:tabs>
        <w:tab w:val="left" w:pos="454"/>
      </w:tabs>
      <w:spacing w:after="0" w:line="240" w:lineRule="auto"/>
      <w:ind w:left="461" w:hanging="461"/>
    </w:pPr>
    <w:rPr>
      <w:rFonts w:ascii="Calibri" w:eastAsia="Times New Roman" w:hAnsi="Calibri" w:cs="Times New Roman"/>
      <w:i/>
      <w:sz w:val="15"/>
      <w:szCs w:val="20"/>
      <w:lang w:val="en-AU"/>
    </w:rPr>
  </w:style>
  <w:style w:type="character" w:customStyle="1" w:styleId="NotesChar">
    <w:name w:val="Notes Char"/>
    <w:link w:val="Notes"/>
    <w:uiPriority w:val="2"/>
    <w:locked/>
    <w:rsid w:val="00810AF4"/>
    <w:rPr>
      <w:rFonts w:ascii="Calibri" w:eastAsia="Times New Roman" w:hAnsi="Calibri" w:cs="Times New Roman"/>
      <w:i/>
      <w:sz w:val="15"/>
      <w:szCs w:val="20"/>
      <w:lang w:val="en-AU"/>
    </w:rPr>
  </w:style>
  <w:style w:type="table" w:customStyle="1" w:styleId="TableGrid12">
    <w:name w:val="Table Grid12"/>
    <w:basedOn w:val="TableNormal"/>
    <w:next w:val="TableGrid"/>
    <w:uiPriority w:val="59"/>
    <w:rsid w:val="00810AF4"/>
    <w:rPr>
      <w:rFonts w:eastAsia="Arial"/>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qFormat/>
    <w:locked/>
    <w:rsid w:val="008F0F12"/>
    <w:pPr>
      <w:tabs>
        <w:tab w:val="num" w:pos="360"/>
      </w:tabs>
      <w:spacing w:line="240" w:lineRule="auto"/>
      <w:ind w:left="360" w:hanging="360"/>
    </w:pPr>
    <w:rPr>
      <w:rFonts w:asciiTheme="minorHAnsi" w:eastAsiaTheme="minorHAnsi" w:hAnsiTheme="minorHAnsi" w:cstheme="minorBidi"/>
      <w:szCs w:val="22"/>
      <w:lang w:val="en-AU"/>
    </w:rPr>
  </w:style>
  <w:style w:type="character" w:customStyle="1" w:styleId="BulletstyleforStrategicPlanChar">
    <w:name w:val="Bullet style for Strategic Plan Char"/>
    <w:basedOn w:val="DefaultParagraphFont"/>
    <w:link w:val="BulletstyleforStrategicPlan"/>
    <w:locked/>
    <w:rsid w:val="008F0F12"/>
    <w:rPr>
      <w:rFonts w:ascii="Arial" w:hAnsi="Arial" w:cs="Arial"/>
    </w:rPr>
  </w:style>
  <w:style w:type="paragraph" w:customStyle="1" w:styleId="BulletstyleforStrategicPlan">
    <w:name w:val="Bullet style for Strategic Plan"/>
    <w:basedOn w:val="Normal"/>
    <w:link w:val="BulletstyleforStrategicPlanChar"/>
    <w:qFormat/>
    <w:rsid w:val="008F0F12"/>
    <w:pPr>
      <w:spacing w:line="228" w:lineRule="atLeast"/>
      <w:ind w:left="170" w:hanging="170"/>
      <w:jc w:val="both"/>
    </w:pPr>
    <w:rPr>
      <w:sz w:val="24"/>
      <w:szCs w:val="24"/>
    </w:rPr>
  </w:style>
  <w:style w:type="paragraph" w:customStyle="1" w:styleId="LK-ESSubheading">
    <w:name w:val="LK-ES Subheading"/>
    <w:basedOn w:val="ESSubheading1"/>
    <w:link w:val="LK-ESSubheadingChar"/>
    <w:qFormat/>
    <w:rsid w:val="0034209E"/>
    <w:pPr>
      <w:spacing w:before="360" w:after="240"/>
      <w:ind w:left="0"/>
    </w:pPr>
    <w:rPr>
      <w:i/>
      <w:sz w:val="24"/>
      <w:szCs w:val="24"/>
      <w:lang w:val="en-AU"/>
    </w:rPr>
  </w:style>
  <w:style w:type="character" w:customStyle="1" w:styleId="ESIntroParagraphChar">
    <w:name w:val="ES_Intro Paragraph Char"/>
    <w:basedOn w:val="SubtitleChar"/>
    <w:link w:val="ESIntroParagraph"/>
    <w:rsid w:val="00623DD3"/>
    <w:rPr>
      <w:rFonts w:ascii="Arial" w:eastAsiaTheme="majorEastAsia" w:hAnsi="Arial" w:cstheme="majorBidi"/>
      <w:color w:val="5A5A59"/>
      <w:sz w:val="27"/>
      <w:szCs w:val="27"/>
    </w:rPr>
  </w:style>
  <w:style w:type="character" w:customStyle="1" w:styleId="ESSubheading1Char">
    <w:name w:val="ES_Subheading 1 Char"/>
    <w:basedOn w:val="ESIntroParagraphChar"/>
    <w:link w:val="ESSubheading1"/>
    <w:rsid w:val="00623DD3"/>
    <w:rPr>
      <w:rFonts w:ascii="Arial" w:eastAsiaTheme="majorEastAsia" w:hAnsi="Arial" w:cstheme="majorBidi"/>
      <w:color w:val="AF272F"/>
      <w:sz w:val="28"/>
      <w:szCs w:val="27"/>
    </w:rPr>
  </w:style>
  <w:style w:type="character" w:customStyle="1" w:styleId="LK-ESSubheadingChar">
    <w:name w:val="LK-ES Subheading Char"/>
    <w:basedOn w:val="ESSubheading1Char"/>
    <w:link w:val="LK-ESSubheading"/>
    <w:rsid w:val="00623DD3"/>
    <w:rPr>
      <w:rFonts w:ascii="Arial" w:eastAsiaTheme="majorEastAsia" w:hAnsi="Arial" w:cstheme="majorBidi"/>
      <w:i/>
      <w:color w:val="AF272F"/>
      <w:sz w:val="28"/>
      <w:szCs w:val="27"/>
      <w:lang w:val="en-AU"/>
    </w:rPr>
  </w:style>
  <w:style w:type="paragraph" w:customStyle="1" w:styleId="ESTitle">
    <w:name w:val="ES_Title"/>
    <w:basedOn w:val="ESHeading1"/>
    <w:next w:val="ESHeading1"/>
    <w:link w:val="ESTitleChar"/>
    <w:qFormat/>
    <w:rsid w:val="0034209E"/>
  </w:style>
  <w:style w:type="character" w:customStyle="1" w:styleId="ESTitleChar">
    <w:name w:val="ES_Title Char"/>
    <w:basedOn w:val="TitleChar"/>
    <w:link w:val="ESTitle"/>
    <w:rsid w:val="009C5C92"/>
    <w:rPr>
      <w:rFonts w:ascii="Arial" w:eastAsiaTheme="majorEastAsia" w:hAnsi="Arial" w:cstheme="majorBidi"/>
      <w:b/>
      <w:color w:val="AF272F"/>
      <w:spacing w:val="5"/>
      <w:kern w:val="28"/>
      <w:sz w:val="44"/>
      <w:szCs w:val="52"/>
    </w:rPr>
  </w:style>
  <w:style w:type="character" w:styleId="CommentReference">
    <w:name w:val="annotation reference"/>
    <w:basedOn w:val="DefaultParagraphFont"/>
    <w:uiPriority w:val="99"/>
    <w:semiHidden/>
    <w:unhideWhenUsed/>
    <w:locked/>
    <w:rsid w:val="00CA13FA"/>
    <w:rPr>
      <w:sz w:val="16"/>
      <w:szCs w:val="16"/>
    </w:rPr>
  </w:style>
  <w:style w:type="paragraph" w:styleId="CommentText">
    <w:name w:val="annotation text"/>
    <w:basedOn w:val="Normal"/>
    <w:link w:val="CommentTextChar"/>
    <w:uiPriority w:val="99"/>
    <w:semiHidden/>
    <w:unhideWhenUsed/>
    <w:locked/>
    <w:rsid w:val="00CA13FA"/>
    <w:pPr>
      <w:spacing w:line="240" w:lineRule="auto"/>
    </w:pPr>
    <w:rPr>
      <w:sz w:val="20"/>
      <w:szCs w:val="20"/>
    </w:rPr>
  </w:style>
  <w:style w:type="character" w:customStyle="1" w:styleId="CommentTextChar">
    <w:name w:val="Comment Text Char"/>
    <w:basedOn w:val="DefaultParagraphFont"/>
    <w:link w:val="CommentText"/>
    <w:uiPriority w:val="99"/>
    <w:semiHidden/>
    <w:rsid w:val="00CA13FA"/>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locked/>
    <w:rsid w:val="00CA13FA"/>
    <w:rPr>
      <w:b/>
      <w:bCs/>
    </w:rPr>
  </w:style>
  <w:style w:type="character" w:customStyle="1" w:styleId="CommentSubjectChar">
    <w:name w:val="Comment Subject Char"/>
    <w:basedOn w:val="CommentTextChar"/>
    <w:link w:val="CommentSubject"/>
    <w:uiPriority w:val="99"/>
    <w:semiHidden/>
    <w:rsid w:val="00CA13FA"/>
    <w:rPr>
      <w:rFonts w:ascii="Arial" w:hAnsi="Arial" w:cs="Arial"/>
      <w:b/>
      <w:bCs/>
      <w:sz w:val="20"/>
      <w:szCs w:val="20"/>
    </w:rPr>
  </w:style>
  <w:style w:type="character" w:customStyle="1" w:styleId="TabletextChar">
    <w:name w:val="Table text Char"/>
    <w:link w:val="Tabletext"/>
    <w:locked/>
    <w:rsid w:val="005A1F58"/>
    <w:rPr>
      <w:rFonts w:ascii="Calibri" w:eastAsia="Times New Roman" w:hAnsi="Calibri" w:cs="Times New Roman"/>
      <w:sz w:val="20"/>
      <w:szCs w:val="18"/>
    </w:rPr>
  </w:style>
  <w:style w:type="paragraph" w:customStyle="1" w:styleId="Tabletext">
    <w:name w:val="Table text"/>
    <w:basedOn w:val="TableofFigures"/>
    <w:link w:val="TabletextChar"/>
    <w:qFormat/>
    <w:rsid w:val="005A1F58"/>
    <w:pPr>
      <w:spacing w:line="240" w:lineRule="auto"/>
      <w:ind w:left="180" w:hanging="180"/>
    </w:pPr>
    <w:rPr>
      <w:rFonts w:ascii="Calibri" w:eastAsia="Times New Roman" w:hAnsi="Calibri" w:cs="Times New Roman"/>
      <w:sz w:val="20"/>
    </w:rPr>
  </w:style>
  <w:style w:type="paragraph" w:customStyle="1" w:styleId="Tabletextheadingleft">
    <w:name w:val="Table text heading left"/>
    <w:basedOn w:val="Normal"/>
    <w:rsid w:val="005A1F58"/>
    <w:pPr>
      <w:spacing w:after="0" w:line="240" w:lineRule="auto"/>
    </w:pPr>
    <w:rPr>
      <w:rFonts w:ascii="Calibri" w:eastAsia="Times New Roman" w:hAnsi="Calibri" w:cs="Times New Roman"/>
      <w:i/>
      <w:sz w:val="20"/>
      <w:lang w:val="en-AU"/>
    </w:rPr>
  </w:style>
  <w:style w:type="paragraph" w:customStyle="1" w:styleId="Tabletextnoindent">
    <w:name w:val="Table text no indent"/>
    <w:basedOn w:val="Tabletext"/>
    <w:qFormat/>
    <w:rsid w:val="005A1F58"/>
    <w:pPr>
      <w:spacing w:after="80"/>
      <w:ind w:left="0" w:firstLine="0"/>
    </w:pPr>
  </w:style>
  <w:style w:type="paragraph" w:styleId="TableofFigures">
    <w:name w:val="table of figures"/>
    <w:basedOn w:val="Normal"/>
    <w:next w:val="Normal"/>
    <w:uiPriority w:val="99"/>
    <w:semiHidden/>
    <w:unhideWhenUsed/>
    <w:locked/>
    <w:rsid w:val="005A1F58"/>
    <w:pPr>
      <w:spacing w:after="0"/>
    </w:pPr>
  </w:style>
  <w:style w:type="paragraph" w:customStyle="1" w:styleId="ESbullet1">
    <w:name w:val="ES_bullet 1"/>
    <w:basedOn w:val="ESBodyText"/>
    <w:qFormat/>
    <w:rsid w:val="00E9584B"/>
    <w:pPr>
      <w:spacing w:after="180" w:line="240" w:lineRule="auto"/>
      <w:ind w:left="284" w:hanging="284"/>
    </w:pPr>
  </w:style>
  <w:style w:type="paragraph" w:customStyle="1" w:styleId="ESbullet2">
    <w:name w:val="ES_bullet 2"/>
    <w:basedOn w:val="ESbullet1"/>
    <w:qFormat/>
    <w:rsid w:val="00E9584B"/>
    <w:pPr>
      <w:numPr>
        <w:numId w:val="4"/>
      </w:numPr>
    </w:pPr>
  </w:style>
  <w:style w:type="paragraph" w:customStyle="1" w:styleId="ESTableheadingwhite">
    <w:name w:val="ES_Table heading white"/>
    <w:basedOn w:val="ESBodyText"/>
    <w:qFormat/>
    <w:rsid w:val="00E9584B"/>
    <w:pPr>
      <w:spacing w:before="80" w:after="80" w:line="240" w:lineRule="auto"/>
    </w:pPr>
    <w:rPr>
      <w:b/>
      <w:color w:val="FFFFFF" w:themeColor="background1"/>
    </w:rPr>
  </w:style>
  <w:style w:type="paragraph" w:customStyle="1" w:styleId="ESTableheading">
    <w:name w:val="ES_Table heading"/>
    <w:basedOn w:val="ESTableheadingwhite"/>
    <w:qFormat/>
    <w:rsid w:val="00E9584B"/>
    <w:rPr>
      <w:color w:val="4F81BD" w:themeColor="accent1"/>
    </w:rPr>
  </w:style>
  <w:style w:type="table" w:customStyle="1" w:styleId="TableGrid2">
    <w:name w:val="Table Grid2"/>
    <w:basedOn w:val="TableNormal"/>
    <w:next w:val="TableGrid"/>
    <w:uiPriority w:val="39"/>
    <w:rsid w:val="00A303F1"/>
    <w:rPr>
      <w:rFonts w:eastAsia="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locked/>
    <w:rsid w:val="0007204F"/>
    <w:pPr>
      <w:spacing w:after="150" w:line="240" w:lineRule="auto"/>
    </w:pPr>
    <w:rPr>
      <w:rFonts w:ascii="Times New Roman" w:eastAsia="Times New Roman" w:hAnsi="Times New Roman" w:cs="Times New Roman"/>
      <w:sz w:val="24"/>
      <w:szCs w:val="24"/>
      <w:lang w:val="en-AU" w:eastAsia="en-AU"/>
    </w:rPr>
  </w:style>
  <w:style w:type="paragraph" w:styleId="Revision">
    <w:name w:val="Revision"/>
    <w:hidden/>
    <w:uiPriority w:val="99"/>
    <w:semiHidden/>
    <w:rsid w:val="00F254E7"/>
    <w:rPr>
      <w:rFonts w:ascii="Arial" w:hAnsi="Arial" w:cs="Arial"/>
      <w:sz w:val="18"/>
      <w:szCs w:val="18"/>
    </w:rPr>
  </w:style>
  <w:style w:type="character" w:styleId="FollowedHyperlink">
    <w:name w:val="FollowedHyperlink"/>
    <w:basedOn w:val="DefaultParagraphFont"/>
    <w:uiPriority w:val="99"/>
    <w:semiHidden/>
    <w:unhideWhenUsed/>
    <w:locked/>
    <w:rsid w:val="00FC27D8"/>
    <w:rPr>
      <w:color w:val="800080" w:themeColor="followedHyperlink"/>
      <w:u w:val="single"/>
    </w:rPr>
  </w:style>
  <w:style w:type="character" w:customStyle="1" w:styleId="ListParagraphChar">
    <w:name w:val="List Paragraph Char"/>
    <w:aliases w:val="List Paragraph1 Char,List Paragraph11 Char,Bullet point Char,L Char,Recommendation Char,DDM Gen Text Char,List Paragraph - bullets Char,NFP GP Bulleted List Char,bullet point list Char,Bullet points Char,Content descriptions Char"/>
    <w:basedOn w:val="DefaultParagraphFont"/>
    <w:link w:val="ListParagraph"/>
    <w:uiPriority w:val="34"/>
    <w:locked/>
    <w:rsid w:val="00363ABD"/>
    <w:rPr>
      <w:rFonts w:ascii="Arial" w:hAnsi="Arial" w:cs="Arial"/>
      <w:sz w:val="18"/>
      <w:szCs w:val="18"/>
    </w:rPr>
  </w:style>
  <w:style w:type="paragraph" w:customStyle="1" w:styleId="Default">
    <w:name w:val="Default"/>
    <w:rsid w:val="00E426A5"/>
    <w:pPr>
      <w:autoSpaceDE w:val="0"/>
      <w:autoSpaceDN w:val="0"/>
      <w:adjustRightInd w:val="0"/>
    </w:pPr>
    <w:rPr>
      <w:rFonts w:ascii="Calibri" w:hAnsi="Calibri" w:cs="Calibri"/>
      <w:color w:val="000000"/>
      <w:lang w:val="en-AU"/>
    </w:rPr>
  </w:style>
  <w:style w:type="table" w:styleId="PlainTable1">
    <w:name w:val="Plain Table 1"/>
    <w:basedOn w:val="TableNormal"/>
    <w:uiPriority w:val="41"/>
    <w:rsid w:val="00797AE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D75C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93898">
      <w:bodyDiv w:val="1"/>
      <w:marLeft w:val="0"/>
      <w:marRight w:val="0"/>
      <w:marTop w:val="0"/>
      <w:marBottom w:val="0"/>
      <w:divBdr>
        <w:top w:val="none" w:sz="0" w:space="0" w:color="auto"/>
        <w:left w:val="none" w:sz="0" w:space="0" w:color="auto"/>
        <w:bottom w:val="none" w:sz="0" w:space="0" w:color="auto"/>
        <w:right w:val="none" w:sz="0" w:space="0" w:color="auto"/>
      </w:divBdr>
    </w:div>
    <w:div w:id="121583592">
      <w:bodyDiv w:val="1"/>
      <w:marLeft w:val="0"/>
      <w:marRight w:val="0"/>
      <w:marTop w:val="0"/>
      <w:marBottom w:val="0"/>
      <w:divBdr>
        <w:top w:val="none" w:sz="0" w:space="0" w:color="auto"/>
        <w:left w:val="none" w:sz="0" w:space="0" w:color="auto"/>
        <w:bottom w:val="none" w:sz="0" w:space="0" w:color="auto"/>
        <w:right w:val="none" w:sz="0" w:space="0" w:color="auto"/>
      </w:divBdr>
    </w:div>
    <w:div w:id="211769289">
      <w:bodyDiv w:val="1"/>
      <w:marLeft w:val="0"/>
      <w:marRight w:val="0"/>
      <w:marTop w:val="0"/>
      <w:marBottom w:val="0"/>
      <w:divBdr>
        <w:top w:val="none" w:sz="0" w:space="0" w:color="auto"/>
        <w:left w:val="none" w:sz="0" w:space="0" w:color="auto"/>
        <w:bottom w:val="none" w:sz="0" w:space="0" w:color="auto"/>
        <w:right w:val="none" w:sz="0" w:space="0" w:color="auto"/>
      </w:divBdr>
    </w:div>
    <w:div w:id="304313473">
      <w:bodyDiv w:val="1"/>
      <w:marLeft w:val="0"/>
      <w:marRight w:val="0"/>
      <w:marTop w:val="0"/>
      <w:marBottom w:val="0"/>
      <w:divBdr>
        <w:top w:val="none" w:sz="0" w:space="0" w:color="auto"/>
        <w:left w:val="none" w:sz="0" w:space="0" w:color="auto"/>
        <w:bottom w:val="none" w:sz="0" w:space="0" w:color="auto"/>
        <w:right w:val="none" w:sz="0" w:space="0" w:color="auto"/>
      </w:divBdr>
    </w:div>
    <w:div w:id="314143413">
      <w:bodyDiv w:val="1"/>
      <w:marLeft w:val="0"/>
      <w:marRight w:val="0"/>
      <w:marTop w:val="0"/>
      <w:marBottom w:val="0"/>
      <w:divBdr>
        <w:top w:val="none" w:sz="0" w:space="0" w:color="auto"/>
        <w:left w:val="none" w:sz="0" w:space="0" w:color="auto"/>
        <w:bottom w:val="none" w:sz="0" w:space="0" w:color="auto"/>
        <w:right w:val="none" w:sz="0" w:space="0" w:color="auto"/>
      </w:divBdr>
    </w:div>
    <w:div w:id="314989554">
      <w:bodyDiv w:val="1"/>
      <w:marLeft w:val="0"/>
      <w:marRight w:val="0"/>
      <w:marTop w:val="0"/>
      <w:marBottom w:val="0"/>
      <w:divBdr>
        <w:top w:val="none" w:sz="0" w:space="0" w:color="auto"/>
        <w:left w:val="none" w:sz="0" w:space="0" w:color="auto"/>
        <w:bottom w:val="none" w:sz="0" w:space="0" w:color="auto"/>
        <w:right w:val="none" w:sz="0" w:space="0" w:color="auto"/>
      </w:divBdr>
    </w:div>
    <w:div w:id="340742854">
      <w:bodyDiv w:val="1"/>
      <w:marLeft w:val="0"/>
      <w:marRight w:val="0"/>
      <w:marTop w:val="0"/>
      <w:marBottom w:val="0"/>
      <w:divBdr>
        <w:top w:val="none" w:sz="0" w:space="0" w:color="auto"/>
        <w:left w:val="none" w:sz="0" w:space="0" w:color="auto"/>
        <w:bottom w:val="none" w:sz="0" w:space="0" w:color="auto"/>
        <w:right w:val="none" w:sz="0" w:space="0" w:color="auto"/>
      </w:divBdr>
    </w:div>
    <w:div w:id="367141384">
      <w:bodyDiv w:val="1"/>
      <w:marLeft w:val="0"/>
      <w:marRight w:val="0"/>
      <w:marTop w:val="0"/>
      <w:marBottom w:val="0"/>
      <w:divBdr>
        <w:top w:val="none" w:sz="0" w:space="0" w:color="auto"/>
        <w:left w:val="none" w:sz="0" w:space="0" w:color="auto"/>
        <w:bottom w:val="none" w:sz="0" w:space="0" w:color="auto"/>
        <w:right w:val="none" w:sz="0" w:space="0" w:color="auto"/>
      </w:divBdr>
    </w:div>
    <w:div w:id="387343550">
      <w:bodyDiv w:val="1"/>
      <w:marLeft w:val="0"/>
      <w:marRight w:val="0"/>
      <w:marTop w:val="0"/>
      <w:marBottom w:val="0"/>
      <w:divBdr>
        <w:top w:val="none" w:sz="0" w:space="0" w:color="auto"/>
        <w:left w:val="none" w:sz="0" w:space="0" w:color="auto"/>
        <w:bottom w:val="none" w:sz="0" w:space="0" w:color="auto"/>
        <w:right w:val="none" w:sz="0" w:space="0" w:color="auto"/>
      </w:divBdr>
      <w:divsChild>
        <w:div w:id="612247946">
          <w:marLeft w:val="0"/>
          <w:marRight w:val="0"/>
          <w:marTop w:val="0"/>
          <w:marBottom w:val="0"/>
          <w:divBdr>
            <w:top w:val="none" w:sz="0" w:space="0" w:color="auto"/>
            <w:left w:val="none" w:sz="0" w:space="0" w:color="auto"/>
            <w:bottom w:val="none" w:sz="0" w:space="0" w:color="auto"/>
            <w:right w:val="none" w:sz="0" w:space="0" w:color="auto"/>
          </w:divBdr>
          <w:divsChild>
            <w:div w:id="2013603383">
              <w:marLeft w:val="0"/>
              <w:marRight w:val="0"/>
              <w:marTop w:val="0"/>
              <w:marBottom w:val="0"/>
              <w:divBdr>
                <w:top w:val="none" w:sz="0" w:space="0" w:color="auto"/>
                <w:left w:val="none" w:sz="0" w:space="0" w:color="auto"/>
                <w:bottom w:val="none" w:sz="0" w:space="0" w:color="auto"/>
                <w:right w:val="none" w:sz="0" w:space="0" w:color="auto"/>
              </w:divBdr>
              <w:divsChild>
                <w:div w:id="1854538875">
                  <w:marLeft w:val="0"/>
                  <w:marRight w:val="0"/>
                  <w:marTop w:val="0"/>
                  <w:marBottom w:val="0"/>
                  <w:divBdr>
                    <w:top w:val="none" w:sz="0" w:space="0" w:color="auto"/>
                    <w:left w:val="none" w:sz="0" w:space="0" w:color="auto"/>
                    <w:bottom w:val="none" w:sz="0" w:space="0" w:color="auto"/>
                    <w:right w:val="none" w:sz="0" w:space="0" w:color="auto"/>
                  </w:divBdr>
                  <w:divsChild>
                    <w:div w:id="1286817319">
                      <w:marLeft w:val="0"/>
                      <w:marRight w:val="0"/>
                      <w:marTop w:val="0"/>
                      <w:marBottom w:val="0"/>
                      <w:divBdr>
                        <w:top w:val="none" w:sz="0" w:space="0" w:color="auto"/>
                        <w:left w:val="none" w:sz="0" w:space="0" w:color="auto"/>
                        <w:bottom w:val="none" w:sz="0" w:space="0" w:color="auto"/>
                        <w:right w:val="none" w:sz="0" w:space="0" w:color="auto"/>
                      </w:divBdr>
                      <w:divsChild>
                        <w:div w:id="1785541928">
                          <w:marLeft w:val="0"/>
                          <w:marRight w:val="0"/>
                          <w:marTop w:val="1050"/>
                          <w:marBottom w:val="0"/>
                          <w:divBdr>
                            <w:top w:val="none" w:sz="0" w:space="0" w:color="auto"/>
                            <w:left w:val="none" w:sz="0" w:space="0" w:color="auto"/>
                            <w:bottom w:val="none" w:sz="0" w:space="0" w:color="auto"/>
                            <w:right w:val="none" w:sz="0" w:space="0" w:color="auto"/>
                          </w:divBdr>
                          <w:divsChild>
                            <w:div w:id="2087341147">
                              <w:marLeft w:val="-225"/>
                              <w:marRight w:val="-225"/>
                              <w:marTop w:val="0"/>
                              <w:marBottom w:val="0"/>
                              <w:divBdr>
                                <w:top w:val="none" w:sz="0" w:space="0" w:color="auto"/>
                                <w:left w:val="none" w:sz="0" w:space="0" w:color="auto"/>
                                <w:bottom w:val="none" w:sz="0" w:space="0" w:color="auto"/>
                                <w:right w:val="none" w:sz="0" w:space="0" w:color="auto"/>
                              </w:divBdr>
                              <w:divsChild>
                                <w:div w:id="774180011">
                                  <w:marLeft w:val="0"/>
                                  <w:marRight w:val="0"/>
                                  <w:marTop w:val="0"/>
                                  <w:marBottom w:val="0"/>
                                  <w:divBdr>
                                    <w:top w:val="none" w:sz="0" w:space="0" w:color="auto"/>
                                    <w:left w:val="none" w:sz="0" w:space="0" w:color="auto"/>
                                    <w:bottom w:val="none" w:sz="0" w:space="0" w:color="auto"/>
                                    <w:right w:val="none" w:sz="0" w:space="0" w:color="auto"/>
                                  </w:divBdr>
                                  <w:divsChild>
                                    <w:div w:id="1561869918">
                                      <w:marLeft w:val="0"/>
                                      <w:marRight w:val="0"/>
                                      <w:marTop w:val="0"/>
                                      <w:marBottom w:val="3000"/>
                                      <w:divBdr>
                                        <w:top w:val="single" w:sz="24" w:space="0" w:color="FFFFFF"/>
                                        <w:left w:val="none" w:sz="0" w:space="0" w:color="auto"/>
                                        <w:bottom w:val="none" w:sz="0" w:space="0" w:color="auto"/>
                                        <w:right w:val="none" w:sz="0" w:space="0" w:color="auto"/>
                                      </w:divBdr>
                                      <w:divsChild>
                                        <w:div w:id="63244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00638590">
      <w:bodyDiv w:val="1"/>
      <w:marLeft w:val="0"/>
      <w:marRight w:val="0"/>
      <w:marTop w:val="0"/>
      <w:marBottom w:val="0"/>
      <w:divBdr>
        <w:top w:val="none" w:sz="0" w:space="0" w:color="auto"/>
        <w:left w:val="none" w:sz="0" w:space="0" w:color="auto"/>
        <w:bottom w:val="none" w:sz="0" w:space="0" w:color="auto"/>
        <w:right w:val="none" w:sz="0" w:space="0" w:color="auto"/>
      </w:divBdr>
      <w:divsChild>
        <w:div w:id="35086565">
          <w:marLeft w:val="274"/>
          <w:marRight w:val="0"/>
          <w:marTop w:val="0"/>
          <w:marBottom w:val="0"/>
          <w:divBdr>
            <w:top w:val="none" w:sz="0" w:space="0" w:color="auto"/>
            <w:left w:val="none" w:sz="0" w:space="0" w:color="auto"/>
            <w:bottom w:val="none" w:sz="0" w:space="0" w:color="auto"/>
            <w:right w:val="none" w:sz="0" w:space="0" w:color="auto"/>
          </w:divBdr>
        </w:div>
        <w:div w:id="135225814">
          <w:marLeft w:val="274"/>
          <w:marRight w:val="0"/>
          <w:marTop w:val="0"/>
          <w:marBottom w:val="0"/>
          <w:divBdr>
            <w:top w:val="none" w:sz="0" w:space="0" w:color="auto"/>
            <w:left w:val="none" w:sz="0" w:space="0" w:color="auto"/>
            <w:bottom w:val="none" w:sz="0" w:space="0" w:color="auto"/>
            <w:right w:val="none" w:sz="0" w:space="0" w:color="auto"/>
          </w:divBdr>
        </w:div>
        <w:div w:id="1194272624">
          <w:marLeft w:val="274"/>
          <w:marRight w:val="0"/>
          <w:marTop w:val="0"/>
          <w:marBottom w:val="0"/>
          <w:divBdr>
            <w:top w:val="none" w:sz="0" w:space="0" w:color="auto"/>
            <w:left w:val="none" w:sz="0" w:space="0" w:color="auto"/>
            <w:bottom w:val="none" w:sz="0" w:space="0" w:color="auto"/>
            <w:right w:val="none" w:sz="0" w:space="0" w:color="auto"/>
          </w:divBdr>
        </w:div>
        <w:div w:id="1548369223">
          <w:marLeft w:val="274"/>
          <w:marRight w:val="0"/>
          <w:marTop w:val="0"/>
          <w:marBottom w:val="0"/>
          <w:divBdr>
            <w:top w:val="none" w:sz="0" w:space="0" w:color="auto"/>
            <w:left w:val="none" w:sz="0" w:space="0" w:color="auto"/>
            <w:bottom w:val="none" w:sz="0" w:space="0" w:color="auto"/>
            <w:right w:val="none" w:sz="0" w:space="0" w:color="auto"/>
          </w:divBdr>
        </w:div>
        <w:div w:id="99225277">
          <w:marLeft w:val="274"/>
          <w:marRight w:val="0"/>
          <w:marTop w:val="0"/>
          <w:marBottom w:val="0"/>
          <w:divBdr>
            <w:top w:val="none" w:sz="0" w:space="0" w:color="auto"/>
            <w:left w:val="none" w:sz="0" w:space="0" w:color="auto"/>
            <w:bottom w:val="none" w:sz="0" w:space="0" w:color="auto"/>
            <w:right w:val="none" w:sz="0" w:space="0" w:color="auto"/>
          </w:divBdr>
        </w:div>
        <w:div w:id="895429622">
          <w:marLeft w:val="274"/>
          <w:marRight w:val="0"/>
          <w:marTop w:val="0"/>
          <w:marBottom w:val="0"/>
          <w:divBdr>
            <w:top w:val="none" w:sz="0" w:space="0" w:color="auto"/>
            <w:left w:val="none" w:sz="0" w:space="0" w:color="auto"/>
            <w:bottom w:val="none" w:sz="0" w:space="0" w:color="auto"/>
            <w:right w:val="none" w:sz="0" w:space="0" w:color="auto"/>
          </w:divBdr>
        </w:div>
        <w:div w:id="1573158599">
          <w:marLeft w:val="274"/>
          <w:marRight w:val="0"/>
          <w:marTop w:val="0"/>
          <w:marBottom w:val="0"/>
          <w:divBdr>
            <w:top w:val="none" w:sz="0" w:space="0" w:color="auto"/>
            <w:left w:val="none" w:sz="0" w:space="0" w:color="auto"/>
            <w:bottom w:val="none" w:sz="0" w:space="0" w:color="auto"/>
            <w:right w:val="none" w:sz="0" w:space="0" w:color="auto"/>
          </w:divBdr>
        </w:div>
        <w:div w:id="1823621501">
          <w:marLeft w:val="274"/>
          <w:marRight w:val="0"/>
          <w:marTop w:val="0"/>
          <w:marBottom w:val="0"/>
          <w:divBdr>
            <w:top w:val="none" w:sz="0" w:space="0" w:color="auto"/>
            <w:left w:val="none" w:sz="0" w:space="0" w:color="auto"/>
            <w:bottom w:val="none" w:sz="0" w:space="0" w:color="auto"/>
            <w:right w:val="none" w:sz="0" w:space="0" w:color="auto"/>
          </w:divBdr>
        </w:div>
        <w:div w:id="1415855145">
          <w:marLeft w:val="274"/>
          <w:marRight w:val="0"/>
          <w:marTop w:val="0"/>
          <w:marBottom w:val="0"/>
          <w:divBdr>
            <w:top w:val="none" w:sz="0" w:space="0" w:color="auto"/>
            <w:left w:val="none" w:sz="0" w:space="0" w:color="auto"/>
            <w:bottom w:val="none" w:sz="0" w:space="0" w:color="auto"/>
            <w:right w:val="none" w:sz="0" w:space="0" w:color="auto"/>
          </w:divBdr>
        </w:div>
        <w:div w:id="50035201">
          <w:marLeft w:val="274"/>
          <w:marRight w:val="0"/>
          <w:marTop w:val="0"/>
          <w:marBottom w:val="0"/>
          <w:divBdr>
            <w:top w:val="none" w:sz="0" w:space="0" w:color="auto"/>
            <w:left w:val="none" w:sz="0" w:space="0" w:color="auto"/>
            <w:bottom w:val="none" w:sz="0" w:space="0" w:color="auto"/>
            <w:right w:val="none" w:sz="0" w:space="0" w:color="auto"/>
          </w:divBdr>
        </w:div>
        <w:div w:id="1033262050">
          <w:marLeft w:val="274"/>
          <w:marRight w:val="0"/>
          <w:marTop w:val="0"/>
          <w:marBottom w:val="0"/>
          <w:divBdr>
            <w:top w:val="none" w:sz="0" w:space="0" w:color="auto"/>
            <w:left w:val="none" w:sz="0" w:space="0" w:color="auto"/>
            <w:bottom w:val="none" w:sz="0" w:space="0" w:color="auto"/>
            <w:right w:val="none" w:sz="0" w:space="0" w:color="auto"/>
          </w:divBdr>
        </w:div>
        <w:div w:id="521406471">
          <w:marLeft w:val="274"/>
          <w:marRight w:val="0"/>
          <w:marTop w:val="0"/>
          <w:marBottom w:val="0"/>
          <w:divBdr>
            <w:top w:val="none" w:sz="0" w:space="0" w:color="auto"/>
            <w:left w:val="none" w:sz="0" w:space="0" w:color="auto"/>
            <w:bottom w:val="none" w:sz="0" w:space="0" w:color="auto"/>
            <w:right w:val="none" w:sz="0" w:space="0" w:color="auto"/>
          </w:divBdr>
        </w:div>
        <w:div w:id="651910795">
          <w:marLeft w:val="274"/>
          <w:marRight w:val="0"/>
          <w:marTop w:val="0"/>
          <w:marBottom w:val="0"/>
          <w:divBdr>
            <w:top w:val="none" w:sz="0" w:space="0" w:color="auto"/>
            <w:left w:val="none" w:sz="0" w:space="0" w:color="auto"/>
            <w:bottom w:val="none" w:sz="0" w:space="0" w:color="auto"/>
            <w:right w:val="none" w:sz="0" w:space="0" w:color="auto"/>
          </w:divBdr>
        </w:div>
        <w:div w:id="1654018933">
          <w:marLeft w:val="274"/>
          <w:marRight w:val="0"/>
          <w:marTop w:val="0"/>
          <w:marBottom w:val="0"/>
          <w:divBdr>
            <w:top w:val="none" w:sz="0" w:space="0" w:color="auto"/>
            <w:left w:val="none" w:sz="0" w:space="0" w:color="auto"/>
            <w:bottom w:val="none" w:sz="0" w:space="0" w:color="auto"/>
            <w:right w:val="none" w:sz="0" w:space="0" w:color="auto"/>
          </w:divBdr>
        </w:div>
        <w:div w:id="1766925169">
          <w:marLeft w:val="274"/>
          <w:marRight w:val="0"/>
          <w:marTop w:val="0"/>
          <w:marBottom w:val="0"/>
          <w:divBdr>
            <w:top w:val="none" w:sz="0" w:space="0" w:color="auto"/>
            <w:left w:val="none" w:sz="0" w:space="0" w:color="auto"/>
            <w:bottom w:val="none" w:sz="0" w:space="0" w:color="auto"/>
            <w:right w:val="none" w:sz="0" w:space="0" w:color="auto"/>
          </w:divBdr>
        </w:div>
        <w:div w:id="1683389750">
          <w:marLeft w:val="274"/>
          <w:marRight w:val="0"/>
          <w:marTop w:val="0"/>
          <w:marBottom w:val="0"/>
          <w:divBdr>
            <w:top w:val="none" w:sz="0" w:space="0" w:color="auto"/>
            <w:left w:val="none" w:sz="0" w:space="0" w:color="auto"/>
            <w:bottom w:val="none" w:sz="0" w:space="0" w:color="auto"/>
            <w:right w:val="none" w:sz="0" w:space="0" w:color="auto"/>
          </w:divBdr>
        </w:div>
        <w:div w:id="679742454">
          <w:marLeft w:val="274"/>
          <w:marRight w:val="0"/>
          <w:marTop w:val="0"/>
          <w:marBottom w:val="0"/>
          <w:divBdr>
            <w:top w:val="none" w:sz="0" w:space="0" w:color="auto"/>
            <w:left w:val="none" w:sz="0" w:space="0" w:color="auto"/>
            <w:bottom w:val="none" w:sz="0" w:space="0" w:color="auto"/>
            <w:right w:val="none" w:sz="0" w:space="0" w:color="auto"/>
          </w:divBdr>
        </w:div>
        <w:div w:id="1770154929">
          <w:marLeft w:val="274"/>
          <w:marRight w:val="0"/>
          <w:marTop w:val="0"/>
          <w:marBottom w:val="0"/>
          <w:divBdr>
            <w:top w:val="none" w:sz="0" w:space="0" w:color="auto"/>
            <w:left w:val="none" w:sz="0" w:space="0" w:color="auto"/>
            <w:bottom w:val="none" w:sz="0" w:space="0" w:color="auto"/>
            <w:right w:val="none" w:sz="0" w:space="0" w:color="auto"/>
          </w:divBdr>
        </w:div>
        <w:div w:id="1176848223">
          <w:marLeft w:val="274"/>
          <w:marRight w:val="0"/>
          <w:marTop w:val="0"/>
          <w:marBottom w:val="0"/>
          <w:divBdr>
            <w:top w:val="none" w:sz="0" w:space="0" w:color="auto"/>
            <w:left w:val="none" w:sz="0" w:space="0" w:color="auto"/>
            <w:bottom w:val="none" w:sz="0" w:space="0" w:color="auto"/>
            <w:right w:val="none" w:sz="0" w:space="0" w:color="auto"/>
          </w:divBdr>
        </w:div>
        <w:div w:id="608392074">
          <w:marLeft w:val="274"/>
          <w:marRight w:val="0"/>
          <w:marTop w:val="0"/>
          <w:marBottom w:val="0"/>
          <w:divBdr>
            <w:top w:val="none" w:sz="0" w:space="0" w:color="auto"/>
            <w:left w:val="none" w:sz="0" w:space="0" w:color="auto"/>
            <w:bottom w:val="none" w:sz="0" w:space="0" w:color="auto"/>
            <w:right w:val="none" w:sz="0" w:space="0" w:color="auto"/>
          </w:divBdr>
        </w:div>
        <w:div w:id="674504605">
          <w:marLeft w:val="274"/>
          <w:marRight w:val="0"/>
          <w:marTop w:val="0"/>
          <w:marBottom w:val="0"/>
          <w:divBdr>
            <w:top w:val="none" w:sz="0" w:space="0" w:color="auto"/>
            <w:left w:val="none" w:sz="0" w:space="0" w:color="auto"/>
            <w:bottom w:val="none" w:sz="0" w:space="0" w:color="auto"/>
            <w:right w:val="none" w:sz="0" w:space="0" w:color="auto"/>
          </w:divBdr>
        </w:div>
        <w:div w:id="1207109461">
          <w:marLeft w:val="274"/>
          <w:marRight w:val="0"/>
          <w:marTop w:val="0"/>
          <w:marBottom w:val="0"/>
          <w:divBdr>
            <w:top w:val="none" w:sz="0" w:space="0" w:color="auto"/>
            <w:left w:val="none" w:sz="0" w:space="0" w:color="auto"/>
            <w:bottom w:val="none" w:sz="0" w:space="0" w:color="auto"/>
            <w:right w:val="none" w:sz="0" w:space="0" w:color="auto"/>
          </w:divBdr>
        </w:div>
        <w:div w:id="2147314178">
          <w:marLeft w:val="274"/>
          <w:marRight w:val="0"/>
          <w:marTop w:val="0"/>
          <w:marBottom w:val="0"/>
          <w:divBdr>
            <w:top w:val="none" w:sz="0" w:space="0" w:color="auto"/>
            <w:left w:val="none" w:sz="0" w:space="0" w:color="auto"/>
            <w:bottom w:val="none" w:sz="0" w:space="0" w:color="auto"/>
            <w:right w:val="none" w:sz="0" w:space="0" w:color="auto"/>
          </w:divBdr>
        </w:div>
        <w:div w:id="1032879305">
          <w:marLeft w:val="274"/>
          <w:marRight w:val="0"/>
          <w:marTop w:val="0"/>
          <w:marBottom w:val="0"/>
          <w:divBdr>
            <w:top w:val="none" w:sz="0" w:space="0" w:color="auto"/>
            <w:left w:val="none" w:sz="0" w:space="0" w:color="auto"/>
            <w:bottom w:val="none" w:sz="0" w:space="0" w:color="auto"/>
            <w:right w:val="none" w:sz="0" w:space="0" w:color="auto"/>
          </w:divBdr>
        </w:div>
        <w:div w:id="2065249239">
          <w:marLeft w:val="274"/>
          <w:marRight w:val="0"/>
          <w:marTop w:val="0"/>
          <w:marBottom w:val="0"/>
          <w:divBdr>
            <w:top w:val="none" w:sz="0" w:space="0" w:color="auto"/>
            <w:left w:val="none" w:sz="0" w:space="0" w:color="auto"/>
            <w:bottom w:val="none" w:sz="0" w:space="0" w:color="auto"/>
            <w:right w:val="none" w:sz="0" w:space="0" w:color="auto"/>
          </w:divBdr>
        </w:div>
        <w:div w:id="1417628117">
          <w:marLeft w:val="274"/>
          <w:marRight w:val="0"/>
          <w:marTop w:val="0"/>
          <w:marBottom w:val="0"/>
          <w:divBdr>
            <w:top w:val="none" w:sz="0" w:space="0" w:color="auto"/>
            <w:left w:val="none" w:sz="0" w:space="0" w:color="auto"/>
            <w:bottom w:val="none" w:sz="0" w:space="0" w:color="auto"/>
            <w:right w:val="none" w:sz="0" w:space="0" w:color="auto"/>
          </w:divBdr>
        </w:div>
        <w:div w:id="2052656315">
          <w:marLeft w:val="274"/>
          <w:marRight w:val="0"/>
          <w:marTop w:val="0"/>
          <w:marBottom w:val="0"/>
          <w:divBdr>
            <w:top w:val="none" w:sz="0" w:space="0" w:color="auto"/>
            <w:left w:val="none" w:sz="0" w:space="0" w:color="auto"/>
            <w:bottom w:val="none" w:sz="0" w:space="0" w:color="auto"/>
            <w:right w:val="none" w:sz="0" w:space="0" w:color="auto"/>
          </w:divBdr>
        </w:div>
        <w:div w:id="180241873">
          <w:marLeft w:val="274"/>
          <w:marRight w:val="0"/>
          <w:marTop w:val="0"/>
          <w:marBottom w:val="0"/>
          <w:divBdr>
            <w:top w:val="none" w:sz="0" w:space="0" w:color="auto"/>
            <w:left w:val="none" w:sz="0" w:space="0" w:color="auto"/>
            <w:bottom w:val="none" w:sz="0" w:space="0" w:color="auto"/>
            <w:right w:val="none" w:sz="0" w:space="0" w:color="auto"/>
          </w:divBdr>
        </w:div>
        <w:div w:id="1220480221">
          <w:marLeft w:val="274"/>
          <w:marRight w:val="0"/>
          <w:marTop w:val="0"/>
          <w:marBottom w:val="0"/>
          <w:divBdr>
            <w:top w:val="none" w:sz="0" w:space="0" w:color="auto"/>
            <w:left w:val="none" w:sz="0" w:space="0" w:color="auto"/>
            <w:bottom w:val="none" w:sz="0" w:space="0" w:color="auto"/>
            <w:right w:val="none" w:sz="0" w:space="0" w:color="auto"/>
          </w:divBdr>
        </w:div>
        <w:div w:id="1755325140">
          <w:marLeft w:val="274"/>
          <w:marRight w:val="0"/>
          <w:marTop w:val="0"/>
          <w:marBottom w:val="0"/>
          <w:divBdr>
            <w:top w:val="none" w:sz="0" w:space="0" w:color="auto"/>
            <w:left w:val="none" w:sz="0" w:space="0" w:color="auto"/>
            <w:bottom w:val="none" w:sz="0" w:space="0" w:color="auto"/>
            <w:right w:val="none" w:sz="0" w:space="0" w:color="auto"/>
          </w:divBdr>
        </w:div>
        <w:div w:id="1257907288">
          <w:marLeft w:val="274"/>
          <w:marRight w:val="0"/>
          <w:marTop w:val="0"/>
          <w:marBottom w:val="0"/>
          <w:divBdr>
            <w:top w:val="none" w:sz="0" w:space="0" w:color="auto"/>
            <w:left w:val="none" w:sz="0" w:space="0" w:color="auto"/>
            <w:bottom w:val="none" w:sz="0" w:space="0" w:color="auto"/>
            <w:right w:val="none" w:sz="0" w:space="0" w:color="auto"/>
          </w:divBdr>
        </w:div>
      </w:divsChild>
    </w:div>
    <w:div w:id="415126749">
      <w:bodyDiv w:val="1"/>
      <w:marLeft w:val="0"/>
      <w:marRight w:val="0"/>
      <w:marTop w:val="0"/>
      <w:marBottom w:val="0"/>
      <w:divBdr>
        <w:top w:val="none" w:sz="0" w:space="0" w:color="auto"/>
        <w:left w:val="none" w:sz="0" w:space="0" w:color="auto"/>
        <w:bottom w:val="none" w:sz="0" w:space="0" w:color="auto"/>
        <w:right w:val="none" w:sz="0" w:space="0" w:color="auto"/>
      </w:divBdr>
    </w:div>
    <w:div w:id="504251114">
      <w:bodyDiv w:val="1"/>
      <w:marLeft w:val="0"/>
      <w:marRight w:val="0"/>
      <w:marTop w:val="0"/>
      <w:marBottom w:val="0"/>
      <w:divBdr>
        <w:top w:val="none" w:sz="0" w:space="0" w:color="auto"/>
        <w:left w:val="none" w:sz="0" w:space="0" w:color="auto"/>
        <w:bottom w:val="none" w:sz="0" w:space="0" w:color="auto"/>
        <w:right w:val="none" w:sz="0" w:space="0" w:color="auto"/>
      </w:divBdr>
    </w:div>
    <w:div w:id="616521998">
      <w:bodyDiv w:val="1"/>
      <w:marLeft w:val="0"/>
      <w:marRight w:val="0"/>
      <w:marTop w:val="0"/>
      <w:marBottom w:val="0"/>
      <w:divBdr>
        <w:top w:val="none" w:sz="0" w:space="0" w:color="auto"/>
        <w:left w:val="none" w:sz="0" w:space="0" w:color="auto"/>
        <w:bottom w:val="none" w:sz="0" w:space="0" w:color="auto"/>
        <w:right w:val="none" w:sz="0" w:space="0" w:color="auto"/>
      </w:divBdr>
      <w:divsChild>
        <w:div w:id="857622662">
          <w:marLeft w:val="274"/>
          <w:marRight w:val="0"/>
          <w:marTop w:val="0"/>
          <w:marBottom w:val="0"/>
          <w:divBdr>
            <w:top w:val="none" w:sz="0" w:space="0" w:color="auto"/>
            <w:left w:val="none" w:sz="0" w:space="0" w:color="auto"/>
            <w:bottom w:val="none" w:sz="0" w:space="0" w:color="auto"/>
            <w:right w:val="none" w:sz="0" w:space="0" w:color="auto"/>
          </w:divBdr>
        </w:div>
        <w:div w:id="230432325">
          <w:marLeft w:val="274"/>
          <w:marRight w:val="0"/>
          <w:marTop w:val="0"/>
          <w:marBottom w:val="0"/>
          <w:divBdr>
            <w:top w:val="none" w:sz="0" w:space="0" w:color="auto"/>
            <w:left w:val="none" w:sz="0" w:space="0" w:color="auto"/>
            <w:bottom w:val="none" w:sz="0" w:space="0" w:color="auto"/>
            <w:right w:val="none" w:sz="0" w:space="0" w:color="auto"/>
          </w:divBdr>
        </w:div>
        <w:div w:id="592862666">
          <w:marLeft w:val="274"/>
          <w:marRight w:val="0"/>
          <w:marTop w:val="0"/>
          <w:marBottom w:val="0"/>
          <w:divBdr>
            <w:top w:val="none" w:sz="0" w:space="0" w:color="auto"/>
            <w:left w:val="none" w:sz="0" w:space="0" w:color="auto"/>
            <w:bottom w:val="none" w:sz="0" w:space="0" w:color="auto"/>
            <w:right w:val="none" w:sz="0" w:space="0" w:color="auto"/>
          </w:divBdr>
        </w:div>
        <w:div w:id="2056420371">
          <w:marLeft w:val="274"/>
          <w:marRight w:val="0"/>
          <w:marTop w:val="0"/>
          <w:marBottom w:val="0"/>
          <w:divBdr>
            <w:top w:val="none" w:sz="0" w:space="0" w:color="auto"/>
            <w:left w:val="none" w:sz="0" w:space="0" w:color="auto"/>
            <w:bottom w:val="none" w:sz="0" w:space="0" w:color="auto"/>
            <w:right w:val="none" w:sz="0" w:space="0" w:color="auto"/>
          </w:divBdr>
        </w:div>
        <w:div w:id="149293641">
          <w:marLeft w:val="274"/>
          <w:marRight w:val="0"/>
          <w:marTop w:val="0"/>
          <w:marBottom w:val="0"/>
          <w:divBdr>
            <w:top w:val="none" w:sz="0" w:space="0" w:color="auto"/>
            <w:left w:val="none" w:sz="0" w:space="0" w:color="auto"/>
            <w:bottom w:val="none" w:sz="0" w:space="0" w:color="auto"/>
            <w:right w:val="none" w:sz="0" w:space="0" w:color="auto"/>
          </w:divBdr>
        </w:div>
        <w:div w:id="1469129962">
          <w:marLeft w:val="274"/>
          <w:marRight w:val="0"/>
          <w:marTop w:val="0"/>
          <w:marBottom w:val="0"/>
          <w:divBdr>
            <w:top w:val="none" w:sz="0" w:space="0" w:color="auto"/>
            <w:left w:val="none" w:sz="0" w:space="0" w:color="auto"/>
            <w:bottom w:val="none" w:sz="0" w:space="0" w:color="auto"/>
            <w:right w:val="none" w:sz="0" w:space="0" w:color="auto"/>
          </w:divBdr>
        </w:div>
        <w:div w:id="1174883513">
          <w:marLeft w:val="274"/>
          <w:marRight w:val="0"/>
          <w:marTop w:val="0"/>
          <w:marBottom w:val="0"/>
          <w:divBdr>
            <w:top w:val="none" w:sz="0" w:space="0" w:color="auto"/>
            <w:left w:val="none" w:sz="0" w:space="0" w:color="auto"/>
            <w:bottom w:val="none" w:sz="0" w:space="0" w:color="auto"/>
            <w:right w:val="none" w:sz="0" w:space="0" w:color="auto"/>
          </w:divBdr>
        </w:div>
        <w:div w:id="657618040">
          <w:marLeft w:val="274"/>
          <w:marRight w:val="0"/>
          <w:marTop w:val="0"/>
          <w:marBottom w:val="0"/>
          <w:divBdr>
            <w:top w:val="none" w:sz="0" w:space="0" w:color="auto"/>
            <w:left w:val="none" w:sz="0" w:space="0" w:color="auto"/>
            <w:bottom w:val="none" w:sz="0" w:space="0" w:color="auto"/>
            <w:right w:val="none" w:sz="0" w:space="0" w:color="auto"/>
          </w:divBdr>
        </w:div>
        <w:div w:id="168103933">
          <w:marLeft w:val="274"/>
          <w:marRight w:val="0"/>
          <w:marTop w:val="0"/>
          <w:marBottom w:val="0"/>
          <w:divBdr>
            <w:top w:val="none" w:sz="0" w:space="0" w:color="auto"/>
            <w:left w:val="none" w:sz="0" w:space="0" w:color="auto"/>
            <w:bottom w:val="none" w:sz="0" w:space="0" w:color="auto"/>
            <w:right w:val="none" w:sz="0" w:space="0" w:color="auto"/>
          </w:divBdr>
        </w:div>
        <w:div w:id="2081706435">
          <w:marLeft w:val="274"/>
          <w:marRight w:val="0"/>
          <w:marTop w:val="0"/>
          <w:marBottom w:val="0"/>
          <w:divBdr>
            <w:top w:val="none" w:sz="0" w:space="0" w:color="auto"/>
            <w:left w:val="none" w:sz="0" w:space="0" w:color="auto"/>
            <w:bottom w:val="none" w:sz="0" w:space="0" w:color="auto"/>
            <w:right w:val="none" w:sz="0" w:space="0" w:color="auto"/>
          </w:divBdr>
        </w:div>
        <w:div w:id="398408812">
          <w:marLeft w:val="274"/>
          <w:marRight w:val="0"/>
          <w:marTop w:val="0"/>
          <w:marBottom w:val="0"/>
          <w:divBdr>
            <w:top w:val="none" w:sz="0" w:space="0" w:color="auto"/>
            <w:left w:val="none" w:sz="0" w:space="0" w:color="auto"/>
            <w:bottom w:val="none" w:sz="0" w:space="0" w:color="auto"/>
            <w:right w:val="none" w:sz="0" w:space="0" w:color="auto"/>
          </w:divBdr>
        </w:div>
      </w:divsChild>
    </w:div>
    <w:div w:id="631405033">
      <w:bodyDiv w:val="1"/>
      <w:marLeft w:val="0"/>
      <w:marRight w:val="0"/>
      <w:marTop w:val="0"/>
      <w:marBottom w:val="0"/>
      <w:divBdr>
        <w:top w:val="none" w:sz="0" w:space="0" w:color="auto"/>
        <w:left w:val="none" w:sz="0" w:space="0" w:color="auto"/>
        <w:bottom w:val="none" w:sz="0" w:space="0" w:color="auto"/>
        <w:right w:val="none" w:sz="0" w:space="0" w:color="auto"/>
      </w:divBdr>
      <w:divsChild>
        <w:div w:id="2059670177">
          <w:marLeft w:val="0"/>
          <w:marRight w:val="0"/>
          <w:marTop w:val="0"/>
          <w:marBottom w:val="0"/>
          <w:divBdr>
            <w:top w:val="none" w:sz="0" w:space="0" w:color="auto"/>
            <w:left w:val="none" w:sz="0" w:space="0" w:color="auto"/>
            <w:bottom w:val="none" w:sz="0" w:space="0" w:color="auto"/>
            <w:right w:val="none" w:sz="0" w:space="0" w:color="auto"/>
          </w:divBdr>
          <w:divsChild>
            <w:div w:id="1227187107">
              <w:marLeft w:val="0"/>
              <w:marRight w:val="0"/>
              <w:marTop w:val="0"/>
              <w:marBottom w:val="0"/>
              <w:divBdr>
                <w:top w:val="none" w:sz="0" w:space="0" w:color="auto"/>
                <w:left w:val="none" w:sz="0" w:space="0" w:color="auto"/>
                <w:bottom w:val="none" w:sz="0" w:space="0" w:color="auto"/>
                <w:right w:val="none" w:sz="0" w:space="0" w:color="auto"/>
              </w:divBdr>
              <w:divsChild>
                <w:div w:id="1628049975">
                  <w:marLeft w:val="0"/>
                  <w:marRight w:val="0"/>
                  <w:marTop w:val="0"/>
                  <w:marBottom w:val="0"/>
                  <w:divBdr>
                    <w:top w:val="none" w:sz="0" w:space="0" w:color="auto"/>
                    <w:left w:val="none" w:sz="0" w:space="0" w:color="auto"/>
                    <w:bottom w:val="none" w:sz="0" w:space="0" w:color="auto"/>
                    <w:right w:val="none" w:sz="0" w:space="0" w:color="auto"/>
                  </w:divBdr>
                  <w:divsChild>
                    <w:div w:id="1783917708">
                      <w:marLeft w:val="0"/>
                      <w:marRight w:val="0"/>
                      <w:marTop w:val="0"/>
                      <w:marBottom w:val="0"/>
                      <w:divBdr>
                        <w:top w:val="none" w:sz="0" w:space="0" w:color="auto"/>
                        <w:left w:val="none" w:sz="0" w:space="0" w:color="auto"/>
                        <w:bottom w:val="none" w:sz="0" w:space="0" w:color="auto"/>
                        <w:right w:val="none" w:sz="0" w:space="0" w:color="auto"/>
                      </w:divBdr>
                      <w:divsChild>
                        <w:div w:id="15472651">
                          <w:marLeft w:val="0"/>
                          <w:marRight w:val="0"/>
                          <w:marTop w:val="0"/>
                          <w:marBottom w:val="0"/>
                          <w:divBdr>
                            <w:top w:val="none" w:sz="0" w:space="0" w:color="auto"/>
                            <w:left w:val="none" w:sz="0" w:space="0" w:color="auto"/>
                            <w:bottom w:val="none" w:sz="0" w:space="0" w:color="auto"/>
                            <w:right w:val="none" w:sz="0" w:space="0" w:color="auto"/>
                          </w:divBdr>
                          <w:divsChild>
                            <w:div w:id="901208554">
                              <w:marLeft w:val="-225"/>
                              <w:marRight w:val="-225"/>
                              <w:marTop w:val="0"/>
                              <w:marBottom w:val="0"/>
                              <w:divBdr>
                                <w:top w:val="none" w:sz="0" w:space="0" w:color="auto"/>
                                <w:left w:val="none" w:sz="0" w:space="0" w:color="auto"/>
                                <w:bottom w:val="none" w:sz="0" w:space="0" w:color="auto"/>
                                <w:right w:val="none" w:sz="0" w:space="0" w:color="auto"/>
                              </w:divBdr>
                              <w:divsChild>
                                <w:div w:id="997417992">
                                  <w:marLeft w:val="0"/>
                                  <w:marRight w:val="0"/>
                                  <w:marTop w:val="0"/>
                                  <w:marBottom w:val="0"/>
                                  <w:divBdr>
                                    <w:top w:val="none" w:sz="0" w:space="0" w:color="auto"/>
                                    <w:left w:val="none" w:sz="0" w:space="0" w:color="auto"/>
                                    <w:bottom w:val="none" w:sz="0" w:space="0" w:color="auto"/>
                                    <w:right w:val="none" w:sz="0" w:space="0" w:color="auto"/>
                                  </w:divBdr>
                                  <w:divsChild>
                                    <w:div w:id="1360275060">
                                      <w:marLeft w:val="0"/>
                                      <w:marRight w:val="0"/>
                                      <w:marTop w:val="0"/>
                                      <w:marBottom w:val="3000"/>
                                      <w:divBdr>
                                        <w:top w:val="single" w:sz="24" w:space="0" w:color="FFFFFF"/>
                                        <w:left w:val="none" w:sz="0" w:space="0" w:color="auto"/>
                                        <w:bottom w:val="none" w:sz="0" w:space="0" w:color="auto"/>
                                        <w:right w:val="none" w:sz="0" w:space="0" w:color="auto"/>
                                      </w:divBdr>
                                      <w:divsChild>
                                        <w:div w:id="1632321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6953472">
      <w:bodyDiv w:val="1"/>
      <w:marLeft w:val="0"/>
      <w:marRight w:val="0"/>
      <w:marTop w:val="0"/>
      <w:marBottom w:val="0"/>
      <w:divBdr>
        <w:top w:val="none" w:sz="0" w:space="0" w:color="auto"/>
        <w:left w:val="none" w:sz="0" w:space="0" w:color="auto"/>
        <w:bottom w:val="none" w:sz="0" w:space="0" w:color="auto"/>
        <w:right w:val="none" w:sz="0" w:space="0" w:color="auto"/>
      </w:divBdr>
    </w:div>
    <w:div w:id="665860141">
      <w:bodyDiv w:val="1"/>
      <w:marLeft w:val="0"/>
      <w:marRight w:val="0"/>
      <w:marTop w:val="0"/>
      <w:marBottom w:val="0"/>
      <w:divBdr>
        <w:top w:val="none" w:sz="0" w:space="0" w:color="auto"/>
        <w:left w:val="none" w:sz="0" w:space="0" w:color="auto"/>
        <w:bottom w:val="none" w:sz="0" w:space="0" w:color="auto"/>
        <w:right w:val="none" w:sz="0" w:space="0" w:color="auto"/>
      </w:divBdr>
    </w:div>
    <w:div w:id="796333755">
      <w:bodyDiv w:val="1"/>
      <w:marLeft w:val="0"/>
      <w:marRight w:val="0"/>
      <w:marTop w:val="0"/>
      <w:marBottom w:val="0"/>
      <w:divBdr>
        <w:top w:val="none" w:sz="0" w:space="0" w:color="auto"/>
        <w:left w:val="none" w:sz="0" w:space="0" w:color="auto"/>
        <w:bottom w:val="none" w:sz="0" w:space="0" w:color="auto"/>
        <w:right w:val="none" w:sz="0" w:space="0" w:color="auto"/>
      </w:divBdr>
    </w:div>
    <w:div w:id="798109307">
      <w:bodyDiv w:val="1"/>
      <w:marLeft w:val="0"/>
      <w:marRight w:val="0"/>
      <w:marTop w:val="0"/>
      <w:marBottom w:val="0"/>
      <w:divBdr>
        <w:top w:val="none" w:sz="0" w:space="0" w:color="auto"/>
        <w:left w:val="none" w:sz="0" w:space="0" w:color="auto"/>
        <w:bottom w:val="none" w:sz="0" w:space="0" w:color="auto"/>
        <w:right w:val="none" w:sz="0" w:space="0" w:color="auto"/>
      </w:divBdr>
    </w:div>
    <w:div w:id="909778237">
      <w:bodyDiv w:val="1"/>
      <w:marLeft w:val="0"/>
      <w:marRight w:val="0"/>
      <w:marTop w:val="0"/>
      <w:marBottom w:val="0"/>
      <w:divBdr>
        <w:top w:val="none" w:sz="0" w:space="0" w:color="auto"/>
        <w:left w:val="none" w:sz="0" w:space="0" w:color="auto"/>
        <w:bottom w:val="none" w:sz="0" w:space="0" w:color="auto"/>
        <w:right w:val="none" w:sz="0" w:space="0" w:color="auto"/>
      </w:divBdr>
    </w:div>
    <w:div w:id="1025250550">
      <w:bodyDiv w:val="1"/>
      <w:marLeft w:val="0"/>
      <w:marRight w:val="0"/>
      <w:marTop w:val="0"/>
      <w:marBottom w:val="0"/>
      <w:divBdr>
        <w:top w:val="none" w:sz="0" w:space="0" w:color="auto"/>
        <w:left w:val="none" w:sz="0" w:space="0" w:color="auto"/>
        <w:bottom w:val="none" w:sz="0" w:space="0" w:color="auto"/>
        <w:right w:val="none" w:sz="0" w:space="0" w:color="auto"/>
      </w:divBdr>
    </w:div>
    <w:div w:id="1134637435">
      <w:bodyDiv w:val="1"/>
      <w:marLeft w:val="0"/>
      <w:marRight w:val="0"/>
      <w:marTop w:val="0"/>
      <w:marBottom w:val="0"/>
      <w:divBdr>
        <w:top w:val="none" w:sz="0" w:space="0" w:color="auto"/>
        <w:left w:val="none" w:sz="0" w:space="0" w:color="auto"/>
        <w:bottom w:val="none" w:sz="0" w:space="0" w:color="auto"/>
        <w:right w:val="none" w:sz="0" w:space="0" w:color="auto"/>
      </w:divBdr>
    </w:div>
    <w:div w:id="1142769883">
      <w:bodyDiv w:val="1"/>
      <w:marLeft w:val="0"/>
      <w:marRight w:val="0"/>
      <w:marTop w:val="0"/>
      <w:marBottom w:val="0"/>
      <w:divBdr>
        <w:top w:val="none" w:sz="0" w:space="0" w:color="auto"/>
        <w:left w:val="none" w:sz="0" w:space="0" w:color="auto"/>
        <w:bottom w:val="none" w:sz="0" w:space="0" w:color="auto"/>
        <w:right w:val="none" w:sz="0" w:space="0" w:color="auto"/>
      </w:divBdr>
    </w:div>
    <w:div w:id="1245259252">
      <w:bodyDiv w:val="1"/>
      <w:marLeft w:val="0"/>
      <w:marRight w:val="0"/>
      <w:marTop w:val="0"/>
      <w:marBottom w:val="0"/>
      <w:divBdr>
        <w:top w:val="none" w:sz="0" w:space="0" w:color="auto"/>
        <w:left w:val="none" w:sz="0" w:space="0" w:color="auto"/>
        <w:bottom w:val="none" w:sz="0" w:space="0" w:color="auto"/>
        <w:right w:val="none" w:sz="0" w:space="0" w:color="auto"/>
      </w:divBdr>
    </w:div>
    <w:div w:id="1278021657">
      <w:bodyDiv w:val="1"/>
      <w:marLeft w:val="0"/>
      <w:marRight w:val="0"/>
      <w:marTop w:val="0"/>
      <w:marBottom w:val="0"/>
      <w:divBdr>
        <w:top w:val="none" w:sz="0" w:space="0" w:color="auto"/>
        <w:left w:val="none" w:sz="0" w:space="0" w:color="auto"/>
        <w:bottom w:val="none" w:sz="0" w:space="0" w:color="auto"/>
        <w:right w:val="none" w:sz="0" w:space="0" w:color="auto"/>
      </w:divBdr>
    </w:div>
    <w:div w:id="1293362383">
      <w:bodyDiv w:val="1"/>
      <w:marLeft w:val="0"/>
      <w:marRight w:val="0"/>
      <w:marTop w:val="0"/>
      <w:marBottom w:val="0"/>
      <w:divBdr>
        <w:top w:val="none" w:sz="0" w:space="0" w:color="auto"/>
        <w:left w:val="none" w:sz="0" w:space="0" w:color="auto"/>
        <w:bottom w:val="none" w:sz="0" w:space="0" w:color="auto"/>
        <w:right w:val="none" w:sz="0" w:space="0" w:color="auto"/>
      </w:divBdr>
      <w:divsChild>
        <w:div w:id="1767967189">
          <w:marLeft w:val="0"/>
          <w:marRight w:val="0"/>
          <w:marTop w:val="0"/>
          <w:marBottom w:val="0"/>
          <w:divBdr>
            <w:top w:val="none" w:sz="0" w:space="0" w:color="auto"/>
            <w:left w:val="none" w:sz="0" w:space="0" w:color="auto"/>
            <w:bottom w:val="none" w:sz="0" w:space="0" w:color="auto"/>
            <w:right w:val="none" w:sz="0" w:space="0" w:color="auto"/>
          </w:divBdr>
          <w:divsChild>
            <w:div w:id="652490265">
              <w:marLeft w:val="0"/>
              <w:marRight w:val="0"/>
              <w:marTop w:val="0"/>
              <w:marBottom w:val="0"/>
              <w:divBdr>
                <w:top w:val="none" w:sz="0" w:space="0" w:color="auto"/>
                <w:left w:val="none" w:sz="0" w:space="0" w:color="auto"/>
                <w:bottom w:val="none" w:sz="0" w:space="0" w:color="auto"/>
                <w:right w:val="none" w:sz="0" w:space="0" w:color="auto"/>
              </w:divBdr>
              <w:divsChild>
                <w:div w:id="713893545">
                  <w:marLeft w:val="0"/>
                  <w:marRight w:val="0"/>
                  <w:marTop w:val="0"/>
                  <w:marBottom w:val="0"/>
                  <w:divBdr>
                    <w:top w:val="none" w:sz="0" w:space="0" w:color="auto"/>
                    <w:left w:val="none" w:sz="0" w:space="0" w:color="auto"/>
                    <w:bottom w:val="none" w:sz="0" w:space="0" w:color="auto"/>
                    <w:right w:val="none" w:sz="0" w:space="0" w:color="auto"/>
                  </w:divBdr>
                  <w:divsChild>
                    <w:div w:id="1920289078">
                      <w:marLeft w:val="0"/>
                      <w:marRight w:val="0"/>
                      <w:marTop w:val="0"/>
                      <w:marBottom w:val="0"/>
                      <w:divBdr>
                        <w:top w:val="none" w:sz="0" w:space="0" w:color="auto"/>
                        <w:left w:val="none" w:sz="0" w:space="0" w:color="auto"/>
                        <w:bottom w:val="none" w:sz="0" w:space="0" w:color="auto"/>
                        <w:right w:val="none" w:sz="0" w:space="0" w:color="auto"/>
                      </w:divBdr>
                      <w:divsChild>
                        <w:div w:id="723405242">
                          <w:marLeft w:val="0"/>
                          <w:marRight w:val="0"/>
                          <w:marTop w:val="1050"/>
                          <w:marBottom w:val="0"/>
                          <w:divBdr>
                            <w:top w:val="none" w:sz="0" w:space="0" w:color="auto"/>
                            <w:left w:val="none" w:sz="0" w:space="0" w:color="auto"/>
                            <w:bottom w:val="none" w:sz="0" w:space="0" w:color="auto"/>
                            <w:right w:val="none" w:sz="0" w:space="0" w:color="auto"/>
                          </w:divBdr>
                          <w:divsChild>
                            <w:div w:id="1059019837">
                              <w:marLeft w:val="-225"/>
                              <w:marRight w:val="-225"/>
                              <w:marTop w:val="0"/>
                              <w:marBottom w:val="0"/>
                              <w:divBdr>
                                <w:top w:val="none" w:sz="0" w:space="0" w:color="auto"/>
                                <w:left w:val="none" w:sz="0" w:space="0" w:color="auto"/>
                                <w:bottom w:val="none" w:sz="0" w:space="0" w:color="auto"/>
                                <w:right w:val="none" w:sz="0" w:space="0" w:color="auto"/>
                              </w:divBdr>
                              <w:divsChild>
                                <w:div w:id="877009610">
                                  <w:marLeft w:val="0"/>
                                  <w:marRight w:val="0"/>
                                  <w:marTop w:val="0"/>
                                  <w:marBottom w:val="0"/>
                                  <w:divBdr>
                                    <w:top w:val="none" w:sz="0" w:space="0" w:color="auto"/>
                                    <w:left w:val="none" w:sz="0" w:space="0" w:color="auto"/>
                                    <w:bottom w:val="none" w:sz="0" w:space="0" w:color="auto"/>
                                    <w:right w:val="none" w:sz="0" w:space="0" w:color="auto"/>
                                  </w:divBdr>
                                  <w:divsChild>
                                    <w:div w:id="1628316068">
                                      <w:marLeft w:val="0"/>
                                      <w:marRight w:val="0"/>
                                      <w:marTop w:val="0"/>
                                      <w:marBottom w:val="3000"/>
                                      <w:divBdr>
                                        <w:top w:val="single" w:sz="24" w:space="0" w:color="FFFFFF"/>
                                        <w:left w:val="none" w:sz="0" w:space="0" w:color="auto"/>
                                        <w:bottom w:val="none" w:sz="0" w:space="0" w:color="auto"/>
                                        <w:right w:val="none" w:sz="0" w:space="0" w:color="auto"/>
                                      </w:divBdr>
                                      <w:divsChild>
                                        <w:div w:id="108726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5978241">
      <w:bodyDiv w:val="1"/>
      <w:marLeft w:val="0"/>
      <w:marRight w:val="0"/>
      <w:marTop w:val="0"/>
      <w:marBottom w:val="0"/>
      <w:divBdr>
        <w:top w:val="none" w:sz="0" w:space="0" w:color="auto"/>
        <w:left w:val="none" w:sz="0" w:space="0" w:color="auto"/>
        <w:bottom w:val="none" w:sz="0" w:space="0" w:color="auto"/>
        <w:right w:val="none" w:sz="0" w:space="0" w:color="auto"/>
      </w:divBdr>
    </w:div>
    <w:div w:id="1433893865">
      <w:bodyDiv w:val="1"/>
      <w:marLeft w:val="0"/>
      <w:marRight w:val="0"/>
      <w:marTop w:val="0"/>
      <w:marBottom w:val="0"/>
      <w:divBdr>
        <w:top w:val="none" w:sz="0" w:space="0" w:color="auto"/>
        <w:left w:val="none" w:sz="0" w:space="0" w:color="auto"/>
        <w:bottom w:val="none" w:sz="0" w:space="0" w:color="auto"/>
        <w:right w:val="none" w:sz="0" w:space="0" w:color="auto"/>
      </w:divBdr>
    </w:div>
    <w:div w:id="1441030831">
      <w:bodyDiv w:val="1"/>
      <w:marLeft w:val="0"/>
      <w:marRight w:val="0"/>
      <w:marTop w:val="0"/>
      <w:marBottom w:val="0"/>
      <w:divBdr>
        <w:top w:val="none" w:sz="0" w:space="0" w:color="auto"/>
        <w:left w:val="none" w:sz="0" w:space="0" w:color="auto"/>
        <w:bottom w:val="none" w:sz="0" w:space="0" w:color="auto"/>
        <w:right w:val="none" w:sz="0" w:space="0" w:color="auto"/>
      </w:divBdr>
    </w:div>
    <w:div w:id="1504128363">
      <w:bodyDiv w:val="1"/>
      <w:marLeft w:val="0"/>
      <w:marRight w:val="0"/>
      <w:marTop w:val="0"/>
      <w:marBottom w:val="0"/>
      <w:divBdr>
        <w:top w:val="none" w:sz="0" w:space="0" w:color="auto"/>
        <w:left w:val="none" w:sz="0" w:space="0" w:color="auto"/>
        <w:bottom w:val="none" w:sz="0" w:space="0" w:color="auto"/>
        <w:right w:val="none" w:sz="0" w:space="0" w:color="auto"/>
      </w:divBdr>
    </w:div>
    <w:div w:id="1504932517">
      <w:bodyDiv w:val="1"/>
      <w:marLeft w:val="0"/>
      <w:marRight w:val="0"/>
      <w:marTop w:val="0"/>
      <w:marBottom w:val="0"/>
      <w:divBdr>
        <w:top w:val="none" w:sz="0" w:space="0" w:color="auto"/>
        <w:left w:val="none" w:sz="0" w:space="0" w:color="auto"/>
        <w:bottom w:val="none" w:sz="0" w:space="0" w:color="auto"/>
        <w:right w:val="none" w:sz="0" w:space="0" w:color="auto"/>
      </w:divBdr>
    </w:div>
    <w:div w:id="1603805160">
      <w:bodyDiv w:val="1"/>
      <w:marLeft w:val="0"/>
      <w:marRight w:val="0"/>
      <w:marTop w:val="0"/>
      <w:marBottom w:val="0"/>
      <w:divBdr>
        <w:top w:val="none" w:sz="0" w:space="0" w:color="auto"/>
        <w:left w:val="none" w:sz="0" w:space="0" w:color="auto"/>
        <w:bottom w:val="none" w:sz="0" w:space="0" w:color="auto"/>
        <w:right w:val="none" w:sz="0" w:space="0" w:color="auto"/>
      </w:divBdr>
    </w:div>
    <w:div w:id="1633247530">
      <w:bodyDiv w:val="1"/>
      <w:marLeft w:val="0"/>
      <w:marRight w:val="0"/>
      <w:marTop w:val="0"/>
      <w:marBottom w:val="0"/>
      <w:divBdr>
        <w:top w:val="none" w:sz="0" w:space="0" w:color="auto"/>
        <w:left w:val="none" w:sz="0" w:space="0" w:color="auto"/>
        <w:bottom w:val="none" w:sz="0" w:space="0" w:color="auto"/>
        <w:right w:val="none" w:sz="0" w:space="0" w:color="auto"/>
      </w:divBdr>
    </w:div>
    <w:div w:id="1686399566">
      <w:bodyDiv w:val="1"/>
      <w:marLeft w:val="0"/>
      <w:marRight w:val="0"/>
      <w:marTop w:val="0"/>
      <w:marBottom w:val="0"/>
      <w:divBdr>
        <w:top w:val="none" w:sz="0" w:space="0" w:color="auto"/>
        <w:left w:val="none" w:sz="0" w:space="0" w:color="auto"/>
        <w:bottom w:val="none" w:sz="0" w:space="0" w:color="auto"/>
        <w:right w:val="none" w:sz="0" w:space="0" w:color="auto"/>
      </w:divBdr>
    </w:div>
    <w:div w:id="1696882144">
      <w:bodyDiv w:val="1"/>
      <w:marLeft w:val="0"/>
      <w:marRight w:val="0"/>
      <w:marTop w:val="0"/>
      <w:marBottom w:val="0"/>
      <w:divBdr>
        <w:top w:val="none" w:sz="0" w:space="0" w:color="auto"/>
        <w:left w:val="none" w:sz="0" w:space="0" w:color="auto"/>
        <w:bottom w:val="none" w:sz="0" w:space="0" w:color="auto"/>
        <w:right w:val="none" w:sz="0" w:space="0" w:color="auto"/>
      </w:divBdr>
    </w:div>
    <w:div w:id="1737387743">
      <w:bodyDiv w:val="1"/>
      <w:marLeft w:val="0"/>
      <w:marRight w:val="0"/>
      <w:marTop w:val="0"/>
      <w:marBottom w:val="0"/>
      <w:divBdr>
        <w:top w:val="none" w:sz="0" w:space="0" w:color="auto"/>
        <w:left w:val="none" w:sz="0" w:space="0" w:color="auto"/>
        <w:bottom w:val="none" w:sz="0" w:space="0" w:color="auto"/>
        <w:right w:val="none" w:sz="0" w:space="0" w:color="auto"/>
      </w:divBdr>
    </w:div>
    <w:div w:id="1740009370">
      <w:bodyDiv w:val="1"/>
      <w:marLeft w:val="0"/>
      <w:marRight w:val="0"/>
      <w:marTop w:val="0"/>
      <w:marBottom w:val="0"/>
      <w:divBdr>
        <w:top w:val="none" w:sz="0" w:space="0" w:color="auto"/>
        <w:left w:val="none" w:sz="0" w:space="0" w:color="auto"/>
        <w:bottom w:val="none" w:sz="0" w:space="0" w:color="auto"/>
        <w:right w:val="none" w:sz="0" w:space="0" w:color="auto"/>
      </w:divBdr>
    </w:div>
    <w:div w:id="1748645452">
      <w:bodyDiv w:val="1"/>
      <w:marLeft w:val="0"/>
      <w:marRight w:val="0"/>
      <w:marTop w:val="0"/>
      <w:marBottom w:val="0"/>
      <w:divBdr>
        <w:top w:val="none" w:sz="0" w:space="0" w:color="auto"/>
        <w:left w:val="none" w:sz="0" w:space="0" w:color="auto"/>
        <w:bottom w:val="none" w:sz="0" w:space="0" w:color="auto"/>
        <w:right w:val="none" w:sz="0" w:space="0" w:color="auto"/>
      </w:divBdr>
    </w:div>
    <w:div w:id="1768844777">
      <w:bodyDiv w:val="1"/>
      <w:marLeft w:val="0"/>
      <w:marRight w:val="0"/>
      <w:marTop w:val="0"/>
      <w:marBottom w:val="0"/>
      <w:divBdr>
        <w:top w:val="none" w:sz="0" w:space="0" w:color="auto"/>
        <w:left w:val="none" w:sz="0" w:space="0" w:color="auto"/>
        <w:bottom w:val="none" w:sz="0" w:space="0" w:color="auto"/>
        <w:right w:val="none" w:sz="0" w:space="0" w:color="auto"/>
      </w:divBdr>
    </w:div>
    <w:div w:id="1781222534">
      <w:bodyDiv w:val="1"/>
      <w:marLeft w:val="0"/>
      <w:marRight w:val="0"/>
      <w:marTop w:val="0"/>
      <w:marBottom w:val="0"/>
      <w:divBdr>
        <w:top w:val="none" w:sz="0" w:space="0" w:color="auto"/>
        <w:left w:val="none" w:sz="0" w:space="0" w:color="auto"/>
        <w:bottom w:val="none" w:sz="0" w:space="0" w:color="auto"/>
        <w:right w:val="none" w:sz="0" w:space="0" w:color="auto"/>
      </w:divBdr>
    </w:div>
    <w:div w:id="1823885319">
      <w:bodyDiv w:val="1"/>
      <w:marLeft w:val="0"/>
      <w:marRight w:val="0"/>
      <w:marTop w:val="0"/>
      <w:marBottom w:val="0"/>
      <w:divBdr>
        <w:top w:val="none" w:sz="0" w:space="0" w:color="auto"/>
        <w:left w:val="none" w:sz="0" w:space="0" w:color="auto"/>
        <w:bottom w:val="none" w:sz="0" w:space="0" w:color="auto"/>
        <w:right w:val="none" w:sz="0" w:space="0" w:color="auto"/>
      </w:divBdr>
    </w:div>
    <w:div w:id="1852835691">
      <w:bodyDiv w:val="1"/>
      <w:marLeft w:val="0"/>
      <w:marRight w:val="0"/>
      <w:marTop w:val="0"/>
      <w:marBottom w:val="0"/>
      <w:divBdr>
        <w:top w:val="none" w:sz="0" w:space="0" w:color="auto"/>
        <w:left w:val="none" w:sz="0" w:space="0" w:color="auto"/>
        <w:bottom w:val="none" w:sz="0" w:space="0" w:color="auto"/>
        <w:right w:val="none" w:sz="0" w:space="0" w:color="auto"/>
      </w:divBdr>
    </w:div>
    <w:div w:id="1895241440">
      <w:bodyDiv w:val="1"/>
      <w:marLeft w:val="0"/>
      <w:marRight w:val="0"/>
      <w:marTop w:val="0"/>
      <w:marBottom w:val="0"/>
      <w:divBdr>
        <w:top w:val="none" w:sz="0" w:space="0" w:color="auto"/>
        <w:left w:val="none" w:sz="0" w:space="0" w:color="auto"/>
        <w:bottom w:val="none" w:sz="0" w:space="0" w:color="auto"/>
        <w:right w:val="none" w:sz="0" w:space="0" w:color="auto"/>
      </w:divBdr>
    </w:div>
    <w:div w:id="1965232021">
      <w:bodyDiv w:val="1"/>
      <w:marLeft w:val="0"/>
      <w:marRight w:val="0"/>
      <w:marTop w:val="0"/>
      <w:marBottom w:val="0"/>
      <w:divBdr>
        <w:top w:val="none" w:sz="0" w:space="0" w:color="auto"/>
        <w:left w:val="none" w:sz="0" w:space="0" w:color="auto"/>
        <w:bottom w:val="none" w:sz="0" w:space="0" w:color="auto"/>
        <w:right w:val="none" w:sz="0" w:space="0" w:color="auto"/>
      </w:divBdr>
    </w:div>
    <w:div w:id="2047025908">
      <w:bodyDiv w:val="1"/>
      <w:marLeft w:val="0"/>
      <w:marRight w:val="0"/>
      <w:marTop w:val="0"/>
      <w:marBottom w:val="0"/>
      <w:divBdr>
        <w:top w:val="none" w:sz="0" w:space="0" w:color="auto"/>
        <w:left w:val="none" w:sz="0" w:space="0" w:color="auto"/>
        <w:bottom w:val="none" w:sz="0" w:space="0" w:color="auto"/>
        <w:right w:val="none" w:sz="0" w:space="0" w:color="auto"/>
      </w:divBdr>
    </w:div>
    <w:div w:id="21382520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4.xml"/><Relationship Id="rId22" Type="http://schemas.openxmlformats.org/officeDocument/2006/relationships/header" Target="header6.xml"/><Relationship Id="rId9" Type="http://schemas.openxmlformats.org/officeDocument/2006/relationships/webSettings" Target="web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www.education.vic.gov.au/about/department/Pages/annualreports.aspx" TargetMode="External"/><Relationship Id="rId1" Type="http://schemas.openxmlformats.org/officeDocument/2006/relationships/hyperlink" Target="https://www.dtf.vic.gov.au/2021-22-state-budget/2021-22-service-delive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b9114c1-daad-44dd-acad-30f4246641f2">
      <Value>101</Value>
      <Value>94</Value>
    </TaxCatchAll>
    <DEECD_Publisher xmlns="http://schemas.microsoft.com/sharepoint/v3">Department of Education and Training</DEECD_Publisher>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DEECD_Expired xmlns="http://schemas.microsoft.com/sharepoint/v3">false</DEECD_Expired>
    <DEECD_Keywords xmlns="http://schemas.microsoft.com/sharepoint/v3" xsi:nil="true"/>
    <PublishingExpirationDate xmlns="http://schemas.microsoft.com/sharepoint/v3" xsi:nil="true"/>
    <DEECD_Description xmlns="http://schemas.microsoft.com/sharepoint/v3">Strategic plan</DEECD_Description>
    <b1688cb4a3a940449dc8286705012a42 xmlns="76b566cd-adb9-46c2-964b-22eba181fd0b">
      <Terms xmlns="http://schemas.microsoft.com/office/infopath/2007/PartnerControls"/>
    </b1688cb4a3a940449dc8286705012a4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hyperlink xmlns="76b566cd-adb9-46c2-964b-22eba181fd0b">
      <Url xsi:nil="true"/>
      <Description xsi:nil="true"/>
    </hyperlink>
    <hyperlink2 xmlns="76b566cd-adb9-46c2-964b-22eba181fd0b">
      <Url xsi:nil="true"/>
      <Description xsi:nil="true"/>
    </hyperlink2>
  </documentManagement>
</p:properties>
</file>

<file path=customXml/item4.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B2AA9F-2083-4FBE-97BF-BB86E201C111}">
  <ds:schemaRefs>
    <ds:schemaRef ds:uri="http://schemas.openxmlformats.org/officeDocument/2006/bibliography"/>
  </ds:schemaRefs>
</ds:datastoreItem>
</file>

<file path=customXml/itemProps2.xml><?xml version="1.0" encoding="utf-8"?>
<ds:datastoreItem xmlns:ds="http://schemas.openxmlformats.org/officeDocument/2006/customXml" ds:itemID="{71BB9CBC-35DF-4A1E-A1E6-148EA77247F6}"/>
</file>

<file path=customXml/itemProps3.xml><?xml version="1.0" encoding="utf-8"?>
<ds:datastoreItem xmlns:ds="http://schemas.openxmlformats.org/officeDocument/2006/customXml" ds:itemID="{42BA66E8-BEDF-4CC9-A9D0-A0D341F95659}">
  <ds:schemaRefs>
    <ds:schemaRef ds:uri="http://schemas.microsoft.com/Sharepoint/v3"/>
    <ds:schemaRef ds:uri="http://purl.org/dc/terms/"/>
    <ds:schemaRef ds:uri="http://www.w3.org/XML/1998/namespace"/>
    <ds:schemaRef ds:uri="http://schemas.microsoft.com/office/2006/documentManagement/types"/>
    <ds:schemaRef ds:uri="http://schemas.openxmlformats.org/package/2006/metadata/core-properties"/>
    <ds:schemaRef ds:uri="http://schemas.microsoft.com/sharepoint/v4"/>
    <ds:schemaRef ds:uri="6cacf8fa-822b-4f3e-84b7-e390baebf85e"/>
    <ds:schemaRef ds:uri="http://purl.org/dc/dcmitype/"/>
    <ds:schemaRef ds:uri="http://purl.org/dc/elements/1.1/"/>
    <ds:schemaRef ds:uri="http://schemas.microsoft.com/sharepoint/v3"/>
    <ds:schemaRef ds:uri="http://schemas.microsoft.com/office/infopath/2007/PartnerControls"/>
    <ds:schemaRef ds:uri="4e72adca-fd41-4956-8c57-6707ea7f8447"/>
    <ds:schemaRef ds:uri="http://schemas.microsoft.com/office/2006/metadata/properties"/>
  </ds:schemaRefs>
</ds:datastoreItem>
</file>

<file path=customXml/itemProps4.xml><?xml version="1.0" encoding="utf-8"?>
<ds:datastoreItem xmlns:ds="http://schemas.openxmlformats.org/officeDocument/2006/customXml" ds:itemID="{A619C094-210C-4E00-AFAB-9A85424B024D}">
  <ds:schemaRefs>
    <ds:schemaRef ds:uri="http://schemas.microsoft.com/sharepoint/events"/>
  </ds:schemaRefs>
</ds:datastoreItem>
</file>

<file path=customXml/itemProps5.xml><?xml version="1.0" encoding="utf-8"?>
<ds:datastoreItem xmlns:ds="http://schemas.openxmlformats.org/officeDocument/2006/customXml" ds:itemID="{A11081E9-3CD3-4F5B-803C-61E34248A1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8129</Words>
  <Characters>46338</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
    </vt:vector>
  </TitlesOfParts>
  <Company>DEECD</Company>
  <LinksUpToDate>false</LinksUpToDate>
  <CharactersWithSpaces>54359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 Maniatakis</dc:creator>
  <cp:keywords/>
  <dc:description/>
  <cp:lastModifiedBy>Malcolm George</cp:lastModifiedBy>
  <cp:revision>2</cp:revision>
  <cp:lastPrinted>2018-06-13T00:50:00Z</cp:lastPrinted>
  <dcterms:created xsi:type="dcterms:W3CDTF">2021-09-15T05:41:00Z</dcterms:created>
  <dcterms:modified xsi:type="dcterms:W3CDTF">2021-09-15T05:41:00Z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DET_EDRMS_RCS">
    <vt:lpwstr/>
  </property>
  <property fmtid="{D5CDD505-2E9C-101B-9397-08002B2CF9AE}" pid="4" name="RecordPoint_WorkflowType">
    <vt:lpwstr>ActiveSubmitStub</vt:lpwstr>
  </property>
  <property fmtid="{D5CDD505-2E9C-101B-9397-08002B2CF9AE}" pid="5" name="RecordPoint_ActiveItemSiteId">
    <vt:lpwstr>{5bcc307b-50d0-4eb5-8129-2a491214edd5}</vt:lpwstr>
  </property>
  <property fmtid="{D5CDD505-2E9C-101B-9397-08002B2CF9AE}" pid="6" name="RecordPoint_ActiveItemListId">
    <vt:lpwstr>{6cacf8fa-822b-4f3e-84b7-e390baebf85e}</vt:lpwstr>
  </property>
  <property fmtid="{D5CDD505-2E9C-101B-9397-08002B2CF9AE}" pid="7" name="RecordPoint_ActiveItemWebId">
    <vt:lpwstr>{4e72adca-fd41-4956-8c57-6707ea7f8447}</vt:lpwstr>
  </property>
  <property fmtid="{D5CDD505-2E9C-101B-9397-08002B2CF9AE}" pid="8" name="RecordPoint_SubmissionDate">
    <vt:lpwstr/>
  </property>
  <property fmtid="{D5CDD505-2E9C-101B-9397-08002B2CF9AE}" pid="9" name="RecordPoint_RecordFormat">
    <vt:lpwstr/>
  </property>
  <property fmtid="{D5CDD505-2E9C-101B-9397-08002B2CF9AE}" pid="10" name="RecordPoint_ActiveItemMoved">
    <vt:lpwstr/>
  </property>
  <property fmtid="{D5CDD505-2E9C-101B-9397-08002B2CF9AE}" pid="11" name="_docset_NoMedatataSyncRequired">
    <vt:lpwstr>False</vt:lpwstr>
  </property>
  <property fmtid="{D5CDD505-2E9C-101B-9397-08002B2CF9AE}" pid="12" name="DET_EDRMS_SecClassTaxHTField0">
    <vt:lpwstr/>
  </property>
  <property fmtid="{D5CDD505-2E9C-101B-9397-08002B2CF9AE}" pid="13" name="DET_EDRMS_BusUnit">
    <vt:lpwstr/>
  </property>
  <property fmtid="{D5CDD505-2E9C-101B-9397-08002B2CF9AE}" pid="14" name="DET_EDRMS_SecClass">
    <vt:lpwstr/>
  </property>
  <property fmtid="{D5CDD505-2E9C-101B-9397-08002B2CF9AE}" pid="15" name="DET_EDRMS_BusUnitTaxHTField0">
    <vt:lpwstr/>
  </property>
  <property fmtid="{D5CDD505-2E9C-101B-9397-08002B2CF9AE}" pid="16" name="RecordPoint_ActiveItemUniqueId">
    <vt:lpwstr>{d2900154-4b21-4e58-8ffc-d6116d89d465}</vt:lpwstr>
  </property>
  <property fmtid="{D5CDD505-2E9C-101B-9397-08002B2CF9AE}" pid="17" name="RecordPoint_RecordNumberSubmitted">
    <vt:lpwstr>R20211882848</vt:lpwstr>
  </property>
  <property fmtid="{D5CDD505-2E9C-101B-9397-08002B2CF9AE}" pid="18" name="DEECD_Author">
    <vt:lpwstr>94;#Education|5232e41c-5101-41fe-b638-7d41d1371531</vt:lpwstr>
  </property>
  <property fmtid="{D5CDD505-2E9C-101B-9397-08002B2CF9AE}" pid="19" name="DEECD_SubjectCategory">
    <vt:lpwstr/>
  </property>
  <property fmtid="{D5CDD505-2E9C-101B-9397-08002B2CF9AE}" pid="20" name="DEECD_ItemType">
    <vt:lpwstr>101;#Page|eb523acf-a821-456c-a76b-7607578309d7</vt:lpwstr>
  </property>
  <property fmtid="{D5CDD505-2E9C-101B-9397-08002B2CF9AE}" pid="21" name="DEECD_Audience">
    <vt:lpwstr/>
  </property>
  <property fmtid="{D5CDD505-2E9C-101B-9397-08002B2CF9AE}" pid="22" name="RecordPoint_SubmissionCompleted">
    <vt:lpwstr>2021-09-14T18:51:52.2214277+10:00</vt:lpwstr>
  </property>
</Properties>
</file>