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4C50E" w14:textId="45F04DC7" w:rsidR="00494A64" w:rsidRDefault="00FD3CA7" w:rsidP="00494A64">
      <w:pPr>
        <w:pStyle w:val="Title"/>
      </w:pPr>
      <w:r w:rsidRPr="00494A64">
        <w:rPr>
          <w:lang w:val="en-AU"/>
        </w:rPr>
        <w:t xml:space="preserve">Education </w:t>
      </w:r>
      <w:r w:rsidR="00494A64">
        <w:t>and Training Reform Regulations</w:t>
      </w:r>
      <w:r w:rsidR="00FF27B0">
        <w:t xml:space="preserve"> 2017</w:t>
      </w:r>
    </w:p>
    <w:p w14:paraId="13A98C3A" w14:textId="1904DF67" w:rsidR="00494A64" w:rsidRPr="00494A64" w:rsidRDefault="00494A64" w:rsidP="00494A64">
      <w:pPr>
        <w:pStyle w:val="Subtitle"/>
        <w:rPr>
          <w:b/>
          <w:bCs/>
          <w:iCs/>
          <w:color w:val="AF272F"/>
          <w:spacing w:val="5"/>
          <w:kern w:val="28"/>
          <w:sz w:val="44"/>
          <w:szCs w:val="52"/>
        </w:rPr>
      </w:pPr>
      <w:r>
        <w:t>Government schools fact sheet</w:t>
      </w:r>
    </w:p>
    <w:p w14:paraId="46BE879A" w14:textId="7C499B5D" w:rsidR="00E35057" w:rsidRPr="007C2749" w:rsidRDefault="00494A64" w:rsidP="00494A64">
      <w:r>
        <w:br/>
      </w:r>
      <w:r w:rsidR="00E35057" w:rsidRPr="007C2749">
        <w:t xml:space="preserve">On </w:t>
      </w:r>
      <w:r w:rsidR="00E35057" w:rsidRPr="007C2749">
        <w:rPr>
          <w:b/>
        </w:rPr>
        <w:t>25 June 2017</w:t>
      </w:r>
      <w:r>
        <w:rPr>
          <w:b/>
        </w:rPr>
        <w:t>,</w:t>
      </w:r>
      <w:r w:rsidR="00E35057" w:rsidRPr="007C2749">
        <w:rPr>
          <w:b/>
        </w:rPr>
        <w:t xml:space="preserve"> </w:t>
      </w:r>
      <w:r w:rsidR="00E35057" w:rsidRPr="007C2749">
        <w:t xml:space="preserve">the </w:t>
      </w:r>
      <w:r w:rsidR="00E35057" w:rsidRPr="00494A64">
        <w:rPr>
          <w:i/>
        </w:rPr>
        <w:t>Education and Training Reform Regulations 2017</w:t>
      </w:r>
      <w:r w:rsidR="00E35057" w:rsidRPr="007C2749">
        <w:t xml:space="preserve"> take effect. These Regulations replace the </w:t>
      </w:r>
      <w:r w:rsidR="00E35057" w:rsidRPr="00494A64">
        <w:rPr>
          <w:i/>
        </w:rPr>
        <w:t>Education and Training Reform Regulations 2007</w:t>
      </w:r>
      <w:r w:rsidR="00E35057" w:rsidRPr="007C2749">
        <w:t>.</w:t>
      </w:r>
      <w:r w:rsidR="009F45DA" w:rsidRPr="007C2749">
        <w:t xml:space="preserve"> </w:t>
      </w:r>
    </w:p>
    <w:p w14:paraId="1664F950" w14:textId="6E33C2E8" w:rsidR="00E35057" w:rsidRPr="00494A64" w:rsidRDefault="00E35057" w:rsidP="00494A64">
      <w:r w:rsidRPr="00494A64">
        <w:t xml:space="preserve">This fact sheet provides an overview of the changes that affect Government schools.  </w:t>
      </w:r>
      <w:r w:rsidR="00494A64">
        <w:br/>
      </w:r>
    </w:p>
    <w:p w14:paraId="3ABD27C9" w14:textId="77777777" w:rsidR="00E35057" w:rsidRPr="007C2749" w:rsidRDefault="00E35057" w:rsidP="00E35057">
      <w:pPr>
        <w:pStyle w:val="Heading1"/>
        <w:spacing w:after="120" w:line="240" w:lineRule="auto"/>
        <w:rPr>
          <w:sz w:val="23"/>
          <w:szCs w:val="23"/>
        </w:rPr>
      </w:pPr>
      <w:r w:rsidRPr="007C2749">
        <w:rPr>
          <w:sz w:val="23"/>
          <w:szCs w:val="23"/>
        </w:rPr>
        <w:t>Changes to the Regulations</w:t>
      </w:r>
    </w:p>
    <w:p w14:paraId="2A569BDE" w14:textId="2EE49FD0" w:rsidR="009F45DA" w:rsidRPr="007C2749" w:rsidRDefault="009F45DA" w:rsidP="00494A64">
      <w:pPr>
        <w:rPr>
          <w:b/>
          <w:bCs/>
          <w:caps/>
        </w:rPr>
      </w:pPr>
      <w:r w:rsidRPr="007C2749">
        <w:t xml:space="preserve">All changes </w:t>
      </w:r>
      <w:r w:rsidR="00A379C3">
        <w:t>apply</w:t>
      </w:r>
      <w:r w:rsidRPr="007C2749">
        <w:t xml:space="preserve"> from 25 June 2017 unless otherwise stated.</w:t>
      </w:r>
      <w:r w:rsidR="00494A64">
        <w:br/>
      </w:r>
    </w:p>
    <w:p w14:paraId="0CE22D62" w14:textId="78899844" w:rsidR="00E35057" w:rsidRDefault="00E35057" w:rsidP="00494A64">
      <w:pPr>
        <w:pStyle w:val="Heading2"/>
      </w:pPr>
      <w:r w:rsidRPr="007C2749">
        <w:t>Temporary closure of schools</w:t>
      </w:r>
    </w:p>
    <w:p w14:paraId="5BF3B76E" w14:textId="493B2DDE" w:rsidR="00E35057" w:rsidRPr="007C2749" w:rsidRDefault="00E35057" w:rsidP="00494A64">
      <w:pPr>
        <w:rPr>
          <w:i/>
        </w:rPr>
      </w:pPr>
      <w:r w:rsidRPr="007C2749">
        <w:t xml:space="preserve">With </w:t>
      </w:r>
      <w:r w:rsidR="00C66E9F" w:rsidRPr="007C2749">
        <w:t>the approval of the Secretary, the</w:t>
      </w:r>
      <w:r w:rsidRPr="007C2749">
        <w:t xml:space="preserve"> principal of a Government school </w:t>
      </w:r>
      <w:r w:rsidR="00C66E9F" w:rsidRPr="007C2749">
        <w:t xml:space="preserve">(instead of a school council) </w:t>
      </w:r>
      <w:r w:rsidRPr="007C2749">
        <w:t>may temporarily clo</w:t>
      </w:r>
      <w:r w:rsidR="00C66E9F" w:rsidRPr="007C2749">
        <w:t>se the school due to an emergency</w:t>
      </w:r>
      <w:r w:rsidRPr="007C2749">
        <w:t xml:space="preserve">. </w:t>
      </w:r>
      <w:r w:rsidR="005B1ECC">
        <w:t xml:space="preserve"> </w:t>
      </w:r>
      <w:r w:rsidR="005B1ECC" w:rsidRPr="00744064">
        <w:rPr>
          <w:i/>
        </w:rPr>
        <w:t>Regulation 14(2)</w:t>
      </w:r>
      <w:r w:rsidR="00494A64">
        <w:rPr>
          <w:i/>
        </w:rPr>
        <w:br/>
      </w:r>
    </w:p>
    <w:p w14:paraId="2FD0E4F5" w14:textId="77777777" w:rsidR="00E35057" w:rsidRPr="007C2749" w:rsidRDefault="00E35057" w:rsidP="00494A64">
      <w:pPr>
        <w:pStyle w:val="Heading2"/>
      </w:pPr>
      <w:r w:rsidRPr="007C2749">
        <w:t>Age requirements</w:t>
      </w:r>
    </w:p>
    <w:p w14:paraId="7BEC575A" w14:textId="67F32F30" w:rsidR="00E35057" w:rsidRPr="007C2749" w:rsidRDefault="00E35057" w:rsidP="00494A64">
      <w:r w:rsidRPr="007C2749">
        <w:t>There is a new upper age limit for enrolment outside the metropolitan area solely for the purpose of completing a senior secondary course. Students turning up to 20 years of age during the year of enrolment do not contravene the age for school enrolment if there is no TAFE institute or other registered training organisation (other than a Government school) within:</w:t>
      </w:r>
    </w:p>
    <w:p w14:paraId="34E01B6C" w14:textId="12CA1792" w:rsidR="00E35057" w:rsidRPr="007C2749" w:rsidRDefault="00E35057" w:rsidP="00494A64">
      <w:pPr>
        <w:pStyle w:val="ListParagraph"/>
        <w:numPr>
          <w:ilvl w:val="0"/>
          <w:numId w:val="18"/>
        </w:numPr>
      </w:pPr>
      <w:r w:rsidRPr="007C2749">
        <w:t>a distance of 50 kilometres (rather than 45 minutes travel time) of that school offering an accredited senior secondary course</w:t>
      </w:r>
      <w:r w:rsidR="00C66E9F" w:rsidRPr="007C2749">
        <w:t>;</w:t>
      </w:r>
      <w:r w:rsidRPr="007C2749">
        <w:t xml:space="preserve"> or</w:t>
      </w:r>
    </w:p>
    <w:p w14:paraId="1488BE4D" w14:textId="6CCB201D" w:rsidR="00E35057" w:rsidRPr="007C2749" w:rsidRDefault="00E35057" w:rsidP="00494A64">
      <w:pPr>
        <w:pStyle w:val="ListParagraph"/>
        <w:numPr>
          <w:ilvl w:val="0"/>
          <w:numId w:val="18"/>
        </w:numPr>
      </w:pPr>
      <w:r w:rsidRPr="007C2749">
        <w:t>offers an accredited senior secondary course through a distance education program that the person is eligible to enrol in</w:t>
      </w:r>
      <w:r w:rsidR="00C66E9F" w:rsidRPr="007C2749">
        <w:t>.</w:t>
      </w:r>
      <w:r w:rsidRPr="007C2749">
        <w:t xml:space="preserve"> </w:t>
      </w:r>
      <w:r w:rsidR="005B1ECC" w:rsidRPr="00D560E7">
        <w:rPr>
          <w:i/>
        </w:rPr>
        <w:t>Regulation 17(2)(c)</w:t>
      </w:r>
    </w:p>
    <w:p w14:paraId="3AA165D2" w14:textId="402E7DE7" w:rsidR="00494A64" w:rsidRPr="00494A64" w:rsidRDefault="00494A64" w:rsidP="00494A64">
      <w:pPr>
        <w:pStyle w:val="Heading2"/>
      </w:pPr>
      <w:r>
        <w:br w:type="column"/>
      </w:r>
      <w:r w:rsidRPr="007C2749">
        <w:lastRenderedPageBreak/>
        <w:t>Age requirements</w:t>
      </w:r>
      <w:r>
        <w:t xml:space="preserve"> (cont.)</w:t>
      </w:r>
    </w:p>
    <w:p w14:paraId="5CF94F10" w14:textId="23701BA0" w:rsidR="00E35057" w:rsidRPr="007C2749" w:rsidRDefault="00E35057" w:rsidP="00494A64">
      <w:pPr>
        <w:rPr>
          <w:i/>
        </w:rPr>
      </w:pPr>
      <w:r w:rsidRPr="007C2749">
        <w:t>The Minister can exempt a student fr</w:t>
      </w:r>
      <w:r w:rsidR="00BE7F11" w:rsidRPr="007C2749">
        <w:t>o</w:t>
      </w:r>
      <w:r w:rsidRPr="007C2749">
        <w:t xml:space="preserve">m the maximum age requirements as long as the exemption is granted before the student turns 21. The length of the exemption is at the Minister’s discretion. </w:t>
      </w:r>
      <w:r w:rsidR="005B1ECC" w:rsidRPr="00744064">
        <w:rPr>
          <w:i/>
        </w:rPr>
        <w:t>Regulation 20</w:t>
      </w:r>
    </w:p>
    <w:p w14:paraId="635AF067" w14:textId="201544D0" w:rsidR="00E35057" w:rsidRPr="001D5E77" w:rsidRDefault="00E35057" w:rsidP="00494A64">
      <w:r w:rsidRPr="001D5E77">
        <w:t>The Minister may exempt a person from the maximum age requirements if the exemption will enable the person to transfer from an English language Government school or centre into year 10 at a Government school.</w:t>
      </w:r>
      <w:r w:rsidRPr="001D5E77">
        <w:rPr>
          <w:i/>
        </w:rPr>
        <w:t xml:space="preserve"> </w:t>
      </w:r>
      <w:r w:rsidR="005B1ECC" w:rsidRPr="001D5E77">
        <w:rPr>
          <w:i/>
        </w:rPr>
        <w:t>Regulation 20(3</w:t>
      </w:r>
      <w:r w:rsidR="00BC6492">
        <w:rPr>
          <w:i/>
        </w:rPr>
        <w:t>)</w:t>
      </w:r>
      <w:r w:rsidR="005B1ECC" w:rsidRPr="001D5E77">
        <w:rPr>
          <w:i/>
        </w:rPr>
        <w:t>(b)</w:t>
      </w:r>
    </w:p>
    <w:p w14:paraId="63B8D709" w14:textId="1068B250" w:rsidR="001D5E77" w:rsidRDefault="001D5E77" w:rsidP="001D5E77">
      <w:pPr>
        <w:pStyle w:val="Heading3"/>
        <w:rPr>
          <w:b w:val="0"/>
          <w:sz w:val="18"/>
        </w:rPr>
      </w:pPr>
      <w:r w:rsidRPr="001D5E77">
        <w:rPr>
          <w:b w:val="0"/>
          <w:sz w:val="18"/>
        </w:rPr>
        <w:t xml:space="preserve">The Minister can no longer exempt a child from the minimum age requirements on the basis that they require ‘extra support or assistance’. </w:t>
      </w:r>
    </w:p>
    <w:p w14:paraId="3CEDE6CC" w14:textId="77777777" w:rsidR="00B2255E" w:rsidRPr="00B2255E" w:rsidRDefault="00B2255E" w:rsidP="00B2255E"/>
    <w:p w14:paraId="5EBAF446" w14:textId="77777777" w:rsidR="00E35057" w:rsidRPr="007C2749" w:rsidRDefault="00E35057" w:rsidP="00494A64">
      <w:pPr>
        <w:pStyle w:val="Heading2"/>
      </w:pPr>
      <w:r w:rsidRPr="007C2749">
        <w:t>Student engagement policy</w:t>
      </w:r>
    </w:p>
    <w:p w14:paraId="0DC3D8A7" w14:textId="77777777" w:rsidR="00FF27B0" w:rsidRPr="007C2749" w:rsidRDefault="00FF27B0" w:rsidP="00FF27B0">
      <w:r w:rsidRPr="007C2749">
        <w:t>‘Student behaviour’ policies now fall under the heading of ‘student engagement’.</w:t>
      </w:r>
    </w:p>
    <w:p w14:paraId="5EBC5CF7" w14:textId="2620E3B4" w:rsidR="00E35057" w:rsidRPr="007C2749" w:rsidRDefault="005B1ECC" w:rsidP="00494A64">
      <w:r w:rsidRPr="005B1ECC" w:rsidDel="005B1ECC">
        <w:t xml:space="preserve"> </w:t>
      </w:r>
      <w:r w:rsidR="00E35057" w:rsidRPr="007C2749">
        <w:t>A principal (not the school council) is responsible for developing a student engagement policy that:</w:t>
      </w:r>
    </w:p>
    <w:p w14:paraId="7B47666A" w14:textId="77777777" w:rsidR="00E35057" w:rsidRPr="007C2749" w:rsidRDefault="00E35057" w:rsidP="00494A64">
      <w:pPr>
        <w:pStyle w:val="ListParagraph"/>
        <w:numPr>
          <w:ilvl w:val="0"/>
          <w:numId w:val="19"/>
        </w:numPr>
      </w:pPr>
      <w:r w:rsidRPr="007C2749">
        <w:t>is developed in consultation with the school community and</w:t>
      </w:r>
    </w:p>
    <w:p w14:paraId="7D30E5EB" w14:textId="29C5DCD4" w:rsidR="00E35057" w:rsidRPr="007C2749" w:rsidRDefault="00E35057" w:rsidP="00494A64">
      <w:pPr>
        <w:pStyle w:val="ListParagraph"/>
        <w:numPr>
          <w:ilvl w:val="0"/>
          <w:numId w:val="19"/>
        </w:numPr>
      </w:pPr>
      <w:r w:rsidRPr="007C2749">
        <w:t xml:space="preserve">is consistent with any Ministerial Order about suspension or expulsion of a student from a Government school. </w:t>
      </w:r>
      <w:r w:rsidR="005B1ECC" w:rsidRPr="00744064">
        <w:rPr>
          <w:i/>
        </w:rPr>
        <w:t>Regulation 23</w:t>
      </w:r>
      <w:r w:rsidR="00494A64">
        <w:br/>
      </w:r>
    </w:p>
    <w:p w14:paraId="57F15A7C" w14:textId="77777777" w:rsidR="00E35057" w:rsidRPr="007C2749" w:rsidRDefault="00E35057" w:rsidP="00494A64">
      <w:pPr>
        <w:pStyle w:val="Heading2"/>
      </w:pPr>
      <w:r w:rsidRPr="007C2749">
        <w:t>School councils</w:t>
      </w:r>
    </w:p>
    <w:p w14:paraId="61293976" w14:textId="18CBA837" w:rsidR="00E35057" w:rsidRPr="00744064" w:rsidRDefault="00E35057" w:rsidP="00494A64">
      <w:pPr>
        <w:rPr>
          <w:i/>
        </w:rPr>
      </w:pPr>
      <w:r w:rsidRPr="007C2749">
        <w:t>If the President of a school council is unable to preside at a council meeting, the Vice-President (if one has been appointed</w:t>
      </w:r>
      <w:r w:rsidR="00C66E9F" w:rsidRPr="007C2749">
        <w:t xml:space="preserve"> and they are available</w:t>
      </w:r>
      <w:r w:rsidRPr="007C2749">
        <w:t xml:space="preserve">) must preside. </w:t>
      </w:r>
      <w:r w:rsidR="005B1ECC" w:rsidRPr="00744064">
        <w:rPr>
          <w:i/>
        </w:rPr>
        <w:t>Regulation 28(2)</w:t>
      </w:r>
    </w:p>
    <w:p w14:paraId="65811D90" w14:textId="300C6458" w:rsidR="00494A64" w:rsidRPr="00494A64" w:rsidRDefault="00E35057" w:rsidP="00494A64">
      <w:r w:rsidRPr="007C2749">
        <w:t>A community member on sch</w:t>
      </w:r>
      <w:r w:rsidR="00C66E9F" w:rsidRPr="007C2749">
        <w:t xml:space="preserve">ool council has the same rights, </w:t>
      </w:r>
      <w:r w:rsidRPr="007C2749">
        <w:t xml:space="preserve">duties and obligations as parent and department employee members. </w:t>
      </w:r>
      <w:r w:rsidR="005B1ECC" w:rsidRPr="00744064">
        <w:rPr>
          <w:i/>
        </w:rPr>
        <w:t>Regulation 32(5)</w:t>
      </w:r>
      <w:r w:rsidR="00494A64">
        <w:br/>
      </w:r>
      <w:r w:rsidR="00494A64">
        <w:rPr>
          <w:caps/>
          <w:sz w:val="23"/>
          <w:szCs w:val="23"/>
        </w:rPr>
        <w:br w:type="page"/>
      </w:r>
    </w:p>
    <w:p w14:paraId="2A549CFE" w14:textId="32223612" w:rsidR="009F45DA" w:rsidRPr="007C2749" w:rsidRDefault="009F45DA" w:rsidP="00494A64">
      <w:pPr>
        <w:pStyle w:val="Heading2"/>
      </w:pPr>
      <w:r w:rsidRPr="007C2749">
        <w:lastRenderedPageBreak/>
        <w:t xml:space="preserve">Parents’ clubs </w:t>
      </w:r>
    </w:p>
    <w:p w14:paraId="0B1782EF" w14:textId="66724CF2" w:rsidR="009F45DA" w:rsidRPr="00744064" w:rsidRDefault="009F45DA" w:rsidP="00494A64">
      <w:pPr>
        <w:rPr>
          <w:i/>
        </w:rPr>
      </w:pPr>
      <w:r w:rsidRPr="007C2749">
        <w:t xml:space="preserve">Clarification to explain that the sole purpose of an interim committee is to develop a constitution for the parents’ club and obtain the Minister’s approval for that constitution. The committee is dissolved following this process. </w:t>
      </w:r>
      <w:r w:rsidR="005B1ECC" w:rsidRPr="00744064">
        <w:rPr>
          <w:i/>
        </w:rPr>
        <w:t>Regulation 53</w:t>
      </w:r>
    </w:p>
    <w:p w14:paraId="2006C951" w14:textId="49FEDCF8" w:rsidR="009F45DA" w:rsidRPr="00744064" w:rsidRDefault="009F45DA" w:rsidP="00494A64">
      <w:pPr>
        <w:rPr>
          <w:i/>
        </w:rPr>
      </w:pPr>
      <w:r w:rsidRPr="007C2749">
        <w:t xml:space="preserve">Require all parents’ club funds to be kept within a subprogram of the school’s official account (rather than being held in an external account). </w:t>
      </w:r>
      <w:r w:rsidR="005B1ECC" w:rsidRPr="00744064">
        <w:rPr>
          <w:i/>
        </w:rPr>
        <w:t>Regulation 54(3)</w:t>
      </w:r>
    </w:p>
    <w:p w14:paraId="3F65EEA2" w14:textId="516FF600" w:rsidR="009F45DA" w:rsidRPr="007C2749" w:rsidRDefault="009F45DA" w:rsidP="00494A64">
      <w:r w:rsidRPr="007C2749">
        <w:t xml:space="preserve">Automatic dissolution of parents’ clubs in instances of school closures or mergers. </w:t>
      </w:r>
      <w:r w:rsidR="005B1ECC" w:rsidRPr="00744064">
        <w:rPr>
          <w:i/>
        </w:rPr>
        <w:t>Regulation 57</w:t>
      </w:r>
      <w:r w:rsidR="00494A64">
        <w:br/>
      </w:r>
    </w:p>
    <w:p w14:paraId="44809E42" w14:textId="3077F7E9" w:rsidR="009F45DA" w:rsidRPr="007C2749" w:rsidRDefault="009F45DA" w:rsidP="00494A64">
      <w:r w:rsidRPr="00494A64">
        <w:rPr>
          <w:i/>
        </w:rPr>
        <w:t>Note that schools with parents’ clubs which hold external bank accounts will be contacted prior to the commencement of the regulations. See the Parents’ Clubs Fact Sheet for more information</w:t>
      </w:r>
      <w:r w:rsidRPr="007C2749">
        <w:t xml:space="preserve">. </w:t>
      </w:r>
      <w:r w:rsidR="00494A64">
        <w:br/>
      </w:r>
    </w:p>
    <w:p w14:paraId="154428EA" w14:textId="77777777" w:rsidR="009F45DA" w:rsidRPr="007C2749" w:rsidRDefault="009F45DA" w:rsidP="00494A64">
      <w:pPr>
        <w:pStyle w:val="Heading2"/>
      </w:pPr>
      <w:r w:rsidRPr="007C2749">
        <w:t>Fundraising</w:t>
      </w:r>
    </w:p>
    <w:p w14:paraId="72E251CD" w14:textId="02B359CB" w:rsidR="009F45DA" w:rsidRDefault="009F45DA" w:rsidP="00494A64">
      <w:pPr>
        <w:rPr>
          <w:i/>
        </w:rPr>
      </w:pPr>
      <w:r w:rsidRPr="007C2749">
        <w:t>This provision more clearly provides that the purpose of any fundraising activity should be agreed by the school council before the fundraising activity is undertaken.</w:t>
      </w:r>
      <w:r w:rsidR="005B1ECC">
        <w:t xml:space="preserve"> </w:t>
      </w:r>
      <w:r w:rsidR="005B1ECC" w:rsidRPr="00744064">
        <w:rPr>
          <w:i/>
        </w:rPr>
        <w:t>Regulation 58</w:t>
      </w:r>
      <w:r w:rsidRPr="007C2749">
        <w:t xml:space="preserve"> </w:t>
      </w:r>
      <w:r w:rsidR="00494A64">
        <w:rPr>
          <w:i/>
        </w:rPr>
        <w:br/>
      </w:r>
      <w:bookmarkStart w:id="0" w:name="_GoBack"/>
      <w:bookmarkEnd w:id="0"/>
    </w:p>
    <w:p w14:paraId="7CE0533C" w14:textId="77777777" w:rsidR="001D5E77" w:rsidRPr="007C2749" w:rsidRDefault="001D5E77" w:rsidP="001D5E77">
      <w:pPr>
        <w:pStyle w:val="Heading2"/>
        <w:spacing w:before="0"/>
      </w:pPr>
      <w:r w:rsidRPr="007C2749">
        <w:t>Registration of schools</w:t>
      </w:r>
    </w:p>
    <w:p w14:paraId="4CFAF92D" w14:textId="039F84E8" w:rsidR="001D5E77" w:rsidRPr="007C2749" w:rsidRDefault="001D5E77" w:rsidP="001D5E77">
      <w:r w:rsidRPr="007C2749">
        <w:t xml:space="preserve">Changes to school registration requirements </w:t>
      </w:r>
      <w:r>
        <w:rPr>
          <w:b/>
        </w:rPr>
        <w:t>apply from</w:t>
      </w:r>
      <w:r w:rsidRPr="007C2749">
        <w:rPr>
          <w:b/>
        </w:rPr>
        <w:t xml:space="preserve"> 1 January 2018 for new schools opening in 2018 </w:t>
      </w:r>
      <w:r w:rsidRPr="007C2749">
        <w:t xml:space="preserve">and </w:t>
      </w:r>
      <w:r>
        <w:t xml:space="preserve">from </w:t>
      </w:r>
      <w:r w:rsidRPr="007C2749">
        <w:rPr>
          <w:b/>
        </w:rPr>
        <w:t>1 July 2018</w:t>
      </w:r>
      <w:r w:rsidRPr="007C2749">
        <w:t xml:space="preserve"> for existing schools. </w:t>
      </w:r>
    </w:p>
    <w:p w14:paraId="533615A7" w14:textId="77777777" w:rsidR="001D5E77" w:rsidRPr="007C2749" w:rsidRDefault="001D5E77" w:rsidP="001D5E77">
      <w:r w:rsidRPr="007C2749">
        <w:rPr>
          <w:rFonts w:eastAsiaTheme="majorEastAsia" w:cstheme="majorBidi"/>
        </w:rPr>
        <w:t>Note</w:t>
      </w:r>
      <w:r w:rsidRPr="007C2749">
        <w:t xml:space="preserve">: </w:t>
      </w:r>
      <w:r w:rsidRPr="007C2749">
        <w:rPr>
          <w:rFonts w:eastAsiaTheme="majorEastAsia" w:cstheme="majorBidi"/>
        </w:rPr>
        <w:t>Principals should continue to submit any applications to amend the registration of your school to the Integrated Provision and Design Unit (RSG) for lodgement with the VRQA no later than 30 June in the year before the year in which the school intends to implement the change.</w:t>
      </w:r>
      <w:r>
        <w:rPr>
          <w:rFonts w:eastAsiaTheme="majorEastAsia" w:cstheme="majorBidi"/>
        </w:rPr>
        <w:t xml:space="preserve"> </w:t>
      </w:r>
      <w:r w:rsidRPr="00744064">
        <w:rPr>
          <w:rFonts w:eastAsiaTheme="majorEastAsia" w:cstheme="majorBidi"/>
          <w:i/>
        </w:rPr>
        <w:t>Regulation 68(1)</w:t>
      </w:r>
      <w:r w:rsidRPr="007C2749">
        <w:rPr>
          <w:rFonts w:eastAsiaTheme="majorEastAsia" w:cstheme="majorBidi"/>
        </w:rPr>
        <w:t xml:space="preserve"> </w:t>
      </w:r>
    </w:p>
    <w:p w14:paraId="5CE98D7E" w14:textId="77777777" w:rsidR="001D5E77" w:rsidRPr="007C2749" w:rsidRDefault="001D5E77" w:rsidP="001D5E77">
      <w:r w:rsidRPr="007C2749">
        <w:t xml:space="preserve">The changes to the minimum standards for registration include: </w:t>
      </w:r>
    </w:p>
    <w:p w14:paraId="06E61536" w14:textId="77777777" w:rsidR="001D5E77" w:rsidRPr="007C2749" w:rsidRDefault="001D5E77" w:rsidP="001D5E77">
      <w:pPr>
        <w:pStyle w:val="ListParagraph"/>
        <w:numPr>
          <w:ilvl w:val="0"/>
          <w:numId w:val="20"/>
        </w:numPr>
      </w:pPr>
      <w:r w:rsidRPr="007C2749">
        <w:t xml:space="preserve">Minimum Standard 12 - addition of the definition for ‘attending the school’ (see </w:t>
      </w:r>
      <w:r w:rsidRPr="00494A64">
        <w:rPr>
          <w:i/>
        </w:rPr>
        <w:t>Definitions</w:t>
      </w:r>
      <w:r w:rsidRPr="007C2749">
        <w:t xml:space="preserve"> section of the Regulations)</w:t>
      </w:r>
    </w:p>
    <w:p w14:paraId="43C86473" w14:textId="77777777" w:rsidR="001D5E77" w:rsidRPr="007C2749" w:rsidRDefault="001D5E77" w:rsidP="001D5E77">
      <w:pPr>
        <w:pStyle w:val="ListParagraph"/>
        <w:numPr>
          <w:ilvl w:val="0"/>
          <w:numId w:val="20"/>
        </w:numPr>
      </w:pPr>
      <w:r w:rsidRPr="007C2749">
        <w:t xml:space="preserve">Minimum Standard 16 – addition of the words ‘and be able to demonstrate how the school’s philosophy is enacted’ </w:t>
      </w:r>
    </w:p>
    <w:p w14:paraId="79C27394" w14:textId="77777777" w:rsidR="001D5E77" w:rsidRPr="007C2749" w:rsidRDefault="001D5E77" w:rsidP="001D5E77">
      <w:pPr>
        <w:pStyle w:val="ListParagraph"/>
        <w:numPr>
          <w:ilvl w:val="0"/>
          <w:numId w:val="20"/>
        </w:numPr>
      </w:pPr>
      <w:r w:rsidRPr="007C2749">
        <w:t xml:space="preserve">Minimum Standard 17 – change in the definition of not-for-profit (see </w:t>
      </w:r>
      <w:r w:rsidRPr="00494A64">
        <w:rPr>
          <w:i/>
        </w:rPr>
        <w:t>Definitions</w:t>
      </w:r>
      <w:r w:rsidRPr="007C2749">
        <w:t xml:space="preserve"> section of the Regulations).</w:t>
      </w:r>
    </w:p>
    <w:p w14:paraId="530286E7" w14:textId="0AF87548" w:rsidR="005C481B" w:rsidRPr="007C2749" w:rsidRDefault="005C481B" w:rsidP="005C481B">
      <w:pPr>
        <w:pStyle w:val="Heading2"/>
        <w:spacing w:before="0"/>
      </w:pPr>
      <w:r w:rsidRPr="007C2749">
        <w:lastRenderedPageBreak/>
        <w:t>Registration of schools</w:t>
      </w:r>
      <w:r>
        <w:t xml:space="preserve"> (CONT.)</w:t>
      </w:r>
    </w:p>
    <w:p w14:paraId="4139474C" w14:textId="77777777" w:rsidR="00891EE0" w:rsidRDefault="001D5E77" w:rsidP="001D5E77">
      <w:pPr>
        <w:pStyle w:val="ListParagraph"/>
        <w:numPr>
          <w:ilvl w:val="0"/>
          <w:numId w:val="20"/>
        </w:numPr>
      </w:pPr>
      <w:r w:rsidRPr="007C2749">
        <w:t xml:space="preserve">Minimum Standard 21 – additional requirement for schools to have suitable arrangements in place to comply with guidelines issued by the VRQA. </w:t>
      </w:r>
    </w:p>
    <w:p w14:paraId="08605E9E" w14:textId="4D70FC89" w:rsidR="001D5E77" w:rsidRPr="00891EE0" w:rsidRDefault="001D5E77" w:rsidP="001D5E77">
      <w:pPr>
        <w:pStyle w:val="ListParagraph"/>
        <w:numPr>
          <w:ilvl w:val="0"/>
          <w:numId w:val="20"/>
        </w:numPr>
      </w:pPr>
      <w:r w:rsidRPr="007C2749">
        <w:t>See Schedule 4 for the full list of Minimum Standards.</w:t>
      </w:r>
      <w:r>
        <w:br/>
      </w:r>
    </w:p>
    <w:p w14:paraId="3FCDD71D" w14:textId="77777777" w:rsidR="00E35057" w:rsidRPr="007C2749" w:rsidRDefault="00E35057" w:rsidP="00494A64">
      <w:pPr>
        <w:pStyle w:val="Heading2"/>
      </w:pPr>
      <w:r w:rsidRPr="007C2749">
        <w:t>Home schooling</w:t>
      </w:r>
    </w:p>
    <w:p w14:paraId="56C2540B" w14:textId="5B09F488" w:rsidR="00E35057" w:rsidRPr="007C2749" w:rsidRDefault="00E35057" w:rsidP="00494A64">
      <w:r w:rsidRPr="007C2749">
        <w:t xml:space="preserve">Changes have been made to the regulations relating to home schooling which will </w:t>
      </w:r>
      <w:r w:rsidRPr="007C2749">
        <w:rPr>
          <w:b/>
        </w:rPr>
        <w:t>commence on 1 January 2018</w:t>
      </w:r>
      <w:r w:rsidRPr="007C2749">
        <w:t xml:space="preserve">. See the </w:t>
      </w:r>
      <w:r w:rsidRPr="007C2749">
        <w:rPr>
          <w:i/>
        </w:rPr>
        <w:t>Home Schooling Fact Sheet</w:t>
      </w:r>
      <w:r w:rsidRPr="007C2749">
        <w:t xml:space="preserve"> for more information.</w:t>
      </w:r>
      <w:r w:rsidR="00494A64">
        <w:br/>
      </w:r>
    </w:p>
    <w:p w14:paraId="11A2B32D" w14:textId="19BA7D71" w:rsidR="00E35057" w:rsidRPr="007C2749" w:rsidRDefault="00FF27B0" w:rsidP="00494A64">
      <w:pPr>
        <w:pStyle w:val="Heading2"/>
      </w:pPr>
      <w:r>
        <w:t>SUPPORT FOR pRINCIPALS</w:t>
      </w:r>
    </w:p>
    <w:p w14:paraId="5D160D35" w14:textId="77777777" w:rsidR="00FF27B0" w:rsidRPr="00BC12E0" w:rsidRDefault="00FF27B0" w:rsidP="00FF27B0">
      <w:r w:rsidRPr="00BC12E0">
        <w:t xml:space="preserve">Principals </w:t>
      </w:r>
      <w:r>
        <w:t>can find further information</w:t>
      </w:r>
      <w:r w:rsidRPr="00BC12E0">
        <w:t xml:space="preserve"> about how these changes will affect their </w:t>
      </w:r>
      <w:r>
        <w:t xml:space="preserve">government </w:t>
      </w:r>
      <w:r w:rsidRPr="00BC12E0">
        <w:t>school</w:t>
      </w:r>
      <w:r>
        <w:t xml:space="preserve"> from 26 June </w:t>
      </w:r>
      <w:r w:rsidRPr="00BC12E0">
        <w:t>in the School Policy and Advisory Guide (SPAG)</w:t>
      </w:r>
      <w:r>
        <w:t xml:space="preserve"> and relevant pages of the Department’s website</w:t>
      </w:r>
      <w:r w:rsidRPr="00BC12E0">
        <w:t>.</w:t>
      </w:r>
    </w:p>
    <w:p w14:paraId="29C072AE" w14:textId="31833284" w:rsidR="00E35057" w:rsidRPr="007C2749" w:rsidRDefault="00E35057" w:rsidP="00494A64"/>
    <w:p w14:paraId="56FC52EE" w14:textId="77777777" w:rsidR="00E35057" w:rsidRPr="00494A64" w:rsidRDefault="00E35057" w:rsidP="00494A64">
      <w:pPr>
        <w:pStyle w:val="Heading2"/>
      </w:pPr>
      <w:r w:rsidRPr="00494A64">
        <w:t xml:space="preserve">further information </w:t>
      </w:r>
    </w:p>
    <w:p w14:paraId="532CE555" w14:textId="34C2D997" w:rsidR="00F70042" w:rsidRPr="00494A64" w:rsidRDefault="00494A64" w:rsidP="00FD3CA7">
      <w:r>
        <w:t>For f</w:t>
      </w:r>
      <w:r w:rsidR="00E35057" w:rsidRPr="007C2749">
        <w:t xml:space="preserve">urther information about the </w:t>
      </w:r>
      <w:r w:rsidR="00E35057" w:rsidRPr="007C2749">
        <w:rPr>
          <w:i/>
        </w:rPr>
        <w:t xml:space="preserve">Education and </w:t>
      </w:r>
      <w:r>
        <w:rPr>
          <w:i/>
        </w:rPr>
        <w:t>Training Reform Regulations 2017,</w:t>
      </w:r>
      <w:r w:rsidRPr="00494A64">
        <w:t xml:space="preserve"> see</w:t>
      </w:r>
      <w:r w:rsidR="00E35057" w:rsidRPr="00494A64">
        <w:t>:</w:t>
      </w:r>
      <w:r w:rsidR="00E35057" w:rsidRPr="007C2749">
        <w:t xml:space="preserve"> </w:t>
      </w:r>
      <w:hyperlink r:id="rId14" w:history="1">
        <w:r w:rsidRPr="00494A64">
          <w:rPr>
            <w:rStyle w:val="Hyperlink"/>
          </w:rPr>
          <w:t>Education and Training Reform Regulations</w:t>
        </w:r>
      </w:hyperlink>
    </w:p>
    <w:sectPr w:rsidR="00F70042" w:rsidRPr="00494A64" w:rsidSect="00326F48">
      <w:headerReference w:type="default" r:id="rId15"/>
      <w:footerReference w:type="default" r:id="rId16"/>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6FF9B" w14:textId="77777777" w:rsidR="004E6709" w:rsidRDefault="004E6709" w:rsidP="008766A4">
      <w:r>
        <w:separator/>
      </w:r>
    </w:p>
  </w:endnote>
  <w:endnote w:type="continuationSeparator" w:id="0">
    <w:p w14:paraId="119F5360" w14:textId="77777777" w:rsidR="004E6709" w:rsidRDefault="004E6709" w:rsidP="008766A4">
      <w:r>
        <w:continuationSeparator/>
      </w:r>
    </w:p>
  </w:endnote>
  <w:endnote w:type="continuationNotice" w:id="1">
    <w:p w14:paraId="5C273C48" w14:textId="77777777" w:rsidR="004E6709" w:rsidRDefault="004E67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3871E" w14:textId="77777777" w:rsidR="003E29B5" w:rsidRPr="003E29B5" w:rsidRDefault="003E29B5" w:rsidP="008766A4">
    <w:r w:rsidRPr="003E29B5">
      <w:rPr>
        <w:noProof/>
        <w:lang w:eastAsia="en-AU"/>
      </w:rPr>
      <w:drawing>
        <wp:anchor distT="0" distB="0" distL="114300" distR="114300" simplePos="0" relativeHeight="251658241"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F8D34" w14:textId="77777777" w:rsidR="004E6709" w:rsidRDefault="004E6709" w:rsidP="008766A4">
      <w:r>
        <w:separator/>
      </w:r>
    </w:p>
  </w:footnote>
  <w:footnote w:type="continuationSeparator" w:id="0">
    <w:p w14:paraId="7D43D0E1" w14:textId="77777777" w:rsidR="004E6709" w:rsidRDefault="004E6709" w:rsidP="008766A4">
      <w:r>
        <w:continuationSeparator/>
      </w:r>
    </w:p>
  </w:footnote>
  <w:footnote w:type="continuationNotice" w:id="1">
    <w:p w14:paraId="07244314" w14:textId="77777777" w:rsidR="004E6709" w:rsidRDefault="004E670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6305E" w14:textId="77777777" w:rsidR="003E29B5" w:rsidRPr="003E29B5" w:rsidRDefault="003E29B5" w:rsidP="008766A4">
    <w:r w:rsidRPr="003E29B5">
      <w:rPr>
        <w:noProof/>
        <w:lang w:eastAsia="en-AU"/>
      </w:rPr>
      <w:drawing>
        <wp:anchor distT="0" distB="0" distL="114300" distR="114300" simplePos="0" relativeHeight="251658240" behindDoc="1" locked="0" layoutInCell="1" allowOverlap="1" wp14:anchorId="5603F0E5" wp14:editId="703D5E66">
          <wp:simplePos x="0" y="0"/>
          <wp:positionH relativeFrom="page">
            <wp:posOffset>0</wp:posOffset>
          </wp:positionH>
          <wp:positionV relativeFrom="page">
            <wp:posOffset>0</wp:posOffset>
          </wp:positionV>
          <wp:extent cx="7562088" cy="2017776"/>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3FCF81E"/>
    <w:lvl w:ilvl="0">
      <w:start w:val="1"/>
      <w:numFmt w:val="decimal"/>
      <w:lvlText w:val="%1."/>
      <w:lvlJc w:val="left"/>
      <w:pPr>
        <w:tabs>
          <w:tab w:val="num" w:pos="1492"/>
        </w:tabs>
        <w:ind w:left="1492" w:hanging="360"/>
      </w:pPr>
    </w:lvl>
  </w:abstractNum>
  <w:abstractNum w:abstractNumId="2">
    <w:nsid w:val="FFFFFF7D"/>
    <w:multiLevelType w:val="singleLevel"/>
    <w:tmpl w:val="2A8237AA"/>
    <w:lvl w:ilvl="0">
      <w:start w:val="1"/>
      <w:numFmt w:val="decimal"/>
      <w:lvlText w:val="%1."/>
      <w:lvlJc w:val="left"/>
      <w:pPr>
        <w:tabs>
          <w:tab w:val="num" w:pos="1209"/>
        </w:tabs>
        <w:ind w:left="1209" w:hanging="360"/>
      </w:pPr>
    </w:lvl>
  </w:abstractNum>
  <w:abstractNum w:abstractNumId="3">
    <w:nsid w:val="FFFFFF7E"/>
    <w:multiLevelType w:val="singleLevel"/>
    <w:tmpl w:val="C89ED17C"/>
    <w:lvl w:ilvl="0">
      <w:start w:val="1"/>
      <w:numFmt w:val="decimal"/>
      <w:lvlText w:val="%1."/>
      <w:lvlJc w:val="left"/>
      <w:pPr>
        <w:tabs>
          <w:tab w:val="num" w:pos="926"/>
        </w:tabs>
        <w:ind w:left="926" w:hanging="360"/>
      </w:pPr>
    </w:lvl>
  </w:abstractNum>
  <w:abstractNum w:abstractNumId="4">
    <w:nsid w:val="FFFFFF7F"/>
    <w:multiLevelType w:val="singleLevel"/>
    <w:tmpl w:val="32B0DDF8"/>
    <w:lvl w:ilvl="0">
      <w:start w:val="1"/>
      <w:numFmt w:val="decimal"/>
      <w:lvlText w:val="%1."/>
      <w:lvlJc w:val="left"/>
      <w:pPr>
        <w:tabs>
          <w:tab w:val="num" w:pos="643"/>
        </w:tabs>
        <w:ind w:left="643" w:hanging="360"/>
      </w:pPr>
    </w:lvl>
  </w:abstractNum>
  <w:abstractNum w:abstractNumId="5">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F1297B6"/>
    <w:lvl w:ilvl="0">
      <w:start w:val="1"/>
      <w:numFmt w:val="decimal"/>
      <w:lvlText w:val="%1."/>
      <w:lvlJc w:val="left"/>
      <w:pPr>
        <w:tabs>
          <w:tab w:val="num" w:pos="360"/>
        </w:tabs>
        <w:ind w:left="360" w:hanging="360"/>
      </w:pPr>
    </w:lvl>
  </w:abstractNum>
  <w:abstractNum w:abstractNumId="1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nsid w:val="267512C2"/>
    <w:multiLevelType w:val="hybridMultilevel"/>
    <w:tmpl w:val="8ADED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824006D"/>
    <w:multiLevelType w:val="hybridMultilevel"/>
    <w:tmpl w:val="F54E5D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3">
    <w:nsid w:val="50BC056E"/>
    <w:multiLevelType w:val="hybridMultilevel"/>
    <w:tmpl w:val="EBFA9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3800CFA"/>
    <w:multiLevelType w:val="hybridMultilevel"/>
    <w:tmpl w:val="5E60FC9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99E521F"/>
    <w:multiLevelType w:val="hybridMultilevel"/>
    <w:tmpl w:val="790AD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BBC2EBD"/>
    <w:multiLevelType w:val="hybridMultilevel"/>
    <w:tmpl w:val="219A577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6"/>
  </w:num>
  <w:num w:numId="14">
    <w:abstractNumId w:val="12"/>
  </w:num>
  <w:num w:numId="15">
    <w:abstractNumId w:val="14"/>
  </w:num>
  <w:num w:numId="16">
    <w:abstractNumId w:val="16"/>
  </w:num>
  <w:num w:numId="17">
    <w:abstractNumId w:val="14"/>
  </w:num>
  <w:num w:numId="18">
    <w:abstractNumId w:val="11"/>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48"/>
    <w:rsid w:val="00036B3C"/>
    <w:rsid w:val="00052454"/>
    <w:rsid w:val="00070A38"/>
    <w:rsid w:val="000B00EA"/>
    <w:rsid w:val="000C2E82"/>
    <w:rsid w:val="000C499D"/>
    <w:rsid w:val="000E4951"/>
    <w:rsid w:val="0014310A"/>
    <w:rsid w:val="001479CB"/>
    <w:rsid w:val="00152F30"/>
    <w:rsid w:val="00191725"/>
    <w:rsid w:val="0019217E"/>
    <w:rsid w:val="001951EB"/>
    <w:rsid w:val="001C2A5F"/>
    <w:rsid w:val="001C7AB4"/>
    <w:rsid w:val="001D5E77"/>
    <w:rsid w:val="00214AC2"/>
    <w:rsid w:val="0022212D"/>
    <w:rsid w:val="00257BAB"/>
    <w:rsid w:val="00266FDA"/>
    <w:rsid w:val="00306436"/>
    <w:rsid w:val="003139E4"/>
    <w:rsid w:val="00324927"/>
    <w:rsid w:val="00326F48"/>
    <w:rsid w:val="0035116C"/>
    <w:rsid w:val="0038303F"/>
    <w:rsid w:val="003A7E84"/>
    <w:rsid w:val="003B01B0"/>
    <w:rsid w:val="003B4596"/>
    <w:rsid w:val="003C7C3D"/>
    <w:rsid w:val="003E29B5"/>
    <w:rsid w:val="00412F14"/>
    <w:rsid w:val="0041405C"/>
    <w:rsid w:val="00414B57"/>
    <w:rsid w:val="00416ECF"/>
    <w:rsid w:val="00422A94"/>
    <w:rsid w:val="00461530"/>
    <w:rsid w:val="00461C1D"/>
    <w:rsid w:val="00472725"/>
    <w:rsid w:val="00494A64"/>
    <w:rsid w:val="004B637B"/>
    <w:rsid w:val="004E6709"/>
    <w:rsid w:val="00525349"/>
    <w:rsid w:val="00532CE2"/>
    <w:rsid w:val="00553C6D"/>
    <w:rsid w:val="00554229"/>
    <w:rsid w:val="00575C1A"/>
    <w:rsid w:val="0057771A"/>
    <w:rsid w:val="005817D1"/>
    <w:rsid w:val="00582BF5"/>
    <w:rsid w:val="00596923"/>
    <w:rsid w:val="005B1ECC"/>
    <w:rsid w:val="005C481B"/>
    <w:rsid w:val="005C7057"/>
    <w:rsid w:val="005F5D48"/>
    <w:rsid w:val="00600EB1"/>
    <w:rsid w:val="00603CEB"/>
    <w:rsid w:val="006052EA"/>
    <w:rsid w:val="0062687E"/>
    <w:rsid w:val="0063463C"/>
    <w:rsid w:val="00654D4F"/>
    <w:rsid w:val="00676465"/>
    <w:rsid w:val="00684FCC"/>
    <w:rsid w:val="00685F23"/>
    <w:rsid w:val="006901F8"/>
    <w:rsid w:val="006D4E97"/>
    <w:rsid w:val="007050D0"/>
    <w:rsid w:val="00717EFF"/>
    <w:rsid w:val="0072077D"/>
    <w:rsid w:val="00744064"/>
    <w:rsid w:val="00744C1D"/>
    <w:rsid w:val="007453A9"/>
    <w:rsid w:val="00751081"/>
    <w:rsid w:val="00784798"/>
    <w:rsid w:val="007948B4"/>
    <w:rsid w:val="007C0CE0"/>
    <w:rsid w:val="007C25BC"/>
    <w:rsid w:val="007C2749"/>
    <w:rsid w:val="007E0C59"/>
    <w:rsid w:val="007F6510"/>
    <w:rsid w:val="00816ED5"/>
    <w:rsid w:val="008212F7"/>
    <w:rsid w:val="00821C44"/>
    <w:rsid w:val="00837BC9"/>
    <w:rsid w:val="0084303B"/>
    <w:rsid w:val="008471E7"/>
    <w:rsid w:val="00850775"/>
    <w:rsid w:val="008647EA"/>
    <w:rsid w:val="00870087"/>
    <w:rsid w:val="008766A4"/>
    <w:rsid w:val="00891EE0"/>
    <w:rsid w:val="008A7933"/>
    <w:rsid w:val="008B0D9E"/>
    <w:rsid w:val="008C5381"/>
    <w:rsid w:val="0094417E"/>
    <w:rsid w:val="00955670"/>
    <w:rsid w:val="00980015"/>
    <w:rsid w:val="009B39EA"/>
    <w:rsid w:val="009D5403"/>
    <w:rsid w:val="009F2302"/>
    <w:rsid w:val="009F45DA"/>
    <w:rsid w:val="00A024AE"/>
    <w:rsid w:val="00A148D8"/>
    <w:rsid w:val="00A26774"/>
    <w:rsid w:val="00A379C3"/>
    <w:rsid w:val="00A45173"/>
    <w:rsid w:val="00A51C1F"/>
    <w:rsid w:val="00A77B77"/>
    <w:rsid w:val="00AA10FA"/>
    <w:rsid w:val="00AD2912"/>
    <w:rsid w:val="00AD3F0B"/>
    <w:rsid w:val="00AE0110"/>
    <w:rsid w:val="00AE52D1"/>
    <w:rsid w:val="00AF1441"/>
    <w:rsid w:val="00AF1E1F"/>
    <w:rsid w:val="00B0141D"/>
    <w:rsid w:val="00B20CF5"/>
    <w:rsid w:val="00B2255E"/>
    <w:rsid w:val="00B44906"/>
    <w:rsid w:val="00B45451"/>
    <w:rsid w:val="00B458FC"/>
    <w:rsid w:val="00B510A9"/>
    <w:rsid w:val="00B676B4"/>
    <w:rsid w:val="00BA65FB"/>
    <w:rsid w:val="00BB27D0"/>
    <w:rsid w:val="00BC6492"/>
    <w:rsid w:val="00BE77F7"/>
    <w:rsid w:val="00BE7F11"/>
    <w:rsid w:val="00BF2714"/>
    <w:rsid w:val="00BF2C5D"/>
    <w:rsid w:val="00BF5EAF"/>
    <w:rsid w:val="00C052CB"/>
    <w:rsid w:val="00C252B8"/>
    <w:rsid w:val="00C405CA"/>
    <w:rsid w:val="00C51984"/>
    <w:rsid w:val="00C66E9F"/>
    <w:rsid w:val="00C92A2F"/>
    <w:rsid w:val="00C96015"/>
    <w:rsid w:val="00CE5C87"/>
    <w:rsid w:val="00D1719C"/>
    <w:rsid w:val="00D22D65"/>
    <w:rsid w:val="00D27B41"/>
    <w:rsid w:val="00D31299"/>
    <w:rsid w:val="00D33C10"/>
    <w:rsid w:val="00D33E49"/>
    <w:rsid w:val="00D345E1"/>
    <w:rsid w:val="00D378BF"/>
    <w:rsid w:val="00D560E7"/>
    <w:rsid w:val="00D65273"/>
    <w:rsid w:val="00D83265"/>
    <w:rsid w:val="00DB277A"/>
    <w:rsid w:val="00DD6965"/>
    <w:rsid w:val="00DF17B2"/>
    <w:rsid w:val="00DF2EA1"/>
    <w:rsid w:val="00E331F7"/>
    <w:rsid w:val="00E35057"/>
    <w:rsid w:val="00E54B41"/>
    <w:rsid w:val="00E74593"/>
    <w:rsid w:val="00E97A39"/>
    <w:rsid w:val="00EA3E58"/>
    <w:rsid w:val="00EB1300"/>
    <w:rsid w:val="00F70042"/>
    <w:rsid w:val="00F802D1"/>
    <w:rsid w:val="00FD29FB"/>
    <w:rsid w:val="00FD3CA7"/>
    <w:rsid w:val="00FF2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9FC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766A4"/>
    <w:pPr>
      <w:spacing w:after="120" w:line="240" w:lineRule="atLeast"/>
    </w:pPr>
    <w:rPr>
      <w:rFonts w:ascii="Arial" w:hAnsi="Arial" w:cs="Arial"/>
      <w:sz w:val="18"/>
      <w:szCs w:val="18"/>
      <w:lang w:val="en-AU"/>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qFormat/>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AD2912"/>
    <w:rPr>
      <w:color w:val="0000FF" w:themeColor="hyperlink"/>
      <w:u w:val="single"/>
    </w:rPr>
  </w:style>
  <w:style w:type="paragraph" w:styleId="ListParagraph">
    <w:name w:val="List Paragraph"/>
    <w:basedOn w:val="Normal"/>
    <w:uiPriority w:val="34"/>
    <w:qFormat/>
    <w:rsid w:val="00AD2912"/>
    <w:pPr>
      <w:ind w:left="720"/>
      <w:contextualSpacing/>
    </w:pPr>
  </w:style>
  <w:style w:type="character" w:styleId="CommentReference">
    <w:name w:val="annotation reference"/>
    <w:basedOn w:val="DefaultParagraphFont"/>
    <w:uiPriority w:val="99"/>
    <w:semiHidden/>
    <w:unhideWhenUsed/>
    <w:rsid w:val="00FD3CA7"/>
    <w:rPr>
      <w:sz w:val="16"/>
      <w:szCs w:val="16"/>
    </w:rPr>
  </w:style>
  <w:style w:type="paragraph" w:styleId="CommentText">
    <w:name w:val="annotation text"/>
    <w:basedOn w:val="Normal"/>
    <w:link w:val="CommentTextChar"/>
    <w:uiPriority w:val="99"/>
    <w:semiHidden/>
    <w:unhideWhenUsed/>
    <w:rsid w:val="00FD3CA7"/>
    <w:pPr>
      <w:spacing w:line="240" w:lineRule="auto"/>
    </w:pPr>
    <w:rPr>
      <w:sz w:val="20"/>
      <w:szCs w:val="20"/>
    </w:rPr>
  </w:style>
  <w:style w:type="character" w:customStyle="1" w:styleId="CommentTextChar">
    <w:name w:val="Comment Text Char"/>
    <w:basedOn w:val="DefaultParagraphFont"/>
    <w:link w:val="CommentText"/>
    <w:uiPriority w:val="99"/>
    <w:semiHidden/>
    <w:rsid w:val="00FD3CA7"/>
    <w:rPr>
      <w:rFonts w:ascii="Arial" w:hAnsi="Arial" w:cs="Arial"/>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766A4"/>
    <w:pPr>
      <w:spacing w:after="120" w:line="240" w:lineRule="atLeast"/>
    </w:pPr>
    <w:rPr>
      <w:rFonts w:ascii="Arial" w:hAnsi="Arial" w:cs="Arial"/>
      <w:sz w:val="18"/>
      <w:szCs w:val="18"/>
      <w:lang w:val="en-AU"/>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qFormat/>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AD2912"/>
    <w:rPr>
      <w:color w:val="0000FF" w:themeColor="hyperlink"/>
      <w:u w:val="single"/>
    </w:rPr>
  </w:style>
  <w:style w:type="paragraph" w:styleId="ListParagraph">
    <w:name w:val="List Paragraph"/>
    <w:basedOn w:val="Normal"/>
    <w:uiPriority w:val="34"/>
    <w:qFormat/>
    <w:rsid w:val="00AD2912"/>
    <w:pPr>
      <w:ind w:left="720"/>
      <w:contextualSpacing/>
    </w:pPr>
  </w:style>
  <w:style w:type="character" w:styleId="CommentReference">
    <w:name w:val="annotation reference"/>
    <w:basedOn w:val="DefaultParagraphFont"/>
    <w:uiPriority w:val="99"/>
    <w:semiHidden/>
    <w:unhideWhenUsed/>
    <w:rsid w:val="00FD3CA7"/>
    <w:rPr>
      <w:sz w:val="16"/>
      <w:szCs w:val="16"/>
    </w:rPr>
  </w:style>
  <w:style w:type="paragraph" w:styleId="CommentText">
    <w:name w:val="annotation text"/>
    <w:basedOn w:val="Normal"/>
    <w:link w:val="CommentTextChar"/>
    <w:uiPriority w:val="99"/>
    <w:semiHidden/>
    <w:unhideWhenUsed/>
    <w:rsid w:val="00FD3CA7"/>
    <w:pPr>
      <w:spacing w:line="240" w:lineRule="auto"/>
    </w:pPr>
    <w:rPr>
      <w:sz w:val="20"/>
      <w:szCs w:val="20"/>
    </w:rPr>
  </w:style>
  <w:style w:type="character" w:customStyle="1" w:styleId="CommentTextChar">
    <w:name w:val="Comment Text Char"/>
    <w:basedOn w:val="DefaultParagraphFont"/>
    <w:link w:val="CommentText"/>
    <w:uiPriority w:val="99"/>
    <w:semiHidden/>
    <w:rsid w:val="00FD3CA7"/>
    <w:rPr>
      <w:rFonts w:ascii="Arial" w:hAnsi="Arial" w:cs="Arial"/>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8245">
      <w:bodyDiv w:val="1"/>
      <w:marLeft w:val="0"/>
      <w:marRight w:val="0"/>
      <w:marTop w:val="0"/>
      <w:marBottom w:val="0"/>
      <w:divBdr>
        <w:top w:val="none" w:sz="0" w:space="0" w:color="auto"/>
        <w:left w:val="none" w:sz="0" w:space="0" w:color="auto"/>
        <w:bottom w:val="none" w:sz="0" w:space="0" w:color="auto"/>
        <w:right w:val="none" w:sz="0" w:space="0" w:color="auto"/>
      </w:divBdr>
    </w:div>
    <w:div w:id="1434783658">
      <w:bodyDiv w:val="1"/>
      <w:marLeft w:val="0"/>
      <w:marRight w:val="0"/>
      <w:marTop w:val="0"/>
      <w:marBottom w:val="0"/>
      <w:divBdr>
        <w:top w:val="none" w:sz="0" w:space="0" w:color="auto"/>
        <w:left w:val="none" w:sz="0" w:space="0" w:color="auto"/>
        <w:bottom w:val="none" w:sz="0" w:space="0" w:color="auto"/>
        <w:right w:val="none" w:sz="0" w:space="0" w:color="auto"/>
      </w:divBdr>
    </w:div>
    <w:div w:id="2107646977">
      <w:bodyDiv w:val="1"/>
      <w:marLeft w:val="0"/>
      <w:marRight w:val="0"/>
      <w:marTop w:val="0"/>
      <w:marBottom w:val="0"/>
      <w:divBdr>
        <w:top w:val="none" w:sz="0" w:space="0" w:color="auto"/>
        <w:left w:val="none" w:sz="0" w:space="0" w:color="auto"/>
        <w:bottom w:val="none" w:sz="0" w:space="0" w:color="auto"/>
        <w:right w:val="none" w:sz="0" w:space="0" w:color="auto"/>
      </w:divBdr>
      <w:divsChild>
        <w:div w:id="1428113356">
          <w:marLeft w:val="0"/>
          <w:marRight w:val="0"/>
          <w:marTop w:val="0"/>
          <w:marBottom w:val="0"/>
          <w:divBdr>
            <w:top w:val="none" w:sz="0" w:space="0" w:color="auto"/>
            <w:left w:val="none" w:sz="0" w:space="0" w:color="auto"/>
            <w:bottom w:val="none" w:sz="0" w:space="0" w:color="auto"/>
            <w:right w:val="none" w:sz="0" w:space="0" w:color="auto"/>
          </w:divBdr>
          <w:divsChild>
            <w:div w:id="1569919660">
              <w:marLeft w:val="0"/>
              <w:marRight w:val="0"/>
              <w:marTop w:val="0"/>
              <w:marBottom w:val="0"/>
              <w:divBdr>
                <w:top w:val="none" w:sz="0" w:space="0" w:color="auto"/>
                <w:left w:val="none" w:sz="0" w:space="0" w:color="auto"/>
                <w:bottom w:val="none" w:sz="0" w:space="0" w:color="auto"/>
                <w:right w:val="none" w:sz="0" w:space="0" w:color="auto"/>
              </w:divBdr>
              <w:divsChild>
                <w:div w:id="1806967299">
                  <w:marLeft w:val="0"/>
                  <w:marRight w:val="0"/>
                  <w:marTop w:val="0"/>
                  <w:marBottom w:val="0"/>
                  <w:divBdr>
                    <w:top w:val="none" w:sz="0" w:space="0" w:color="auto"/>
                    <w:left w:val="none" w:sz="0" w:space="0" w:color="auto"/>
                    <w:bottom w:val="none" w:sz="0" w:space="0" w:color="auto"/>
                    <w:right w:val="none" w:sz="0" w:space="0" w:color="auto"/>
                  </w:divBdr>
                  <w:divsChild>
                    <w:div w:id="738551541">
                      <w:marLeft w:val="0"/>
                      <w:marRight w:val="0"/>
                      <w:marTop w:val="0"/>
                      <w:marBottom w:val="0"/>
                      <w:divBdr>
                        <w:top w:val="none" w:sz="0" w:space="0" w:color="auto"/>
                        <w:left w:val="none" w:sz="0" w:space="0" w:color="auto"/>
                        <w:bottom w:val="none" w:sz="0" w:space="0" w:color="auto"/>
                        <w:right w:val="none" w:sz="0" w:space="0" w:color="auto"/>
                      </w:divBdr>
                      <w:divsChild>
                        <w:div w:id="1262641724">
                          <w:marLeft w:val="0"/>
                          <w:marRight w:val="0"/>
                          <w:marTop w:val="0"/>
                          <w:marBottom w:val="0"/>
                          <w:divBdr>
                            <w:top w:val="none" w:sz="0" w:space="0" w:color="auto"/>
                            <w:left w:val="none" w:sz="0" w:space="0" w:color="auto"/>
                            <w:bottom w:val="none" w:sz="0" w:space="0" w:color="auto"/>
                            <w:right w:val="none" w:sz="0" w:space="0" w:color="auto"/>
                          </w:divBdr>
                          <w:divsChild>
                            <w:div w:id="1378820150">
                              <w:marLeft w:val="0"/>
                              <w:marRight w:val="0"/>
                              <w:marTop w:val="0"/>
                              <w:marBottom w:val="0"/>
                              <w:divBdr>
                                <w:top w:val="none" w:sz="0" w:space="0" w:color="auto"/>
                                <w:left w:val="none" w:sz="0" w:space="0" w:color="auto"/>
                                <w:bottom w:val="none" w:sz="0" w:space="0" w:color="auto"/>
                                <w:right w:val="none" w:sz="0" w:space="0" w:color="auto"/>
                              </w:divBdr>
                              <w:divsChild>
                                <w:div w:id="1986230723">
                                  <w:marLeft w:val="0"/>
                                  <w:marRight w:val="0"/>
                                  <w:marTop w:val="0"/>
                                  <w:marBottom w:val="0"/>
                                  <w:divBdr>
                                    <w:top w:val="none" w:sz="0" w:space="0" w:color="auto"/>
                                    <w:left w:val="none" w:sz="0" w:space="0" w:color="auto"/>
                                    <w:bottom w:val="none" w:sz="0" w:space="0" w:color="auto"/>
                                    <w:right w:val="none" w:sz="0" w:space="0" w:color="auto"/>
                                  </w:divBdr>
                                  <w:divsChild>
                                    <w:div w:id="867178611">
                                      <w:marLeft w:val="0"/>
                                      <w:marRight w:val="0"/>
                                      <w:marTop w:val="0"/>
                                      <w:marBottom w:val="0"/>
                                      <w:divBdr>
                                        <w:top w:val="none" w:sz="0" w:space="0" w:color="auto"/>
                                        <w:left w:val="none" w:sz="0" w:space="0" w:color="auto"/>
                                        <w:bottom w:val="none" w:sz="0" w:space="0" w:color="auto"/>
                                        <w:right w:val="none" w:sz="0" w:space="0" w:color="auto"/>
                                      </w:divBdr>
                                      <w:divsChild>
                                        <w:div w:id="1177577834">
                                          <w:marLeft w:val="0"/>
                                          <w:marRight w:val="0"/>
                                          <w:marTop w:val="0"/>
                                          <w:marBottom w:val="0"/>
                                          <w:divBdr>
                                            <w:top w:val="none" w:sz="0" w:space="0" w:color="auto"/>
                                            <w:left w:val="none" w:sz="0" w:space="0" w:color="auto"/>
                                            <w:bottom w:val="none" w:sz="0" w:space="0" w:color="auto"/>
                                            <w:right w:val="none" w:sz="0" w:space="0" w:color="auto"/>
                                          </w:divBdr>
                                          <w:divsChild>
                                            <w:div w:id="1641225216">
                                              <w:marLeft w:val="0"/>
                                              <w:marRight w:val="0"/>
                                              <w:marTop w:val="0"/>
                                              <w:marBottom w:val="0"/>
                                              <w:divBdr>
                                                <w:top w:val="none" w:sz="0" w:space="0" w:color="auto"/>
                                                <w:left w:val="none" w:sz="0" w:space="0" w:color="auto"/>
                                                <w:bottom w:val="none" w:sz="0" w:space="0" w:color="auto"/>
                                                <w:right w:val="none" w:sz="0" w:space="0" w:color="auto"/>
                                              </w:divBdr>
                                              <w:divsChild>
                                                <w:div w:id="35349800">
                                                  <w:marLeft w:val="0"/>
                                                  <w:marRight w:val="0"/>
                                                  <w:marTop w:val="0"/>
                                                  <w:marBottom w:val="0"/>
                                                  <w:divBdr>
                                                    <w:top w:val="none" w:sz="0" w:space="0" w:color="auto"/>
                                                    <w:left w:val="none" w:sz="0" w:space="0" w:color="auto"/>
                                                    <w:bottom w:val="none" w:sz="0" w:space="0" w:color="auto"/>
                                                    <w:right w:val="none" w:sz="0" w:space="0" w:color="auto"/>
                                                  </w:divBdr>
                                                  <w:divsChild>
                                                    <w:div w:id="1580552598">
                                                      <w:marLeft w:val="0"/>
                                                      <w:marRight w:val="0"/>
                                                      <w:marTop w:val="300"/>
                                                      <w:marBottom w:val="0"/>
                                                      <w:divBdr>
                                                        <w:top w:val="none" w:sz="0" w:space="0" w:color="auto"/>
                                                        <w:left w:val="none" w:sz="0" w:space="0" w:color="auto"/>
                                                        <w:bottom w:val="none" w:sz="0" w:space="0" w:color="auto"/>
                                                        <w:right w:val="none" w:sz="0" w:space="0" w:color="auto"/>
                                                      </w:divBdr>
                                                      <w:divsChild>
                                                        <w:div w:id="863442324">
                                                          <w:marLeft w:val="0"/>
                                                          <w:marRight w:val="0"/>
                                                          <w:marTop w:val="0"/>
                                                          <w:marBottom w:val="0"/>
                                                          <w:divBdr>
                                                            <w:top w:val="none" w:sz="0" w:space="0" w:color="auto"/>
                                                            <w:left w:val="none" w:sz="0" w:space="0" w:color="auto"/>
                                                            <w:bottom w:val="none" w:sz="0" w:space="0" w:color="auto"/>
                                                            <w:right w:val="none" w:sz="0" w:space="0" w:color="auto"/>
                                                          </w:divBdr>
                                                          <w:divsChild>
                                                            <w:div w:id="155387598">
                                                              <w:marLeft w:val="0"/>
                                                              <w:marRight w:val="0"/>
                                                              <w:marTop w:val="0"/>
                                                              <w:marBottom w:val="0"/>
                                                              <w:divBdr>
                                                                <w:top w:val="none" w:sz="0" w:space="0" w:color="auto"/>
                                                                <w:left w:val="none" w:sz="0" w:space="0" w:color="auto"/>
                                                                <w:bottom w:val="none" w:sz="0" w:space="0" w:color="auto"/>
                                                                <w:right w:val="none" w:sz="0" w:space="0" w:color="auto"/>
                                                              </w:divBdr>
                                                            </w:div>
                                                            <w:div w:id="670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45475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4" Type="http://schemas.openxmlformats.org/officeDocument/2006/relationships/hyperlink" Target="http://www.education.vic.gov.au/about/department/legislation/Pages/act2006regs.aspx" TargetMode="External"/><Relationship Id="rId9"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34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2017-06-08T22:38:19+00:00</PublishingStartDat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customXsn xmlns="http://schemas.microsoft.com/office/2006/metadata/customXsn">
  <xsnLocation/>
  <cached>True</cached>
  <openByDefault>True</openByDefault>
  <xsnScope>https://edugate.eduweb.vic.gov.au/edrms/collaboration/PSD/Policy and Strategy Documents Library</xsnScope>
</customXsn>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EE94F7-A663-4C06-8BA3-1EE5FA2155C8}"/>
</file>

<file path=customXml/itemProps2.xml><?xml version="1.0" encoding="utf-8"?>
<ds:datastoreItem xmlns:ds="http://schemas.openxmlformats.org/officeDocument/2006/customXml" ds:itemID="{A11081E9-3CD3-4F5B-803C-61E34248A148}"/>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0CBD1BAC-C3A7-47A1-92AE-ACA05BE0A51D}"/>
</file>

<file path=customXml/itemProps5.xml><?xml version="1.0" encoding="utf-8"?>
<ds:datastoreItem xmlns:ds="http://schemas.openxmlformats.org/officeDocument/2006/customXml" ds:itemID="{7563B0F0-EBB0-46BB-A683-31756D5F0E6F}"/>
</file>

<file path=customXml/itemProps6.xml><?xml version="1.0" encoding="utf-8"?>
<ds:datastoreItem xmlns:ds="http://schemas.openxmlformats.org/officeDocument/2006/customXml" ds:itemID="{BD8948FE-C2C4-4B00-A050-3942F54704AD}"/>
</file>

<file path=docProps/app.xml><?xml version="1.0" encoding="utf-8"?>
<Properties xmlns="http://schemas.openxmlformats.org/officeDocument/2006/extended-properties" xmlns:vt="http://schemas.openxmlformats.org/officeDocument/2006/docPropsVTypes">
  <Template>Normal</Template>
  <TotalTime>41</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Reg Review Fact Sheet - Gov School Principals</dc:title>
  <dc:creator>Dori Maniatakis</dc:creator>
  <cp:lastModifiedBy>Schwarz, Naomi N</cp:lastModifiedBy>
  <cp:revision>14</cp:revision>
  <cp:lastPrinted>2017-06-15T07:03:00Z</cp:lastPrinted>
  <dcterms:created xsi:type="dcterms:W3CDTF">2017-06-15T00:18:00Z</dcterms:created>
  <dcterms:modified xsi:type="dcterms:W3CDTF">2017-06-19T00:44:00Z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RCS">
    <vt:lpwstr>34;#13.1.1 Outward Facing Policy|c167ca3e-8c60-41a9-853e-4dd20761c000</vt:lpwstr>
  </property>
  <property fmtid="{D5CDD505-2E9C-101B-9397-08002B2CF9AE}" pid="5" name="RecordPoint_WorkflowType">
    <vt:lpwstr>ActiveSubmitStub</vt:lpwstr>
  </property>
  <property fmtid="{D5CDD505-2E9C-101B-9397-08002B2CF9AE}" pid="6" name="RecordPoint_ActiveItemSiteId">
    <vt:lpwstr>{03dc8113-b288-4f44-a289-6e7ea0196235}</vt:lpwstr>
  </property>
  <property fmtid="{D5CDD505-2E9C-101B-9397-08002B2CF9AE}" pid="7" name="RecordPoint_ActiveItemListId">
    <vt:lpwstr>{fa5f1c67-54c3-494a-90f0-44b31348d00b}</vt:lpwstr>
  </property>
  <property fmtid="{D5CDD505-2E9C-101B-9397-08002B2CF9AE}" pid="8" name="RecordPoint_ActiveItemWebId">
    <vt:lpwstr>{d8562a3d-26b1-45f8-b7ad-9d70d2757376}</vt:lpwstr>
  </property>
  <property fmtid="{D5CDD505-2E9C-101B-9397-08002B2CF9AE}" pid="9" name="_docset_NoMedatataSyncRequired">
    <vt:lpwstr>False</vt:lpwstr>
  </property>
  <property fmtid="{D5CDD505-2E9C-101B-9397-08002B2CF9AE}" pid="10" name="DET_EDRMS_SecClassTaxHTField0">
    <vt:lpwstr/>
  </property>
  <property fmtid="{D5CDD505-2E9C-101B-9397-08002B2CF9AE}" pid="11" name="DET_EDRMS_SecClass">
    <vt:lpwstr/>
  </property>
  <property fmtid="{D5CDD505-2E9C-101B-9397-08002B2CF9AE}" pid="12" name="RecordPoint_ActiveItemUniqueId">
    <vt:lpwstr>{b00ef000-f531-49cf-bc75-46b71e1c2f30}</vt:lpwstr>
  </property>
  <property fmtid="{D5CDD505-2E9C-101B-9397-08002B2CF9AE}" pid="13" name="RecordPoint_RecordNumberSubmitted">
    <vt:lpwstr/>
  </property>
  <property fmtid="{D5CDD505-2E9C-101B-9397-08002B2CF9AE}" pid="14" name="RecordPoint_SubmissionCompleted">
    <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DEECD_Author">
    <vt:lpwstr>94;#Education|5232e41c-5101-41fe-b638-7d41d1371531</vt:lpwstr>
  </property>
  <property fmtid="{D5CDD505-2E9C-101B-9397-08002B2CF9AE}" pid="19" name="DEECD_SubjectCategory">
    <vt:lpwstr/>
  </property>
  <property fmtid="{D5CDD505-2E9C-101B-9397-08002B2CF9AE}" pid="20" name="DEECD_ItemType">
    <vt:lpwstr>101;#Page|eb523acf-a821-456c-a76b-7607578309d7</vt:lpwstr>
  </property>
  <property fmtid="{D5CDD505-2E9C-101B-9397-08002B2CF9AE}" pid="21" name="DEECD_Audience">
    <vt:lpwstr/>
  </property>
</Properties>
</file>